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xl/workbook.xml" ContentType="application/vnd.openxmlformats-officedocument.spreadsheetml.sheet.main+xml"/>
  <Override PartName="/xl/worksheets/sheet1.xml" ContentType="application/vnd.openxmlformats-officedocument.spreadsheetml.worksheet+xml"/>
  <Override PartName="/xl/theme/theme1.xml" ContentType="application/vnd.openxmlformats-officedocument.theme+xml"/>
  <Override PartName="/xl/styles.xml" ContentType="application/vnd.openxmlformats-officedocument.spreadsheetml.styles+xml"/>
  <Override PartName="/xl/sharedStrings.xml" ContentType="application/vnd.openxmlformats-officedocument.spreadsheetml.sharedStrings+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xl/workbook.xml"/><Relationship Id="rId2" Type="http://schemas.openxmlformats.org/package/2006/relationships/metadata/thumbnail" Target="docProps/thumbnail.jpeg"/></Relationships>
</file>

<file path=xl/workbook.xml><?xml version="1.0" encoding="utf-8"?>
<workbook xmlns="http://schemas.openxmlformats.org/spreadsheetml/2006/main" xmlns:r="http://schemas.openxmlformats.org/officeDocument/2006/relationships">
  <fileVersion appName="xl" lastEdited="5" lowestEdited="5" rupBuild="26819"/>
  <workbookPr showInkAnnotation="0" autoCompressPictures="0"/>
  <bookViews>
    <workbookView xWindow="240" yWindow="240" windowWidth="25360" windowHeight="13800" tabRatio="500"/>
  </bookViews>
  <sheets>
    <sheet name="default.aspx.txt" sheetId="1" r:id="rId1"/>
  </sheets>
  <calcPr calcId="0" concurrentCalc="0"/>
  <extLst>
    <ext xmlns:mx="http://schemas.microsoft.com/office/mac/excel/2008/main" uri="{7523E5D3-25F3-A5E0-1632-64F254C22452}">
      <mx:ArchID Flags="2"/>
    </ext>
  </extLst>
</workbook>
</file>

<file path=xl/sharedStrings.xml><?xml version="1.0" encoding="utf-8"?>
<sst xmlns="http://schemas.openxmlformats.org/spreadsheetml/2006/main" count="79513" uniqueCount="13273">
  <si>
    <t>Reference Type</t>
  </si>
  <si>
    <t>Authors, Primary</t>
  </si>
  <si>
    <t>Title Primary</t>
  </si>
  <si>
    <t>Periodical Full</t>
  </si>
  <si>
    <t>Periodical Abbrev</t>
  </si>
  <si>
    <t>Pub Year</t>
  </si>
  <si>
    <t>Pub Date Free From</t>
  </si>
  <si>
    <t>Volume</t>
  </si>
  <si>
    <t>Issue</t>
  </si>
  <si>
    <t>Start Page</t>
  </si>
  <si>
    <t>Other Pages</t>
  </si>
  <si>
    <t>Keywords</t>
  </si>
  <si>
    <t>Abstract</t>
  </si>
  <si>
    <t>Notes</t>
  </si>
  <si>
    <t>Personal Notes</t>
  </si>
  <si>
    <t>Authors, Secondary</t>
  </si>
  <si>
    <t>Title Secondary</t>
  </si>
  <si>
    <t>Edition</t>
  </si>
  <si>
    <t>Publisher</t>
  </si>
  <si>
    <t>Place Of Publication</t>
  </si>
  <si>
    <t>Authors, Tertiary</t>
  </si>
  <si>
    <t>Authors, Quaternary</t>
  </si>
  <si>
    <t>Authors, Quinary</t>
  </si>
  <si>
    <t>Title, Tertiary</t>
  </si>
  <si>
    <t>ISSN/ISBN</t>
  </si>
  <si>
    <t>Availability</t>
  </si>
  <si>
    <t>Author/Address</t>
  </si>
  <si>
    <t>Accession Number</t>
  </si>
  <si>
    <t>Language</t>
  </si>
  <si>
    <t>Classification</t>
  </si>
  <si>
    <t>Sub file/Database</t>
  </si>
  <si>
    <t>Original Foreign Title</t>
  </si>
  <si>
    <t>Links</t>
  </si>
  <si>
    <t>URL</t>
  </si>
  <si>
    <t>DOI</t>
  </si>
  <si>
    <t>PMID</t>
  </si>
  <si>
    <t>PMCID</t>
  </si>
  <si>
    <t>Call Number</t>
  </si>
  <si>
    <t>Database</t>
  </si>
  <si>
    <t>Data Source</t>
  </si>
  <si>
    <t>Identifying Phrase</t>
  </si>
  <si>
    <t>Retrieved Date</t>
  </si>
  <si>
    <t>Shortened Title</t>
  </si>
  <si>
    <t>User 1</t>
  </si>
  <si>
    <t>User 2</t>
  </si>
  <si>
    <t>User 3</t>
  </si>
  <si>
    <t>User 4</t>
  </si>
  <si>
    <t>User 5</t>
  </si>
  <si>
    <t>User 6</t>
  </si>
  <si>
    <t>User 7</t>
  </si>
  <si>
    <t>User 8</t>
  </si>
  <si>
    <t>User 9</t>
  </si>
  <si>
    <t>User 10</t>
  </si>
  <si>
    <t>User 11</t>
  </si>
  <si>
    <t>User 12</t>
  </si>
  <si>
    <t>User 13</t>
  </si>
  <si>
    <t>User 14</t>
  </si>
  <si>
    <t>User 15</t>
  </si>
  <si>
    <t>Journal Article</t>
  </si>
  <si>
    <t>ASHP professional policy recommendations--Invitation to comment</t>
  </si>
  <si>
    <t>American Journal of Health-System Pharmacy</t>
  </si>
  <si>
    <t xml:space="preserve"> </t>
  </si>
  <si>
    <t>e108</t>
  </si>
  <si>
    <t>e112 5p</t>
  </si>
  <si>
    <t>Reports;Policy Making;Professional Organizations;Pharmacy and Pharmacology;Governing Board;Pharmaceutical Companies;Drugs, Off-Label;Drug Approval;Licensure;Health Services Accessibility -- Evaluation;Patient Care;Home Health Care;Administration, Intravenous;United States Food and Drug Administration;Substance Abuse -- Prevention and Control;Antipsychotic Agents -- Administration and Dosage;Safety;Analgesia, Epidural;Steroids -- Administration and Dosage;Injections;Renal Replacement Therapy -- Methods;Dosage Calculation;Education;Workforce;Pharmacy Technicians -- Education;Certification;Leadership;Drug and Narcotic Control;Drug Packaging;Hazardous Materials;Medication Systems -- Evaluation;Automation;Technology;Information Technology;Drug Monitoring -- Methods;Drug Contamination -- Prevention and Control</t>
  </si>
  <si>
    <t>Entry Date: 20160415. Revision Date: 20160415. Publication Type: Article. Journal Subset: Biomedical; Blind Peer Reviewed; Peer Reviewed; USA. NLM UID: 9503023.; ID: 1825</t>
  </si>
  <si>
    <t>1079-2082</t>
  </si>
  <si>
    <t>English</t>
  </si>
  <si>
    <t>http://proxy.lib.umich.edu/login?url=http://search.ebscohost.com/login.aspx?direct=true&amp;db=ccm&amp;AN=114503190&amp;site=ehost-live&amp;scope=site</t>
  </si>
  <si>
    <t>ccm; EBSCOhost; ASHP professional policy recommendations--Invitation to comment</t>
  </si>
  <si>
    <t>ASHP Statement on the Pharmacist's Role in Substance Abuse Prevention, Education, and Assistance</t>
  </si>
  <si>
    <t>246 4p</t>
  </si>
  <si>
    <t>Pharmacists;Professional Role;Substance Abuse -- Prevention and Control;Pharmacy Service -- Organizations;Accountability;Education</t>
  </si>
  <si>
    <t>Entry Date: 20140131. Revision Date: 20150710. Publication Type: Journal Article. Journal Subset: Biomedical; Blind Peer Reviewed; Peer Reviewed; USA. NLM UID: 9503023. PMID: 24429020.; ID: 1826</t>
  </si>
  <si>
    <t>http://proxy.lib.umich.edu/login?url=http://search.ebscohost.com/login.aspx?direct=true&amp;db=ccm&amp;AN=104015991&amp;site=ehost-live&amp;scope=site</t>
  </si>
  <si>
    <t>10.2146/sp140002</t>
  </si>
  <si>
    <t>ccm; EBSCOhost; ASHP Statement on the Pharmacist's Role in Substance Abuse Prevention, Education, and Assistance</t>
  </si>
  <si>
    <t>Best Practices for Hospital &amp; Health-System Pharmacy</t>
  </si>
  <si>
    <t>308 4p</t>
  </si>
  <si>
    <t>Pharmacists;Professional Role -- Evaluation;Substance Abuse -- Prevention and Control;Allied Health Organizations -- Standards;Substance Abuse -- Education;Patient Education;Collaboration;Support, Psychosocial</t>
  </si>
  <si>
    <t>Entry Date: 20141028. Revision Date: 20150710. Publication Type: Journal Article. Journal Subset: Biomedical; USA. NLM UID: 101244593.; ID: 1827</t>
  </si>
  <si>
    <t>1555-8975</t>
  </si>
  <si>
    <t>http://proxy.lib.umich.edu/login?url=http://search.ebscohost.com/login.aspx?direct=true&amp;db=ccm&amp;AN=103906322&amp;site=ehost-live&amp;scope=site</t>
  </si>
  <si>
    <t>Abstracts of the Papers Presented at the Health Services Research &amp; Pharmacy Practice Conference, 3-4 April 2014, University of Aberdeen, Aberdeen, UK</t>
  </si>
  <si>
    <t>International Journal of Pharmacy Practice</t>
  </si>
  <si>
    <t>Apr</t>
  </si>
  <si>
    <t>22 Suppl 1</t>
  </si>
  <si>
    <t>*Pharmaceutical Services/td Trends];Pharmacists;Professional Role;*Public Health/td Trends];Substance-Related Disorders/pc Prevention &amp; Control]</t>
  </si>
  <si>
    <t>J2: Int J Pharm Pract; ID: 58</t>
  </si>
  <si>
    <t>2042-7174</t>
  </si>
  <si>
    <t>http://ovidsp.ovid.com/ovidweb.cgi?T=JS&amp;CSC=Y&amp;NEWS=N&amp;PAGE=fulltext&amp;D=medl&amp;AN=24698083</t>
  </si>
  <si>
    <t>http://dx.doi.org/10.1111/ijpp.12101</t>
  </si>
  <si>
    <t>MEDLINE; Ovid Technologies; Abstracts of the Papers Presented at the Health Services Research &amp; Pharmacy Practice Conference, 3-4 April 2014, University of Aberdeen, Aberdeen, UK</t>
  </si>
  <si>
    <t>ASHP Statement on the pharmacist's role in substance abuse prevention, education, and assistance</t>
  </si>
  <si>
    <t>Humans;*Pharmacists/og Organization &amp; Administration];*Pharmacy Service, Hospital/og Organization &amp; Administration];Professional Impairment;Professional Role;*Societies, Pharmaceutical;*Substance-Related Disorders/pc Prevention &amp; Control];Substance-Related Disorders/rh Rehabilitation]</t>
  </si>
  <si>
    <t>The American Society of Health- System Pharmacists (ASHP) believes that pharmacists have the unique knowledge, skills, and responsibilities for assuming an important role in substance abuse prevention, education, and assistance. Pharmacists, as health care providers, should be actively involved in reducing the negative effects that substance abuse has on society, health systems, and the pharmacy profession. Further, ASHP supports efforts to rehabilitate pharmacists and other health-system employees whose mental or physical impairments are caused by substance abuse.</t>
  </si>
  <si>
    <t>J2: Am J Health-Syst Pharm; ID: 89</t>
  </si>
  <si>
    <t>1535-2900</t>
  </si>
  <si>
    <t>http://ovidsp.ovid.com/ovidweb.cgi?T=JS&amp;CSC=Y&amp;NEWS=N&amp;PAGE=fulltext&amp;D=medl&amp;AN=24429020</t>
  </si>
  <si>
    <t>http://dx.doi.org/10.2146/sp140002</t>
  </si>
  <si>
    <t>MEDLINE; Ovid Technologies; ASHP Statement on the pharmacist's role in substance abuse prevention, education, and assistance</t>
  </si>
  <si>
    <t>297 4p</t>
  </si>
  <si>
    <t>Professional Organizations;Practice Guidelines;Pharmacists -- Evaluation;Substance Abuse -- Prevention and Control;Education;Patient Care;Pharmacy and Pharmacology;Patient Assessment -- Methods;Patient Education;Prescribing Patterns;Collaboration</t>
  </si>
  <si>
    <t>Entry Date: 20141028. Revision Date: 20150710. Publication Type: Journal Article. Journal Subset: Biomedical; USA. NLM UID: 101244593.; ID: 1828</t>
  </si>
  <si>
    <t>http://proxy.lib.umich.edu/login?url=http://search.ebscohost.com/login.aspx?direct=true&amp;db=ccm&amp;AN=103906210&amp;site=ehost-live&amp;scope=site</t>
  </si>
  <si>
    <t>Canadian Pharmacists Association Conference, Whistler, BC</t>
  </si>
  <si>
    <t>Canadian Pharmacists Journal (Allen Press Publishing Services Inc.)</t>
  </si>
  <si>
    <t>S1</t>
  </si>
  <si>
    <t>S53 1p</t>
  </si>
  <si>
    <t>Pharmacists -- Canada;Congresses and Conferences -- Canada;Canada;Diabetes Mellitus, Type 2;Blood Glucose Self-Monitoring;Physician Attitudes -- Canada;Patient Safety;Pharmacy, Retail -- Canada;Medication Compliance;Health Screening;Pneumococcal Vaccine;Family Planning;Body Weights and Measures -- Scotland;Prescriptive Authority;Heart Failure;Patient Education;Cardiovascular Diseases -- Prevention and Control;Primary Health Care -- Canada;Glycemic Control;Posters;Pharmacists -- Education -- Canada;Student Attitudes;Immunization -- Quebec;Quebec;Influenza Vaccine -- Alberta;Alberta;Chronic Pain;Narcotics;Osteoarthritis -- Drug Therapy;Certification;Personality;Research, Medical;Professional Development;Kidney Diseases;Diabetes Mellitus;Professional Practice;Listserv;Computerized Literature Searching;Quality Assurance;Quality Improvement;Adverse Drug Event;Drug Therapy -- In Old Age;Aged;Aged, 80 and Over;Pediatrics;Chemotherapy, Cancer;Diabetes Mellitus -- Drug Therapy;Asthma -- Drug Therapy;Pulmonary Disease, Chronic Obstructive -- Drug Therapy;Cardiovascular Risk Factors;Hypertension -- Diagnosis;Blood Pressure -- Evaluation;Medicine, Chinese Traditional;Alternative Therapies;Patient Compliance;Professional Role;Scotland;Drug Therapy -- In Pregnancy;Pregnancy;Female;Pharmacy Technicians -- Canada;Health Knowledge;Substance Abuse, Intravenous;Harm Reduction;Mandatory Reporting</t>
  </si>
  <si>
    <t>Entry Date: 20120806. Revision Date: 20150711. Publication Type: Journal Article; abstract; pictorial; proceedings; tables/charts. Journal Subset: Biomedical; Canada; Peer Reviewed. NLM UID: 101257110.; ID: 1843</t>
  </si>
  <si>
    <t>1715-1635</t>
  </si>
  <si>
    <t>http://proxy.lib.umich.edu/login?url=http://search.ebscohost.com/login.aspx?direct=true&amp;db=ccm&amp;AN=104487580&amp;site=ehost-live&amp;scope=site</t>
  </si>
  <si>
    <t>10.3821/145.4.cpjS1</t>
  </si>
  <si>
    <t>ccm; EBSCOhost; Canadian Pharmacists Association Conference, Whistler, BC</t>
  </si>
  <si>
    <t>Generic</t>
  </si>
  <si>
    <t>2012 Beers criteria update: how should practicing nurses use the criteria?</t>
  </si>
  <si>
    <t>Journal of gerontological nursing</t>
  </si>
  <si>
    <t>J.Gerontol.Nurs.</t>
  </si>
  <si>
    <t>Jun</t>
  </si>
  <si>
    <t>Aged;Drug Therapy/st Standards];*Geriatric Nursing/ma Manpower];Humans;*Nurses;*Practice Guidelines as Topic;Societies, Nursing;United States</t>
  </si>
  <si>
    <t>The continued development of explicit lists of medications to avoid in older adults, such as the Beers criteria, is a key initiative in geriatrics. The involvement of nurse in this endeavor is critical , and nursing research, education, and practice will help not only develop but also disseminate important pharmacological management information to the public and thereby decrease drug-related problems and improve the health of older adults. Lastly, we wish to acknowledge Dr. Mark Beers' tremendous leadership in conceptualizing the importance of medication management in older adults and in acknowledging the significance of the full-team approach in patient care. Mark, who passed away in 2009, was an incredible mentor and true champion of safe medication use in adults.</t>
  </si>
  <si>
    <t>J2: J Gerontol Nurs; ID: 210</t>
  </si>
  <si>
    <t>0098-9134</t>
  </si>
  <si>
    <t>http://ovidsp.ovid.com/ovidweb.cgi?T=JS&amp;CSC=Y&amp;NEWS=N&amp;PAGE=fulltext&amp;D=medl&amp;AN=22657720</t>
  </si>
  <si>
    <t>http://dx.doi.org/10.3928/00989134-20120517-01</t>
  </si>
  <si>
    <t>MEDLINE; Ovid Technologies; 2012 Beers criteria update: how should practicing nurses use the criteria?</t>
  </si>
  <si>
    <t>The Joint Commission and the FDA take steps to curb adverse events related to the use and misuse of opioid drugs</t>
  </si>
  <si>
    <t>ED Management</t>
  </si>
  <si>
    <t>Oct</t>
  </si>
  <si>
    <t>*Analgesics, Opioid/ae Adverse Effects];Analgesics, Opioid/tu Therapeutic Use];Drug Interactions;Emergency Service, Hospital;Humans;*Joint Commission on Accreditation of Healthcare Organizations;*Opioid-Related Disorders/pc Prevention &amp; Control];United States/ep Epidemiology];*United States Food and Drug Administration;0 (Analgesics, Opioid)</t>
  </si>
  <si>
    <t>Alarmed by adverse events involving opioid drugs, the Joint Commission has issued a Sentinel Alert urging hospitals to take steps to improve safety in the prescribing of these powerful drugs. In addition, the Food and Drug Administration (FDA) has launched an initiative that will soon require the manufacturers of long-acting and extended-release opioids to offer education and training to physicians and others who prescribe these pharmaceuticals. The Joint Commission reports that of the opioid-related adverse events reported to the agency between 2004 and 2011, 47% involved wrong-dosage medication errors, 29% pertained to improper patient monitoring, and 11% were attributed to other factors such as excessive dosing, drug-drug interactions, and adverse reactions. The FDA reports that nearly 16,000 Americans died from overdoses involving opioids in 2009, and in 2011, there were nearly 23 million prescriptions written for extended-release and long-acting opioids. Some new guidelines on opioid prescribing in the ED urge providers to avoid prescribing extended-release or long-acting opioids altogether, and to consider measures that will limit opportunities for drug diversion.</t>
  </si>
  <si>
    <t>J2: ED Manag; ID: 184</t>
  </si>
  <si>
    <t>1044-9167</t>
  </si>
  <si>
    <t>http://ovidsp.ovid.com/ovidweb.cgi?T=JS&amp;CSC=Y&amp;NEWS=N&amp;PAGE=fulltext&amp;D=medl&amp;AN=23045763</t>
  </si>
  <si>
    <t>MEDLINE; Ovid Technologies; The Joint Commission and the FDA take steps to curb adverse events related to the use and misuse of opioid drugs</t>
  </si>
  <si>
    <t>Medication Therapy and Patient Care</t>
  </si>
  <si>
    <t>334 104p</t>
  </si>
  <si>
    <t>Health Care Delivery;Organizational Policies;Pharmacy Service -- Administration;Collaboration;Critical Path -- Methods;Cultural Competence;Dietary Supplements;Disaster Planning;Documentation;Drug Monitoring;Emergency Service;Health Services Accessibility;HIV Infections;Immunization;Infection Control;Interprofessional Relations;Patient Education;Pediatric Care;Pharmacists -- Organizations -- United States;United States;Primary Health Care;Privacy and Confidentiality;Professional Role;Professional Practice -- Standards;Pharmacists;Public Health;Scope of Practice;Substance Abuse -- Prevention and Control;Palliative Care;Quality of Health Care;Hospitalists;Patient Care;Counseling;Hospice Care;Anesthesiology;Surgery, Elective;Pharmacy Technicians;Education, Pharmacy;Medical Records;Drug Therapy;Pain -- Therapy;Doping in Sports;Healthcare Disparities;Institute of Medicine (U.S.);Patient Rounds;Medication Systems;Administrative Personnel;Drug Information Services;Drug and Narcotic Control</t>
  </si>
  <si>
    <t>Entry Date: 20120201. Revision Date: 20150711. Publication Type: Journal Article; practice guidelines. Journal Subset: Biomedical; USA. NLM UID: 101244593.; ID: 1943</t>
  </si>
  <si>
    <t>http://proxy.lib.umich.edu/login?url=http://search.ebscohost.com/login.aspx?direct=true&amp;db=ccm&amp;AN=104627258&amp;site=ehost-live&amp;scope=site</t>
  </si>
  <si>
    <t>ccm; EBSCOhost; Medication Therapy and Patient Care</t>
  </si>
  <si>
    <t>Report</t>
  </si>
  <si>
    <t>Back to School: Keeping Our Children Safe, Healthy, and Drug-Free in the New School Season. Fact Sheet</t>
  </si>
  <si>
    <t>Prevention;Child Welfare;Child Health;Incidence;Drug Abuse;Secondary School Students;Drug Therapy;Parent Influence;Parent Child Relationship;Interpersonal Communication;Drinking;Alcohol Abuse;Marijuana;Narcotics</t>
  </si>
  <si>
    <t>Results of the 2009 "Monitoring the Future" (MTF) study document the disturbing prevalence among teens of abuse of prescription and over-the-counter drugs. The data show, for example, that seven of the substances most commonly abused by high school seniors are pharmaceuticals. Many parents believe they are powerless to influence their teens. However, research makes clear that parents remain the single most powerful influence in their kids' lives. This paper offers some tips for parents on how to talk to their teens about drug use. (Contains 4 figures.)</t>
  </si>
  <si>
    <t>Connect to the Mirlyn catalog at the University of Michigan Education Level: Grade 10; Grade 12; Grade 8; Secondary Education; RP: Connect to the Mirlyn catalog at the University of Michigan Education Level: Grade 10; Grade 12; Grade 8; Secondary Education; ID: 2105</t>
  </si>
  <si>
    <t>Office of National Drug Control Policy</t>
  </si>
  <si>
    <t>Office of National Drug Control Policy. Executive Office of the President, Washington, DC 20503. Tel: 202-395-6700</t>
  </si>
  <si>
    <t>Fax: 202-395-6708</t>
  </si>
  <si>
    <t>ED513395</t>
  </si>
  <si>
    <t>ERIC; OCLC; Back to School: Keeping Our Children Safe, Healthy, and Drug-Free in the New School Season. Fact Sheet</t>
  </si>
  <si>
    <t>Report of the 2010 APhA House of Delegates: actions of the legislative body of the American Pharmacists Association</t>
  </si>
  <si>
    <t>Journal of the American Pharmacists Association: JAPhA</t>
  </si>
  <si>
    <t>Jul-Aug</t>
  </si>
  <si>
    <t>Advertising as Topic;Education, Pharmacy/mt Methods];Education, Pharmacy/st Standards];Electronic Prescribing/st Standards];Government Regulation;Health Promotion/mt Methods];Health Records, Personal;Humans;Pharmacists/es Ethics];Pharmacists/lj Legislation &amp; Jurisprudence];*Pharmacists;Pharmacogenetics/mt Methods];Precision Medicine;*Professional Practice/st Standards];Professional Practice/td Trends];*Professional Role;*Societies, Pharmaceutical;Substance-Related Disorders;Tobacco Industry/ec Economics];Tobacco Industry/es Ethics];United States</t>
  </si>
  <si>
    <t>J2: J Am Pharm Assoc (2003); ID: 279</t>
  </si>
  <si>
    <t>1544-3450</t>
  </si>
  <si>
    <t>http://ovidsp.ovid.com/ovidweb.cgi?T=JS&amp;CSC=Y&amp;NEWS=N&amp;PAGE=fulltext&amp;D=med5&amp;AN=20621862</t>
  </si>
  <si>
    <t>http://dx.doi.org/10.1331/JAPhA.2010.10525</t>
  </si>
  <si>
    <t>MEDLINE; Ovid Technologies; Report of the 2010 APhA House of Delegates: actions of the legislative body of the American Pharmacists Association</t>
  </si>
  <si>
    <t>Abstracts Thirty-eighth annual meeting American College of Clinical Pharmacology September 13-15, 2009 San Antonio, Texas</t>
  </si>
  <si>
    <t>Journal of clinical pharmacology</t>
  </si>
  <si>
    <t>J.Clin.Pharmacol.</t>
  </si>
  <si>
    <t>1130 40p</t>
  </si>
  <si>
    <t>Antioxidants;Drug Interactions;Drugs -- Pharmacodynamics;Drugs -- Pharmacokinetics;Smoking -- Complications;Adverse Drug Event</t>
  </si>
  <si>
    <t>Entry Date: 20091009. Revision Date: 20150711. Publication Type: Journal Article; abstract. Journal Subset: Biomedical; Peer Reviewed; USA. Special Interest: Public Health. NLM UID: 0366372.; ID: 1804</t>
  </si>
  <si>
    <t>0091-2700</t>
  </si>
  <si>
    <t>http://proxy.lib.umich.edu/login?url=http://search.ebscohost.com/login.aspx?direct=true&amp;db=ccm&amp;AN=105444143&amp;site=ehost-live&amp;scope=site</t>
  </si>
  <si>
    <t>ccm; EBSCOhost; Abstracts Thirty-eighth annual meeting American College of Clinical Pharmacology September 13-15, 2009 San Antonio, Texas</t>
  </si>
  <si>
    <t>In brief</t>
  </si>
  <si>
    <t>Pharmacy News</t>
  </si>
  <si>
    <t>6 2p</t>
  </si>
  <si>
    <t>Antiviral Agents;Awards and Honors;Business;Ephedrine -- Legislation and Jurisprudence;Pharmacy, Retail -- Legislation and Jurisprudence;Prescriptive Authority;Students, Pharmacy;Substance Abuse</t>
  </si>
  <si>
    <t>Entry Date: 20091030. Revision Date: 20150711. Publication Type: Journal Article; brief item. Journal Subset: Biomedical; Continental Europe; Europe.; ID: 1917</t>
  </si>
  <si>
    <t>1448-207X</t>
  </si>
  <si>
    <t>http://proxy.lib.umich.edu/login?url=http://search.ebscohost.com/login.aspx?direct=true&amp;db=ccm&amp;AN=105439661&amp;site=ehost-live&amp;scope=site</t>
  </si>
  <si>
    <t>ccm; EBSCOhost; In brief</t>
  </si>
  <si>
    <t>Pharmacotherapy: integrating new tools into practice: an introduction from AP's editor to the NAADAC Lifelong Learning Series</t>
  </si>
  <si>
    <t>Addiction Professional</t>
  </si>
  <si>
    <t>45 3p</t>
  </si>
  <si>
    <t>Alcoholism -- Therapy;Combined Modality Therapy;Drug Therapy;Education, Continuing (Credit);Support, Psychosocial -- Methods</t>
  </si>
  <si>
    <t>NAADAC, The Association for Addiction Professionals and Fusion Medical Education launch a yearlong series of articles designed to present the latest information on use of medications in alcohol dependence treatment. The first article in this series explores how medication can interact with the process of change in alcohol-dependent patients.</t>
  </si>
  <si>
    <t>Entry Date: 20070727. Revision Date: 20150711. Publication Type: Journal Article; brief item; CEU; exam questions; pictorial. Journal Subset: Biomedical; USA. Special Interest: Psychiatry/Psychology. NLM UID: 101176508.; ID: 1991</t>
  </si>
  <si>
    <t>1542-8435</t>
  </si>
  <si>
    <t>http://proxy.lib.umich.edu/login?url=http://search.ebscohost.com/login.aspx?direct=true&amp;db=ccm&amp;AN=106126087&amp;site=ehost-live&amp;scope=site</t>
  </si>
  <si>
    <t>ccm; EBSCOhost; Pharmacotherapy: integrating new tools into practice: an introduction from AP's editor to the NAADAC Lifelong Learning Series</t>
  </si>
  <si>
    <t>From the literature</t>
  </si>
  <si>
    <t>Journal of Pharmacy Technology</t>
  </si>
  <si>
    <t>235 2p</t>
  </si>
  <si>
    <t>Pharmacy and Pharmacology -- Education;Influenza -- Prevention and Control;Smoking -- Drug Therapy</t>
  </si>
  <si>
    <t>Entry Date: 20080425. Revision Date: 20150711. Publication Type: Journal Article; abstract. Journal Subset: Biomedical; Blind Peer Reviewed; Double Blind Peer Reviewed; Expert Peer Reviewed; Peer Reviewed; USA. Special Interest: Public Health. NLM UID: 8504643.; ID: 1898</t>
  </si>
  <si>
    <t>8755-1225</t>
  </si>
  <si>
    <t>http://proxy.lib.umich.edu/login?url=http://search.ebscohost.com/login.aspx?direct=true&amp;db=ccm&amp;AN=105893875&amp;site=ehost-live&amp;scope=site</t>
  </si>
  <si>
    <t>ccm; EBSCOhost; From the literature</t>
  </si>
  <si>
    <t>ASHP statement on the pharmacist's role in substance abuse prevention, education, and assistance</t>
  </si>
  <si>
    <t>1998 4p</t>
  </si>
  <si>
    <t>Pharmacists;Substance Abuse -- Prevention and Control;Professional Role</t>
  </si>
  <si>
    <t>Entry Date: 20081219. Revision Date: 20150711. Publication Type: Journal Article. Journal Subset: Biomedical; Blind Peer Reviewed; Peer Reviewed; USA. NLM UID: 9503023. PMID: 14531247.; ID: 1830</t>
  </si>
  <si>
    <t>106543745. Corporate Author: American Society of Health-Systems Pharmacists</t>
  </si>
  <si>
    <t>http://proxy.lib.umich.edu/login?url=http://search.ebscohost.com/login.aspx?direct=true&amp;db=ccm&amp;AN=106543745&amp;site=ehost-live&amp;scope=site</t>
  </si>
  <si>
    <t>ccm; EBSCOhost; ASHP statement on the pharmacist's role in substance abuse prevention, education, and assistance</t>
  </si>
  <si>
    <t>Health Education;*Pharmacists/ut Utilization];Professional Impairment;*Professional Role;Societies, Pharmaceutical/st Standards];*Substance-Related Disorders/pc Prevention &amp; Control]</t>
  </si>
  <si>
    <t>J2: Am J Health-Syst Pharm; Comment on: Am J Health Syst Pharm. 2003 Oct 1;60(19):1947; PMID: 14531239; ID: 491</t>
  </si>
  <si>
    <t>http://ovidsp.ovid.com/ovidweb.cgi?T=JS&amp;CSC=Y&amp;NEWS=N&amp;PAGE=fulltext&amp;D=med4&amp;AN=14531247</t>
  </si>
  <si>
    <t>MEDLINE; Ovid Technologies; ASHP statement on the pharmacist's role in substance abuse prevention, education, and assistance</t>
  </si>
  <si>
    <t>1724 4p</t>
  </si>
  <si>
    <t>Health Education -- Trends;Pharmacists;Substance Use Disorders -- Prevention and Control;Professional Organizations;United States</t>
  </si>
  <si>
    <t>Entry Date: 20080215. Revision Date: 20150711. Publication Type: Journal Article. Journal Subset: Biomedical; Blind Peer Reviewed; Peer Reviewed; USA. NLM UID: 9503023. PMID: 9740911.; ID: 1829</t>
  </si>
  <si>
    <t>http://proxy.lib.umich.edu/login?url=http://search.ebscohost.com/login.aspx?direct=true&amp;db=ccm&amp;AN=105972264&amp;site=ehost-live&amp;scope=site</t>
  </si>
  <si>
    <t>*Health Education/td Trends];*Pharmacists;Societies, Pharmaceutical;*Substance-Related Disorders/pc Prevention &amp; Control];United States</t>
  </si>
  <si>
    <t>J2: Am J Health-Syst Pharm; Comment in: Am J Health Syst Pharm. 2000 Apr 15;57(8):768-9; PMID: 10786266; ID: 579</t>
  </si>
  <si>
    <t>http://ovidsp.ovid.com/ovidweb.cgi?T=JS&amp;CSC=Y&amp;NEWS=N&amp;PAGE=fulltext&amp;D=med4&amp;AN=9740911</t>
  </si>
  <si>
    <t>Comprehensive Health Care Program for American Indians &amp; Alaska Natives</t>
  </si>
  <si>
    <t>American Indian Reservations;Delivery Systems;Elementary Secondary Education;Federal Indian Relationship;Health Education;Health Occupations;Health Services;Medical Education;Postsecondary Education;Special Health Problems;Technical Education;Tribes;(Major): Alaska Natives;Allied Health Occupations Education;American Indians;Health Programs;Public Health;Identifier: Indian Health Service</t>
  </si>
  <si>
    <t>This booklet summarizes programs of the Indian Health Service (IHS). The IHS was created in 1954 as part of the Public Health Service when responsibility for American Indian and Alaska Native health care was transferred from the Department of the Interior's Bureau of Indian Affairs to the Department of Health, Education, and Welfare. The goal of the IHS is to raise the health status of American Indians and Alaska Natives to the highest possible level. Since 1955 the average life expectancy for American Indians and Alaska Natives has risen 19%; mortality rate among Indians with tuberculosis has decreased 96%; and infant mortality rates have decreased 85%. These improved health numbers are the result of stronger central program supervision, more qualified staff, and an accelerated public health program, including establishment of public health clinics on all reservations. The booklet describes the following IHS programs: (1) health care programs (preventive health services, emergency medical services, environmental health and engineering services, pharmacy services, contract health services, health education program, community-based programs, alcoholism and substance abuse program, school-based programs, diabetes program, nutrition program, mental health program, community health representative program, dental program, laboratory program); (2) special health concerns and initiatives (AIDS, maternal and child health, otitis media, nursing, aging, health care database management system, physician services); (3) IHS career opportunities and training programs (IHS manpower program, advanced professional and specialty training, Commissioned Officer Student Training and Extern Program); and (4) paraprofessional training (community health aide training, mental health worker training, nutrition and dietetics training, optometric assistant training, dental assistant training). The 12 Area Offices of the IHS health care delivery system are also described. Includes photographs and a national map of IHS health facilities. (TSP)</t>
  </si>
  <si>
    <t>Connect to the Mirlyn catalog at the University of Michigan Photographs may not reproduce adequately. Level: 1; RP: Connect to the Mirlyn catalog at the University of Michigan Photographs may not reproduce adequately. Level: 1; ID: 2116</t>
  </si>
  <si>
    <t>Indian Health Service (PHS/HSA), Rockville, MD</t>
  </si>
  <si>
    <t>ED414114</t>
  </si>
  <si>
    <t>ERIC; OCLC; Comprehensive Health Care Program for American Indians &amp; Alaska Natives</t>
  </si>
  <si>
    <t>Self Care. Preventing Misuse of Medication and Alcohol in an Aging Society. Pharmacists and Prevention Specialists Working Together</t>
  </si>
  <si>
    <t>Community Programs;Health Promotion;Instructional Materials;Outreach Programs;Patient Education;Pharmacology;Program Development;Program Implementation;Records (Forms);(Major): Alcohol Abuse;Alcohol Education;Drug Abuse;Drug Education;Older Adults;Prevention;Identifier: Illinois</t>
  </si>
  <si>
    <t>This manual, which was originally developed to supplement a corresponding continuing education program offered by the Illinois Pharmacy Foundation and Illinois Pharmacists Association, is intended as a resource for pharmacists and other health care professionals who work to prevent alcohol and drug misuse/abuse in older patients. Discussed in sections 1 and 2 are the following aspects of the pharmacology and prevention perspectives on the problem: misuse and abuse of medication, body changes in aging, procedures to follow when misuse/abuse is detected, suggestions for talking to older persons, the Illinois Prevention System, prevention programs and agencies, and services offered by the Prevention Resource Center. Section 3 outlines the steps in developing community outreach programs and presents program ideas and sample programs for pharmacists and prevention specialists. Section 4 contains reprints of 6 published articles on drug and alcohol abuse and a 15-item bibliography. Included in Section 5 are a series of self-care handouts for older adults, fact sheets on drug/alcohol misuse/abuse in older adults, and handouts to assist in conducting a medicine review and counseling older adults. Section 6 contains a clearinghouse order form, patient consent form, and sample presentation agreement. (MN)</t>
  </si>
  <si>
    <t>Connect to the Mirlyn catalog at the University of Michigan Level: 1; RP: Connect to the Mirlyn catalog at the University of Michigan Level: 1; ID: 2085</t>
  </si>
  <si>
    <t>Illinois State Dept. on Aging, Springfield</t>
  </si>
  <si>
    <t>ED363780</t>
  </si>
  <si>
    <t>ERIC; OCLC; Self Care. Preventing Misuse of Medication and Alcohol in an Aging Society. Pharmacists and Prevention Specialists Working Together</t>
  </si>
  <si>
    <t>Seventh Report to the President and Congress on the Status of Health Personnel in the United States</t>
  </si>
  <si>
    <t>Adults;Allied Health Occupations Education;Dental Hygienists;Dental Schools;Dental Students;Dentists;Labor Supply;Medical Schools;Medical Services;Nurses;Nursing Education;Optometrists;Pharmaceutical Education;Pharmacists;Physicians;Physicians Assistants;Podiatry;Postsecondary Education;Public Health;Veterinarians;(Major): Employment Projections;Health Occupations;Labor Needs;Medical Education;Occupational Information;Identifier: Chiropractors</t>
  </si>
  <si>
    <t>This document provides selected information on characteristics of health personnel disciplines, students preparing for these disciplines, their schools, projections of the personnel supply in each discipline to the year 2020, and discussions of whether the U.S. requirements for health personnel are likely to be met. Following an introduction, chapter 2 provides an overview of major personnel developments, including trends in education and training, the current supply of health care personnel, issues affecting health personnel, and health personnel in the coming years. Current and emerging health issues and personnel issues are covered in chapters 3 and 4. Among the health issues covered are an aging population, infant mortality, human immune deficiency virus, acquired immunodeficiency syndrome, substance abuse, access to health care, a changing health delivery system, and quality assurance and effectiveness in medical practice. The personnel issues addressed include declining applicants and enrollments, the shortage of nurses, primary health care concerns, concerns regarding allied health and public health labor supply, personnel for health care in geriatrics, and underrepresented minorities in the health professions. Chapter 5 discusses the data and methodology used to produce this report. The next 11 chapters provide information on physicians, dental personnel, nursing personnel, public health personnel, allied health personnel, optometrists, pharmacists, podiatrists, veterinarians, chiropractors, and physician assistants. The document contains reference lists that follow each chapter, 95 tables, and 75 figures. (CML)</t>
  </si>
  <si>
    <t>Connect to the Mirlyn catalog at the University of Michigan Report: DHHS-HRS-P-OD-90-1 Level: 1; RP: Connect to the Mirlyn catalog at the University of Michigan Report: DHHS-HRS-P-OD-90-1 Level: 1; ID: 2098</t>
  </si>
  <si>
    <t>Health Resources and Services Administration (DHHS/PHS), Rockville, MD. Bureau of Health Professions</t>
  </si>
  <si>
    <t>ED319999</t>
  </si>
  <si>
    <t>ERIC; OCLC; Seventh Report to the President and Congress on the Status of Health Personnel in the United States</t>
  </si>
  <si>
    <t>'Dear Dr. Paul'--alcoholic student's plight</t>
  </si>
  <si>
    <t>American Pharmacy</t>
  </si>
  <si>
    <t>Am.Pharm.</t>
  </si>
  <si>
    <t>Jul</t>
  </si>
  <si>
    <t>NS22</t>
  </si>
  <si>
    <t>*Alcoholism;Humans;Male;*Students, Pharmacy;*Substance-Related Disorders</t>
  </si>
  <si>
    <t>J2: Am Pharm; ID: 712</t>
  </si>
  <si>
    <t>0160-3450</t>
  </si>
  <si>
    <t>http://ovidsp.ovid.com/ovidweb.cgi?T=JS&amp;CSC=Y&amp;NEWS=N&amp;PAGE=fulltext&amp;D=med2&amp;AN=7113915</t>
  </si>
  <si>
    <t>MEDLINE; Ovid Technologies; 'Dear Dr. Paul'--alcoholic student's plight</t>
  </si>
  <si>
    <t>Hearing Before the Subcommittee on Select Education of the Committee on Education and Labor, House of Representatives, Ninety-Fifth Congress, Second Session. Extension of the Alcohol and Drug Abuse Education Act</t>
  </si>
  <si>
    <t>Drug Legislation;Federal Legislation;Federal Regulation;Hearings;Pharmaceutical Education;(Major): Alcohol Education;Drug Education;Educational Legislation;Prevention</t>
  </si>
  <si>
    <t>The hearing before the Subcommittee on Select Education of the Committee on Education and Labor focuses upon the proposed extension of the Alcohol and Drug Abuse Education Act. Testimony is heard from professors, principals, superintendents, and other professionals involved in the field of substance abuse education. The act itself and applicable regulations issued by the Department of Health, Education, and Welfare are included. (KA)</t>
  </si>
  <si>
    <t>Connect to the Mirlyn catalog at the University of Michigan Not available in hard copy due to marginal legibil Level: 2; RP: Connect to the Mirlyn catalog at the University of Michigan Not available in hard copy due to marginal legibil Level: 2; ID: 2093</t>
  </si>
  <si>
    <t>Congress of the U.S., Washington, DC. House</t>
  </si>
  <si>
    <t>ED163340</t>
  </si>
  <si>
    <t>ERIC; OCLC; Hearing Before the Subcommittee on Select Education of the Committee on Education and Labor, House of Representatives, Ninety-Fifth Congress, Second Session. Extension of the Alcohol and Drug Abuse Education Act</t>
  </si>
  <si>
    <t>Biomedical Science, Unit IV: The Nervous System in Health and Medicine. The Nervous System; Disorders of the Brain and Nervous System; Application of Computer Science to Diagnosis; Drugs and Pharmacology; The Human Senses; Electricity. Instructor's Manual. Revised Version, 1976</t>
  </si>
  <si>
    <t>Anatomy;Biology;Computer Programs;Drug Education;Health;Higher Education;Neurological Organization;Neurology;Physiology;Secondary Education;Teaching Guides;(Major): Brain;Curriculum Guides;Health Education;Lesson Plans;Science Education;Identifier: Nervous System</t>
  </si>
  <si>
    <t>This volume contains the lesson plans and appropriate teacher background material for a 37-lesson sequence on the nervous system in health and medicine. Additional material is provided for supplementary lessons on concepts of electricity. Associated material, contained in separate volumes, include a student text and a student laboratory manual. Each lesson outline includes a rationale, objectives, sequence of student text lessons and laboratory activities, suggestions, teaching notes, materials (where appropriate), and anticipated results. (RE)</t>
  </si>
  <si>
    <t>Connect to the Mirlyn catalog at the University of Michigan For related documents, see SE 027 978-999 and SE 0; Associated Inst: National Science Foundation, Washington, DC. Level: 2; RP: Connect to the Mirlyn catalog at the University of Michigan For related documents, see SE 027 978-999 and SE 0; Associated Inst: National Science Foundation, Washington, DC. Level: 2; ID: 2094</t>
  </si>
  <si>
    <t>Biomedical Interdisciplinary Curriculum Project, Berkeley, CA</t>
  </si>
  <si>
    <t>ED174415</t>
  </si>
  <si>
    <t>ERIC; OCLC; Biomedical Science, Unit IV: The Nervous System in Health and Medicine. The Nervous System; Disorders of the Brain and Nervous System; Application of Computer Science to Diagnosis; Drugs and Pharmacology; The Human Senses; Electricit(TRUNCATED)</t>
  </si>
  <si>
    <t>Biomedical Science, Unit IV: The Nervous System in Health and Medicine. The Nervous System; Disorders of the Brain and Nervous System; Application of Computer Science to Diagnosis; Drugs and Pharmacology; The Human Senses; Electricity. Student Text. Revised Version, 1976</t>
  </si>
  <si>
    <t>Computer Programs;Drug Education;Electricity;Health;Health Education;Higher Education;Mathematics Education;Neurological Organization;Pathology;Physical Sciences;Secondary Education;(Major): Anatomy;Biology;Brain;Medicine;Neurology;Physiology;Science Education</t>
  </si>
  <si>
    <t>This unit consists of four sequences. The first considers the brain, the nervous system, and disorders of the brain. The second sequence deals with applications of the computer in diagnosis of brain disorders along with mathematical and statistical principles used in health applications. The third sequence is concerned with drugs and their effects on the nervous system. The final sequence deals with senses, primarily sight and hearing. The properties of light and sound of medical importance are considered. Supplementary lessons on concepts of electricity are provided. (Author/RE)</t>
  </si>
  <si>
    <t>Connect to the Mirlyn catalog at the University of Michigan For related documents, see SE 027 978-999 and SE 0; Associated Inst: National Science Foundation, Washington, DC. Level: 2; RP: Connect to the Mirlyn catalog at the University of Michigan For related documents, see SE 027 978-999 and SE 0; Associated Inst: National Science Foundation, Washington, DC. Level: 2; ID: 2095</t>
  </si>
  <si>
    <t>ED174414</t>
  </si>
  <si>
    <t>Pharmacy Specialist, 10-8. Military Curriculum Materials for Vocational and Technical Education</t>
  </si>
  <si>
    <t>Behavioral Objectives;Course Descriptions;Curriculum Guides;Drug Abuse;Drug Therapy;Learning Activities;Lesson Plans;Pharmacists;Postsecondary Education;Programed Instructional Materials;Textbooks;Workbooks;(Major): Drug Use;Pharmaceutical Education;Pharmacology;Pharmacy;Identifier: Military Curriculum Project</t>
  </si>
  <si>
    <t>These teacher and student materials for a postsecondary-level course in pharmacy comprise one of a number of military-developed curriculum packages selected for adaptation to vocational instruction and curriculum development in a civilian setting. The purpose stated for the 256-hour course is to train students in the basic technical phases of pharmacy and the minimum essential knowledge and skills necessary for the compounding and dispensing of drugs, the economical operation of a pharmacy, and the proper use of drugs, chemicals, and biological products. The course consists of three blocks of instruction. Block I contains four lessons: pharmaceutical calculations I and laboratory, inorganic chemistry, and organic chemistry. The five lessons in Block II cover anatomy and physiology, introduction to pharmacology, toxicology, drug abuse, and pharmaceutical and medicinal agents. Block III provides five lessons: pharmaceutical calculations I and II, techniques of pharmaceutical compounding, pharmaceutical dosage forms, and compounding laboratory. Instructor materials include a course chart, lesson plans, and a plan of instruction detailing instructional units, criterion objectives, lesson duration, and support materials needed. Student materials are eight study guides or workbooks with exercises and problems, three programed tests, and seven handouts. Suggested audiovisual aids are not provided. (YLB)</t>
  </si>
  <si>
    <t>Connect to the Mirlyn catalog at the University of Michigan Some pages are marginally legible.; Associated Inst: Office of Education (DHEW), Washington, DC. Level: 1; RP: Connect to the Mirlyn catalog at the University of Michigan Some pages are marginally legible.; Associated Inst: Office of Education (DHEW), Washington, DC. Level: 1; ID: 2099</t>
  </si>
  <si>
    <t>Ohio State Univ., Columbus. National Center for Research in Vocational Education</t>
  </si>
  <si>
    <t>ED227273</t>
  </si>
  <si>
    <t>ERIC; OCLC; Pharmacy Specialist, 10-8. Military Curriculum Materials for Vocational and Technical Education</t>
  </si>
  <si>
    <t>Drug abuse education--a challenge</t>
  </si>
  <si>
    <t>Journal of the American Pharmaceutical Association</t>
  </si>
  <si>
    <t>J.Am.Pharm.Assoc.</t>
  </si>
  <si>
    <t>Feb</t>
  </si>
  <si>
    <t>Education;Humans;Pharmacists;Students, Pharmacy;*Substance-Related Disorders</t>
  </si>
  <si>
    <t>J2: J Am Pharm Assoc; ID: 742</t>
  </si>
  <si>
    <t>0003-0465</t>
  </si>
  <si>
    <t>http://ovidsp.ovid.com/ovidweb.cgi?T=JS&amp;CSC=Y&amp;NEWS=N&amp;PAGE=fulltext&amp;D=med1&amp;AN=5102205</t>
  </si>
  <si>
    <t>MEDLINE; Ovid Technologies; Drug abuse education--a challenge</t>
  </si>
  <si>
    <t>The pharmacist and drug abuse education</t>
  </si>
  <si>
    <t>Dec</t>
  </si>
  <si>
    <t>Humans;Pharmacists;*Substance-Related Disorders</t>
  </si>
  <si>
    <t>J2: J Am Pharm Assoc; ID: 743</t>
  </si>
  <si>
    <t>http://ovidsp.ovid.com/ovidweb.cgi?T=JS&amp;CSC=Y&amp;NEWS=N&amp;PAGE=fulltext&amp;D=med1&amp;AN=5530855</t>
  </si>
  <si>
    <t>MEDLINE; Ovid Technologies; The pharmacist and drug abuse education</t>
  </si>
  <si>
    <t>7th Panhellenic Congress of Pharmacology AUTHOR ADDRESSES SOURCE Hippokratia (2012) 16 Suppl 1 (6). Date of Publication: Jun 2012</t>
  </si>
  <si>
    <t>alcohol;alternative complement pathway C3 C5 convertase;anticoagulant agent;antidepressant agent;antigen;antioxidant;arsenic trioxide;bevacizumab;biological marker;bone morphogenetic protein 2;brain derived neurotrophic factor;caffeine;carnitine;catechol methyltransferase;cholesterol ester transfer protein;choline;cigarette smoke;clopidogrel;coumarin derivative;crocin;decorin;delta opiate receptor;dopamine receptor;estrogen;ghrelin;glucose transporter 4;glutamic acid;growth hormone releasing factor;high density lipoprotein;hormone receptor;inosine;interleukin 6;lipoprotein lipase;marker;n ethyl 3,4 methylenedioxyamphetamine;opiate receptor;oseltamivir;perlecan;peroxisome proliferator activated receptor;pregabalin;propofol;proteoglycan;receptor subtype;RGS protein;sibutramine;STAT5b protein;transforming growth factor;triacylglycerol lipase;versican;pharmacology;adult;agonist;artery muscle;arthritis;behavior;blood;blood level;bone density;brain;breast cancer;case control study;computer model;conjunctiva epithelium;diabetes mellitus;diet;DNA polymorphism;drug potency;drug therapy;endothelium cell;energy drink;enzyme polymorphism;eosinophil;excitotoxicity;exposure;female;gene;gene expression;gonad;Greece;haplotype;high performance liquid chromatography;high throughput screening;human;hypertension;immobilization stress;in vitro study;influenza;lichen sclerosus et atrophicus;lipid blood level;liver;lung;lymphocyte culture;male;membrane;neck pain;nerve crush;nerve degeneration;nerve fiber growth;neurotransmission;newborn;normal human;nutritional deficiency;parameters;patient;PC12 cell line;population;prevalence;promyelocytic leukemia;prophylaxis;prostate cancer;pulmonary hypertension;rabbit;rat;risk;saliva;schizophrenia;sciatic nerve;serum;single nucleotide polymorphism;smooth muscle fiber;student;sunlight;surgical patient;therapy;tobacco dependence;ulcerogenesis;university;university hospital;urinalysis;vitamin deficiency;weapon</t>
  </si>
  <si>
    <t>The proceedings contain 43 papers. The special focus in this conference is on Pharmacology. The topics include: Effect of transforming growth factor B and bone morphogenetic protein 2 on proteoglycan expression by human primary pulmonary arterial smooth muscle cells; idiopathic arterial pulmonary hypertension is associated with differential expression of the proteoglycans versican, decorin and perlecan in the lung; MDEA: in vitro study of the effect on human genetic material; cytogenetic behaviour of crocin on leukemic cultured lymphocytes; in silico virtual high-throughput screening approach in profiling the drug potency of various saffron bioactive constituents; distribution of the inosine triphosphatase (ITPA) 94C&gt;T and IVS2+21A&gt;C gene polymorphisms in the Greek population; an assessment of the percentage of patients at possible risk for clopidogrel non-responsiveness, based on the prevalence of CYP2C19*2 and ABCB1 C3435T gene polymorphisms in the Greek population; incidence of single nucleotide polymorphisms in the ADH1B, ADH4, ADH1C, OPRM1, DRD2, BDNF and ALDH2 genes in the general population and correlation to alcohol and nicotine dependence; the role of the multicancer marker RS6983267 in cigarette smoke exposed patients with prostate cancer; in vivo evaluation of CYP1A2 activity in Greek healthy volunteers by the RP-HPLC quantification of caffeine metabolic ratios in saliva and urine samples; medications as a social good. cost/ effect. experience with the use of generics in aretaieio university hospital, Athens Greece; restraint stress techniques and ulcerogenicity in rats; evaluation of the anti-ulcerogenic activity of pregabalin in rats; estrogens derived from the gonads and the brain mediate behavioral responses during a test of antidepressant response; the effects of sibutramine on serum ghrelin isoforms and paraventricular nucleus NPY concentrations in rats under three isocaloric diets; choline deficiency modulates myocardial autonomic neurotransmission in the rat: the effect of carnitine; influence of choline deficient diet on the expression of GLUT-4 in the liver of STZ-induced diabetic rats; pharmacogenomic analysis of the atheroprotective role of APOE3 containing HDL in human endothelial cells; activation of the Œì√™√•-opioid receptor leads to differentiation and neurite outgrowth via a STAT5B-GAI/O signaling pathway; interactions of two members of the B/R4 subfamily of the regulators of G protein signaling with KAPPA and delta opioid receptors differentially modulate their signaling; structure-function analysis of the third membrane-spanning segment of CRF1; pharmacological approaches of excitotoxic neurodegeneration; glutamate excitotoxicity upregulates GRP75 and GRP78 gene expression in PC12 cells; D(2) -dopaminergic receptor linked pathways hold critical role in CYP regulation; ploglitazone does not affect bone mineral density in strep-tozocin-induced diabetic rats; amelioration of antigen induced arthritis by bevacizumab; acute exposure to artificial sunlight induces the accumulation of eosinophils in rabbit conjunctival epithelium, in vivo; new synthetic coumarin derivatives with potent anti-inflammatory, hypocholesterolemic and antithrombotic activity; changes in blood parameters after administration of a new synthesized-inflammatory antioxidant agent in adult rats after sciatic nerve crush; consumption of energy drinks by students AristotleŒì√á√ñs university of Thessaloniki. field research; pharmaceutical treatment of genital lichen sclerosus- a review; PPAR‚ï¨‚ñí/‚ï¨‚îÇ agonists: a novel approach to anti-diabetic therapy; arsenic trioxide. a modern Œì√á√øWeaponŒì√á√ñ from the past against acute promyelocytic leukemia; influenza H1N1 prophylaxis for exposed neonates using oseltamivir; visual analog scoresŒì√á√ñ dependency from IL-6 and CRP in thorasic surgical patients; neck painŒì√á√ñs associations to stress biomarkers; growth-hormone-releasing hormone receptor subtypes in breast cancer; phenotypic and genotypic analysis of CYP1A2 in the Greek population; propofol blood levels and the CYP2B6 516G&gt;T gene polymorphism in Greek women; association of common polymorphisms of the endothelial lipase (LIPG), the cholesteryl ester transfer protein (CETP) and the lipoprotein lipase (LPL) genes with plasma lipids, in dyslipidaemic and normolipidaemic Greeks; prevalence of polymorphisms: AŒì√•√ÜG (RS 4420638), CŒì√•√ÜT (RS 7412) and TŒì√•√ÜC (RS 429358), AŒì√•√ÜG (RS 157581), GŒì√•√ÜC (RS 3745833) of APOC1, APOE, TOMM40 and GALP genes, respectively, associated with AlzheimerŒì√á√ñs disease, in a sample of Greek population; haplotype evaluation of catechol-o-methyltransferase Enzyme Polymorphisms in Schizophrenia. A Case-Control Study in a Greek Population and Prevalence of the Insertion/Deletion (I/D) polymorphism of the ACE gene and the GLU298ASP polymorphism of the ENOS gene in a population of Greek patients with or without hypertension.</t>
  </si>
  <si>
    <t>7th Panhellenic Congress of Pharmacology Thessaloniki, Greece 2012-05-18 to 2012-05-20 Hippokratio General Hospital of Thessaloniki; ID: 1145</t>
  </si>
  <si>
    <t>1108-4189 1790-8019 (electronic)</t>
  </si>
  <si>
    <t>‚î¨√∫50K grants for education research AUTHOR ADDRESSES SOURCE Pharmaceutical Journal (2005) 275:7371 (495-496). Date of Publication: 15 Oct 2005</t>
  </si>
  <si>
    <t>bisoprolol (drug dose);bumetanide (drug dose);codeine;financial management;medical education;pharmacy;professional practice;alcoholism;compensation;conference paper;drug dose regimen;drug labeling;drunken driving;feasibility study;good clinical practice;human;information dissemination;learning;legal aspect;licence;medical ethics;medical society;medication error;national health service;online system;paramedical personnel;politics;prescription;professional standard;punishment;quality control;registration;research;bisoprolol (66722-44-9);bumetanide (28395-03-1);codeine (76-57-3);Public Health, Social Medicine and Epidemiology (17);Drug Literature Index (37);Forensic Science Abstracts (49)</t>
  </si>
  <si>
    <t>ID: 1538</t>
  </si>
  <si>
    <t>0031-6873</t>
  </si>
  <si>
    <t>Abstracts of the Dutch Society of Clinical Pharmacology and Biopharmacy Meeting 2013 AUTHOR ADDRESSES SOURCE British Journal of Clinical Pharmacology (2014) 78:4. Date of Publication: October 2014</t>
  </si>
  <si>
    <t>dopamine;metabotropic receptor 5;clinical pharmacology;society;agonist;anxiety;cardiology;circadian rhythm;clinical trial;clinical trial (topic);drug therapy;human;male;outpatient;patient;pharmacology;pharmacy student;phase 1 clinical trial;risk factor;skill;visual analog scale</t>
  </si>
  <si>
    <t>The proceedings contain 19 papers. The topics discussed include: dopamine d2 agonist induced cardiovascular changes in young healthy men. a phase I clinical trial experience; metabotropic glutamate receptor 5 modulators in phase i clinical trials. Do circadian rhythms impact the PK/PD relationship?; the number of included older people in pre-authorization trials - an evaluation of twelve recently registered medicines; depression and anxiety as risk factors of medication non-adherence; stability analysis of clustering of Norris' visual analog scale; the effectiveness of a medication review on the number of drug related problems in outpatient cardiology patients: a randomized clinical trial; and a comparison on medical and pharmacy students' knowledge and skills on pharmacology and pharmacotherapy after graduating their bachelor's degree.</t>
  </si>
  <si>
    <t>Dutch Society of Clinical Pharmacology and Biopharmacy Meeting 2013 2013-03-26 to 2013-03-26 Blackwell Publishing Ltd; ID: 888</t>
  </si>
  <si>
    <t>0306-5251</t>
  </si>
  <si>
    <t>Abstracts of the Royal Pharmaceutical Society, RPS Annual Conference 2012 AUTHOR ADDRESSES SOURCE International Journal of Pharmacy Practice (2012) 20 SUPPL. 2. Date of Publication: October 2012</t>
  </si>
  <si>
    <t>antibiotic agent;health care organization;Asia;Asian;community;decision making;hospital admission;human;interpersonal communication;landscape;manager;nausea and vomiting;neoplasm;nursing home;oncology;osteoporosis;palliative therapy;patient;pharmacist;pharmacy;pharmacy technician;public health;systematic review;systematic review (topic);technology;United Kingdom</t>
  </si>
  <si>
    <t>The proceedings contain 108 papers. The topics discussed include: implications of preventable medicines related hospital admission: older patients' perspective; improving drug-related problems in oncology through technology: preferences of Asian patients with cancer; teach back - a useful communication tool for pharmacists and pharmacy technicians?; enhancing pharmacists' clinical management of nausea and vomiting in patients with cancer through a new SMS-based pathway in Asia; how do patients with osteoporosis make sense of the local decision making process for the development of osteoporosis management guidelines?; exploring nursing home managers' attitudes and beliefs towards end of life and palliative care for residents; distribution of community pharmacies and deprivation in Wales; public health: is community pharmacy ready for a new commissioning landscape; and an international systematic review to assess interventions aimed at optimising antibiotic prescribing practices.</t>
  </si>
  <si>
    <t>Royal Pharmaceutical Society, RPS Annual Conference 2012 Birmingham, United Kingdom 2012-09-09 to 2012-09-10 Pharmaceutical Press; ID: 1115</t>
  </si>
  <si>
    <t>0961-7671</t>
  </si>
  <si>
    <t>Abstracts PCNE Working Symposium 2014 AUTHOR ADDRESSES SOURCE International Journal of Clinical Pharmacy (2014) 36:4. Date of Publication: August 2014</t>
  </si>
  <si>
    <t>benzodiazepine derivative;corticosteroid;methotrexate;aged;chronic disease;classification;computerized provider order entry;dementia;drug therapy;geriatric patient;health center;human;inappropriate prescribing;insomnia;model;Netherlands;patient;pharmaceutical care;pharmacist;physician;population;prevalence;respiratory tract infection;rheumatoid arthritis;rheumatology;student;teaching hospital</t>
  </si>
  <si>
    <t>The proceedings contain 27 papers. The topics discussed include: omission impossible: a snapshot of medication dose omissions in an Australian teaching hospital; prescribing of benzodiazepines for insomnia and behavioural and psychological symptoms of dementia in residential aged care facilities; drug relation problems in polish patients with chronic illness; home medicines review in the elderly; prevalence of inappropriate prescribing of inhaled corticosteroids for respiratory tract infections in the Netherlands; evaluation of a Danish pharmacist student-physician medication review collaboration model; pharmacist involvement to decrease drug related problem (DRP) among geriatric patients in Indonesian primary health centres; development of shared care guidelines in rheumatology; evolution of pharmaceutical care definitions: the PCNE definition 2013; potential DRP related to computerized physician order entry: an updating of DRP classifications needed; and identification of pharmaceutical care needs for a sample population of rheumatoid arthritis patients on methotrexate.</t>
  </si>
  <si>
    <t>PCNE Working Symposium 2014 Sliema, Malta 2014-03-14 to 2014-03-15 Kluwer Academic Publishers; ID: 897</t>
  </si>
  <si>
    <t>2210-7703</t>
  </si>
  <si>
    <t>Abstracts: 10th ISoP Annual Meeting 'Pharmacovigilance in the Global Village' AUTHOR ADDRESSES SOURCE Drug Safety (2010) 33:10. Date of Publication: 2010</t>
  </si>
  <si>
    <t>aripiprazole;ivabradine;strontium ranelate;drug surveillance program;society;adverse drug reaction;case study;community;drug interaction;hospital admission;Malaysia;methodology;monitoring;off label drug use;patient;pharmacist;pharmacoepidemiology;pharmacy student;population;prescription;public-private partnership;risk management;study design;swine influenza;vaccination</t>
  </si>
  <si>
    <t>The proceedings contain 153 papers. The topics discussed include: attitude, perception and barriers towards adverse drug reaction reporting among community pharmacists in Malaysia; drug-drug interactions: an under-estimated problem; drug-related hospital admissions; the PROTECT project: an innovative public-private partnership for new methodologies in pharmacovigilance and pharmacoepidemiology; assessment of knowledge and perceptions of senior pharmacy students towards pharmacovigilance activities in Malaysia; strontium ranelate utilization from prescription-event monitoring (PEM): focus on 'off label' and special populations use in support of risk management; analysis of aripiprazole utilization from prescription-event monitoring (PEM): focus on off-label use; interim results of a modified prescription-event monitoring study on ivabradine: case series of utilization in patients &lt;40 years; and pilot swine flu vaccination active surveillance study: design and rationale.</t>
  </si>
  <si>
    <t>10th Annual Meeting of the International Society of Pharmacovigilance, ISoP 'Pharmacovigilance in the Global Village' Accra, Ghana 2010-11-03 to 2010-11-06 Adis International Ltd; ID: 1335</t>
  </si>
  <si>
    <t>0114-5916</t>
  </si>
  <si>
    <t>Abstracts: 2013 American College of Clinical Pharmacology Annual Meeting AUTHOR ADDRESSES SOURCE Clinical Pharmacology in Drug Development (2013) 2 SUPPL. 1. Date of Publication: October 2013</t>
  </si>
  <si>
    <t>aripiprazole;cocaine;fasiglifam;insulin;pravastatin;propranolol;selexipag;simvastatin;warfarin;clinical pharmacology;college;adult;algorithm;Caucasian;hospitalization;human;Japanese (people);liver function test;low fat diet;male;non insulin dependent diabetes mellitus;normal human;patient;pharmacokinetics;safety;schizophrenia;titrimetry;volunteer;withdrawal syndrome</t>
  </si>
  <si>
    <t>The proceedings contain 124 papers. The topics discussed include: evaluation of blockade of reconsolidation of cocaine-craving responses by propranolol; safety and tolerability of aripiprazole once-monthly in adults with schizophrenia stabilized on atypical oral antipsychotics other than aripiprazole; comparison of three titration algorithms for initiation of basal insulin in patients with type 2 diabetes mellitus; individual and regional variability of postprandial hyperglycemic patterns; the influence of a low-fat diet and hospitalization on liver function tests in healthy Japanese and Caucasian male volunteers resident in a phase I unit for up to 34 days; investigation of potential pharmacodynamic and pharmacokinetic interactions between selexipag and warfarin in healthy male subjects; and pharmacokinetics of fasiglifam (TAK-875), simvastatin and pravastatin following co-administration in healthy subjects.</t>
  </si>
  <si>
    <t>2013 American College of Clinical Pharmacology Annual Meeting Bethesda, MD, United States 2013-09-22 to 2013-09-24 SAGE Publications Inc.; ID: 989</t>
  </si>
  <si>
    <t>2160-763X</t>
  </si>
  <si>
    <t>CSHP Professional Practice Conference 2010 AUTHOR ADDRESSES SOURCE Canadian Journal of Hospital Pharmacy (2010) 63:1. Date of Publication: 2010</t>
  </si>
  <si>
    <t>analgesic agent;fluconazole;tenofovir;vancomycin;ziprasidone;professional practice;anticoagulation;burn patient;Canada;cryptococcal meningitis;documentation;drug therapy;health science;hospital;human;medical record review;monitoring;nephrotoxicity;observational study;pharmaceutical care;pharmacy;serotonin syndrome;systematic review;systematic review (topic);teaching;treatment failure;United Kingdom</t>
  </si>
  <si>
    <t>The proceedings contain 44 papers. The topics discussed include: determination of initial vancomycin dosing recommendations in burn patients-retrospective chart review; teaching residents to teach: development of a teaching rotation for a pharmacy practice residency; analysis of medication incidents in Ontario; pharmaceutical care urgency framework: development of a teaching tool; monitoring and documentation of outcomes from targeted medication interventions: implementation using the electronic documentation system; description of drug therapy problems and anticoagulation outcomes in a multidisciplinary anticoagulation clinic; ziprasidone and analgesic-induced serotonin syndrome; fluconazole treatment failure in cryptococcal meningitis Bonnie Thieu, Edward Ralph, Zafar Hussain, Anne Marie Bombassaro London health sciences; and nephrotoxicity associated with tenofovir: a systematic review of observational studies.</t>
  </si>
  <si>
    <t>CSHP Professional Practice Conference 2010 Toronto, ON, Canada 2010-01-30 to 2010-02-03 Canadian Society of Hospital Pharmacists; ID: 1399</t>
  </si>
  <si>
    <t>French, English</t>
  </si>
  <si>
    <t>Feedback wanted on e-learning pack AUTHOR ADDRESSES SOURCE Pharmaceutical Journal (2003) 271:7264 (258). Date of Publication: 30 Aug 2003</t>
  </si>
  <si>
    <t>drug;opiate;pharmacy;postgraduate education;education program;Internet;note;online system;opiate addiction;pharmacist;publishing;United Kingdom;opiate (53663-61-9, 8002-76-4, 8008-60-4);Public Health, Social Medicine and Epidemiology (17);Drug Literature Index (37);Drug Dependence, Alcohol Abuse and Alcoholism (40)</t>
  </si>
  <si>
    <t>ID: 1586</t>
  </si>
  <si>
    <t>Funding announced for pharmacists to undertake management of drug misuse training AUTHOR ADDRESSES SOURCE Pharmaceutical Journal (2005) 275:7370 (435). Date of Publication: 8 Oct 2005</t>
  </si>
  <si>
    <t>methadone (drug therapy);drug misuse (drug therapy);financial management;medical education;pharmacy;general practitioner;health care organization;human;note;opiate addiction (drug therapy);pharmacist;practice guideline;primary health care;professional practice;United Kingdom;methadone (1095-90-5, 125-56-4, 23142-53-2, 297-88-1, 76-99-3);Public Health, Social Medicine and Epidemiology (17);Drug Literature Index (37);Drug Dependence, Alcohol Abuse and Alcoholism (40)</t>
  </si>
  <si>
    <t>ID: 1539</t>
  </si>
  <si>
    <t>Moss unveils Dundee pharmacy with focus on delivering health promotion AUTHOR ADDRESSES SOURCE Pharmaceutical Journal (2002) 269:7212 (240). Date of Publication: 24 Aug 2002</t>
  </si>
  <si>
    <t>health promotion;pharmacy;blood glucose monitoring;blood pressure monitoring;computer;consultation;diagnostic test;drug dependence;financial management;health care need;health care personnel;health service;medical information;national health service;note;pharmacist;privacy;public health service;smoking cessation;United Kingdom;Public Health, Social Medicine and Epidemiology (17)</t>
  </si>
  <si>
    <t>ID: 1605</t>
  </si>
  <si>
    <t>‚îú√ªzl‚îú‚ïù,T.;‚îú√ªztuna,F.;Er,M.;Aydin,L. Y.;Uysal,A.;Sengezer,T.;‚îú√ßetinkaya,P. D.;Yasar,Z.;Sarioglu,N.;Author,Addresses;Correspondence,Address;‚îú√ªzl‚îú‚ïù,T.</t>
  </si>
  <si>
    <t>Results of Turkish smoking cessation polyclinics data's analysis (TUSPA study)</t>
  </si>
  <si>
    <t>European Respiratory Journal</t>
  </si>
  <si>
    <t>46 SUPPL. 59.</t>
  </si>
  <si>
    <t>nicotine;data analysis;European;outpatient department;smoking cessation;society;diseases;drug therapy;education;employment;female;high risk population;human;income;male;patient;retrospective study;risk factor;smoke;smoking;tobacco dependence;university;withdrawal syndrome</t>
  </si>
  <si>
    <t>Aim: The aim of this multicentric, retrospective study is to establish smoking cessation success and the factors associated with these in Turkey. Methods: This study was attended by 26 Smoking Cessation Polyclinics from different regions of Turkey and received 4497 patients (2748 male and 1749 female), retrospectively. Results: The reason of patient's initiation of smoking was inclination to imitate in 45.2% cases. Smoking Cessation Polyclinics' patients were predominantly university graduated (56.3%), high-very high nicotine dependent (56.5%), income-generating employed (67.2%), with comorbid disease (66.9%). Ratio of patients, who have adherence to planned polyclinics visit was 36.2%. The ratio of patients, who had received pharmacotherapy was 56.8%. High education level was 58.6 %, level of high-very high nicotine dependence was 59.1 %, ratio of regular control was 56.1%, ratio of pharmacotherapy was 74.6%, ratio of had income-generating employment was 71%.1 in trying to quit groups (p&lt;0.005). The success rates in patients at the end of the first month, third, sixth and twelfth were 53.5%, 43.3%, 37.4% and %31.3 respectively. Success rates were not different between men and women (Log Rank p=0.187). We observed that appearance of nicotine withdrawal symptoms, existing comorbid diseases and high level of nicotine dependence were independent risk factors for restart smoking. Also, advanced age, pharmacotherapy use, environmental support and regular control were independent risk factors for smoke free time. Conclusions: Highly dependent patients is a risk groups for restart smoking, therefor pharmacotherapy should be carefully planned and followed up.</t>
  </si>
  <si>
    <t>(‚îú√ªzl‚îú‚ïù T.; ‚îú√ªztuna F.; Er M.; Aydin L.Y.; Uysal A.; Sengezer T.; ‚îú√ßetinkaya P.D.; Yasar Z.; Sarioglu N.) European Respiratory Society Annual Congress 2015 Amsterdam, Netherlands 2015-09-26 to 2015-09-30 European Respiratory Society; ID: 810</t>
  </si>
  <si>
    <t>0903-1936</t>
  </si>
  <si>
    <t>Abad,A. N. A.;Nouri,M. H. K.;Tavakkoli,F.;Author,Addresses;Young Researchers,Club;Tabriz Branch, Islamic Azad University,Tabriz Iran;Department of,Pharmacology;Toxicology,Faculty of;Veterinary Medicine, Tabriz Branch Islamic Azad University,Tabriz Iran;Correspondence,Address;ANA Abad, Young Researchers Club Tabriz Branch Islamic,Azad University;Tabriz,Iran Email ali namvaran gmail com</t>
  </si>
  <si>
    <t>Effect of Salvia officinalis hydroalcoholic extract on vincristine-induced neuropathy in mice</t>
  </si>
  <si>
    <t>Chinese Journal of Natural Medicines</t>
  </si>
  <si>
    <t>September</t>
  </si>
  <si>
    <t>(MAJOR FOCUS);Salvia officinalis extract (drug combination, drug comparison, drug therapy,;intraperitoneal drug administration, pharmacology);alcohol (drug therapy);formaldehyde;morphine (drug combination, drug comparison, drug therapy, intraperitoneal;drug administration);sodium chloride;vincristine;vincristine sulfate (drug combination, drug therapy, intravenous drug;administration);neuropathic pain (drug therapy, drug therapy);peripheral neuropathy (drug therapy, drug therapy);analgesic activity;animal experiment;animal model;antiinflammatory activity;article;bite;body weight;controlled study;drug effect;licking;male;mouse;nonhuman;pain;Salvia officinalis;alcohol (64-17-5);formaldehyde (50-00-0);morphine (52-26-6, 57-27-2);sodium chloride (7647-14-5);vincristine (57-22-7);vincristine sulfate (2068-78-2);Neurology and Neurosurgery (8);Clinical and Experimental Pharmacology (30);Drug Literature Index (37)</t>
  </si>
  <si>
    <t>Aim: Vincristine is one of the most commonly used chemotherapeutic drugs to treat a variety of malignant diseases, including leukemia and lymphoma. Studies have shown that vincristine cause painful effects, whereas Salvia officinalis (SO) showed analgesic and anti-inflammatory effects. The aim of this study is to investigate the effects of the SO hydro-alcoholic extract on vincristine-induced peripheral neuropathy in mice in comparison with morphine. Methods: Experiments were performed on 60 NMRI male mice weighing 25-30 g divided into six groups. The individual groups received normal saline, SO hydro-alcoholic extract, vincristine, SO hydro-alcoholic extract and vincristine (12 days before formalin test), morphine, and vincristine and morphine, respectively. The injected hind paw biting and licking was measured in a 5-minute interval for one hour. Results: The results showed that formalin induce significant (P &lt; 0.05) pain responses (the first phase: 0-5 min and the second phase: 15-40 min after injection). Administration of</t>
  </si>
  <si>
    <t>(Abad A.N.A., ali.namvaran@gmail.com; Tavakkoli F.) (Nouri M.H.K.) Chinese Journal of Natural Medicines, Editorial Board, 24 Tong-jia Xiang, Nanjing, China.; ID: 1240</t>
  </si>
  <si>
    <t>1875-5364 1875-5364 (electronic)</t>
  </si>
  <si>
    <t>2011541029 FULL TEXT LINK http://dx.doi.org/10.3724/SP.J.1009.2011.00354</t>
  </si>
  <si>
    <t>Abah,I. O.;Ojeh,V. B.;Falang,K. D.;Darin,K. M.;Olaitan,O. O.;Agbaji,O. O.</t>
  </si>
  <si>
    <t>PMC4160720; Pharmaceutical care outcomes in an outpatient human immunodeficiency virus treatment center in Jos, Nigeria</t>
  </si>
  <si>
    <t>Journal of Basic &amp; Clinical Pharmacy</t>
  </si>
  <si>
    <t>RATIONALE: Pharmacotherapy for patients infected with human immunodeficiency virus (HIV) is complex and increases the potential for drug therapy problems (DTPs). We described the frequency and type of DTPs in a Nigerian cohort of HIV infected patients on antiretroviral therapy (ART), as well as the changes in HIV clinical outcomes after pharmacists' intervention. METHODS: A prospective 1-year descriptive study was conducted from July 2010 to June 2011, at the adult HIV clinic of Jos University Teaching Hospital, Nigeria. DTPs and the associated pharmacist-initiated interventions were documented. Chi-square and Wilcoxon signed ranks test was used as appropriate, to compare the main outcome measures of pre- and post-intervention levels of viral load and CD+ cell count. RESULTS: A total of 64,839 prescriptions were dispensed to 9320 patients. Interventions were documented for 85 unique patients (incidence of 1.31 interventions/1000 prescriptions), of which 62 (73%) and 3 (3.5%) were on first- and second-line ART, respectively, while 20 (23.5%) were yet to commence ART. Reasons for pharmacist intervention included failure to initiate therapy for HIV or hepatitis B infection; therapeutic failure (25.9%); and drug toxicity (24.7%). After intervention, the percentage of patients with HIV ribonucleic acid level &lt;400 copies/mL rose from 29.4% to 67.1% (P &lt; 0.001), while median (interquartile range) CD4+ cell count increased from 200 (123-351) to 361 (221-470) cells/mm(3) (P &lt; 0.001). CONCLUSION: Pharmacist intervention resulted in clinically significant improvements in patients HIV virological and immunological outcomes. This highlights an important role for the pharmacist in the treatment and care of HIV-infected patients, in a multidisciplinary team.</t>
  </si>
  <si>
    <t>J2: J; Abah, Isaac O Ojeh, Victor B Falang, Kakjing D Darin, Kristin M Olaitan, Oluremi O Agbaji, Oche O; ID: 80</t>
  </si>
  <si>
    <t>0976-0105</t>
  </si>
  <si>
    <t>Abah,Isaac O. Department of Pharmacy, Jos University Teaching Hospital, Jos, Nigeria ; Department of Pharmacy, AIDS Prevention Initiative in Nigeria, Jos University Teaching Hospital, Jos, Nigeria. Ojeh,Victor B. Department of Pharmacy, Jos University Teaching Hospital, Jos, Nigeria ; Department of Pharmacy, AIDS Prevention Initiative in Nigeria, Jos University Teaching Hospital, Jos, Nigeria. Falang,Kakjing D. Department of Pharmacy, AIDS Prevention Initiative in Nigeria, Jos University Teaching Hospital, Jos, Nigeria ; Department of Pharmacology, University of Jos, Jos, Nigeria. Darin,Kristin M. Division of Infectious Diseases, Center for Global Health, Northwestern University, Feinberg School of Medicine, Chicago, United States. Olaitan,Oluremi O. AIDS Prevention Initiative in Nigeria Lte, Lagos, Nigeria. Agbaji,Oche O. Department of Pharmacy, AIDS Prevention Initiative in Nigeria, Jos University Teaching Hospital, Jos, Nigeria ; Department of Medicine, Nephrology Unit, University of Jos, Jos, Nigeria.</t>
  </si>
  <si>
    <t>http://ovidsp.ovid.com/ovidweb.cgi?T=JS&amp;CSC=Y&amp;NEWS=N&amp;PAGE=fulltext&amp;D=prem&amp;AN=25278667</t>
  </si>
  <si>
    <t>http://dx.doi.org/10.4103/0976-0105.139727</t>
  </si>
  <si>
    <t>MEDLINE; Ovid Technologies; Pharmaceutical care outcomes in an outpatient human immunodeficiency virus treatment center in Jos, Nigeria</t>
  </si>
  <si>
    <t>Abate,P.;Pepino,M. Y.;Dominguez,H. D.;Spear,N. E.;Molina,J. C.</t>
  </si>
  <si>
    <t>Fetal associative learning mediated through maternal alcohol intoxication</t>
  </si>
  <si>
    <t>Alcoholism: Clinical &amp; Experimental Research</t>
  </si>
  <si>
    <t>Jan</t>
  </si>
  <si>
    <t>Alcoholic Intoxication/bl Blood];*Alcoholic Intoxication/px Psychology];Amniotic Fluid/me Metabolism];Animals;Association Learning/de Drug Effects];*Association Learning;*Cyclohexanols;Ethanol/ae Adverse Effects];*Ethanol/pk Pharmacokinetics];Female;Fetal Alcohol Spectrum Disorders/bl Blood];*Fetal Alcohol Spectrum Disorders/px Psychology];Menthol/aa Analogs &amp; Derivatives];*Monoterpenes;Motivation;Pregnancy;Rats;Rats, Wistar;Smell/de Drug Effects];Solvents;Taste/de Drug Effects];*Terpenes;0 (Cyclohexanols);0 (Monoterpenes);0 (Solvents);0 (Terpenes);1490-04-6 (Menthol);3K9958V90M (Ethanol);RV6J6604TK (eucalyptol)</t>
  </si>
  <si>
    <t>BACKGROUND: The aim of the present study was to analyze whether alcohol as an unconditioned stimulus is capable of supporting associative learning in near-term fetuses. METHODS: In experiment 1, we determined pharmacokinetic profiles of alcohol and of an aromatic substance (cineole) in amniotic fluid and maternal blood during late gestation. The results obtained through gas chromatographic analysis allowed a second experiment in which we explicitly paired peak levels of cineole with peak levels of alcohol in amniotic fluid and blood, by intragastrically administering cineole and ethanol to the dams during gestational days 17 through 20 (paired condition). Control groups were dams given cineole 4 hr before commencement of an acute state of alcohol intoxication (long-delay group) or were only exposed to water administrations (water control group). The progeny were evaluated during postnatal day 16 in terms of behavioral responsiveness to intraorally infused solutions (cineole or alcohol presented in milk vehicle, or milk alone). RESULTS: Mouthing responsiveness to cineole was strongly affected by the nature of prenatal treatments. Pups in the paired prenatal condition mouthed significantly less than did long-delay and water controls. Physical and behavioral measures allowed us to reject the possibility that these effects were due to teratogenic effects of alcohol during late gestation. CONCLUSIONS: These results indicate that before birth, rat fetuses are capable of acquiring associative memories supported by the unconditioned properties of alcohol. This associative memory can be expressed during infancy through a significant reduction in mouth movements in the presence of the specific orosensory cue explicitly paired with alcohol interoceptive effects in utero.</t>
  </si>
  <si>
    <t>J2: Alcohol Clin Exp Res; Abate, P Pepino, M Y Dominguez, H D Spear, N E Molina, J C R01AA10223 (United States NIAAA NIH HHS) R01AA11960 (United States NIAAA NIH HHS); ID: 557</t>
  </si>
  <si>
    <t>0145-6008</t>
  </si>
  <si>
    <t>Abate,P. Instituto de Investigacion Medica M.M. Ferreryra, INIMEC-CONICET, Cordoba, Argentina.</t>
  </si>
  <si>
    <t>http://ovidsp.ovid.com/ovidweb.cgi?T=JS&amp;CSC=Y&amp;NEWS=N&amp;PAGE=fulltext&amp;D=med4&amp;AN=10656191</t>
  </si>
  <si>
    <t>MEDLINE; Ovid Technologies; Fetal associative learning mediated through maternal alcohol intoxication</t>
  </si>
  <si>
    <t>Abbasi Maleki,N.;Abbasi Maleki,S.;Bekhradi,R.;Author,Addresses;Departement,of;Pharmacology,Urmia Branch Islamic Azad University Urmia Iran;Research,Development;Training Center,Barij Essence;Pharmaceutical Co,Kashan Iran;Correspondence,Address;Abbasi Maleki, Departement of Pharmacology Urmia Branch Islamic Azad,S.;University,Urmia Iran Email dr s a maleki gmail com</t>
  </si>
  <si>
    <t>Suppressive effects of rosa damascena essential oil on naloxone-precipitated morphine withdrawal signs in male mice</t>
  </si>
  <si>
    <t>Iranian Journal of Pharmaceutical Research</t>
  </si>
  <si>
    <t>(MAJOR FOCUS);morphine;plant extract (drug comparison, drug development, drug therapy,;intraperitoneal drug administration);Rosa damascena extract (drug comparison, drug development, drug therapy,;diazepam (drug comparison, intraperitoneal drug administration);naloxone;unclassified drug;withdrawal syndrome (drug therapy, drug therapy);animal behavior;animal experiment;animal model;antidepressant activity;article;climbing;controlled study;diarrhea;male;mouse;nonhuman;precipitation;rearing;Rosa damascena;scoring system;wet dog shakes;writhing test;DRUG MANUFACTURERS;(Iran)abidi;(Iran)Tolid Daru;diazepam (439-14-5);morphine (52-26-6, 57-27-2);naloxone (357-08-4, 465-65-6);Drug Literature Index (37);Drug Dependence, Alcohol Abuse and Alcoholism (40)</t>
  </si>
  <si>
    <t>This research was done to test the effect of Rosa damascena essential oil on withdrawal signs of naloxone-precipitated morphine in male mice. Morphine dependence was induced by injection (IP) three times daily at doses of 50, 50 and 75 mg/kg, respectively, for 3 days. On day 4, after the last administration of morphine, Rosa damascena essential oil was administered at different concentrations (5, 2 and 40%, IP) 30 min before administration of naloxone (5 mg/kg, IP). The following actions were taken as signs of withdrawal and records taken for jumping as a number and scores of 0 to 3 were given for incidences of grooming, teeth chattering, rearing, writing, diarrhea, wet dog shakes and climbing during a 30 min period. Results showed that different concentrations of Rosa damascena essential oil significantly reduced signs of morphine withdrawal compared to the control group in terms of number of jumps (p &lt; 0.05 and p &lt; 0.01), grooming, teeth chattering, rearing, climbing, wet dog shakes and writhing, but not for diarrhea (p &lt; 0.05). In conclusion it seems that GABAergic activity induced by favonoids from Rosa damascena essential oil can alleviate signs of morphine withdrawal, but further studies need to be done to better understand this mechanism. ‚î¨‚åê 2013 by School of Pharmacy.</t>
  </si>
  <si>
    <t>(Abbasi Maleki N.; Abbasi Maleki S., dr.s.a.maleki@gmail.com) (Bekhradi R.) Iranian Journal of Pharmaceutical Research, P.O. Box 14155-6153, Vali-e-Asr Avenue, Niayesh Junction, Tehran, Iran.; ID: 997</t>
  </si>
  <si>
    <t>1735-0328 1726-6890 (electronic)</t>
  </si>
  <si>
    <t>Abraham,A.;Lau,C. H.;Wong,L.;Kim,J. H.;Author,Addresses;Chinese University of,Hong Kong;Kong;Private Practice,Hong Kong;Correspondence,Address;Abraham, Chinese University of Hong Kong Hong Kong,A.</t>
  </si>
  <si>
    <t>Health risk screening practices by providers and associated factors among university students in hong kong</t>
  </si>
  <si>
    <t>Journal of Adolescent Health</t>
  </si>
  <si>
    <t>February</t>
  </si>
  <si>
    <t>S46</t>
  </si>
  <si>
    <t>adolescent health;health hazard;Hong Kong;human;screening;society;university student;adolescent;adult;alcohol consumption;body image;condom;counseling;cross-sectional study;drug use;eating disorder;fear;female;gender identity;habit;health;health behavior;health service;Internet;internet addiction;mental health;nursing;parent;pharmacy student;physician;prevalence;public health;questionnaire;school;sexual behavior;sleep;statistics;student;university;work</t>
  </si>
  <si>
    <t>Purpose: The prevalence of health issues such as depression, eating disorders and internet addiction has increased significantly among teens in Hong Kong. Despite the importance of targeted health risk behaviour screening and counselling for adolescents on issues such as mental health, body image, drug and alcohol use and sexual activity, there is very limited information regarding actual screening practices by health providers in Hong Kong. This study was conducted to determine the frequency of specific screening and counselling practices by providers as well as the associated barriers to screening during health visits among university students in Hong Kong. Methods: In 2011, a cross sectional study was conducted among 469 randomly selected incoming medical, nursing, public health and pharmacy students to a public university in Hong Kong using a self-administered questionnaire. Questionnaires were collected while students attended a required health check-up in the university health service. Descriptive statistics were generated by SPSS 16.0. Results: The mean age of students was 19 years and 66% were female. The majority of students received care in the private system (64%) and saw a traditional Western practitioner (75.9%). Only 1/2 (49.5%) reported that the visit was conducted in a confidential manner. The main reasons for visits were for acute visits (44.8%), followed by routine health checks (14.7%) Students reported having problems in the last five years with school issues (18.6%), depression (17.1%), body image (16.8%), and internet overuse (11.3%). However, providers only infrequently asked about school issues (3.2%) depression (4.3%), body image (.9%), and internet overuse (2.8%) during encounters. In addition, providers rarely asked about sexual activity (.6%), condom use (.4%) and drug/ alcohol use (1.3%). Only 2.1% of providers used a written or electronic screening questionnaire to ask about health behaviours. The majority of students cited that they were comfortable and honest in discussing personal information related to dietary habits (80.6%), sleep (77.8%), and depression and stress (59.7%) but less so for drug use (39.9%), sexual activity (34.1%) and sexual identity (35.8%). Some participants responded (40.9%) that they would feel shocked if their provider asked about personal behaviours such as drug use or sexual activity when the student visited for a routine URI and nearly 1/2 (53.7%) did not consider it part of the physician's job to ask about such issues. Main barriers reported by students to disclosing personal information included feeling ashamed (71%) and fear of disclosure to parents (19%). Conclusions: Depression, body image concerns, and internet addiction are important health problems among adolescents in Hong Kong. However, students in this study were infrequently screened or counselled about these issues during visits. Health providers are missing important opportunities to provide preventive care. The use of a standardized written or electronic screening questionnaire could be a useful adjunct to current care. In addition, a more comprehensive approach which is confidential and culturally appropriate should be adopted to improve the health of adolescents and young adults in Hong Kong.</t>
  </si>
  <si>
    <t>(Abraham A.; Lau C.-H.; Kim J.H.) (Wong L.) 2013 Annual Meeting of the Society for Adolescent Health and Medicine, SAHM 2013 Atlanta, GA, United States 2013-03-13 to 2013-03-16 Elsevier USA; ID: 1075</t>
  </si>
  <si>
    <t>1054-139X</t>
  </si>
  <si>
    <t>Abrams,B. M.</t>
  </si>
  <si>
    <t>Medication overuse headaches</t>
  </si>
  <si>
    <t>Medical Clinics of North America</t>
  </si>
  <si>
    <t>Med.Clin.North Am.</t>
  </si>
  <si>
    <t>Mar</t>
  </si>
  <si>
    <t>Analgesics/ae Adverse Effects];Diagnosis, Differential;Ergot Alkaloids/ae Adverse Effects];Headache Disorders/co Complications];Headache Disorders, Secondary/di Diagnosis];Headache Disorders, Secondary/ep Epidemiology];*Headache Disorders, Secondary/et Etiology];Headache Disorders, Secondary/pp Physiopathology];Humans;Migraine Disorders/co Complications];Substance Withdrawal Syndrome;Tryptamines/ae Adverse Effects];0 (Analgesics);0 (Ergot Alkaloids);0 (Tryptamines)</t>
  </si>
  <si>
    <t>An ounce of prevention is worth a pound of cure in the management of MOH. Prevention of transformation of primary headache types to their chronic counterparts is necessary to prevent this most troubling transformation. Strict attention to what patients are telling you (and often times not telling you) about their episodic headaches will enable pharmacologic and nonpharmacologic measures to avoid that transformation to chronic daily headache, so often associated with MOH. Once MOH becomes manifest, withdrawal of the overused drug is mandatory; otherwise experience tells us the pattern of overuse will only be perpetuated and no measure will help alleviate the headache. At the same time, as detoxification takes place, measures to ensure that relapse will not take place should begin. These efforts include prophylactic pharmacologic measures as well as psychological support, education, and surveillance to prevent relapses. The rate of relapse is unfortunately high, but these general and specific measures enumerated above will add greatly to the chances of success.Copyright ‚î¨‚åê 2013 Elsevier Inc. All rights reserved.</t>
  </si>
  <si>
    <t>J2: Med Clin North Am; Abrams, Bernard M S0025-7125(12)00211-8; ID: 166</t>
  </si>
  <si>
    <t>1557-9859</t>
  </si>
  <si>
    <t>Abrams,Bernard M. Department of Neurology, University of Missouri-Kansas City, School of Medicine, Kansas City, MO 64106, USA. babrams@kc.rr.com</t>
  </si>
  <si>
    <t>http://ovidsp.ovid.com/ovidweb.cgi?T=JS&amp;CSC=Y&amp;NEWS=N&amp;PAGE=fulltext&amp;D=medl&amp;AN=23419631</t>
  </si>
  <si>
    <t>http://dx.doi.org/10.1016/j.mcna.2012.12.007</t>
  </si>
  <si>
    <t>MEDLINE; Ovid Technologies; Medication overuse headaches</t>
  </si>
  <si>
    <t>Abuhamdah,R.;Author,Addresses;University of Sunderland, Sunderland,United Kingdom;Correspondence,Address;Abuhamdah, University of Sunderland Sunderland United Kingdom,R.</t>
  </si>
  <si>
    <t>Pharmacists' beliefs towards their contribution to improving the public's health in United Kingdom: A systematic review</t>
  </si>
  <si>
    <t>21 SUPPL. 2</t>
  </si>
  <si>
    <t>alcohol;methadone;health care organization;human;pharmacist;public health;systematic review;United Kingdom;Chlamydia;classification;data base;data extraction;diet;drug misuse;eating;education;emergency contraception;exercise;health;health education;health promotion;model;needle;pharmacy;physical activity;population;PsycINFO;public health service;scientist;sexual health;smoking cessation;Theory of Planned Behavior;weight</t>
  </si>
  <si>
    <t>Introduction To increase the involvement of pharmacists in public health, changes in the behaviour of pharmacists is required1. Theory of planned behaviour has shown that attitudes and beliefs are important determinants of behaviour2. The purpose of this project is to conduct a systematic review on the literature relating to Pharmacists' beliefs towards their role in public health and to summarise these findings in the view of the theory of planned behaviour in order to inform how best to support and improve this service. Research Method PICO model was used in this review and was interpreted as a) Population: Community pharmacists, community pharmacy staff. b) Phenomenon of Interest: beliefs: (attitudes, norms and control) of community pharmacists about their public health role. c) Primary Outcome Measure: Pharmacists' Behavioural Beliefs (attitude), Pharmacists' Normative Beliefs (Subjective Norm) Pharmacists' Control Beliefs (perceived behavioural control) about pharmacists and community pharmacy providing public health services. d) Studies Included: quantitative and qualitative. Time Period: January 2002 to December 2012. Electronic Databases Searched: MEDLINE, EMBASE, PsycINFO, CINAHL and Dissertation Abstracts International. Search Terms: (pharmŒì√™√πor pharmacy staff or community pharmacy) and (attitudŒì√™√πor belieŒì√™√πor perceŒì√™√πor knowledge or view or opinion) and (public health or health improvement or health promotion or selfcare or selfmanagement or smoking cessation or sexual health or preventŒì√™√πor diet or healthy diet or healthy eating or exercise or physical activity or weight or health education or chlamydia testing or emergency contraception or alcohol or needle exchange or methadone or injecting equipment or drug misuse). Inclusion and Exclusion Criteria: Papers should be published in journals or conferences, written in English, and should not come under the category of abstract, tutorial, or keynote. Data Extraction and Analysis: data extracted from studies was tabulated against authors and study, year, and classification of papers according to public health service. This data assessed according to pharmacists' behavioural beliefs (attitude), normative beliefs (subjective norm), control beliefs (perceived behavioural control) about pharmacists and community pharmacy providing public health services. The issue of bias is addressed by involving two researchers who separately examined compared inclusion/exclusion lists and resolved any differences by discussion. Results From the 6852 papers identified, 17 studies were included. Attitude: Most pharmacists viewed public health services as important part of their role and have positive attitude toward health improvement activities. Subjective norms: Pharmacists showed concerns about being intrusive in offering health advice and showed expectation of a negative reaction from customers. Perceived behavioural control: Pharmacists reported some barriers to providing public health services like lack of time or space and the need for further training in a number of public health services. Conclusion In order to improve public health services provided in community pharmacy, subjective norms and perceived behavioural control should be addressed. Appropriate training and support is needed in order to increase pharmacists' confidence in providing public health services. Research is needed to establish the attitudes of support staff to allowfor support and training to be appropriately targeted for this group. This review should provide a good insight for providers of education and training for pharmacists.</t>
  </si>
  <si>
    <t>(Abuhamdah R.) Royal Pharmaceutical Society, RPS Annual Conference 2013 Birmingham, United Kingdom 2013-09-08 to 2013-09-09 Pharmaceutical Press; ID: 1002</t>
  </si>
  <si>
    <t>Abulezz,Iv R.;Alaifan,Iii T.;Al-Azmi,Iii;Attar,Iv A.;Author,Addresses;Pharmacy Department, Prince Mohamed bin,Abdulaziz Hospital;Ngha,Madinah Saudi Arabia;Internal Medicine, Schulich School of,Medicine Dentistry;Western University,London Canada;Pharmaceutical care,King,Abdulaziz Medical;City-Jeddah-Ngha,Jeddah,Saudi Arabia;School of Medicine, McMaster University,Hamilton Canada;Correspondence,Address;Abulezz Iv, Pharmacy Department Prince Mohamed bin Abdulaziz Hospital,R.;Ngha,Madinah Saudi Arabia</t>
  </si>
  <si>
    <t>Association between discharge pharmacist counseling techniques and hospital readmission rate</t>
  </si>
  <si>
    <t>Pharmacotherapy</t>
  </si>
  <si>
    <t>November</t>
  </si>
  <si>
    <t>e191</t>
  </si>
  <si>
    <t>American;clinical pharmacy;college;counseling;hospital readmission;human;pharmacist;adult;confidence interval;diagnosis;drug therapy;patient;prospective study;risk</t>
  </si>
  <si>
    <t>PURPOSE: We evaluated the impact of a new discharge counseling technique on patients' readmission rate and on identifying medication discrepancies during discharge. METHODS: A retrospective investigational study was conducted to compare the 30-day readmission rate among patients subjected to the new counseling method with those of the standard methods (primary objective). The secondary objective was to evaluate the frequency and types of drug-related problems detected at the time of discharge among both groups. Inclusion criteria were patients who were counseled using the new counseling technique and all patients who were counseled using the standard techniques over a period of 2 months. RESULTS: We identified 191 patients counseled using the standard technique and 233 patients counseled using the new technique. The readmission rate was lower by approximately 28% for the new counseling technique (21.5%) compared with those subjected to the standard one (29.8%; p &lt; 0.05; OR: 1.56; 95% confidence interval CI], 1.002-2.418). The discrepancies were more frequently detected among patients who were subjected to the new technique (20.6%) compared with those who were counseled using the standard technique (5.2%; p &lt; 0.05). There were statistically significant differences regarding the type of diagnosis and sex between the two groups. The adjusted odds ratio for readmission within 30 days is 1.876 (95% CI, 1.162-3.028; p = 0.01) after adjusting for sex, and diagnosis, number of identified discrepancies, and number of medications. CONCLUSION: Our study showed that the new discharge counseling technique was associated with a lower readmission rate and improved detection of identified discrepancies 4 times more than the standard technique for identified high-risk adult and pediatric patients. Larger-scale prospective studies are needed to confirm this finding.</t>
  </si>
  <si>
    <t>(Abulezz IV R.) (Alaifan III T.) (Al-Azmi III A.) (Attar IV A.) 2015 Annual Meeting of the American College of Clinical Pharmacy, ACCP 2015 San Francisco, CA, United States 2015-10-17 to 2015-10-21 Pharmacotherapy Publications Inc.; ID: 798</t>
  </si>
  <si>
    <t>0277-0008</t>
  </si>
  <si>
    <t>AbuRuz,S. M.;Bulatova,N. R.;Yousef,A. M.</t>
  </si>
  <si>
    <t>Validation of a comprehensive classification tool for treatment-related problems</t>
  </si>
  <si>
    <t>Pharmacy World &amp; Science</t>
  </si>
  <si>
    <t>Aug</t>
  </si>
  <si>
    <t>*Adverse Drug Reaction Reporting Systems/cl Classification];Developing Countries;*Drug-Related Side Effects and Adverse Reactions;Education, Pharmacy/mt Methods];Health Knowledge, Attitudes, Practice;Humans;Jordan;Patient Care Planning/td Trends];Patients/sn Statistics &amp; Numerical Data];Pharmaceutical Services/st Standards];Pharmaceutical Services/sn Statistics &amp; Numerical Data];Pharmacists;Professional Role;Reproducibility of Results;Students, Pharmacy/sn Statistics &amp; Numerical Data];Teaching/mt Methods];Time Factors</t>
  </si>
  <si>
    <t>OBJECTIVE: Several drug-related problem classification systems can be found in the literature. However, it is generally agreed that a comprehensive, well constructed and validated instrument is currently lacking. The aim of this study is the development and validation of a comprehensive treatment-related problems assessment and classification tool for use in teaching, practicing and researching pharmaceutical care and to improve identification, resolving and preventing of treatment-related problems. METHOD: The development and validation involved five steps starting with literature search to define a treatment related problem and also to form a database of treatment-related problems identified in the literature. In the next step, all problems that were identified in the first step and passed the evaluation of the three authors were pooled together and then divided into groups according to their common or shared construct, in the third step a suitable assessment method was developed according to the construct of the different problems, in the next step the developed instrument was validated for content, internal and external validity. Finally the tool was finalized and tested for reproducibility and inter-rater agreement. RESULTS: The final validated version included six main categories for treatment-related problems (Indication, Effectiveness, Safety, Knowledge, Adherence and Miscellaneous). These categories include a total of nine subcategories and a total of 29 treatment related problems. CONCLUSION: The treatment-related problems assessment and classification tool introduced in this paper was applied to actual patient cases and proved to be valid. This tool also has several features that are new.</t>
  </si>
  <si>
    <t>J2: Pharm World Sci; AbuRuz, Salah M Bulatova, Nailya R Yousef, Almoatasem M; ID: 402</t>
  </si>
  <si>
    <t>0928-1231</t>
  </si>
  <si>
    <t>AbuRuz,Salah M. Department of Clinical Pharmacy, Faculty of Pharmacy, University of Jordan, Amman, Jordan. aburuz@ju.edu.jo</t>
  </si>
  <si>
    <t>http://ovidsp.ovid.com/ovidweb.cgi?T=JS&amp;CSC=Y&amp;NEWS=N&amp;PAGE=fulltext&amp;D=med5&amp;AN=17066238</t>
  </si>
  <si>
    <t>MEDLINE; Ovid Technologies; Validation of a comprehensive classification tool for treatment-related problems</t>
  </si>
  <si>
    <t>Acosta,A.;Macaluso,A.;Mierzwa,M.;Richardson,S.;Walsh,K.;Author,Addresses;Saint,Barnabas;Health,Care System;Correspondence,Address;Acosta, Saint Barnabas Health Care System United States,A.</t>
  </si>
  <si>
    <t>Buprenorphine-naloxone for the office-based treatment of opiate addiction in patients with psychiatric co-morbidities</t>
  </si>
  <si>
    <t>Journal of Pharmacy Practice</t>
  </si>
  <si>
    <t>April</t>
  </si>
  <si>
    <t>(MAJOR FOCUS);buprenorphine;naloxone;opiate;college;human;morbidity;opiate addiction;patient;pharmacist;abstinence;addiction;adverse drug reaction;anxiety;comorbidity;counseling;detoxification;diagnosis;drug screening;drug therapy;hospital;hospital patient;informed consent;maintenance therapy;medical record;outpatient;population;psychiatric diagnosis;psychiatrist;questionnaire;recipient;river;safety;therapy;United States;urine;withdrawal syndrome</t>
  </si>
  <si>
    <t>Background: The association between opiate addiction and psychiatric comorbidity has long been established. In the general population, buprenorphine-naloxone (bup-nx) has demonstrated efficacy in promoting abstinence from illicit opiate consumption among individuals with a history of misuse. In some investigations, patients with anxiety or depression previous to opiate addiction exhibited greater responses, relative to other patients, to programs that combined bup-nx pharmacotherapy with regular psychological counseling. Patients, themselves, have expressed a preference for office-based programs that enable them to continue normal daily activities during treatment for addiction. Despite this, a majority of investigations of bup-nx therapy to date that have included patients with psychiatric comorbidities have been conducted in hospital settings. This investigation will assess the effectiveness of bup-nx therapy for the office-based treatment of opiate addiction, exclusively among patients with psychiatric comorbidities. Objective: Assess the safety and effectiveness of outpatient maintenance with bup-nx, combined with psychological counseling, among patients with comorbid psychiatric diagnoses. Methods: Participants will be recruited from the Intensive Outpatient Program for dual-diagnosis patients at a psychiatric facility in Toms River, New Jersey. Recipients of bup-nx maintenance therapy will be required to attend regular counseling sessions with a psychiatrist, regular outpatient group sessions at the facility, and meetings of a 12-step program of their choosing. They will also be required to consent to random urine drug screenings for the duration of bup-nx therapy. Each recipient will be invited to participate in the investigation. Informed consent will be obtained from each participant prior to enrollment. Data will be collected from weekly questionnaires completed by the participants, as well as from in- and outpatient medical records maintained by the treatment facility. Admission data will also be collected from a comparator group of patients receiving inpatient opiate detoxification only. Outcomes: We will report symptoms of withdrawal, severity of craving, and the percent of patients with (-)UDS per each week of enrollment in the program. We will also report time between inpatient psychiatric admissions, relative to the comparator group, incidence of bup-nx interactions or adverse effects, and duration of retention in the Intensive Outpatient Program.</t>
  </si>
  <si>
    <t>(Acosta A.; Macaluso A.; Mierzwa M.; Richardson S.; Walsh K.) 14th Annual Meeting of the College of Psychiatric and Neurologic Pharmacists, CPNP 2011 Phoenix, AZ, United States 2011-05-01 to 2011-05-04 Sage Publications; ID: 1270</t>
  </si>
  <si>
    <t>0897-1900</t>
  </si>
  <si>
    <t>Adinoff,B.;Devous,M. D., S.;Williams,M. J.;Best,S. E.;Harris,T. S.;Minhajuddin,A.;Zielinski,T.;Cullum,M.</t>
  </si>
  <si>
    <t>PMC3055466; Altered neural cholinergic receptor systems in cocaine-addicted subjects</t>
  </si>
  <si>
    <t>Neuropsychopharmacology</t>
  </si>
  <si>
    <t>Adult;Blood Pressure/de Drug Effects];*Brain Mapping;Case-Control Studies;Cerebrovascular Circulation/de Drug Effects];Cholinergic Antagonists/ad Administration &amp; Dosage];Cholinesterase Inhibitors/ad Administration &amp; Dosage];*Cocaine-Related Disorders/pp Physiopathology];*Cocaine-Related Disorders/ri Radionuclide Imaging];Female;Heart Rate/de Drug Effects];Humans;Limbic System/de Drug Effects];*Limbic System/ri Radionuclide Imaging];Male;Physostigmine/ad Administration &amp; Dosage];Psychiatric Status Rating Scales;*Receptors, Cholinergic/me Metabolism];Scopolamine Hydrobromide/ad Administration &amp; Dosage];Statistics, Nonparametric;Tomography, Emission-Computed, Single-Photon/mt Methods];0 (Cholinergic Antagonists);0 (Cholinesterase Inhibitors);0 (Receptors, Cholinergic);451IFR0GXB (Scopolamine Hydrobromide);9U1VM840SP (Physostigmine)</t>
  </si>
  <si>
    <t>Changes in the brain's cholinergic receptor systems underlie several neuropsychiatric disorders, including Alzheimer's disease, schizophrenia, and depression. An emerging preclinical literature also reveals that acetylcoholine may have an important function in addictive processes, including reward, learning, and memory. This study was designed to assess alterations in cholinergic receptor systems in limbic regions of abstinent cocaine-addicted subjects compared with healthy controls. On three separate days, 23 1- to 6-week abstinent, cocaine- (and mostly nicotine-) addicted subjects and 22 sex-, age-, and race-matched control subjects were administered the muscarinic and nicotinic cholinergic agonist physostigmine, the muscarinic antagonist scopolamine, and saline. Regional cerebral blood flow (rCBF) after each infusion was determined using single photon emission-computed tomography. Both cholinergic probes induced rCBF changes (p&lt;0.005) in relatively distinct, cholinergic-rich, limbic brain regions. After physostigmine, cocaine-addicted subjects showed altered rCBF, relative to controls, in limbic regions, including the left hippocampus, left amygdala, and right insula. Group differences in the right dorsolateral prefrontal cortex, posterior cingulate, and middle temporal gyrus were also evident. Scopolamine also revealed group differences in the left hippocampus and right insula as well as the posterior cingulate and middle temporal gyrus. Cocaine addicted and controls differ in their subcortical, limbic, and cortical response to cholinergic probes in areas relevant to craving, learning, and memory. Cholinergic systems may offer a pharmacologic target for cocaine addiction treatment.</t>
  </si>
  <si>
    <t>J2: Neuropsychopharmacology; Adinoff, Bryon Devous, Michael D Sr Williams, Mark J Best, Susan E Harris, Thomas S Minhajuddin, Abu Zielinski, Tanya Cullum, Munro DA11434 (United States NIDA NIH HHS) R01 DA011434 (United States NIDA NIH HHS); ID: 297</t>
  </si>
  <si>
    <t>1740-634X</t>
  </si>
  <si>
    <t>Adinoff,Bryon. Department of Psychiatry, University of Texas Southwestern Medical Center, Dallas, TX 75390-8564, USA. bryon.adinoff@utsouthwestern.edu</t>
  </si>
  <si>
    <t>http://ovidsp.ovid.com/ovidweb.cgi?T=JS&amp;CSC=Y&amp;NEWS=N&amp;PAGE=fulltext&amp;D=med5&amp;AN=20393457</t>
  </si>
  <si>
    <t>http://dx.doi.org/10.1038/npp.2010.18</t>
  </si>
  <si>
    <t>MEDLINE; Ovid Technologies; Altered neural cholinergic receptor systems in cocaine-addicted subjects</t>
  </si>
  <si>
    <t>Agmo,A.</t>
  </si>
  <si>
    <t>International Behavioral Neuroscience Society - ninth annual meeting</t>
  </si>
  <si>
    <t>Idrugs</t>
  </si>
  <si>
    <t>The main thrust of the meeting was, as always, basic research in behavioral neuroscience defined in a broad sense. Learning and memory, feeding and drinking, reward mechanisms, development of the CNS, anxiety and stress were the main topics covered. In a public lecture associated with the meeting, Larry Reid (Rensselaer Polytechnic Institute, Troy, NY, USA) reviewed the quite compelling evidence in favor of the effectiveness of naltrexone for preventing relapse in former alcoholics. He also presented preclinical data demonstrating the remarkable effects of naltrexone given together with isradipine (Novartis AG) in blocking the rewarding effects of cocaethylene. This combination of drugs could thereby constitute a treatment for alcoholism complicated by cocaine abuse. Of potential therapeutic interest was also the description of the preclinical pharmacology and a phase II trial of a new cholinesterase inhibitor, methanesulfonyl fluoride (University of Texas). The possible physiological functions of sigma opioid receptors and the pharmacological properties of sigma receptor ligands were discussed at one of the symposia. Among the subjects covered were the potential use of sigma1 antagonists in the treatment of cocaine addiction and the efficiency of sigma1 agonists for preventing the decline in cognitive functions associated with old age.</t>
  </si>
  <si>
    <t>J2: Idrugs; Agmo, A; ID: 444</t>
  </si>
  <si>
    <t>1369-7056</t>
  </si>
  <si>
    <t>Agmo,A. Department of Psychology, University of Tromso, 9037 Tromso, Norway. andersa@psyk.uit.no</t>
  </si>
  <si>
    <t>http://ovidsp.ovid.com/ovidweb.cgi?T=JS&amp;CSC=Y&amp;NEWS=N&amp;PAGE=fulltext&amp;D=prem&amp;AN=16080041</t>
  </si>
  <si>
    <t>MEDLINE; Ovid Technologies; International Behavioral Neuroscience Society - ninth annual meeting</t>
  </si>
  <si>
    <t>Agomo,C. O.;Ogunleye,J.;Author,Addresses;Department of,Practice;Policy,U. C. L.;School of Pharmacy, London,United Kingdom;Institute,for Work;Learning,Middlesex University London United Kingdom;Correspondence,Address;CO Agomo,Department,of Practice;Policy,U. C. L. S.;Brunswick Square, London W C N A X United Kingdom Email c agomo ucl,ac uk</t>
  </si>
  <si>
    <t>An investigation of strategies enhancing the public health role of community pharmacists: A review of knowledge and information</t>
  </si>
  <si>
    <t>Journal of Pharmaceutical Health Services Research</t>
  </si>
  <si>
    <t>June</t>
  </si>
  <si>
    <t>pharmacist;public health service;article;education program;evidence based practice;experience;human;information processing;interpersonal communication;medical student;priority journal;professional competence;professional knowledge;professional practice;self care;social media;United Kingdom;Public Health, Social Medicine and Epidemiology (17)</t>
  </si>
  <si>
    <t>Objective: The study aims to review the literature about strategies that can enhance the public health role of community pharmacists in the UK; and to identify main themes emerging from the literature as well as identify gaps there from. Methods: Relevant literature from both the UK and overseas was identified, through electronic database searches. The search was limited to the period from January 2007 to May 2012. Key findings: There are numerous opportunities for community pharmacists in public health. Following the review of knowledge and information, a wide range of strategies that could help enhance the public health role of community pharmacists in the UK were identified. The dominant themes included strategies to enhance the public health role of community pharmacists through: enhancing the effectiveness of communication techniques of students and pharmacists; advancing pharmacy practice experience of students in public health; enhancing the public health content of pharmacy curricula; managing legitimate medication needs of the public to identify/prevent drug-related problems; as well as promoting patients' self-management capacities. Conclusions: Although a wide range of strategies that could help enhance the public health role of community pharmacists in the UK were identified, there were, however, gaps in the UK evidence base. There is a need to enhance, among other things, the public health training and skills of pharmacists, enabling the development of a mixed market in community pharmacy practice by contracting public health services directly to individual pharmacists, as well as pharmacists using newer technologies, including the social media, to enhance public health practice. JPHSR ‚î¨‚åê 2014 Royal Pharmaceutical Society.</t>
  </si>
  <si>
    <t>(Agomo C.O., c.agomo@ucl.ac.uk) (Agomo C.O., c.agomo@ucl.ac.uk; Ogunleye J.) (Hendon Campus) Blackwell Publishing Ltd, customerservices@oxonblackwellpublishing.com; ID: 959</t>
  </si>
  <si>
    <t>1759-8893 (electronic) 1759-8885</t>
  </si>
  <si>
    <t>2014332696 FULL TEXT LINK http://dx.doi.org/10.1111/jphs.12056</t>
  </si>
  <si>
    <t>Aguiar,P. M.;Balisa-Rocha,B.;Brito,G. C.;Lyra,D. P., J.</t>
  </si>
  <si>
    <t>Pharmaceutical care program for elderly patients with uncontrolled hypertension</t>
  </si>
  <si>
    <t>8, 1 p following 518</t>
  </si>
  <si>
    <t>Age Factors;Aged;*Blood Pressure/de Drug Effects];Female;*Health Education;Humans;*Hypertension/dt Drug Therapy];Hypertension/pp Physiopathology];Male;*Medication Adherence;Middle Aged;*Pharmaceutical Services;*Pharmacies;Pilot Projects</t>
  </si>
  <si>
    <t>OBJECTIVE: To evaluate the effect of a pilot pharmaceutical care program developed for elderly patients with uncontrolled hypertension. METHODS: Nonrandomized single intervention pre/posttest blood pressure study in a community pharmacy in Aracaju, Brazil. This study enrolled elderly patients diagnosed with essential hypertension and uncontrolled blood pressure. Monthly visits were scheduled during a 10-month period. Pharmaceutical interventions were focused on health education and monitoring of drug-related problems. Primary outcomes included target blood pressure control, reduction in blood pressure, pulse pressure, medication adherence, and reduction of anthropometric indices. RESULTS: 35 of 51 patients completed the study. After 10 months of intervention, 57.2% of elderly patients achieved blood pressure control (P = 0.000) and the mean reduction was 26.6 mm Hg (P &lt; 0.0001) for systolic blood pressure, 10.4 mm Hg (P &lt; 0.0001) for diastolic blood pressure, and 15.7 mm Hg (P &lt; 0.0001) for pulse pressure. Medication adherence also improved (P = 0.0000); however, anthropometric indices remained unchanged. CONCLUSION: The pharmaceutical care program improved outcomes by reducing and controlling blood pressure and improving medication adherence among elderly patients with uncontrolled hypertension.</t>
  </si>
  <si>
    <t>J2: J Am Pharm Assoc (2003); Aguiar, Patricia M Balisa-Rocha, Blicie J Brito, Giselle C Lyra, Divaldo P Jr; ID: 182</t>
  </si>
  <si>
    <t>Aguiar,Patricia M. College of Pharmacy, Federal University of Sergipe, Brazil.</t>
  </si>
  <si>
    <t>http://ovidsp.ovid.com/ovidweb.cgi?T=JS&amp;CSC=Y&amp;NEWS=N&amp;PAGE=fulltext&amp;D=medl&amp;AN=22825232</t>
  </si>
  <si>
    <t>http://dx.doi.org/10.1331/JAPhA.2012.11015</t>
  </si>
  <si>
    <t>MEDLINE; Ovid Technologies; Pharmaceutical care program for elderly patients with uncontrolled hypertension</t>
  </si>
  <si>
    <t>Aguiar,P. M.;Brito,G. C.;Lyra Jr,D. P.;Storpirtis,S.;Author,Addresses;Faculty of,Pharmaceutical Sciences;of S‚îú√∫o Paulo, S‚îú√∫o,Paulo Brazil;College of Pharmacy, Federal,University of;Sergipe,S‚îú√∫;Correspondence,Address;PM Aguiar, Faculty of Pharmaceutical Sciences University,of S.;S‚îú√∫o Paulo,Brazil</t>
  </si>
  <si>
    <t>The patient's medication experience as the root of drug therapy problems in patients with type 2 diabetes</t>
  </si>
  <si>
    <t>International Journal of Clinical Pharmacy</t>
  </si>
  <si>
    <t>December</t>
  </si>
  <si>
    <t>glycosylated hemoglobin;clinical pharmacy;drug therapy;human;non insulin dependent diabetes mellitus;patient;pharmacy;Brazil;decision making;fear;female;health;hospital;interview;medication therapy management;metabolic disorder;monitoring;pharmacist;planning;prospective study;telephone;university hospital</t>
  </si>
  <si>
    <t>Background and Objective: In order to ensure effective, patientcentered medication management, the pharmacists should incorporate the perspectives and needs of patients into their clinical judgment and decision-making processes. The medication experience is different for each individual patient and can shape patients' behaviors regarding their medications; it might lead to the development of drug therapy problems (DTPs). Thus, the purpose of this study was to identify the DTPs rooted in patients' medication experiences. Setting and Method: A 10-month prospective study of medication management was conducted at Metabolic Diseases Clinic, University Hospital of S‚îú√∫o Paulo, Brazil. Patients were enrolled if they had been diagnosed with type 2 diabetes, were aged 40 to 79 years and presented glycosylated hemoglobin greater than 7 %. The pharmaceutical interviews were conducted face-to-face after the medical appointments, along with remote support by telephone. Pharmacist performed monitoring of DTPs and examined if the patients' medication experiences (e.g., values, desires, and fears associated with care and treatment) could influence their development. The most likely causes of DTPs, as well as possible solutions, were discussed with each patient. Main outcome measures: The number of DTPs rooted in patients' medication experiences identified/resolved by the clinical pharmacist. Results: Of the 40 patients enrolled, the mean age was 61.5 years (‚î¨‚ñí 7.7), and 67.5 % were female. All patients presented at least one DTP. A total of 143 DTPs were documented and 49 (34.3 %) of these were rooted in patients' medication experiences. The adherence was the DTP more frequently (36; 73.5 %) related with subjective experiences reported by patients, such as doubts the need for the medications (21; 42.9 %) and does not like to take medications (10; 20.4 %).The main clinical pharmacist's interventions consisted of educate on health condition and/or medication and work to prioritize health goals, sharing how the medication can fit those goals. Of the total number of these DTPs 39 (79.6 %) were resolved through dialogue and agreement with the patient. Conclusions: In our study, the medication experience influenced patients' attitudes and medication-taking behavior and it may be sometimes considered the root cause of DTPs. The understanding of the medication experience was vital to assess patients' needs and for planning interventions in the care process.</t>
  </si>
  <si>
    <t>(Aguiar P.M.; Storpirtis S.) (Brito G.C.; Lyra Jr. D.P.) 42nd ESCP Symposium on Clinical Pharmacy: Implementation of Pharmacy Practice Prague, Czech Republic 2013-10-16 to 2013-10-18 Springer Netherlands; ID: 969</t>
  </si>
  <si>
    <t>Ahmed,S. H.;Bobashev,G.;Gutkin,B. S.</t>
  </si>
  <si>
    <t>The simulation of addiction: pharmacological and neurocomputational models of drug self-administration</t>
  </si>
  <si>
    <t>Drug &amp; Alcohol Dependence</t>
  </si>
  <si>
    <t>*Decision Making;Humans;*Models, Theoretical;*Self Administration;*Substance-Related Disorders/ep Epidemiology]</t>
  </si>
  <si>
    <t>In an attempt to better understand the pharmacological and neurobiological determinants of drug addiction, researchers have begun to build mathematical and computational models of drug self-administration. Quantitative pharmacological models have been developed to describe the acquisition of drug self-administration behavior and the maintenance of drug use behavior. However, models that describe behavior acquisition are unable to explain behavior maintenance, and vice versa. Recently, computational modeling has been used to develop more neurobiologically realistic models with the potential to explain drug self-administration across all major behavioral stages (i.e., initiation, escalation and maintenance)and across a wide range of reinforcement contingencies. Intrigued by the apparent irrational behavior of drug addicts, researchers from a wide range of scientific disciplines have formulated a plethora of theoretical schemes over the years to understand addiction. However, most of these models are qualitative in nature and are formulated using terms that are often ill-defined. As a result, the empirical validity of these models has been difficult to test rigorously, which has served to generate more controversy than clarity. In this context, as in other scientific fields, mathematical and computational modeling may contribute to the development of more testable and rigorous models of addiction. Recently, several researchers have begun to simulate drug self-administration behavior in an attempt to better understand the pharmacological and neurobiological determinants of drug addiction. This article stems from a 2006 College on Problems of Drug Dependence (CPDD) workshop and includes a few examples of mathematical and computational models of drug self-administration in rodents that illustrate the contribution of mathematical modeling to our understanding of the pharmacological and neurobiological factors in drug self-administration.</t>
  </si>
  <si>
    <t>J2: Drug Alcohol Depend; Ahmed, Serge H Bobashev, Georgiy Gutkin, Boris S; ID: 378</t>
  </si>
  <si>
    <t>0376-8716</t>
  </si>
  <si>
    <t>Ahmed,Serge H. Universite Victor-Segalen Bordeaux, CNRS-UMR 5227, Bordeaux, France.</t>
  </si>
  <si>
    <t>http://ovidsp.ovid.com/ovidweb.cgi?T=JS&amp;CSC=Y&amp;NEWS=N&amp;PAGE=fulltext&amp;D=med5&amp;AN=17944023</t>
  </si>
  <si>
    <t>MEDLINE; Ovid Technologies; The simulation of addiction: pharmacological and neurocomputational models of drug self-administration</t>
  </si>
  <si>
    <t>Ajagannanavar,S. L.;Battur,H.;Shamarao,S.;Sivakumar,V.;Patil,P. U.;Shanavas,P.</t>
  </si>
  <si>
    <t>PMC4148569; Effect of aqueous and alcoholic licorice (glycyrrhiza glabra) root extract against streptococcus mutans and lactobacillus acidophilus in comparison to chlorhexidine: an in vitro study</t>
  </si>
  <si>
    <t>Journal of International Oral Health</t>
  </si>
  <si>
    <t>BACKGROUND: Glycyrrhiza (licorice) an herb, which has medicinal value and was used in ancient times as a remedy for a great diversity of ailments and sweetener. Roots of Glycyrrhiza contain a high concentration of saponin and glycyrrhizin, which are supposed to be sweetening agents. The aim of the study was to compare the efficacy of aqueous and alcoholic licorice root extract against Streptococcus mutans and Lactobacillus acidophilus in comparison to chlorhexidine (CHX). MATERIALS AND METHODS: In the first part of the study, various concentrations of aqueous and ethanolic licorice extract were prepared in the laboratory of Pharmacy College. It was then subjected to microbiological assay to determine its zone of inhibition using agar disk diffusion test and minimum inhibitory concentration (MIC) using serial broth dilution method against S. mutans and L. acidophilus. CHX was used as a positive control. RESULTS: MIC of aqueous and ethnolic licorice root extract against S. mutans and L. acidophilus were 25% and 12.5%, respectively. Mean zone of inhibition of the aqueous and alcoholic licorice extracts against S. mutans at 48 h were 22.8 mm and 26.7 mm, respectively. Mean zone of inhibition of the aqueous and alcoholic licorice extracts against L. acidophilus at 48 h were 14.4 mm and 15.1 mm, respectively. Mean zone of inhibition of the CHX against S. mutans and L. acidophilus at 48 h was 20.5 and 13.2, respectively. CONCLUSION: The inhibitory effect shown by alcoholic licorice root extract against S. mutans and L. acidophilus was superior when compared with that of aqueous form and CHX.</t>
  </si>
  <si>
    <t>J2: J; Ajagannanavar, Sunil Lingaraj Battur, Hemant Shamarao, Supreetha Sivakumar, Vivek Patil, Pavan Uday Shanavas, P; ID: 85</t>
  </si>
  <si>
    <t>0976-7428</t>
  </si>
  <si>
    <t>Ajagannanavar,Sunil Lingaraj. Senior Lecturer, Department of Public Health Dentistry, KVG Dental College &amp; Hospital, Sullia, Dakshina Kannada, Karnataka, India. Battur,Hemant. Reader, Department of Public Health Dentistry, KVG Dental College &amp; Hospital, Sullia, Dakshina Kannada, Karnataka, India. Shamarao,Supreetha. Senior Lecturer, Department of Public Health Dentistry, Coorg Institute of Dental Sciences, Virajpet, Kodagu, Karnataka, India. Sivakumar,Vivek. Senior Lecturer, Department of Public Health Dentistry, PMS College of Dental Sciences and Research, Thiruvananthapuram, Kerala, India. Patil,Pavan Uday. Senior Lecturer, Department of Public Health Dentistry, Kamineni Institute of Dental Sciences, Narketpally, Andhra Pradesh, India. Shanavas,P. Senior Lecturer, Department of Dentistry, DM Wayanad Institute of Medical Sciences, Kerala, India.</t>
  </si>
  <si>
    <t>http://ovidsp.ovid.com/ovidweb.cgi?T=JS&amp;CSC=Y&amp;NEWS=N&amp;PAGE=fulltext&amp;D=prem&amp;AN=25214729</t>
  </si>
  <si>
    <t>MEDLINE; Ovid Technologies; Effect of aqueous and alcoholic licorice (glycyrrhiza glabra) root extract against streptococcus mutans and lactobacillus acidophilus in comparison to chlorhexidine: an in vitro study</t>
  </si>
  <si>
    <t>Ajagannanavar,S. L.;Shamarao,S.;Battur,H.;Tikare,S.;Al-Kheraif,A.;Al Sayed,M. S.</t>
  </si>
  <si>
    <t>PMC4278103; Effect of aqueous and alcoholic Stevia (Stevia rebaudiana) extracts against Streptococcus mutans and Lactobacillus acidophilus in comparison to chlorhexidine: An in vitro study</t>
  </si>
  <si>
    <t>Journal of International Society of Preventive &amp; Community Dentistry</t>
  </si>
  <si>
    <t>S116</t>
  </si>
  <si>
    <t>INTRODUCTION: Stevia (S. rebaudiana) a herb which has medicinal value and was used in ancient times as a remedy for a great diversity of ailments and sweetener. Leaves of Stevia contain a high concentration of Stevioside and Rebaudioside which are supposed to be sweetening agents. AIM: To compare the efficacy of aqueous and alcoholic S. rebaudiana extract against Streptococcus mutans and Lactobacillus acidophilus in comparison to chlorhexidine. MATERIALS AND METHODS: In the first part of the study, various concentrations of aqueous and ethanolic Stevia extract were prepared in the laboratory of Pharmacy College. It was then subjected to microbiological assay to determine its zone of inhibition using Agar disk diffusion test and minimum inhibitory concentration (MIC) using serial broth dilution method against Streptococcus mutans and Lactobacillus acidophilus. Chlorhexidine was used as a positive control. One way Analysis of Variance (ANOVA) test was used for multiple group comparisons followed by Tukey post hoc for group wise comparisons. RESULTS: Minimum inhibitory concentration (MIC) of aqueous and ethnolic Stevia extract against Streptococcus mutans and Lactobacillus acidophilus were 25% and 12.5% respectively. Mean zone of inhibition of the aqueous and alcoholic Stevia extracts against Streptococcus mutans at 48 hours were 22.8 mm and 26.7 mm respectively. Mean zone of inhibition of the aqueous and alcoholic Stevia extracts against Lactobacillus acidophilus at 48 hours were 14.4 mm and 15.1 mm respectively. Mean zone of inhibition of the chlorhexidine against Streptococcus mutans and Lactobacillus acidophilus at 48 hours was 20.5 and 13.2 respectively. CONCLUSION: The inhibitory effect shown by alcoholic Stevia extract against Streptococcus mutans and Lactobacillus acidophilus was superior when compared with that of aqueous form and was inferior when compared with Chlorhexidine.</t>
  </si>
  <si>
    <t>J2: J; Ajagannanavar, Sunil Lingaraj Shamarao, Supreetha Battur, Hemant Tikare, Shreyas Al-Kheraif, Abdulaziz Abdullah Al Sayed, Mohammed Sayed Al Esawy; ID: 60</t>
  </si>
  <si>
    <t>2231-0762</t>
  </si>
  <si>
    <t>Ajagannanavar,Sunil Lingaraj. Department of Public Health Dentistry, Kurunji Venkatramana Gowda Dental College and Hospital, Kurunjibhag, Sullia, India. Shamarao,Supreetha. Department of Public Health Dentistry, Coorg Institute of Dental Sciences, Maggula, Virajpet Karnataka, India. Battur,Hemant. Department of Public Health Dentistry, Kurunji Venkatramana Gowda Dental College and Hospital, Kurunjibhag, Sullia, India. Tikare,Shreyas. Department of Preventive Dental Sciences, Division of Dental Public Health, King Khalid University, College of Dentistry, Abha, Saudi Arabia. Al-Kheraif,Abdulaziz Abdullah. Department of Dental Health, Dental Biomaterials Research Chair, College of Applied Medical Sciences, Riyadh, Kingdom of Saudi Arabia. Al Sayed,Mohammed Sayed Al Esawy. College of Engineering, King Saud University, Riyadh, Kingdom of Saudi Arabia.</t>
  </si>
  <si>
    <t>http://ovidsp.ovid.com/ovidweb.cgi?T=JS&amp;CSC=Y&amp;NEWS=N&amp;PAGE=fulltext&amp;D=prem&amp;AN=25558451</t>
  </si>
  <si>
    <t>http://dx.doi.org/10.4103/2231-0762.146215</t>
  </si>
  <si>
    <t>MEDLINE; Ovid Technologies; Effect of aqueous and alcoholic Stevia (Stevia rebaudiana) extracts against Streptococcus mutans and Lactobacillus acidophilus in comparison to chlorhexidine: An in vitro study</t>
  </si>
  <si>
    <t>Akbari,E.;Mirzaei,E.;Majd,N. S.;Author,Addresses;Department of,Physiology;and Pharmacology, School of Medicine Mazandaran University,of Medical;Sciences,Sari Iran;School of Pharmacy, Mazandaran University of,Medical Sciences;Sari,Iran;Correspondence,Address;Akbari,Department of Physiology,E.;Pharmacology,School of Medicine;Mazandaran University of Medical Sciences, Sari,Iran Email;akbari_esmaeil@yahoo.com</t>
  </si>
  <si>
    <t>Long-term morphine-treated rats are more sensitive to antinociceptive effect of diclofenac than the morphine-naive rats</t>
  </si>
  <si>
    <t>(MAJOR FOCUS);diclofenac (drug therapy, intraperitoneal drug administration);morphine (oral drug administration);formaldehyde;naloxone;antinociception;animal experiment;article;behavior;controlled study;locomotion;male;morphine addiction;nociception;nonhuman;pain (drug therapy);pain assessment;rat;scoring system;weight reduction;diclofenac (15307-79-6, 15307-86-5);formaldehyde (50-00-0);morphine (52-26-6, 57-27-2);naloxone (357-08-4, 465-65-6);Neurology and Neurosurgery (8);Drug Literature Index (37)</t>
  </si>
  <si>
    <t>This study investigates the effectiveness of the antinociceptive effects of diclofenac, an NSAID, on the nociceptive behavior of morphine-treated rats on formalin test. Rats were treated with morphine-containing drinking water for twenty one days, which induced morphine dependence. The antinociceptive effects of 8, 16, and 32 mg/kg doses of diclofenac were then evaluated and compared with distilled water in a formalin-based model of pain. Diclofenac potentiated pain suppression in morphine-dependent rats during the interphase of the formalin test and reduced the pain score during phase II. The post-test analysis revealed that both 16 mg/kg (p &lt; 0.0001) and 32 mg/kg (p &lt; 0.0001) doses of diclofenac had a signifcant effect on the inter phase, while 8 mg/kg (p &lt; 0.05), 16 mg/kg (p &lt; 0.05), and 32 mg/kg (p &lt; 0.01) doses of diclofenac signifcantly affected phase II. In contrast, the antinociceptive effects of diclofenac on morphine-na‚îú¬ªve rats were observed during phase II only with the a 32 mg/kg dose (p &lt; 0.05). In general, these results suggest that the long-term use of morphine in rats increases their sensitivity to the antinociceptive effects of diclofenac. Furthermore, the results support the existence of a non-opioid-dependent mechanism of pain suppression during the interphase of formalin test. Copyright ‚î¨‚åê 2013 by School of Pharmacy.</t>
  </si>
  <si>
    <t>(Akbari E., akbari_esmaeil@yahoo.com; Majd N.S.) (Mirzaei E.) Iranian Journal of Pharmaceutical Research, P.O. Box 14155-6153, Vali-e-Asr Avenue, Niayesh Junction, Tehran, Iran.; ID: 1054</t>
  </si>
  <si>
    <t>Akers,J.;Thompson,K.;Carrier,R.;Author,Addresses;Correspondence,Address;Akers,J.</t>
  </si>
  <si>
    <t>Just say know to drugs!: A pilot study for high school student science enrichment</t>
  </si>
  <si>
    <t>FASEB Journal</t>
  </si>
  <si>
    <t>29 Meeting Abstracts.</t>
  </si>
  <si>
    <t>high school student;human;pilot study;abuse;high school;learning;model;pharmacology;student;Student t test;teaching</t>
  </si>
  <si>
    <t>The purpose of the Just Say Know to Drugs! camp was twofold: our primary goal was to increase student understanding of basic science and pharmacology concepts and our secondary goal was to develop student self-assurance in the sciences. The program introduced the fundamentals of pharmacology through the study of basic science. Different teaching modalities were utilized to keep learning fun and engaging. The camp included a pre-test given on the first day and an identical post-test administered on the last day. An interest survey was included in the post-test. Students were given one hour to complete the tests which contained a series of basic science and pharmacology questions. The results of the tests and survey were analyzed using paired t-tests to determine the impact of the camp on participant knowledge and performance. The post-test revealed significantly higher scores in biology, chemistry, and pharmacology and the test overall (p &lt; 0.05). Furthermore, survey data revealed that the camp increased student knowledge regarding pharmacology and drugs of abuse. Survey questions also highlighted student confidence in their current understanding of and progress through their high school science courses. The data collected are indicative of the success of this pilot program. Given these findings, we intend to continue educating students about pharmacology using this model. Additional studies will evaluate whether students take this educational success and interest further, choosing to direct their focus on pharmacology or other related fields.</t>
  </si>
  <si>
    <t>(Akers J.; Thompson K.; Carrier R.) Experimental Biology 2015, EB Boston, MA, United States 2015-03-28 to 2015-04-01 FASEB; ID: 829</t>
  </si>
  <si>
    <t>0892-6638</t>
  </si>
  <si>
    <t>Akram,G.;Bennie,M.;McKellar,S.;Michels,S.;Hudson,S.;Trundle,J.</t>
  </si>
  <si>
    <t>Effective delivery of pharmaceutical palliative care: challenges in the community pharmacy setting</t>
  </si>
  <si>
    <t>Journal of palliative medicine</t>
  </si>
  <si>
    <t>J.Palliat.Med.</t>
  </si>
  <si>
    <t>*Community Pharmacy Services;*Efficiency, Organizational;Focus Groups;Health Services Accessibility;Humans;*Palliative Care/og Organization &amp; Administration];Scotland;United States</t>
  </si>
  <si>
    <t>BACKGROUND: Medication, particularly analgesia, is an important component of palliative care. However, timely access to medication, particularly opioids, can become problematic for patients receiving palliative care in the community setting. In Scotland in 2009, NHS Greater Glasgow &amp; Clyde Health Board (NHS GG&amp;C), in partnership with Macmillan Cancer Support, established a programme to improve the local provision of pharmaceutical palliative care services with the appointment of Macmillan Pharmacist Facilitators. Researchers at the University of Strathclyde were commissioned to support the development and evaluation of this new service. We report the findings of this initial investigation into the provision of current palliative care services and outline an evidence-based action plan to support service improvement. METHODS AND RESULTS: Qualitative data were gathered using focus group interviews. Three key themes were identified: medication supply, communication, and education and training. CONCLUSIONS: The study findings have been used to develop an evidence-based action plan for the Macmillan Pharmacist Facilitators. This program of work is due for completion by December 2012.</t>
  </si>
  <si>
    <t>J2: J Palliat Med; Akram, Gazala Bennie, Marion McKellar, Susan Michels, Susanna Hudson, Stephen Trundle, Janet; ID: 211</t>
  </si>
  <si>
    <t>1557-7740</t>
  </si>
  <si>
    <t>Akram,Gazala. University of Strathclyde, Glasgow, United Kingdom. gazala.akram@strath.ac.uk</t>
  </si>
  <si>
    <t>http://ovidsp.ovid.com/ovidweb.cgi?T=JS&amp;CSC=Y&amp;NEWS=N&amp;PAGE=fulltext&amp;D=medl&amp;AN=22339286</t>
  </si>
  <si>
    <t>http://dx.doi.org/10.1089/jpm.2011.0262</t>
  </si>
  <si>
    <t>MEDLINE; Ovid Technologies; Effective delivery of pharmaceutical palliative care: challenges in the community pharmacy setting</t>
  </si>
  <si>
    <t>Alano,G. M.;dos,Santos Corr;Galato,D.;Author,Addresses;Departamento de Ciencias biologicas e da Saude,e de Ciencias;Aplicadas,Universidade do Sul de Santa Catarina Avenida Jos‚îú‚åê Ac‚îú√≠cio;Moreira,Dehon Tubar‚îú√∫o S. C. Brazil;Correspondence,Address;Alano, Departamento de Ciencias biologicas e da Saude e de Ciencias,G.M.;Sociais Aplicadas, Universidade do Sul de Santa Catarina,Avenida Jos;Ac‚îú√≠cio Moreira, Dehon Tubar‚îú√∫o,S.C.Brazil Email;graziela.alano@unisul.br</t>
  </si>
  <si>
    <t>22450418; Indicators of the pharmaceutical care service at the University of Southern Santa Catarina ORIGINAL (NON-ENGLISH) TITLE Indicadores do servi‚îú¬∫o de aten‚îú¬∫‚îú√∫o farmac‚îú¬¨utica (SAF) da universidade do sul de santa catarina</t>
  </si>
  <si>
    <t>Ciencia e Saude Coletiva</t>
  </si>
  <si>
    <t>March</t>
  </si>
  <si>
    <t>health care quality;hospital pharmacy;article;Brazil;cross-sectional study;female;human;male;middle aged;standard;university hospital</t>
  </si>
  <si>
    <t>Pharmaceutical Care has represented a new clinical practice for pharmacists. This study aims to show the indicators of the Pharmaceutical Care Service at the University of Southern Santa Catarina. Documentary analysis of pharmaceutical records of 58 patients was conducted between September 2007 and March 2008 to identify the indicators. Most patients were women (77.6%), with a mean age of 54 years. Average number of health problems per patient was 4.6 in the first visit and 4.3 in the last one. The most widely used drug classes were cardiovascular (30.2%) and nervous system (27.5%). On average, 2.7 drug-related problems per patient were detected, the most common being those related to effectiveness and safety. Of the problems identified, 82.2% were classified as preventable and 63.7% as manifested. Pharmaceutical interventions registered 79.0% of acceptance, of which 78.9% had positive results. On average, there were 2.6 patient- related needs, especially regarding questions about drug therapy (30.4%), which were positively answered in 84.8% of cases. These indicators show that the pharmaceutical care service is very active in promoting health education.</t>
  </si>
  <si>
    <t>(Alano G.M., graziela.alano@unisul.br; dos Santos Corr‚îú¬¨a T.; Galato D.) Associacao Brasileira de Pos, Av. Brasil, 4036-sala 700 Manguinhos, Rio de Janeiro, Brazil.; ID: 1188</t>
  </si>
  <si>
    <t>1413-8123 1678-4561 (electronic)</t>
  </si>
  <si>
    <t>English, Portuguese</t>
  </si>
  <si>
    <t>http://www.ncbi.nlm.nih.gov/pubmed/22450418</t>
  </si>
  <si>
    <t>Indicators of the pharmaceutical care service at the University of Southern Santa Catarina ORIGINAL (NON-ENGLISH) TITLE Indicadores do servi‚îú¬∫o de aten‚îú¬∫‚îú√∫o farmac‚îú¬¨utica (SAF) da universidade do sul de santa catarina</t>
  </si>
  <si>
    <t>Al-Arifi,M.</t>
  </si>
  <si>
    <t>Community pharmacists attitudes towards mental illness and providing pharmaceutical care for mentally ill patients</t>
  </si>
  <si>
    <t>Neurosciences</t>
  </si>
  <si>
    <t>OBJECTIVE: To examine the attitudes of community pharmacist to both mental illness and provision of pharmaceutical care. METHODS: The study was conducted from May 2006 to September 2006 in College of Pharmacy, King Saud University, Riyadh, Saudi Arabia. The survey composed of the demographic characteristics of the respondents, who were asked 6 Likert type questions on the attitudes of the pharmacists toward mental illness, providing pharmaceutical care to mentally ill patients, the barriers of the provision of the service and differentiation between different types of mental illness. RESULTS: Forty-three pharmacists participated in the study. Eighty-eight percent of the pharmacists felt that mental illness was the same as other illnesses. Sixty-six percent of the respondents "strongly agree," or "agree" that mentally ill patients were easily recognizable. Thirty-three percent of the respondents "disagree," or "strongly disagree" that mentally ill patients have no ability to tell right from wrong. In general, 43.3-87.7% of respondents are being "much more" or "more" interested, comfortable, and confident to perform pharmaceutical care to mentally ill patients. An average range of 30-67% of respondents felt neutral, or "much more" or "more" comfortable, confident for screening and solving drug-related problems, and compliance with drug therapy. Barriers that limit the provision of pharmaceutical care to the mentally ill patients include the lack of training in pharmaceutical care practice (88.4%), lack of therapeutic knowledge (83.7%), lack of documentation skill (79%), lack of communication (76.8%), lack of space for counseling (76.7%), insufficient time (74.5%) and lack of staff (72.1%). CONCLUSION: Although pharmacists have positive attitudes to both mental illness and providing pharmaceutical care to mentally ill patients, they felt uncomfortable counseling or carrying out follow-up monitoring of patients for adverse drug-related problems.</t>
  </si>
  <si>
    <t>J2: Neurosciences; Al-Arifi, Mohammed N; ID: 195</t>
  </si>
  <si>
    <t>1319-6138</t>
  </si>
  <si>
    <t>Al-Arifi,Mohammed N. Drug and Poison Information Center, College of Pharmacy, King Saud University, Riyadh, Kingdom of Saudi Arabia. Tel. +966 (1) 4677352. Fax. +966 (1) 4674229. E-mail: malarifi@ksu.edu.sa.</t>
  </si>
  <si>
    <t>http://ovidsp.ovid.com/ovidweb.cgi?T=JS&amp;CSC=Y&amp;NEWS=N&amp;PAGE=fulltext&amp;D=prem&amp;AN=21063372</t>
  </si>
  <si>
    <t>MEDLINE; Ovid Technologies; Community pharmacists attitudes towards mental illness and providing pharmaceutical care for mentally ill patients</t>
  </si>
  <si>
    <t>Al-Arifi,M.;Author,Addresses;College,of Pharmacy;University,P. O. B.;Correspondence,Address;MN Al-Arifi, College of Pharmacy King Saud,University P.;Riyadh,Saudi Arabia Email malarifi ksu edu sa</t>
  </si>
  <si>
    <t>15951896; Smoking habits among pharmacy students at a University in central Saudi Arabia</t>
  </si>
  <si>
    <t>Saudi medical journal</t>
  </si>
  <si>
    <t>Saudi Med.J.</t>
  </si>
  <si>
    <t>May</t>
  </si>
  <si>
    <t>medical student;pharmacy;smoking habit;adult;age;article;attitude;awareness;bladder cancer;chronic obstructive lung disease;controlled study;coping behavior;data analysis;demography;disease association;education program;family life;gastrointestinal disease;health hazard;health personnel attitude;heart disease;human;human relation;job performance;lung cancer;mental stress;newborn mortality;Parkinson disease;patient counseling;pharmacist;prevalence;public health;public health service;questionnaire;reliability;risk factor;Saudi Arabia;smoking;smoking cessation;social aspect;tobacco dependence;university;Chest Diseases, Thoracic Surgery and Tuberculosis (15);Cancer (16);Public Health, Social Medicine and Epidemiology (17);Cardiovascular Diseases and Cardiovascular Surgery (18);Urology and Nephrology (28);Gastroenterology (48)</t>
  </si>
  <si>
    <t>(Al-Arifi M.N., malarifi@ksu.edu.sa) Saudi Arabian Armed Forces Hospital, P.O. Box 7897, Riyadh, Saudi Arabia.; ID: 1547</t>
  </si>
  <si>
    <t>0379-5284</t>
  </si>
  <si>
    <t>http://www.ncbi.nlm.nih.gov/pubmed/15951896</t>
  </si>
  <si>
    <t>Smoking habits among pharmacy students at a University in central Saudi Arabia</t>
  </si>
  <si>
    <t>Alderman,C. P.;Farmer,C.</t>
  </si>
  <si>
    <t>A brief analysis of clinical pharmacy interventions undertaken in an Australian teaching hospital</t>
  </si>
  <si>
    <t>Journal of quality in clinical practice</t>
  </si>
  <si>
    <t>J.Qual.Clin.Pract.</t>
  </si>
  <si>
    <t>Aged;Aged, 80 and over;Australia;Cardiovascular Diseases/dt Drug Therapy];*Drug Therapy/st Standards];Drug Utilization Review;Female;Health Services Research;*Hospitals, Teaching/og Organization &amp; Administration];Hospitals, Teaching/st Standards];Humans;Male;*Medication Errors/pc Prevention &amp; Control];Medication Errors/sn Statistics &amp; Numerical Data];Middle Aged;*Pharmacy Service, Hospital/og Organization &amp; Administration];Pharmacy Service, Hospital/st Standards];Prospective Studies</t>
  </si>
  <si>
    <t>Selected clinical pharmacy interventions undertaken during a 30-day data capture period were analysed, seeking to gain a greater understanding of the nature of the drug-related problems involved. Pharmacists were asked to record only interventions that were of potentially major significance. A total of 67 interventions were submitted for analysis. In 28 cases (41.7% of the initial total) the intervention reports were excluded from further analysis after initial review. For the remaining 39 interventions, 20 patients (51%) were under the care of a medical unit, and cardiovascular/antithrombotic agents accounted for 17 reports (43.5%). The majority of interventions were implemented at the time of inpatient medication order review by the clinical pharmacist (n=25, 64%). The most common category of drug-related problem addressed in the interventions related to the prescription of inappropriately high doses of the correct drug for the patient (n=17, 43.6%). Deficiencies in technical knowledge accounted for less than 25% of all cases.</t>
  </si>
  <si>
    <t>J2: J Qual Clin Pract; Alderman, C P Farmer, C; ID: 529</t>
  </si>
  <si>
    <t>1320-5455</t>
  </si>
  <si>
    <t>Alderman,C P. Quality Use of Medicines and Pharmacy Research Centre, University of South Australia, Adelaide, South Australia. Chris.Alderman@rgh.sa.gov.au</t>
  </si>
  <si>
    <t>http://ovidsp.ovid.com/ovidweb.cgi?T=JS&amp;CSC=Y&amp;NEWS=N&amp;PAGE=fulltext&amp;D=med4&amp;AN=11856403</t>
  </si>
  <si>
    <t>MEDLINE; Ovid Technologies; A brief analysis of clinical pharmacy interventions undertaken in an Australian teaching hospital</t>
  </si>
  <si>
    <t>Alexander,M. D.;Rao,K. V.;Khan,T. S.;Deal,A. M.;Alexander,M. D.;Rao,K. V.;Khan,T. S.;Deal,A. M.</t>
  </si>
  <si>
    <t>ReCAP: Pharmacists' Impact in Hematopoietic Stem-Cell Transplantation: Economic and Humanistic Outcomes</t>
  </si>
  <si>
    <t>Journal of oncology practice/American Society of Clinical Oncology</t>
  </si>
  <si>
    <t>QUESTION ASKED: What is the impact of clinical pharmacy services in the care of patients undergoing hematopoietic stem-cell transplantation? SUMMARY ANSWER: Pharmacy services in this patient population result in additional revenue generation through pharmacy billing, provider time savings, and outpatient pharmacy prescription referrals. Additionally, both patients and providers have very positive perceptions of the value of pharmacists' involvement in hematopoietic stem cell transplant care. METHODS: Pharmacy services were (1) translated to revenue generated through pharmacy billing and prescription revenue, (2) associated with time savings estimated by providers, and (3) evaluated for patient and provider perceptions via survey analysis. BIAS, CONFOUNDING FACTORS, DRAWBACKS: In our evaluation, the economic impact of pharmacy services is estimated by pharmacy billing, provider time savings, and prescription revenue. Although prescription revenue is estimated by actual revenue generated after reimbursements, billing for pharmacy services and provider time savings serve as estimates of potential revenue generated and opportunity for additional revenue. Although pharmacists bill for services via facility fee charges, it is challenging to capture actual reimbursement data for pharmacy charges billed, particularly due to the bundling of charges submitted by pharmacists and other providers. Thus, we have used charges submitted as a measure of potential revenue generation. However, to estimate reimbursement, we captured the difference in charges before and after pharmacy services, estimating an average amount charged per patient for pharmacy services. We then considered the contracted reimbursement rates of common third-party payers to estimate an average reimbursement rate for pharmacy services. Although the provider time savings we have demonstrated are not a direct measure of revenue, it should be considered that physicians and advanced practice professionals can bill for services at higher levels than can pharmacists, making time for additional patient visits an opportunity for additional revenue. REAL-LIFE IMPLICATIONS: Our data show that pharmacists can have meaningful impacts on economic and humanistic outcomes in the hematopoietic stem-cell transplantation setting. We demonstrate how pharmacy services in this setting offer several opportunities for revenue generation. Proof of economic advantage is vital as this allows for justification of continued expansion and growth of pharmacy services in the stem-cell transplantation setting. Furthermore, we show that both patients and providers have positive perceptions of having pharmacists involved in the care of patients undergoing stem-cell transplantation. These positive perceptions are key to allowing pharmacists to continue to explore innovative ways to serve their patients and provider colleagues. With justification for sustained pharmacy services, the ultimate goal is to show that these services have a positive impact on patient outcomes.jop;12/2/147/T01T1T01Table A1.Summary of Survey Responses for Expectation and Experience DomainsQuestion About the Role of PharmacistsPatientsProviders (N = 50)ExpectationExperienceExpectationExperiencePre (n = 27)Post (n = 83)Post (n = 83)Educate about safe and appropriate use of medications related to bone marrow transplantation88.998.810010098.0Educate about safe and appropriate use of medications not related to bone marrow transplantation77.890.187.988.092.0Be a reliable source of general drug information88.998.896.4100100Be a reliable source of clinical drug information.92.610098.810096.0Assist doctors in designing a medication regimen92.697.598.894.098.0Monitor response to medications, including adverse effects88.996.393.986.088.0Work with the patient and physician to help manage medications88.996.395.294.094.0Take personal responsibility for drug-related problems80.896.392.890.090.0Update medication profile at each point in care92.696.289.290.087.8Educate patients about their bone marrow transplantation69.271.673.562.079.6NOTE. Data are presented as percentage of positive responses (&gt; 80% indicates successful service delivery).Copyright ‚î¨‚åê 2016 by American Society of Clinical Oncology.</t>
  </si>
  <si>
    <t>J2: J Oncol Pract; Alexander, Maurice D Rao, Kamakshi V Khan, Tippu S Deal, Allison M; ID: 758</t>
  </si>
  <si>
    <t>1935-469X</t>
  </si>
  <si>
    <t>Alexander,Maurice D. University of North Carolina Medical Center; and UNC Lineberger Comprehensive Cancer Center, Chapel Hill, NC maurice.alexander@unchealth.unc.edu. Rao,Kamakshi V. University of North Carolina Medical Center; and UNC Lineberger Comprehensive Cancer Center, Chapel Hill, NC. Khan,Tippu S. University of North Carolina Medical Center; and UNC Lineberger Comprehensive Cancer Center, Chapel Hill, NC. Deal,Allison M. University of North Carolina Medical Center; and UNC Lineberger Comprehensive Cancer Center, Chapel Hill, NC. Alexander,Maurice D. University of North Carolina Medical Center; and UNC Lineberger Comprehensive Cancer Center, Chapel Hill, NC maurice.alexander@unchealth.unc.edu. Rao,Kamakshi V. University of North Carolina Medical Center; and UNC Lineberger Comprehensive Cancer Center, Chapel Hill, NC. Khan,Tippu S. University of North Carolina Medical Center; and UNC Lineberger Comprehensive Cancer Center, Chapel Hill, NC. Deal,Allison M. University of North Carolina Medical Center; and UNC Lineberger Comprehensive Cancer Center, Chapel Hill, NC.</t>
  </si>
  <si>
    <t>http://ovidsp.ovid.com/ovidweb.cgi?T=JS&amp;CSC=Y&amp;NEWS=N&amp;PAGE=fulltext&amp;D=prem&amp;AN=26787757</t>
  </si>
  <si>
    <t>http://dx.doi.org/10.1200/JOP.2015.008797</t>
  </si>
  <si>
    <t>MEDLINE; Ovid Technologies; ReCAP: Pharmacists' Impact in Hematopoietic Stem-Cell Transplantation: Economic and Humanistic Outcomes</t>
  </si>
  <si>
    <t>Alexander,P. E.;Author,Addresses</t>
  </si>
  <si>
    <t>1813604; Management of panic disorders</t>
  </si>
  <si>
    <t>Journal of psychoactive drugs</t>
  </si>
  <si>
    <t>J.Psychoactive Drugs</t>
  </si>
  <si>
    <t>(MAJOR FOCUS);alprazolam (adverse drug reaction, drug therapy);benzodiazepine derivative (adverse drug reaction, drug therapy);fluoxetine (adverse drug reaction, drug therapy);monoamine oxidase inhibitor (adverse drug reaction, drug therapy);tricyclic antidepressant agent (adverse drug reaction, drug dose, drug;therapy);caffeine (adverse drug reaction);desipramine (adverse drug reaction, drug therapy);imipramine (adverse drug reaction, drug therapy);phenelzine (adverse drug reaction, drug therapy);panic (drug therapy, side effect, therapy);diet;drug dependence (side effect);human;mania (side effect);orthostatic hypotension (side effect);review;tachycardia (side effect);alprazolam (28981-97-7);caffeine (58-08-2);desipramine (50-47-5, 58-28-6);fluoxetine (54910-89-3, 56296-78-7, 59333-67-4);imipramine (113-52-0, 50-49-7);phenelzine (156-51-4, 51-71-8);Psychiatry (32);Drug Literature Index (37);Adverse Reactions Titles (38)</t>
  </si>
  <si>
    <t>Panic disorders are medical conditions requiring an eclectic treatment approach that often combines pharmacotherapeutics with education, cognitive- behavior therapy, and psychodynamic therapy. This article focuses on the management of medication within this framework. The medications that have been found to be effective include tricyclic antidepressants, fluoxetine, monoamine oxidase inhibitors, and higher potency benzodiazepines. Although alprazolam is the most studied medication and acts very rapidly, each type of medication has unique advantages and liabilities. The general treatment strategy with all the medications is to start with a low dose and increase it slowly until side effects develop or panic attacks cease. The treatment approach should be oriented toward a chronic illness that often requires long-term medication.</t>
  </si>
  <si>
    <t>(Alexander P.E.) Haight-Ashbury Publications, 612 Clayton Street, San Francisco, United States.; ID: 1722</t>
  </si>
  <si>
    <t>0279-1072</t>
  </si>
  <si>
    <t>http://www.ncbi.nlm.nih.gov/pubmed/1813604</t>
  </si>
  <si>
    <t>Management of panic disorders</t>
  </si>
  <si>
    <t>Al-Hajje,A.;Atoui,F.;Awada,S.;Rachidi,S.;Zein,S.;Salameh,P.</t>
  </si>
  <si>
    <t>Drug-related problems identified by clinical pharmacist's students and pharmacist's interventions</t>
  </si>
  <si>
    <t>Annales Pharmaceutiques Francaises</t>
  </si>
  <si>
    <t>Ann.Pharm.Fr.</t>
  </si>
  <si>
    <t>Aged;Drug Prescriptions;*Drug-Related Side Effects and Adverse Reactions;Female;Hospitals;Humans;Lebanon;Male;Medication Errors/pc Prevention &amp; Control];Middle Aged;*Pharmacists;Pharmacy Service, Hospital;Prospective Studies;*Students, Pharmacy;Teaching Rounds</t>
  </si>
  <si>
    <t>BACKGROUND: Drug-related problems constitute a major public health problem, because of their consequences on morbidity, mortality and cost. PATIENTS AND METHODS: A 6-month prospective study was conducted, including hospitalized patients in the internal medicine ward of the University Hospital of Beirut, in order to identify drug-related problems by clinical pharmacist's students participating in routine medical rounds, to assess the characteristics of patients presenting these drug-related problems and to analyze pharmacist's interventions. RESULTS: Ninety patients presenting drug-related problems were identified. Thirty-two percent were hydro-electrolytic problems and 24% gastrointestinal. Cardiovascular drugs were the most frequently implicated (44%), followed by anticoagulants (17%) and corticosteroids (14%). The most commonly identified drug-related problems were drug interactions (37%), overdosage (28%), non-conformity to guidelines or contra-indications (23%), underdosage (10%) and improper administration (2%). The clinical pharmacist's interventions consisted of dose adjustment (38%), addition drugs (31%), changes in drugs (29%) and optimization of administration (2%). DISCUSSION AND CONCLUSION: To decrease the risk of drug-related problems, drug treatment requires physicians to abide by prescribing recommendations, notably in elderly patients, as well as pharmacists' effective intervention at all levels. Routine participation of clinical pharmacists in clinical medical rounds facilitates the identification of drug-related problems and may prevent their occurrence.Copyright ‚î¨‚åê 2012 Elsevier Masson SAS. All rights reserved.</t>
  </si>
  <si>
    <t>J2: Ann Pharm Fr; Al-Hajje, A H Atoui, F Awada, S Rachidi, S Zein, S Salameh, P; ID: 193</t>
  </si>
  <si>
    <t>Al-Hajje,A H. Clinical Pharmacy Department, Faculty of Pharmacy, Lebanese University, Hadath, Beirut, Lebanon. hajj.amal@hotmail.com</t>
  </si>
  <si>
    <t>http://ovidsp.ovid.com/ovidweb.cgi?T=JS&amp;CSC=Y&amp;NEWS=N&amp;PAGE=fulltext&amp;D=medl&amp;AN=22655585</t>
  </si>
  <si>
    <t>http://dx.doi.org/10.1016/j.pharma.2012.02.004</t>
  </si>
  <si>
    <t>MEDLINE; Ovid Technologies; Drug-related problems identified by clinical pharmacist's students and pharmacist's interventions</t>
  </si>
  <si>
    <t>Ali Khan,B.;Akhtar,N.;Braga,V. A.;Author,Addresses;Departmentof,Pharmacy;Faculty of,Pharmacy;Alternative Medicine, The Islamia,University of;Bahawalpur,Bahawalpur Pakistan;Laboratory of Pharmaceutical Technology, Federal,University of;Paraiba,Jo‚îú√∫o Pessoa Brazil;Correspondence,Address;Ali Khan, Departmentof Pharmacy Faculty of Pharmacy,B.;Alternative;Medicine,The Islamia University of Bahawalpur Bahawalpur city;Pakistan Email, barki gold,gmail com</t>
  </si>
  <si>
    <t>Anti-aging effects of Hippophae rhamnoides emulsion on human skin</t>
  </si>
  <si>
    <t>Tropical Journal of Pharmaceutical Research</t>
  </si>
  <si>
    <t>(MAJOR FOCUS);Hippophae rhamnoides extract (pharmaceutics, pharmacology, topical drug;administration);1,1 diphenyl 2 picrylhydrazyl;collagen (endogenous compound);placebo;scavenger (endogenous compound);cutaneous parameters;Hippophae rhamnoides;adult;antioxidant activity;article;chloasma;drug formulation;drug mechanism;elasticity;emulsion;erythema;human;human experiment;informed consent;male;non invasive procedure;normal human;patch test;skin;skin irritation;skin pruritus;skinfold thickness;viscoelasticity;Cutometer MPA 580 , GermanyCourage Khazaka;(Germany)Courage Khazaka;1,1 diphenyl 2 picrylhydrazyl (1898-66-4);collagen (9007-34-5);Dermatology and Venereology (13);Biophysics, Bioengineering and Medical Instrumentation (27);Clinical and Experimental Pharmacology (30);Drug Literature Index (37)</t>
  </si>
  <si>
    <t>Purpose: This study aimed to evaluate the effects of topically applied water-in-oil (w/o) emulsion of Hippophae rhamnoides using standard R cutometer parameters. Methods: A w/o emulsion of 1 % hydro-alcoholic extract of H. rhamnoides (formulation) and placebo control (base) were used in the study. Eleven healthy male volunteers with a mean age of 24.5 years were selected after obtaining informed consent. The subjects were assigned to blindly use either the formulation or the base for 7 consecutive weeks. The skin mechanical parameters determined with a cutometer, were R0 (first maximum amplitude), R2 (gross-elasticity), R6 (viscoelasticity), R7 (biological elasticity) and R8 (total recovery). In addition, the antioxidant activity of the formulation was evaluated by 1, 1-diphenil-2-picrylhydrazyl (DPPH) method. Results: Topical application of 1 % organic extract emulsion of H. rhamnoides improved most of the biomechanical parameters evaluated when compared to the base group (p &lt; 0.05). However, skin extensibility and firmness of the active formulation- and base-treated groups (R0) were not different (p &lt; 0.01). Of note, a significant correlation between the active formulation and the improvement of the skin mechanical parameters was observed. The active formulation was found to be superior than the placebo control. Conclusion: The topical antioxidant emulsion of H. rhamnoides significantly improved skin biomechanical parameters after 7 weeks of treatment. The data obtained suggest that H. rhamnoides could be an alternative pharmacological tool for treating age-related loss of skin elasticity. ‚î¨‚åê Pharmacotherapy Group, Faculty of Pharmacy, University of Benin, Benin City, 300001 Nigeria. All rights reserved.</t>
  </si>
  <si>
    <t>(Ali Khan B., barki.gold@gmail.com; Akhtar N.) (Braga V.A.) Pharmacotherapy Group, Benin City, Nigeria.; ID: 1092</t>
  </si>
  <si>
    <t>1596-5996 1596-9827 (electronic)</t>
  </si>
  <si>
    <t>2013009786 FULL TEXT LINK http://dx.doi.org/10.4314/tjpr.v11i6.12</t>
  </si>
  <si>
    <t>Ali,H. M.</t>
  </si>
  <si>
    <t>Problems in assessing rationality of drug utilization in less developed countries</t>
  </si>
  <si>
    <t>Acta Medica Scandinavica - Supplementum</t>
  </si>
  <si>
    <t>*Developing Countries;*Drug Utilization;Education, Medical;Epidemiologic Methods;Health Policy;Humans;Pharmacology/ed Education];Pharmacy Administration;Sudan</t>
  </si>
  <si>
    <t>Less developed countries are facing various difficulties in assessing rationality of drug utilization. The problems are essentially related to four major areas; (a) Policies, administration and management, (b) Practice and services, (c) Education and training, (d) Monitoring and research. Drug policies have often failed to recognise the importance of identifying the levels of rationality of the various components of drug utilization. Consequently, neither the need nor the mechanisms to assess rationality were considered. Drug utilization data and records have been poorly developed and maintained, e.g. mal-managed, inaccurate, and without continuity with regard to collection, monitoring and evaluation. Provision and supply of drugs were handled by an unnecessary multiplicity of departments and state offices, none of which keeping complete records and/or information in relation to needs of drugs nor other health care requirements. Deficiencies and shortcomings associated with medical/pharmaceutical practice, services, education and training have as well contributed significantly to the failure of the less developed countries to assess and promote rationality of drug utilization.</t>
  </si>
  <si>
    <t>J2: Acta Med Scand Suppl; Ali, H M; ID: 690</t>
  </si>
  <si>
    <t>0365-463X</t>
  </si>
  <si>
    <t>Ali,H M. Department of Pharmacology, Faculty of Pharmacy, University of Khartoum, Sudan.</t>
  </si>
  <si>
    <t>http://ovidsp.ovid.com/ovidweb.cgi?T=JS&amp;CSC=Y&amp;NEWS=N&amp;PAGE=fulltext&amp;D=med3&amp;AN=3162632</t>
  </si>
  <si>
    <t>MEDLINE; Ovid Technologies; Problems in assessing rationality of drug utilization in less developed countries</t>
  </si>
  <si>
    <t>Ali,S.;Spiteri,K.;Author,Addresses;Wayne,State University;States;Correspondence,Address;Ali, Wayne State University United States Email ao wayne edu,S.</t>
  </si>
  <si>
    <t>Contributions to patient care from P3 IPPE students during an interprofessional older adult home visit</t>
  </si>
  <si>
    <t>Journal of the American Pharmacists Association</t>
  </si>
  <si>
    <t>March-April</t>
  </si>
  <si>
    <t>non prescription drug;adult;human;patient care;professional practice;student;community;drug therapy;health care personnel;immunization;learning;lifestyle;medical student;medication therapy management;monitoring;patient;patient education;pharmacist;pharmacy;pill;prescription;religion;side effect;statistics;storage</t>
  </si>
  <si>
    <t>Objective: To quantify medication use and classify drug related problems (DRPs) discovered by third-year student pharmacists (P3s) during medication reviews performed in older adult homes during interprofessional team visits. Methods: During an interprofessional collaborative learning experience with second- year medical students, P3s conducted a medication therapy management (MTM) review including a comprehensive medication history and assessment of the older adult's pill box and medication storage in the home. Medication calendars and DRP recommendations were prepared by each P3 and finalized with a pharmacy preceptor. Older adults, who had been recruited from community centers, church groups, and geriatric specialty centers, granted assent to use of their information. During the second visit or phone call, the P3 explained the recommendations and calendar to the older adult. Two second-year student pharmacists categorized medications and classified severity of DRPs related to medicine benefits and side effects using the Severity of Error in Medication Order scale (AJHP 99;56:2449). Discrepancies were resolved by discussion between the student evaluators. Descriptive statistics were calculated with SPSS version 19. Results: 80 older adults used 8.9 ‚î¨‚ñí 3.9 medications (prescriptions, herbals, and over-the-counters; total 711) and had 10.7 ‚î¨‚ñí 5.7 DRPs (range 2-23; total 861). Cardiovascular medications were the most commonly used medications (3.3 ‚î¨‚ñí 1.7 medications). The most common DRP recommendation categories were medicine benefit and side effects (22%), monitoring (19%), patient education (17%), lifestyle (17%), and adherence (16%). The highest DRP subtype was starting an over-the-counter medication for untreated condition. The majority of patient education recommendations were related to immunizations. Most medicine benefit and side effects DRP severities (total 191) were classified as significant (61%) or minor (34%) with 5% of the recommendations considered serious, with patients encouraged to see health care provider soon. Conclusion: Student pharmacist involvement in home visit MTM reviews was effective at identifying important DRPs.</t>
  </si>
  <si>
    <t>(Ali S., ao5292@wayne.edu; Spiteri K.) APhA2012 New Orleans, LA, United States 2012-03-09 to 2012-03-12 American Pharmacists Association; ID: 1183</t>
  </si>
  <si>
    <t>1544-3191</t>
  </si>
  <si>
    <t>Aljadhey,H.;Assiri,G.;Adam,M.;Author,Addresses;Medication Safety,Research Dep;University,Riyadh Saudi Arabia;Correspondence,Address;Aljadhey, Medication Safety Research Dep King Saud University Riyadh,H.;Saudi,Arabia</t>
  </si>
  <si>
    <t>Safety of non-prescription medications: Knowledge and attitude of community pharmacy customers in saudi arabia</t>
  </si>
  <si>
    <t>Pharmacoepidemiology and drug safety</t>
  </si>
  <si>
    <t>Pharmacoepidemiol.Drug Saf.</t>
  </si>
  <si>
    <t>August</t>
  </si>
  <si>
    <t>21 SUPPL. 3</t>
  </si>
  <si>
    <t>antibiotic agent;community;drug therapy;pharmacoepidemiology;pharmacy;prescription;risk management;safety;Saudi Arabia;abuse;adverse drug reaction;city;cross-sectional study;death;drug dependence;drug interaction;hospitalization;human;intoxication;medical information;patient;pharmacist;pharmacy student;physician;questionnaire;risk</t>
  </si>
  <si>
    <t>Background: The use of prescription medications as over the counter (OTC ) is an increasing and under-recognized problem that can lead to death and poisoning associated with abuse and misuse, antibiotics resistance and misuse, adverse drug reactions, drug dependence, hospitalization and drug- drug interactions. Objectives: The objective of the study was to measure the frequency of dispensing prescription and non- prescription medications, customers' knowledge and attitude toward medication safety, measure the frequency of illegally dispensing prescription medications without a prescription in community pharmacies in Riyadh city and customers' source and access to medical information. Methods: This prospective cross sectional study was conducted at community pharmacies in Riyadh City, Saudi Arabia. Over 4 weeks (May - June) 2011, Five pharmacy students collected 428 self administered questionnaires from customers who were buying prescription or non- prescription medications. Results: A total of 428 patients participated in the survey. Out of 203 patients had non-prescription medications, 89 patients obtain their medications as OTC although they need prescription. The percentage of dispensing medication without prescription to the total of prescription medications is 30%. More than 66% patient knows that there should be a prescription for their prescription medications. The reason for buying medication without prescription was not avoiding the cost of doctors' visits. The source of medications information in the majority of patient 80% are doctors or pharmacists. Conclusions: Dispensing prescription medications as OTC was inappropriate. Although knowledge and attitude of customers toward safe use of non prescription medications show safe attitude, but there were misuse and abuse and an exchange of psychiatric and other medications in large quantities. There should be control and restriction of medications including quantities dispensed and not limiting it to antibiotics only, but also medications that are in the risk of misuse by the patient.</t>
  </si>
  <si>
    <t>(Aljadhey H.; Assiri G.; Adam M.) 28th International Conference on Pharmacoepidemiology and Therapeutic Risk Management, ICPE 2012 Barcelona, Spain 2012-08-23 to 2012-08-26 John Wiley and Sons Ltd; ID: 1125</t>
  </si>
  <si>
    <t>1053-8569</t>
  </si>
  <si>
    <t>Al-Kattan,T.;White,S.;Author,Addresses;Keele University,Staffordshire,United Kingdom;Correspondence,Address;Al-Kattan, Keele University Staffordshire United Kingdom,T.</t>
  </si>
  <si>
    <t>University students' perspectives on community pharmacy public health services: A qualitative study</t>
  </si>
  <si>
    <t>October</t>
  </si>
  <si>
    <t>19 SUPPL. 2</t>
  </si>
  <si>
    <t>alcohol;community;health care organization;pharmacy;public health service;qualitative research;university student;alcohol consumption;blood pressure;Chlamydia;confidentiality;consultation;drug misuse;exposure;female;health;health promotion;health service;human;interview;male;monitoring;needle;pharmacist;pharmacy student;population;privacy;professional standard;purposive sample;research ethics;risk;school;screening;sexual behavior;sexual health;smoking cessation;student;syringe;United Kingdom;university;weight</t>
  </si>
  <si>
    <t>Introduction In recent years, an increased variety of public health services have been provided by community pharmacies in addition to the supply of medicines, for example smoking cessation services, alcohol reduction and weight management programmes, physiological measurement monitoring (e.g. blood pressure), Chlamydia screening, supply of EHC, and syringe and needle exchange services.(1) However, previous studies have suggested that the general public may be largely unaware of these extended services.(2) University students may be at particular risk of adverse health outcomes as a result of exposure to excess alcohol consumption, drugs and risky sexual behaviour, 3 and subsequently may benefit from these services pro- vided by community pharmacies. However, little is known about students' perspectives on community pharmacy public health services. As such, this study aimed to explore a group of University students' perspectives on these services. Method Following ethical approval from the School of Pharmacy Research Ethics Committee, qualitative interviews were conducted online with a purposive sample of 12 students using mobile-instant-messaging-applications. Participants were recruited by emailing all students at the University, personal contact with secretaries of University clubs and societies, and by posting messages on Student Union message boards. Those who responded were asked which course they were studying and whether or not they were from the</t>
  </si>
  <si>
    <t>(Al-Kattan T.; White S.) Royal Pharmaceutical Society Conference 2011 London, United Kingdom 2011-09-11 to 2011-09-12 Pharmaceutical Press; ID: 1224</t>
  </si>
  <si>
    <t>Alkon,D. L.;Matzel,L. D.;Collin,C.;Author,Addresses;National,Institutes of;Laboratory of,Molecular;Cellular Neurobiology, Bethesda M. D.;Correspondence,Address;DL Alkon, National Institutes of Health Laboratory of,Molecular and;Cellular Neurobiology, Bethesda M. D.</t>
  </si>
  <si>
    <t>1845561; Molecular mechanisms of memory and drug dependence</t>
  </si>
  <si>
    <t>Alcohol and alcoholism</t>
  </si>
  <si>
    <t>addiction;memory;snail;animal;human;pathophysiology;physiology;psychological aspect;review;synapse</t>
  </si>
  <si>
    <t>Addiction has long been thought to include both metabolic and psychological dependence. Psychological dependence must involve long-term memory of behavioral patterns in response to specific experimental contexts. Mammalian memory, and more specifically, human memory, is largely associative. Animal models of associative memory have been provided by Pavlovian conditioning of the snail Hermissenda crassicornis and the rabbit. Striking parallels have been observed in the intrinsic molecular and biophysical transformations which accompany acquisition of the conditioned response in these different animals. In brief, associated stimuli cause elevation of Ca2+ and diacylglycerol, translocation of protein kinase C, phosphorylation of a membrane-associated G-protein, reduction of K+ currents, modification of axonal transport and structural alterations of neuronal branches. These changes can be understood and modelled as a plausible basis for memory acquisition during conditioning as well as more cognitively relevant learning such as spatial maze learning for which related neuronal alterations have recently been found. Identification of memory-specific molecular steps may help target pharmacologic agents for amelioration of learned aspects of psychiatric syndromes such as those of drug dependence.</t>
  </si>
  <si>
    <t>(Alkon D.L.; Matzel L.D.; Collin C.); ID: 1720</t>
  </si>
  <si>
    <t>1358-6173</t>
  </si>
  <si>
    <t>http://www.ncbi.nlm.nih.gov/pubmed/1845561</t>
  </si>
  <si>
    <t>Molecular mechanisms of memory and drug dependence</t>
  </si>
  <si>
    <t>Allenet,B.;Bedouch,P.;Brudieu,E.;Chen,C.;Chevrot,D.;Tessier,A.;Trivin,C.;Rousseau,A.;Colle,E.;Calop,J.;Author,Addresses;Pharmacy Department,Grenoble;University Hospital,Grenoble France;Language Department, Medicine Pharmacy,School of;Grenoble,Grenoble France;Correspondence,Address;Allenet, Pharmacy Department Grenoble University Hospital Grenoble,B.;France. Email, ballenet chu-grenoble fr</t>
  </si>
  <si>
    <t>Physicians' acceptance of pharmacy residents' recommendations on drug therapy</t>
  </si>
  <si>
    <t>Pharmacy Education</t>
  </si>
  <si>
    <t>pharmacist;physician attitude;article;drug dose regimen;drug monitoring;drug therapy;education program;human;interpersonal communication;learning;priority journal;skill;Public Health, Social Medicine and Epidemiology (17)</t>
  </si>
  <si>
    <t>The objective of this study was to evaluate the impact of a training program delivered to pharmacy residents. During their clinical pharmacy training program, the residents have to learn more about how to deal with drug related problems, develop clinically relevant recommendations, and develop communication skills to make therapeutic recommendations acceptable for the prescriber. Six pharmacy residents, working in different clinical wards, collected data during six consecutive weeks every time they gave a recommendation to a prescribing physician. The main issue was the prescribers' level of acceptance of pharmacy residents' recommendations. The items taken into account were the type of recommendation, the physician's status and the mode of interaction between pharmacy residents and prescribers. Two hundred and twenty one interventions were collected. The major recommendations were changing drug regimen (39%) and enhancing monitoring (31%). The rate of prescribers' acceptance of recommendations made by pharmacy residents was 47% (higher for senior prescribers (59%) than junior prescribers (41%)). Oral recommendations of around 80% were accepted. ‚î¨‚åê 2004 Taylor &amp; Francis Ltd.</t>
  </si>
  <si>
    <t>(Allenet B., ballenet@chu-grenoble.fr; Bedouch P.; Brudieu E.; Chen C.; Chevrot D.; Tessier A.; Trivin C.; Calop J.) (Rousseau A.; Colle E.); ID: 1566</t>
  </si>
  <si>
    <t>1560-2214</t>
  </si>
  <si>
    <t>2004438295 FULL TEXT LINK http://dx.doi.org/10.1080/15602210410001724112</t>
  </si>
  <si>
    <t>Allott,K.;Redman,J.</t>
  </si>
  <si>
    <t>Are there sex differences associated with the effects of ecstasy/3,4-methylenedioxymethamphetamine (MDMA)?</t>
  </si>
  <si>
    <t>Neuroscience &amp; Biobehavioral Reviews</t>
  </si>
  <si>
    <t>Animals;*Behavior/de Drug Effects];*Behavior, Animal/de Drug Effects];Female;*Hallucinogens/pd Pharmacology];Humans;Male;*N-Methyl-3,4-methylenedioxyamphetamine/pd Pharmacology];Rats;Sex Factors;0 (Hallucinogens);KE1SEN21RM (N-Methyl-3,4-methylenedioxyamphetamine)</t>
  </si>
  <si>
    <t>Sex has been identified as an important factor in moderating the effects of several drugs of abuse. Given the increasing popularity of ecstasy (3,4-methylenedioxymethamphetamine MDMA]) use, it is important for researchers and clinicians to understand the factors that may influence its pharmacological actions to improve education, harm reduction and treatment efforts. This review focuses on preclinical and clinical research that examines the role of sex as an independent variable in the effects of ecstasy/MDMA. A systematic search of PsycINFO and MEDLINE electronic databases from 1966 to April 2006 was conducted. Both preclinical and clinical studies show a sexually dimorphic pattern in the acute, subacute and possibly long-term effects of ecstasy/MDMA. Specifically, adult females are more sensitive than males to the acute and subacute physical and psychological effects of ecstasy/MDMA and long-term alterations in aspects of 5-HT functioning. Conversely, males are more sensitive to the acute physiological effects of ecstasy/MDMA. These findings are consistent with research outcomes reported for other substances such as amphetamines and cocaine. Potential reasons for these sex differences and directions for future research are discussed. References: 209]</t>
  </si>
  <si>
    <t>J2: Neurosci Biobehav Rev; Allott, Kelly Redman, Jennifer; ID: 392</t>
  </si>
  <si>
    <t>0149-7634</t>
  </si>
  <si>
    <t>Allott,Kelly. Department of Psychology, Monash University, Vic. 3800, Australia. kelly.allott@med.monash.edu.au</t>
  </si>
  <si>
    <t>http://ovidsp.ovid.com/ovidweb.cgi?T=JS&amp;CSC=Y&amp;NEWS=N&amp;PAGE=fulltext&amp;D=med5&amp;AN=17109962</t>
  </si>
  <si>
    <t>MEDLINE; Ovid Technologies; Are there sex differences associated with the effects of ecstasy/3,4-methylenedioxymethamphetamine (MDMA)?</t>
  </si>
  <si>
    <t>Patterns of use and harm reduction practices of ecstasy users in Australia</t>
  </si>
  <si>
    <t>Adult;Australia;Humans;*N-Methyl-3,4-methylenedioxyamphetamine/ad Administration &amp; Dosage];N-Methyl-3,4-methylenedioxyamphetamine/to Toxicity];Patient Acceptance of Health Care/px Psychology];*Risk Reduction Behavior;*Substance-Related Disorders/px Psychology];*Substance-Related Disorders/rh Rehabilitation];Surveys and Questionnaires;KE1SEN21RM (N-Methyl-3,4-methylenedioxyamphetamine)</t>
  </si>
  <si>
    <t>Harm reduction refers to the use of strategies to prevent or reduce harmful consequences associated with illicit drug use. There is a paucity of research concerning the harm reduction practices employed by ecstasy users. This study aimed to explore the prevalence, nature and factors associated with harm reduction practices employed by ecstasy users in Australia, with a specific focus on the practice of preloading and postloading--the use of pharmaceuticals and natural products prior and subsequent to ecstasy use. One hundred and sixteen Australian residents aged 18 years and over who had used ecstasy at least once in their lifetime were recruited via convenience sampling, 'snowballing' and via web-based advertisements and completed an anonymous questionnaire. Participants reported using a wide range of strategies for minimising ecstasy-associated harm. The most common strategies used for reducing negative side effects, 'comedown' or neurotoxicity were drinking water, limiting or reducing ecstasy use, taking breaks and taking vitamins or other natural substances. Forty percent of the sample had tested their ecstasy pills for the presence of MDMA. Forty-one percent and 47% of participants had engaged in pre- and postloading, respectively, with the most common pre- and postloading substances being multivitamins, 5-HTP, magnesium and fruit or fruit juice. Younger mean age and 'high' total occasions of ecstasy use was significantly associated with preloading, and 'high' total use and frequency of use was associated with postloading. The results indicate that ecstasy users are aware of the potential for harm associated with ecstasy use and attempt to minimise harm by actively employing strategies. By exploring the pattern of harm reduction practices among ecstasy users, this study has highlighted the need for further research into the efficacy and potential clinical drug interactions associated with such practices, as well as the need for investigation of how such practices may affect patterns of ecstasy use.</t>
  </si>
  <si>
    <t>J2: Drug Alcohol Depend; Allott, Kelly Redman, Jennifer; ID: 423</t>
  </si>
  <si>
    <t>http://ovidsp.ovid.com/ovidweb.cgi?T=JS&amp;CSC=Y&amp;NEWS=N&amp;PAGE=fulltext&amp;D=med5&amp;AN=16226850</t>
  </si>
  <si>
    <t>MEDLINE; Ovid Technologies; Patterns of use and harm reduction practices of ecstasy users in Australia</t>
  </si>
  <si>
    <t>Al-Safi,S.</t>
  </si>
  <si>
    <t>Does smoking affect blood pressure and heart rate?</t>
  </si>
  <si>
    <t>European Journal of Cardiovascular Nursing</t>
  </si>
  <si>
    <t>289 4p</t>
  </si>
  <si>
    <t>Blood Pressure;Heart Rate;Smoking;Adult;Correlational Studies;Cross Sectional Studies;Descriptive Statistics;Dose-Response Relationship;Female;Interviews;Jordan;Male;Middle Age;Unpaired T-Tests;Human</t>
  </si>
  <si>
    <t>BACKGROUND: Smoking is a risk factor for cardiovascular, coronary artery and thromboembolic disorders. There is overwhelming evidence supporting the association of cigarette smoking and the development of cardiovascular and thromboembolic events particularly in high risk populations. AIM: The aim of this investigation was to explore the correlation of smoking habit with blood pressure and heart rate values through a randomized cross-sectional epidemiological study in Jordan. SETTINGS AND DESIGN: This study was performed during the period of February-June 2004. The sample of this investigation included healthy adult males and females from various regions of Jordan. Most of the selected sample included Jordanian university students. Patients with hypertension or cardiovascular disorders were excluded. METHODS: Selected individuals of the sample were interviewed by well-trained senior pharmacy students. They were asked initially if they have hypertension or other cardiovascular disorders and if the answer was negative, further questions were asked followed by measurement of the blood pressure and heart rate. Demographic data such as age, sex, nationality, place of residence, occupation and level of education were also recorded. Smokers (for &gt; or =6 months) were asked to report how many cigarettes per day they smoke. For each individual of the sample, the systolic blood pressure (SBP), diastolic blood pressure (DBP) and heart rate were measured three times with 10-15 min intervals in the sitting position and at the resting state. The arterial blood pressure (ABP) was calculated from the measured SBP and DBP. The mean values were distributed according to sex and smoking habit. STATISTICAL ANALYSIS: The student unpaired t-test was used for statistical analysis. Results were considered statistically significant when the p value was less than 0.05. RESULTS AND CONCLUSION: A total of 14,310 adult males (7400) and females (6910) were selected in various regions of Jordan. The frequencies of smokers and non-smokers in the sample were 3832 (26.8%) and 10478 (73.2%), respectively. Smoker males and females had significantly higher SBP, DBP, ABP values than non-smokers. However, smoking had statistically non-significant effects on heart rate in females while heart rate values were significantly higher in male smokers than in non-smokers. Smoker or non-smoker adults with a positive family history of hypertension had significantly higher blood pressure and heart rate values than those with a negative family history of hypertension. In conclusion, smokers have higher blood pressure than non-smokers.</t>
  </si>
  <si>
    <t>Entry Date: 20060317. Revision Date: 20150820. Publication Type: Journal Article; research; tables/charts. Journal Subset: Continental Europe; Europe; Nursing; Peer Reviewed. NLM UID: 101128793. PMID: 16332506.; ID: 1877</t>
  </si>
  <si>
    <t>1474-5151</t>
  </si>
  <si>
    <t>Dept of Clinical Pharmacy, Faculty of Pharmacy, Jordan University of Science and Technology, PO Box 3030, Irbid 22110, Jordan; alsafi52@yahoo.com</t>
  </si>
  <si>
    <t>http://proxy.lib.umich.edu/login?url=http://search.ebscohost.com/login.aspx?direct=true&amp;db=ccm&amp;AN=106409630&amp;site=ehost-live&amp;scope=site</t>
  </si>
  <si>
    <t>ccm; EBSCOhost; Does smoking affect blood pressure and heart rate?</t>
  </si>
  <si>
    <t>Al-Safi,S.;Ayoub,N. M.;Ayoub,A. M.;Al-Momany,E.;Al-Doghim,I.;Al-Balas,M.;Alkofahi,A. S.;Aboul-Enein,F.;Aboul-Enein,B.;Author,Addresses;Department of,Clinical;Pharmacy,Faculty of Pharmacy Jordan University of Science;Technology;P.O. Box,Irbid Jordan;Department,of Medicinal;Pharmacognosy,Faculty;of Pharmacy, Jordan University,of Science;Technology,P. O. B.;Irbid,Jordan;King Hussein,Medical City;Pharm D Program, University of Toronto,Toronto O.;Texas Woman's,University;College of Nursing, Fannin Houston,T.X.United States;Department of Dietetic Technology, San,Jacinto College;Spencer Highway,Pasadena,T.X.United States;Correspondence,Address;Aboul-Enein, Texas Woman's University College of Nursing,F.H.;Fannin,Houston T.X.United States Email faboulenein mail twu edu</t>
  </si>
  <si>
    <t>Public awareness of the abuse of herbs and drugs to decrease body weight: A novel national survey in Jordan</t>
  </si>
  <si>
    <t>Journal of Public Health</t>
  </si>
  <si>
    <t>(MAJOR FOCUS);antiobesity agent (adverse drug reaction, drug therapy);central stimulant agent (adverse drug reaction, drug therapy);diuretic agent (adverse drug reaction, drug therapy);ephedrine (drug therapy);herbaceous agent (adverse drug reaction, drug therapy);laxative (adverse drug reaction, drug therapy);thyroxine (adverse drug reaction, drug therapy);obesity (drug therapy, therapy);adult;aged;article;body weight;brain damage (side effect);cardiovascular disease (side effect);controlled study;diarrhea (side effect);diet restriction;drug dependence (side effect);drug preference;female;gastrointestinal disease (side effect);gastrointestinal symptom (side effect);headache (side effect);health hazard;health survey;herb;human;hypotension (side effect);interview;irritability;kidney failure (side effect);major clinical study;male;nervousness;pharmacy student;potassium deficiency (side effect);questionnaire;risk factor;self report;sex ratio;side effect (side effect);substance abuse;tremor (side effect);unspecified side effect (side effect);vertigo (side effect);vitamin deficiency (side effect);weight reduction;ephedrine (299-42-3, 50-98-6);thyroxine (7488-70-2);Endocrinology (3);Public Health, Social Medicine and Epidemiology (17);Drug Literature Index (37);Adverse Reactions Titles (38);Drug Dependence, Alcohol Abuse and Alcoholism (40)</t>
  </si>
  <si>
    <t>Objectives: The aim of this investigation was to measure the degree of public preferences regarding the various weight-loss practices and to assess the level of awareness regarding the risks and health hazards associated with the application of unhealthful measures to lose weight. Methods: Approximately 30,000 individuals selected from various regions in Jordan filled in a self-reported questionnaire. Participants were interviewed by well-trained senior pharmacy students and were asked to report their response to various aspects regarding body weight-loss practices. Results: Of the respondents, 74.55% agreed that dietary restriction is the major intervention to lose weight. A modest majority of respondents (39.09%) believed that nervousness and irritability are serious drawbacks for uncontrolled administration of the hormone thyroxine. The highest percentage of responding females (67.12%) reported diarrhea as a major adverse effect to laxative abuse. Discussion: The availability and the number of adverse events associated with herbal and dietary supplements to lose weight are on the rise. Obese patients should consider realistic expectations and be encouraged to follow healthy lifestyle interventions. Health care professionals are best suited to educate obese patients about unhealthy practices like laxative and diuretic abuse. ‚î¨‚åê 2007 Springer-Verlag.</t>
  </si>
  <si>
    <t>(Al-Safi S.A.; Ayoub N.M.; Ayoub A.M.; Al-Momany E.) (Alkofahi A.S.) (Al-Doghim I.) (Al-Balas M.) (Aboul-Enein F.H., faboulenein@mail.twu.edu) (Aboul-Enein B.H.) Springer Verlag, Tiergartenstrasse 17, Heidelberg, Germany.; ID: 1464</t>
  </si>
  <si>
    <t>0943-1853</t>
  </si>
  <si>
    <t>2008248464 FULL TEXT LINK http://dx.doi.org/10.1007/s10389-007-0166-5</t>
  </si>
  <si>
    <t>Altowaijri,A.;Phillips,C. J.;Fitzsimmons,D.</t>
  </si>
  <si>
    <t>A systematic review of the clinical and economic effectiveness of clinical pharmacist intervention in secondary prevention of cardiovascular disease</t>
  </si>
  <si>
    <t>Journal of Managed Care Pharmacy</t>
  </si>
  <si>
    <t>Cardiovascular Diseases/ec Economics];Cardiovascular Diseases/mo Mortality];*Cardiovascular Diseases/pc Prevention &amp; Control];Humans;Outcome Assessment (Health Care);Patient Care Team/og Organization &amp; Administration];Pharmacists/ec Economics];*Pharmacists/og Organization &amp; Administration];Pharmacy Service, Hospital/ec Economics];*Pharmacy Service, Hospital/og Organization &amp; Administration];Professional Role;Quality of Life;Risk Factors;Secondary Prevention/ec Economics];Secondary Prevention/mt Methods]</t>
  </si>
  <si>
    <t>BACKGROUND: Cardiovascular disease (CVD) is considered to be the main cause of death and one of the most common diseases affecting health care systems worldwide. Many methods have been used to improve CVD outcomes, one of which is to involve clinical pharmacists in the direct care of patients with CVD. OBJECTIVE: To perform a systematic review assessing the effectiveness of clinical pharmacist interventions within a multidisciplinary team in the secondary prevention of CVD, using studies conducted on patients with heart failure, coronary heart disease, or those with CVD risk factors. METHODS: Extensive searches of 13 databases were performed--with no time limitation--to identify randomized controlled trials (RCT) in English that evaluated clinical pharmacist intervention in patients with CVD or with CVD risk factors. Two independent reviewers evaluated 203 citations that were the result of this search. Studies were included if they reported direct care from a clinical pharmacist in CVD or CVD-related therapeutic areas such as disease-led management or in collaboration with other health care workers; if they were RCTs; if they were inpatients, outpatients, or in the community setting; and if they included the following outcomes: CVD control or mortality, CVD risk factor control, patient-related outcomes (knowledge, adherence, or quality of life), and cost related to health care systems. RESULTS: A total of 59 studies were identified: 45 RCT, 6 non-RCT, and 8 economic studies. 68% of the outcomes reported showed that clinical pharmacy services were associated with better improvement in patients' outcomes compared with the control group. CONCLUSION: The involvement of a pharmacist demonstrated an ability to improve CVD outcomes through providing educational intervention, medicine management intervention, or a combination of both. These interventions resulted in improved CVD risk factors, improved patient outcomes, and reduced number of drug-related problems with a direct effect on CVD control. These improvements may lead to an improvement in patient quality of life, better use of health care resources, and a reduced rate of mortality.</t>
  </si>
  <si>
    <t>J2: J Manage Care Pharm; Altowaijri, Abdulaziz Phillips, Ceri J Fitzsimmons, Deborah; ID: 128</t>
  </si>
  <si>
    <t>1944-706X</t>
  </si>
  <si>
    <t>Altowaijri,Abdulaziz. College of Human and Health Sciences, Vivian Tower, 2nd Fl., Swansea University, Swansea, SA2 8PP Wales, United Kingdom. Abdulaziz.altowaijri@gmail.com</t>
  </si>
  <si>
    <t>http://ovidsp.ovid.com/ovidweb.cgi?T=JS&amp;CSC=Y&amp;NEWS=N&amp;PAGE=fulltext&amp;D=medl&amp;AN=23697478</t>
  </si>
  <si>
    <t>MEDLINE; Ovid Technologies; A systematic review of the clinical and economic effectiveness of clinical pharmacist intervention in secondary prevention of cardiovascular disease</t>
  </si>
  <si>
    <t>Amarante,L. C.;Shoji,L. S.;Freitas,K. M.;Rascado,R. R.;Silva,L. C.;Marques,L. A. M.;Author,Addresses;Universidad,Federal de;Unifal-Mg,Facultad;Silva,Alfenas- M. G. Brazil;Correspondence,Address;Facultad de,L.C.Amarante, Universidad Federal de Alfenas Unifal- M.G.;Ciencias Farmac‚îú‚åêuticas, Calle Gabriel Monteiro da,Silva Alfenas;Brazil Email, lumarques unifal-mg,edu br</t>
  </si>
  <si>
    <t>Proposal of adaptation of the sheet of pharmaceutical history of D‚îú√≠der method for learners ORIGINAL (NON-ENGLISH) TITLE Propuesta de adaptaci‚îú‚îÇn de la hoja de historia farmacoterap‚îú‚åêutica del m‚îú‚åêtodo D‚îú√≠der para aprendices</t>
  </si>
  <si>
    <t>Revista Cubana de Farmacia</t>
  </si>
  <si>
    <t>anamnesis;dader adaptation;dader method;pharmaceutical care;sheet of pharmacotherapeutical history;article;drug abuse;human;intermethod comparison;normal human;pharmacy student;questionnaire;scoring system;Pharmacy (39)</t>
  </si>
  <si>
    <t>Introduction: Freitas &amp; Marques proposed a sheet of pharmacotherapeutical history (SPH) in 2008: the D‚îú√≠der adaptation (DA). Objective: this study was aimed at evaluating the applicability of DA compared with D‚îú√≠der. Methods: the sheets of pharmacotherapeutical history (SPH) were applied to chronic users of drugs by pharmacy students. At the end, interviewers attributed scores ranged from 0 to 5 points to various aspects of their applicability. The completeness or not of the collected data was also evaluated. Results: the two SPH were equivalent, because there was no statistically significant difference for the three questions about the applicability. Conclusions: In the context of pharmaceutical care, this new sheet of pharmacotherapeutical history offers possibilities to choose the one that best fits the needs of the pharmacist.</t>
  </si>
  <si>
    <t>(Amarante L.C., lumarques@unifal-mg.edu.br; Shoji L.S.; Freitas K.M.; Rascado R.R.; Silva L.C.; Marques L.A.M.) Editorial Ciencias Medicas, Calle E No. 452, entre 19 y 21, Habana, Cuba.; ID: 1120</t>
  </si>
  <si>
    <t>0034-7515 1561-2988 (electronic)</t>
  </si>
  <si>
    <t>English, Spanish</t>
  </si>
  <si>
    <t>Ambrose,P. J.</t>
  </si>
  <si>
    <t>Educational opportunities and anti-doping roles and responsibilities for pharmacists</t>
  </si>
  <si>
    <t>Yakugaku Zasshi - Journal of the Pharmaceutical Society of Japan</t>
  </si>
  <si>
    <t>Dietary Supplements;*Doping in Sports/pc Prevention &amp; Control];*Education, Pharmacy/td Trends];Health Education;Humans;Performance-Enhancing Substances;*Pharmacists;*Professional Role;Sports Medicine;Substance Abuse Detection;0 (Performance-Enhancing Substances)</t>
  </si>
  <si>
    <t>Drug use and abuse by athletes has become a common problem. Pharmacists can assist by managing the legitimate medication needs of athletes to prevent them from accidentally using a banned substance. Pharmacists can also educate athletes and the public about the health consequences of using performance-enhancing substances. Pharmacists can play a variety of roles to assist with anti-doping. Such roles include educating, advising, dispensing and monitoring medications and supplements; and working with anti-doping agencies. There are few established educational opportunities for pharmacists and pharmacy students. Educational programs in sports pharmacy and doping control need to be developed for instruction in the classroom, for post-graduate training and for experiential programs. Classroom instruction should include information about performance-enhancing substances and general principles of doping control. Student activities for an established advanced pharmacy practice experience include education on performance-enhancing substances and assay technologies, preparing and providing presentations to athletes and others regarding these substances, performing literature research on drugs and dietary supplements used to improve athletic performance, writing a monograph on these substances, and participating in doping control programs.</t>
  </si>
  <si>
    <t>J2: Yakugaku Zasshi; Ambrose, Peter J; ID: 227</t>
  </si>
  <si>
    <t>1347-5231</t>
  </si>
  <si>
    <t>Ambrose,Peter J. Department of Clinical Pharmacy, School of Pharmacy, University of California, San Francisco, CA, USA. ambrosep@pharmacy.ucsf.edu</t>
  </si>
  <si>
    <t>http://ovidsp.ovid.com/ovidweb.cgi?T=JS&amp;CSC=Y&amp;NEWS=N&amp;PAGE=fulltext&amp;D=med5&amp;AN=22129874</t>
  </si>
  <si>
    <t>MEDLINE; Ovid Technologies; Educational opportunities and anti-doping roles and responsibilities for pharmacists</t>
  </si>
  <si>
    <t>Doping control in sports--a perspective from the 1996 Olympic Games</t>
  </si>
  <si>
    <t>*Doping in Sports/pc Prevention &amp; Control];Georgia;Humans;*Mandatory Testing/og Organization &amp; Administration];*Sports;*Sports Medicine/og Organization &amp; Administration];*Substance Abuse Detection</t>
  </si>
  <si>
    <t>Doping-control (DC) procedures, particularly as used at the 1996 Olympic Games, are described, and the role of pharmacists in DC is discussed. DC procedures must be strict and precisely followed to avoid contamination of samples, the appearance of bias, and breaches in security and confidentiality. The process of selecting athletes for testing can be random, nonrandom, or a combination of the two. Escorts are used to notify athletes of their selection, verify their identity, and accompany them to the DC station. When urine specimens are obtained for DC, the voiding process must be directly observed. The specimen is checked for pH and specific gravity and then processed for shipping to a laboratory to be analyzed for banned substances. Medication histories are also obtained, giving athletes the opportunity to declare any substance that has been taken for legitimate medical purposes. Laboratory analysis involves screening and confirmation phases. During the Atlanta Games, roughly 50 pharmacists participated in the DC program as escorts or technical officers. It is logical to involve pharmacists in DC programs because they can develop and conduct drug-testing protocols; educate athletes, coaches, and trainers about drug use and abuse; and help ensure the safe and effective use of medications. Sophisticated doping-control procedures have been developed for athletic competitions, and pharmacists have much to offer DC programs.</t>
  </si>
  <si>
    <t>J2: Am J Health-Syst Pharm; Ambrose, P J; ID: 605</t>
  </si>
  <si>
    <t>Ambrose,P J. Pharmacokinetics Service, Long Beach Memorial Medical Center, CA 90801-1428, USA.</t>
  </si>
  <si>
    <t>http://ovidsp.ovid.com/ovidweb.cgi?T=JS&amp;CSC=Y&amp;NEWS=N&amp;PAGE=fulltext&amp;D=med4&amp;AN=9143653</t>
  </si>
  <si>
    <t>MEDLINE; Ovid Technologies; Doping control in sports--a perspective from the 1996 Olympic Games</t>
  </si>
  <si>
    <t>American Pharmacists,Association</t>
  </si>
  <si>
    <t>Report of the 2006 APhA House of Delegates</t>
  </si>
  <si>
    <t>Sep-Oct</t>
  </si>
  <si>
    <t>Antineoplastic Agents;Attitude to Health;Benzenesulfonates;Continuity of Patient Care;Culture;Disease Outbreaks;Education, Pharmacy;Humans;Influenza A virus;Influenza, Human;Internship, Nonmedical;Medical Records Systems, Computerized;Niacinamide/aa Analogs &amp; Derivatives];Nonprescription Drugs;Pharmaceutical Preparations/cl Classification];*Pharmacies;Phenylurea Compounds;Public Policy;Pyridines;*Societies, Pharmaceutical;Street Drugs;Tobacco Use Disorder;0 (Antineoplastic Agents);0 (Benzenesulfonates);0 (Nonprescription Drugs);0 (Pharmaceutical Preparations);0 (Phenylurea Compounds);0 (Pyridines);0 (Street Drugs);25X51I8RD4 (Niacinamide);9ZOQ3TZI87 (sorafenib)</t>
  </si>
  <si>
    <t>J2: J Am Pharm Assoc (2003); American Pharmacists Association; ID: 391</t>
  </si>
  <si>
    <t>http://ovidsp.ovid.com/ovidweb.cgi?T=JS&amp;CSC=Y&amp;NEWS=N&amp;PAGE=fulltext&amp;D=med5&amp;AN=17517561</t>
  </si>
  <si>
    <t>MEDLINE; Ovid Technologies; Report of the 2006 APhA House of Delegates</t>
  </si>
  <si>
    <t>Amin,M. E. K.;Chewning,B.;Author,Addresses;Joseph Wiederholt,Wisconsin;Distinguished Graduate Fellow, School of Pharmacy,University of;Wisconsin-Madison,Rennebohm;States;Sonderegger Research Center, School of Pharmacy,University of;Wisconsin-Madison,Rennebohm;States;Correspondence,Address;MEK Amin, Joseph Wiederholt Wisconsin Distinguished,Graduate Fellow;School of Pharmacy, University of Wisconsin-Madison,Rennebohm Hall;Highland Avenue,Madison,United States</t>
  </si>
  <si>
    <t>Community pharmacistsŒì√á√ñ knowledge of diabetes management during Ramadan in Egypt</t>
  </si>
  <si>
    <t>glucose (endogenous compound);insulin (drug therapy);metformin (drug therapy);diabetes mellitus (drug therapy, drug therapy);pharmacist attitude;professional knowledge;religion;adult;aged;article;Christian;continuing education;cross-sectional study;descriptive research;diabetic patient;diet restriction;drug misuse;Egypt;Egyptian;evidence based practice;female;glucose blood level;health survey;human;male;Muslim;pharmacy;pharmacy student;practice guideline;priority journal;glucose (50-99-7, 84778-64-3);insulin (9004-10-8);metformin (1115-70-4, 657-24-9);Public Health, Social Medicine and Epidemiology (17);Drug Literature Index (37);Pharmacy (39);Internal Medicine (6)</t>
  </si>
  <si>
    <t>Background Although Muslim diabetic patients may be aware of their religious exemption from fasting, many still fast and adjust their medication regimens accordingly. Pharmacists have a significant potential to identify and prevent harm from medication misuse in Ramadan. Objectives This study examines Egyptian pharmacistsŒì√á√ñ knowledge regarding management of diabetes during Ramadan. It also explores pharmacistsŒì√á√ñ willingness to attend a 1‚î¨√°day workshop on medication regimen adjustment during Ramadan. Setting Community pharmacies throughout Alexandria, Egypt. Methods A cross-sectional study using a pretested self-administered survey was conducted among a random sample of community pharmacists. The survey included three knowledge questions relevant to counseling diabetic patients during Ramadan. Questions covered the recommended timing and dosing for metformin and insulin as well as the safe blood glucose range required for diabetic patients to safely continue their fast. Using logistic regression, a model was estimated to predict pharmacistsŒì√á√ñ willingness to attend a workshop on the adjustment of medication regimens during Ramadan. Content analysis was used to analyze pharmacistsŒì√á√ñ answers to the question concerning what they would like the workshop to cover. Main outcome measure PharmacistsŒì√á√ñ aggregate scores for all three diabetes management knowledge questions and pharmacistsŒì√á√ñ willingness to attend a workshop on the adjustment of medication regimens during Ramadan. Results Ninety three percent of the 298 approached pharmacists agreed to participate. Forty three pharmacists (15.9‚î¨√°%) did not know the correct answer to any question, 118(43.7‚î¨√°%) 24 answered one correctly, 86 (31.9‚î¨√°%) answered two correctly and only 23 (8.5‚î¨√°%) answered all 25 three correctly. Confidence in therapeutic knowledge regarding medication regimen 26 adjustment during Ramadan was not associated with the pharmacistsŒì√á√ñ knowledge of diabetes management during Ramadan. One hundred seventy five (63.6‚î¨√°%) pharmacists wanted to attend a workshop on adjusting medication regimens during Ramadan. This was significantly associated with pharmacists being Muslim (OR 3.52, CI 1.70Œì√á√¥7.27) and of younger age (OR 30‚î¨√°=‚î¨√°0.98, CI 0.96Œì√á√¥0.99978). Pharmacists offered specific content and communication process 31 suggestions for the workshop content. Conclusion This study identifies variability among community pharmacistsŒì√á√ñ knowledge of diabetes management during Ramadan. It also shows willingness among the majority of pharmacists to learn more about the topic</t>
  </si>
  <si>
    <t>(Amin M.E.K., mohamedezzat21@gmail.com) (Chewning B.) Kluwer Academic Publishers; ID: 933</t>
  </si>
  <si>
    <t>2014878030 FULL TEXT LINK http://dx.doi.org/10.1007/s11096-014-0019-6</t>
  </si>
  <si>
    <t>Amunugama,H.;Author,Addresses;Pharmacology,University of Michigan Ann Arbor United;States;Correspondence,Address;Amunugama, Pharmacology University of Michigan Ann Arbor United,H.;States</t>
  </si>
  <si>
    <t>Mechanism-based inactivation of cytochrome P450 2B6 by methadone</t>
  </si>
  <si>
    <t>Drug metabolism reviews</t>
  </si>
  <si>
    <t>Drug Metab.Rev.</t>
  </si>
  <si>
    <t>43 SUPPL. 2</t>
  </si>
  <si>
    <t>(MAJOR FOCUS);cytochrome;cytochrome P450;methadone;xenobiotic agent;2 ethylidene 1,5 dimethyl 3,3 diphenylpyrrolidine;heme;opiate agonist;protein;reduced nicotinamide adenine dinucleotide phosphate;society;chronic pain;clinical study;high performance liquid chromatography;human;in vitro study;liver;metabolism;metabolite;narcotic dependence;pharmacology;United States;university</t>
  </si>
  <si>
    <t>MECHANISM-BASED INACTIVATION OF CYTOCHROME P450 2B6 BY METHADONE Hemali Amunugama, Haoming Zhang and Paul F. Hollenberg Department of Pharmacology, University of Michigan, Ann Arbor, MI, USA 48109. Methadone is a ‚ï¨‚ïù-opioid receptor agonist widely used in the treatment of narcotic addiction and in chronic pain conditions. Methadone is metabolized predominantly in the liver by cytochrome P450s (CYPS) to its pharmacologically inactive primary metabolite 2-ethylidene-1,5-dimethyl-3,3-diphenylpyrrolidine. Initial in vitro data suggested that CYP3A4 is the major isoform responsible for the in vivo clearance of methadone in humans. However, recent clinical data have identified that CYP2B6 is actually the major isoform responsible for in vivo methadone metabolism and clearance.In this study, methadone was analyzed for its ability to act as a mechanism-based inactivator of CYP2B6. Methadone inactivates CYP2B6 in a time, concentration and NADPH dependent manner with a KI = 10.0 ‚ï¨‚ïùM and ki(nact) = 0.02 min-1. The activity loss of 2B6, in the presence of methadone and NADPH occurred with a concurrent loss of the reduced CO spectrum of the P450. Moreover, a good correlation between the loss of 2B6 activity and the loss of CO-binding was observed. HPLC analysis of P450-associated heme demonstrated that approximately 80% loss of native heme is accompanied by a comparable inactivation of 2B6. A labeled protein or stable heme adducts were not observed by LC/MS/MS analysis. These results suggest that covalent modification or destruction of heme is the major mechanism leading to the inactivation of 2B6 by methadone.</t>
  </si>
  <si>
    <t>(Amunugama H.) 17th North American Regional International Society for the Study of Xenobiotics, ISSX Meeting Atlanta, GA, United States 2011-10-16 to 2011-10-20 Informa Healthcare; ID: 1219</t>
  </si>
  <si>
    <t>0360-2532</t>
  </si>
  <si>
    <t>Andersen,U. A.;Andersen,M.;Rosholm,J. U.;Gram,L. F.;Author,Addresses;Institute of,Public;Health,University of Southern Denmark Odense Denmark;Institute of Public Health, University of,Southern Denmark;Odense,Winsl‚îú‚ïïwparken Odense C. Denmark;Correspondence,Address;UA Andersen, Institute of Public Health Clinical,Pharmacology University;of Southern Denmark, Winsl‚îú‚ïïwparken,Odense C.</t>
  </si>
  <si>
    <t>11782239; Psychopharmacological treatment and psychiatric morbidity in 390 cases of suicide with special focus on affective disorders</t>
  </si>
  <si>
    <t>Acta Psychiatrica Scandinavica</t>
  </si>
  <si>
    <t>Acta Psychiatr.Scand.</t>
  </si>
  <si>
    <t>anticonvulsive agent (drug therapy);antidepressant agent (drug therapy);antiparkinson agent (drug therapy);anxiolytic agent (drug therapy);carbasalate calcium (drug therapy);cardiovascular agent;cholinergic receptor blocking agent (drug therapy);codeine;disulfiram (drug therapy);hypnotic agent (drug therapy);lithium (drug therapy);neuroleptic agent (drug therapy);opiate;affective neurosis (drug therapy, therapy);depression (drug therapy, therapy);psychopharmacotherapy;suicide (complication, epidemiology);adult;aged;alcoholism (drug therapy);article;controlled study;Denmark;disease association;drug dependence;drug efficacy;drug utilization;female;hospitalization;human;major clinical study;male;morbidity;opiate addiction;pharmacoepidemiology;priority journal;register;treatment outcome;carbasalate calcium (3063-60-3, 5749-67-7);codeine (76-57-3);disulfiram (97-77-8);lithium (7439-93-2);opiate (53663-61-9, 8002-76-4, 8008-60-4);Public Health, Social Medicine and Epidemiology (17);Psychiatry (32);Drug Literature Index (37)</t>
  </si>
  <si>
    <t>Objective: The aim of this study was, on the basis of data from health-care registers, to describe the adequacy of psychopharmacological treatment in suicides. Method: Data on consecutive suicides in a Danish County (Funen) in the period of 1 April 1991-31 December 1995 were identified in the Danish Psychiatric Central Register, the National Patient Register, the National Health Insurance and Odense University Pharmacoepidemiological Database. Results: Twenty-five per cent of the suicides previously hospitalized due to affective disorders and 3% of the suicides without psychiatric hospitalizations at all, received an apparently adequate treatment with antidepressants the month before suicide. Conclusion: The most striking finding was the insufficiency of treatment with antidepressants in the group of suicides without psychiatric hospitalization, in particular in light of the fact that depression is assumed to be present in at least 50% of all suicides.</t>
  </si>
  <si>
    <t>(Andersen U.A.; Andersen M.; Rosholm J.U.; Gram L.F.) (Andersen U.A.) Blackwell Publishing Ltd, 9600 Garsington Road, Oxford, United Kingdom.; ID: 1617</t>
  </si>
  <si>
    <t>0001-690X</t>
  </si>
  <si>
    <t>http://www.ncbi.nlm.nih.gov/pubmed/11782239</t>
  </si>
  <si>
    <t>Psychopharmacological treatment and psychiatric morbidity in 390 cases of suicide with special focus on affective disorders</t>
  </si>
  <si>
    <t>Anderson,P.;Wojnar,M.;Jakubczyk,A.;Gual,A.;Reynolds,J.;Segura,L.;Sovinova,H.;Csemy,L.;Kaner,E.;Newbury-Birch,D.;Fornasin,A.;Struzzo,P.;Ronda,G.;van Steenkiste,B.;Keurhorst,M.;Laurant,M.;Ribeiro,C.;do Rosario,F.;Alves,I.;Scafato,E.;Gandin,C.;Kolsek,M.</t>
  </si>
  <si>
    <t>Managing alcohol problems in general practice in Europe: results from the European ODHIN survey of general practitioners</t>
  </si>
  <si>
    <t>Alcohol &amp; Alcoholism</t>
  </si>
  <si>
    <t>Adult;*Alcohol-Related Disorders/px Psychology];Data Collection;Europe;General Practice;*General Practitioners/px Psychology];*Health Knowledge, Attitudes, Practice;Humans;Male;Middle Aged;Self Report</t>
  </si>
  <si>
    <t>AIMS: To document the attitudes of general practitioners (GPs) from eight European countries to alcohol and alcohol problems and how these attitudes are associated with self-reported activity in managing patients with alcohol and alcohol problems. METHODS: A total of 2345 GPs were surveyed. The questionnaire included questions on the GP's demographics, reported education and training on alcohol, attitudes towards managing alcohol problems and self-reported estimates of numbers of patients managed for alcohol and alcohol problems during the previous year. RESULTS: The estimated mean number of patients managed for alcohol and alcohol problems during the previous year ranged from 5 to 21 across the eight countries. GPs who reported higher levels of education for alcohol problems and GPs who felt more secure in managing patients with such problems reported managing a higher number of patients. GPs who reported that doctors tended to have a disease model of alcohol problems and those who felt that drinking was a personal rather than a medical responsibility reported managing a lower number of patients. CONCLUSION: The extent of alcohol education and GPs' attitudes towards alcohol were associated with the reported number of patients managed. Thus, it is worth exploring the extent to which improved education, using pharmacotherapy in primary health care and a shift to personalized health care in which individual patients are facilitated to undertake their own assessment and management (individual responsibility) might increase the number of heavy drinkers who receive feedback on their drinking and support to reduce their drinking.Copyright ‚î¨‚åê The Author 2014. Medical Council on Alcohol and Oxford University Press. All rights reserved.</t>
  </si>
  <si>
    <t>J2: Alcohol Alcohol; Anderson, Peter Wojnar, Marcin Jakubczyk, Andrzej Gual, Antoni Reynolds, Jillian Segura, Lidia Sovinova, Hana Csemy, Ladislav Kaner, Eileen Newbury-Birch, Dorothy Fornasin, Alessio Struzzo, Pierluigi Ronda, Gaby van Steenkiste, Ben Keurhorst, Myrna Laurant, Miranda Ribeiro, Cristina do Rosario, Frederico Alves, Isabel Scafato, Emanuele Gandin, Claudia Kolsek, Marko; ID: 48</t>
  </si>
  <si>
    <t>1464-3502</t>
  </si>
  <si>
    <t>Anderson,Peter. University of Newcastle-Upon-Tyne, Newcastle, UK Maastricht University, Maastricht, The Netherlands. Wojnar,Marcin. Department of Psychiatry, Medical University of Warsaw, Warsaw, Poland. Jakubczyk,Andrzej. Department of Psychiatry, Medical University of Warsaw, Warsaw, Poland ajakubczyk@wum.edu.pl. Gual,Antoni. Fundacio Privada Clinic per a la Recerca Biomedica/Hospital Clinico i Provincial de Barcelona, Barcelona, Spain. Segura,Lidia. Generalitat De Catalunya, Barcelona, Spain. Sovinova,Hana. The National Institute of Public Health, Prague, Czech Republic. Csemy,Ladislav. The National Institute of Public Health, Prague, Czech Republic. Kaner,Eileen. University of Newcastle-Upon-Tyne, Newcastle, UK. Newbury-Birch,Dorothy. University of Newcastle-Upon-Tyne, Newcastle, UK. Fornasin,Alessio. Dipartimento di Scienze Economiche e Statistiche, Universita degli Studi di Udine, Udine, Italy. Struzzo,Pierluigi. Centro Regional di Formazione per l'Area dlle Cure Primarie, Monfalcone, Italy. Ronda,Gaby. Maastricht University, Maastricht, The Netherlands. van Steenkiste,Ben. Maastricht University, Maastricht, The Netherlands. Keurhorst,Myrna. Radboud University Medical Centre, Nijmegen, The Netherlands. Laurant,Miranda. Radboud University Medical Centre, Nijmegen, The Netherlands HAN University of Applied Sciences, Nijmegen, The Netherlands. Ribeiro,Cristina. General-Diretorate for Intervention on Addictive Behaviours and Dependencies, Lisbon, Portugal. do Rosario,Frederico. General-Diretorate for Intervention on Addictive Behaviours and Dependencies, Lisbon, Portugal. Alves,Isabel. General-Diretorate for Intervention on Addictive Behaviours and Dependencies, Lisbon, Portugal. Scafato,Emanuele. Istituto Superiore di Sanita, Rome, Italy. Gandin,Claudia. Istituto Superiore di Sanita, Rome, Italy. Kolsek,Marko. Department of Family Medicine, Medical Faculty, University of Ljubljana, Ljubljana, Slovenia.</t>
  </si>
  <si>
    <t>http://ovidsp.ovid.com/ovidweb.cgi?T=JS&amp;CSC=Y&amp;NEWS=N&amp;PAGE=fulltext&amp;D=medl&amp;AN=25031247</t>
  </si>
  <si>
    <t>http://dx.doi.org/10.1093/alcalc/agu043</t>
  </si>
  <si>
    <t>MEDLINE; Ovid Technologies; Managing alcohol problems in general practice in Europe: results from the European ODHIN survey of general practitioners</t>
  </si>
  <si>
    <t>Andrade,A. S. A.;Deutsch,R.;Celano,S. A.;Duarte,N. A.;Marcotte,T. D.;Umlauf,A.;Atkinson,J. H.;McCutchan,J. A.;Franklin,D.;Alexander,T. J.;McArthur,J. C.;Marra,C.;Grant,I.;Collier,A. C.;Author,Addresses;Department of Medicine, Division,of Infectious;Diseases,Johns Hopkins University Baltimore M.D.United States;Research,H. I. V. N.;Program,University of California San Diego C.A.United States;Va San Diego, H I V Neurobehavioral Research,Center San;Diego,C. A. U.;Department of Neurology, Johns,Hopkins University;Baltimore,M. D. U.;Harborview Medical Center, School,of Medicine;University of Washington, Seattle,W.A.United States;Correspondence,Address;ASA Andrade, Department of Medicine Division of,Infectious Diseases;Johns Hopkins University, Baltimore,M.D.United States</t>
  </si>
  <si>
    <t>23202813; Relationships among neurocognitive status, medication adherence measured by pharmacy refill records, and virologic suppression in HIV-infected persons</t>
  </si>
  <si>
    <t>Journal of acquired immune deficiency syndromes</t>
  </si>
  <si>
    <t>J.Acquir.Immune Defic.Syndr.</t>
  </si>
  <si>
    <t>(MAJOR FOCUS);anti human immunodeficiency virus agent;virus RNA;antiviral therapy;cognition;Human immunodeficiency virus infected patient;virus inhibition;adult;age;article;blood level;cerebrospinal fluid;comorbidity;disease duration;educational status;ethnic difference;female;human;major clinical study;male;medical record;mental disease;observational study;patient compliance;pharmacy refill record;priority journal;prospective study;scoring system;self report;sex difference;statistical model;substance abuse;treatment duration;virus load;working memory;Microbiology: Bacteriology, Mycology, Parasitology and Virology (4);Neurology and Neurosurgery (8);Public Health, Social Medicine and Epidemiology (17);Drug Literature Index (37)</t>
  </si>
  <si>
    <t>Background: Optimal antiretroviral therapy (ART) effectiveness depends on medication adherence, which is a complex behavior with many contributing factors, including neurocognitive function. Pharmacy refill records offer a promising and practical tool to assess adherence. Methods: A substudy of the CHARTER (CNS HIV Anti-Retroviral Therapy Effects Research) study was conducted at the Johns Hopkins University (JHU) and the University of Washington. Pharmacy refill records were the primary method to measure ART adherence, indexed to a "sentinel" drug with the highest central nervous system penetration- effectiveness score. Standardized neuromedical, neuropsychological, psychiatric, and substance use assessments were performed at enrollment and at 6 months. Regression models were used to determine factors associated with adherence and relationships between adherence and changes in plasma and cerebrospinal fluid HIV RNA concentrations between visits. Results: Among 80 (33 at JHU and 47 at University of Washington) participants, the mean adherence score was 86.4%, with no difference between sites. In the final multivariable model, better neurocognitive function was associated with better adherence, especially among participants who were at JHU, male, and HIV infected for a longer period of time. Worse performance in working memory tests was associated with worse adherence. Better adherence predicted greater decreases in cerebrospinal fluid HIV RNA between visits. Conclusions: Poorer global neurocognitive functioning and deficits in working memory were associated with lower adherence defined by a pharmacy refill record measure, suggesting that assessments of cognitive function, and working memory in particular, may identify patients at risk for poor ART adherence who would benefit from adherence support. Copyright ‚î¨‚åê 2012 by Lippincott Williams and Wilkins.</t>
  </si>
  <si>
    <t>(Andrade A.S.A.; Celano S.A.) (Deutsch R.; Duarte N.A.; Marcotte T.D.; Umlauf A.; Atkinson J.H.; McCutchan J.A.; Franklin D.; Alexander T.J.; Grant I.) (Atkinson J.H.) (Mcarthur J.C.) (Marra C.; Collier A.C.) Lippincott Williams and Wilkins, 530 Walnut Street,P O Box 327, Philadelphia, United States.; ID: 1068</t>
  </si>
  <si>
    <t>1525-4135 1077-9450 (electronic)</t>
  </si>
  <si>
    <t>http://www.ncbi.nlm.nih.gov/pubmed/23202813</t>
  </si>
  <si>
    <t>Relationships among neurocognitive status, medication adherence measured by pharmacy refill records, and virologic suppression in HIV-infected persons</t>
  </si>
  <si>
    <t>Andrews,J.</t>
  </si>
  <si>
    <t>Optimizing smoking cessation strategies</t>
  </si>
  <si>
    <t>Nurse Practitioner</t>
  </si>
  <si>
    <t>Nurse Pract.</t>
  </si>
  <si>
    <t>8, 51-2, 57-8 passim</t>
  </si>
  <si>
    <t>Humans;*Patient Education as Topic;*Smoking Cessation;Teaching Materials;United States</t>
  </si>
  <si>
    <t>Smoking cigarettes remains the leading cause of preventable illnesses and premature deaths in the United States. Although approximately half of living Americans who have ever smoked have quit, recent studies show that more than 70% of current smokers would like to stop smoking. Health care providers can enhance smoking cessation in their clients by performing assessments of both the physical and psychologic addictive aspects of smoking as well as past and current cessation barriers. Based on the assessment, the clinician should formulate a treatment plan by individualizing appropriate education, counseling, motivation, and pharmacologic support. This article reviews the prevalence and hazards of smoking and supplies health care providers with interventions to assist clients in becoming and remaining nonsmokers. References: 25]</t>
  </si>
  <si>
    <t>J2: Nurse Pract; Andrews, J; ID: 580</t>
  </si>
  <si>
    <t>0361-1817</t>
  </si>
  <si>
    <t>Andrews,J. Department of Veterans Affairs, Augusta, Ga., USA.</t>
  </si>
  <si>
    <t>http://ovidsp.ovid.com/ovidweb.cgi?T=JS&amp;CSC=Y&amp;NEWS=N&amp;PAGE=fulltext&amp;D=med4&amp;AN=9718601</t>
  </si>
  <si>
    <t>MEDLINE; Ovid Technologies; Optimizing smoking cessation strategies</t>
  </si>
  <si>
    <t>Andrews,L. B.;Bridgeman,M. B.;Dalal,K. S.;Abazia,D.;Lau,C.;Goldsmith,D. F.;St John,D.</t>
  </si>
  <si>
    <t>Implementation of a pharmacist-driven pain management consultation service for hospitalised adults with a history of substance abuse</t>
  </si>
  <si>
    <t>International journal of clinical practice</t>
  </si>
  <si>
    <t>Int.J.Clin.Pract.</t>
  </si>
  <si>
    <t>Adult;*Analgesics, Opioid/sd Supply &amp; Distribution];Analgesics, Opioid/tu Therapeutic Use];Delivery of Health Care;Hospitalization/sn Statistics &amp; Numerical Data];Hospitals, Teaching/sn Statistics &amp; Numerical Data];Humans;New Jersey;*Pain/pc Prevention &amp; Control];Pain Management/mt Methods];Patient Care Team/sn Statistics &amp; Numerical Data];*Pharmacy Service, Hospital/ut Utilization];Physician-Patient Relations;Pilot Projects;*Substance-Related Disorders/co Complications];Urban Health;0 (Analgesics, Opioid)</t>
  </si>
  <si>
    <t>BACKGROUND: Pain management in adult patients with concomitant substance use disorders (SUDs) presents a clinical challenge in the absence of objective assessment criteria. Effective pain management is dependent on the clinician's ability to differentiate true pain symptoms from manipulative behaviours. Successful strategies for achieving effective pain control in these patients include implementing a multidisciplinary team approach, use of non-opioid and non-pharmacologic alternatives, and judicious use of opioid analgesics. OBJECTIVE: To describe the implementation of a pharmacist-driven pain management service for patients with concomitant SUDs. METHODS: In an urban teaching hospital located in Trenton, New Jersey, United States, a clinical pharmacist-led pain management service evolved to provide formal consultation. Standardised assessment and treatment approaches were developed to assure consistency. Multidisciplinary education was provided to the medical staff. MAIN OUTCOME MEASURE: The study describes a variety of patterns associated with the program from its pilot period through the first 6 years of service, including opioid utilisation, volume and source of consultations, and multidisciplinary perceptions regarding the program's impact. RESULTS: The establishment of a pharmacist-led pain management consult service successfully addressed patient's needs while modifying drug-seeking behaviours. A significant decrease in opioid usage was noted during the program's pilot period and sustained over time. The program's success has extended the pharmacist's role beyond the program's initial scope to address general pain management needs and to address educational needs of the medical staff. Today, clinical pharmacists are utilised most often for refractory cases for which the most appropriate method of pain management may not be clear.Copyright ‚î¨‚åê 2013 John Wiley &amp; Sons Ltd.</t>
  </si>
  <si>
    <t>J2: Int J Clin Pract; Andrews, L B Bridgeman, M B Dalal, K S Abazia, D Lau, C Goldsmith, D F St John, D; ID: 93</t>
  </si>
  <si>
    <t>1742-1241</t>
  </si>
  <si>
    <t>Andrews,L B. Department of Pharmacy Practice and Administration, Ernest Mario School of Pharmacy, Rutgers, The State University of New Jersey, New Jersey.</t>
  </si>
  <si>
    <t>http://ovidsp.ovid.com/ovidweb.cgi?T=JS&amp;CSC=Y&amp;NEWS=N&amp;PAGE=fulltext&amp;D=medl&amp;AN=24246213</t>
  </si>
  <si>
    <t>http://dx.doi.org/10.1111/ijcp.12311</t>
  </si>
  <si>
    <t>MEDLINE; Ovid Technologies; Implementation of a pharmacist-driven pain management consultation service for hospitalised adults with a history of substance abuse</t>
  </si>
  <si>
    <t>Andrews,M. G.;Brahm,N. C.;Washington,N. B.;Author,Addresses;Department of,Pharmacy Practice;Oklahoma,College of Pharmacy Tulsa United States;Department of Psychiatry, University of,Oklahoma College;of Medicine,Tulsa,United States;Correspondence,Address;MG Andrews, Department of Pharmacy Practice University,of Oklahoma;College of Pharmacy, Tulsa,United States</t>
  </si>
  <si>
    <t>Antipsychotic medications and the development of pneumonia in persons diagnosed with schizophrenia</t>
  </si>
  <si>
    <t>neuroleptic agent;college;drug therapy;human;pharmacist;pneumonia;schizophrenia;cannabis addiction;classification;community acquired pneumonia;diagnosis;diseases;electronic medical record;female;general aspects of disease;group therapy;health;infection;institutional review;lung function;male;mental disease;patient;population;prevention;sample size;smoking;tobacco dependence;university;upper respiratory tract infection</t>
  </si>
  <si>
    <t>Purpose: Studies associating the development of community-acquired pneumonia in patients with schizophrenia who treated with antipsychotic agents are limited. Five studies addressed the association between pneumonia and schizophrenia. Four of these studied the use of antipsychotic agents and the development of pneumonia with mixed results. The fifth examined the difference in clinical outcomes in patients with schizophrenia when compared to those without the disease. This study was designed to determine if the use of antipsychotic agents in patients with schizophrenia is associated with the subsequent development of pneumonia. Methods: Electronic medical records for patients enrolled in the university-based assertive community treatment (ACT) program from 2005 to 2009, with a diagnosis of schizophrenia were reviewed using International Statistical Classification of Diseases and Related Health Problems (ICD) codes and manually for medical interventions associated with upper respiratory infections and related sequelae. This project was approved by the university institutional review board. Results: Of the 73 patients enrolled in the program for the review period, 30 met the criteria for review. Twenty-three of our study patients were male and 7 were female. Patients that were reviewed had birth years ranging from 1940 to 1988. Nine patients had a diagnosis of some potential for compromised lung function, such as nicotine abuse or dependence, cannabis abuse, smoking or tobacco abuse. Of the 30 patients that were reviewed, none developed an upper respiratory infection. Conclusions and Future Directions: In the population reviewed, a diagnosis of schizophrenia was not associated with the development of an upper respiratory infection including development of pneumonia. This could be due to the fact that this population is seen frequently in the ACT program, so that any type of infection was detected early and treated before problems arose. A number of limitations were identified. Larger studies and sample sizes are needed before the lack of association can be made. This study also highlights some of the benefits of the ACT program, such as frequent evaluation and treatment of psychiatric symptoms and prevention and early detection of illness in the schizophrenic population.</t>
  </si>
  <si>
    <t>(Andrews M.G.; Brahm N.C.) (Washington N.B.) 14th Annual Meeting of the College of Psychiatric and Neurologic Pharmacists, CPNP 2011 Phoenix, AZ, United States 2011-05-01 to 2011-05-04 Sage Publications; ID: 1278</t>
  </si>
  <si>
    <t>Angelika,B.;Jain,P.;Upadhyaya,P.;Author,Addresses;Department,of Pharmacology;Gandhi Medical,College;Hospital,Jaipur India;Correspondence,Address;Angelika, Department of Pharmacology Mahatma Gandhi Medical College and,B.;Hospital,Jaipur India</t>
  </si>
  <si>
    <t>Assessment of drug utilization pattern of psychotropic agents in the out patient department of psychiatry at mahatma Gandhi Medical College and Hospital, Jaipur</t>
  </si>
  <si>
    <t>Indian Journal of Pharmacology</t>
  </si>
  <si>
    <t>S97</t>
  </si>
  <si>
    <t>S98</t>
  </si>
  <si>
    <t>(MAJOR FOCUS);psychotropic agent;escitalopram;essential drug;olanzapine;prescription drug;drug utilization;hospital;human;Indian;medical school;outpatient;psychiatry;society;astronomy;clinical pharmacology;diagnosis;drug use;graduate student;institutional ethics;outpatient department;patient;prescription;professional standard;skill;teaching;workshop;world health organization</t>
  </si>
  <si>
    <t>Introduction- The rational use of drugs aims at promoting rational prescribing through a multi-prolonged strategy, which includes intervention to correct drug use problems, adoption of essential drug list, determining and restricting irrational prescribing. This study was done with the aim to study the rationality of prescriptions of psychotropic agents, and to determine whether the drug prescribing was in accordance with WHO guidelines for rational prescribing. Material and Methods: The study was approved by the Institutional Ethics Committee. Prescriptions were collected from Psychiatry Outpatient department from 1st Mar 2014 to 31st July 2014 at Mahatma Gandhi Medical College and Hospital, Jaipur. Patient's demographic data, diagnosis, treatment details, no. of drugs per prescription, drugs prescribed in generic name, drugs prescribed from the Essential Medical List were analyzed. Results: A total of 200 prescriptions were analyzed according to WHO prescribing indicators. Average no. of drugs per prescriptions was 2.3. Most commonly prescribed drugs were Escitalopram and Olanzapine. 51% prescriptions had drugs from EML.2% drugs were prescribed in generic name. Conclusion: This study concludes that the prescriptions were irrational and not in accordance with the WHO indicators. More strategic interventions like improvement in undergraduate clinical pharmacology teaching, good prescribing skills development and regular workshops and CMEs of Interns and post graduate students should be taken to improve rational use of drugs.</t>
  </si>
  <si>
    <t>(Angelika B.; Jain P.; Upadhyaya P.) 47th Annual Conference of the Indian Pharmacological Society, IPSCON 2014 Guwahati, India 2014-12-28 to 2014-12-30 Medknow Publications; ID: 874</t>
  </si>
  <si>
    <t>0253-7613</t>
  </si>
  <si>
    <t>Angulo,C. N.;Jim‚îú‚åênez,E. C. M.;Villegas,V. E. L.;Restrepo,G. M. M.;Hincapi‚îú‚åê,G. J. A.;Author,Addresses;Ips Universitaria, Cl‚îú¬°nica Le‚îú‚îÇn Xiii;Carrera,51D N.;Departamento,de Farmacia;Qu‚îú¬°mica Farmac‚îú‚åêutica, Universidad de Antioquia,A.A.Calle N.;Colombia,Medell‚îú¬°n;Grupo,de;Investigaci‚îú‚îÇn Promoci‚îú‚îÇn y Prevenci‚îú‚îÇn Farmac‚îú‚åêutica, Universidad,de Antioquia;AA Calle,67 N.;Correspondence,Address;JA Hincapi‚îú‚åê G, Departamento de Farmacia Facultad,de Qu;Farmac‚îú‚åêutica, Universidad de Antioquia,A.A.Calle N.;Medell‚îú¬°n, Colombia Email jaimealejandro,h gmail com</t>
  </si>
  <si>
    <t>Digoxin as marking drug in pharmacotherapy follow-up ORIGINAL (NON-ENGLISH) TITLE Digoxina como medicamento se‚îú‚ñíalador para el seguimiento farmacoterap‚îú‚åêutico</t>
  </si>
  <si>
    <t>Vitae</t>
  </si>
  <si>
    <t>S33</t>
  </si>
  <si>
    <t>S34</t>
  </si>
  <si>
    <t>(MAJOR FOCUS);digoxin;mica;clinical pharmacy;drug therapy;follow up;aged;case study;health;hospital;hospital patient;human;oral drug administration;patient;prescription;safety;student</t>
  </si>
  <si>
    <t>Rationale: Pharmacotherapy follow-up (PF) needs to be efficient. For this reason, it is necessary to set up a list of marking drugs to make easier the selection of patients requiring this service. Digoxin has a narrow therapeutic window and a complex safety profile. These characteristics make it suitable to be included in the list, but it lacks objective information in this regard. Aim: To create a support for digoxin consideration as a PF marking drug, by using the results of PF for patients with a digoxin prescription. Methods: Retrospective, descriptive case study including the PFs of inpatients in a high complexity hospital. Collected data was based on the process reports produced by students of the Clinical Pharmacy Practicals from the Facultad de Qu‚îú¬°mica Farmac‚îú‚åêutica, Universidad de Antioquia. Data was collected between February and June 2011. Results: 240 cases of FP were found during this time period. 15 of them (6.3%) had a prescription for digoxin, most were for elderly patients (mean = 78 years). 6 out of the 15 cases (40%) presented result problems and 11 (73%), usage problems associated to digoxin. From the theoretical point of view, dosing adjustment or discontinuation was required for 9 patients (when comparing prescribed dosing and appropriate/calculated dosing). Nevertheless, in practice, this happened in 6 cases only, where a health problem made evident the need for dosing modification. A statistical correlation between calculated dosing adjustment and real adjustment was found (Cramer's V = 0.738). PF was considered as necessary in 12 cases (80%) given the fact that at least one of the problems was suitable for pharmaceutical intervention. 6 interventions were suggested and 4 were accepted (67%). Conclusion: The usage of digoxin by oral administration is associated to a high probability of problems related to drugs. Thus, its addition to the list of marking drugs for PF is fully supported.</t>
  </si>
  <si>
    <t>(Angulo C. N.; Villegas V. E.L.) (Angulo C. N.; Jim‚îú‚åênez E. C.M.; Villegas V. E.L.; Restrepo G. M.M.; Hincapi‚îú‚åê G. J.A., jaimealejandro.h@gmail.com) (Jim‚îú‚åênez E. C.M.; Hincapi‚îú‚åê G. J.A., jaimealejandro.h@gmail.com) 1st Congreso Colombiano de Atencion Farmaceutica Medellin, Colombia 2011-09-08 to 2011-09-10 Universidad de Antioquia; ID: 1311</t>
  </si>
  <si>
    <t>0121-4004</t>
  </si>
  <si>
    <t>Spanish, English</t>
  </si>
  <si>
    <t>Annis,H. M.</t>
  </si>
  <si>
    <t>A cognitive-social learning approach to relapse: pharmacotherapy and relapse prevention counselling</t>
  </si>
  <si>
    <t>Alcohol &amp; Alcoholism.Supplement</t>
  </si>
  <si>
    <t>*Alcoholism/dt Drug Therapy];Alcoholism/px Psychology];*Alcoholism/rh Rehabilitation];Cognition;*Counseling;*Cyanamide/tu Therapeutic Use];Humans;*Learning;Recurrence;420-04-2 (Cyanamide)</t>
  </si>
  <si>
    <t>A cognitive-social learning model of relapse prevention, specifically Albert Bandura's theory of self-efficacy, is one of the most influential theoretical frameworks that has been applied to the problem of relapse in the substance abuse field. Theory and research within this approach are reviewed and future directions for research are suggested. It is proposed that the critical distinction drawn between treatment strategies aimed at "initiation" versus "maintenance" of behaviour change provides a theoretical framework for the use of pharmacological agents in the treatment of alcohol problems. Pharmacological agents can be powerful in initiating a change in consumption, but if patients externally attribute to the drug the cause of their improvement, maintenance of improvement following withdrawal of the drug is likely to be poor. Relapse prevention counselling procedures, on the other hand, have been designed to provide self-attribution for change in drinking behaviour on the part of patients to promote maintenance of treatment effects. A combined approach using pharmacological agents (aimed at initiating a change in drinking) in conjunction with relapse prevention counselling procedures (aimed at fostering internal attribution and maintenance of change) should improve long-term outcome results. Available empirical evidence is presented. References: 9]</t>
  </si>
  <si>
    <t>J2: Alcohol Alcohol Suppl; Annis, H M; ID: 641</t>
  </si>
  <si>
    <t>Annis,H M. Addiction Research Foundation, Toronto, Ontario, Canada.</t>
  </si>
  <si>
    <t>http://ovidsp.ovid.com/ovidweb.cgi?T=JS&amp;CSC=Y&amp;NEWS=N&amp;PAGE=fulltext&amp;D=med3&amp;AN=1845593</t>
  </si>
  <si>
    <t>MEDLINE; Ovid Technologies; A cognitive-social learning approach to relapse: pharmacotherapy and relapse prevention counselling</t>
  </si>
  <si>
    <t>Anthierens,S.;Grypdonck,M.;De Pauw,L.;Christiaens,T.</t>
  </si>
  <si>
    <t>Perceptions of nurses in nursing homes on the usage of benzodiazepines</t>
  </si>
  <si>
    <t>Journal of Clinical Nursing</t>
  </si>
  <si>
    <t>J.Clin.Nurs.</t>
  </si>
  <si>
    <t>Nov</t>
  </si>
  <si>
    <t>Attitude of Health Personnel;*Benzodiazepines/ad Administration &amp; Dosage];Focus Groups;Humans;*Nurses/px Psychology];*Nursing Homes/ma Manpower];12794-10-4 (Benzodiazepines)</t>
  </si>
  <si>
    <t>AIM: This paper reports the findings of a qualitative study on how nurses perceive their own role in the use of benzodiazepines in nursing homes and to identify the factors that have an impact on the nurses' role in the use of benzodiazepines. BACKGROUND: The use of benzodiazepines in nursing homes is of particular concern, as nursing-home residents receive considerably more benzodiazepines than non-institutionalised older persons. Evidence of their long-term effectiveness is lacking. Nurses are important partners in the decision-making process of starting and discontinuation of benzodiazepines. DESIGN: Qualitative descriptive. METHOD: Three focus group interviews and 10 additional semi-structured interviews were used with 33 registered nurses. The interviews were thematically analysed. FINDINGS: Nurses' main concern is to work towards the comfort of the patient. Benzodiazepines are an easy option with not too many side effects and administration of benzodiazepines is experienced as a routine action. When prescribed they will almost automatically lead to chronic usage as there is no evaluation of their effect. There are three aspects that have an impact on nurse's perceptions of their role in benzodiazepine usage: their own individual attitude and perceptions, their knowledge and organisational factors. CONCLUSION: Nurses do not see benzodiazepines as a problem drug and once a prescription is initiated it will almost automatically lead to chronic usage. Nurses should work towards a pro-active promotion of addressing sleeping problems and they can play a key role in non-pharmacological interventions. RELEVANCE TO CLINICAL PRACTICE: Nurses can play a key role in suggesting non-pharmacological alternatives. Education to provide more insight into the problems of insomnia and anxiety may positively influence their attitudes and behaviour. All caregivers in nursing homes should be informed about the relevance of this issue.</t>
  </si>
  <si>
    <t>J2: J Clin Nurs; Anthierens, Sibyl Grypdonck, Mieke De Pauw, Liesbeth Christiaens, Thierry; ID: 316</t>
  </si>
  <si>
    <t>1365-2702</t>
  </si>
  <si>
    <t>Anthierens,Sibyl. Department of General Practice and Primary Health Care, Ghent University, De Pintelaan 185, Ghent, Belgium. sibyl.anthierens@ugent.be</t>
  </si>
  <si>
    <t>http://ovidsp.ovid.com/ovidweb.cgi?T=JS&amp;CSC=Y&amp;NEWS=N&amp;PAGE=fulltext&amp;D=med5&amp;AN=19538562</t>
  </si>
  <si>
    <t>http://dx.doi.org/10.1111/j.1365-2702.2008.02758.x</t>
  </si>
  <si>
    <t>MEDLINE; Ovid Technologies; Perceptions of nurses in nursing homes on the usage of benzodiazepines</t>
  </si>
  <si>
    <t>Argoff,C. E.;Cranmer,W. W.;Author,Addresses;Cohn Pain Management Center, North Shore,University Hospital;Manhasset,N. Y. U.;Department of Neurology, New York Univ School,of Medicine;Amer. Bd. of,Psychiat;Neurology;Geriatric Medical Associates, Oklahoma,City O.;States;Correspondence,Address;CE Argoff, Cohn Pain Management Center North Shore,University Hospital;Manhasset,N. Y. U.</t>
  </si>
  <si>
    <t>The Pharmacological Management of Chronic Pain in Long-Term Care Settings: Balancing Efficacy and Safety</t>
  </si>
  <si>
    <t>Consultant Pharmacist</t>
  </si>
  <si>
    <t>(MAJOR FOCUS);alpha 2 adrenergic receptor stimulating agent (adverse drug reaction,;clinical trial, drug therapy, pharmacology);analgesic agent (adverse drug reaction, drug administration, drug therapy,;oral drug administration, parenteral drug administration, pharmacology,;topical drug administration, transdermal drug administration);anticonvulsive agent (adverse drug reaction, clinical trial, drug therapy,;pharmacology);antidepressant agent (adverse drug reaction, clinical trial, drug therapy,;muscle relaxant agent (adverse drug reaction, clinical trial, drug therapy,;n methyl dextro aspartic acid receptor blocking agent (adverse drug;reaction, clinical trial, drug therapy, pharmacology);capsaicin (adverse drug reaction, clinical trial, drug therapy,;pharmacology, topical drug administration);carbamazepine (adverse drug reaction, drug dose, drug therapy, pharmacology);clonazepam (drug therapy);codeine (adverse drug reaction, drug therapy, pharmacology);cyclooxygenase 2 inhibitor (adverse drug reaction, drug therapy);diphenhydramine (clinical trial, drug comparison, drug therapy,;etiracetam;fentanyl (adverse drug reaction, clinical trial, drug therapy, pharmacology,;transdermal drug administration);fentanyl citrate;gabapentin (drug therapy);hydrocodone (adverse drug reaction, drug combination, drug therapy,;hydrocodone bitartrate plus paracetamol;hydromorphone (adverse drug reaction, drug therapy, pharmacology);ibuprofen (drug combination, drug therapy, pharmacology);lamotrigine (drug therapy, pharmacology);lidocaine (clinical trial, drug administration, drug comparison, drug;therapy, pharmacology, topical drug administration);methadone (drug therapy);morphine sulfate (adverse drug reaction, drug comparison, drug therapy,;pharmaceutics, pharmacology);nonsteroid antiinflammatory agent (adverse drug reaction, drug combination,;drug therapy, pharmacology);opiate (adverse drug reaction, clinical trial, drug combination, drug;oxcarbazepine;oxycodone (adverse drug reaction, clinical trial, drug combination, drug;dose, drug therapy, pharmaceutics, pharmacology);oxycodone plus paracetamol (drug therapy, pharmaceutics, pharmacology);oxymorphone (adverse drug reaction, drug therapy, pharmacology);paracetamol (adverse drug reaction, drug combination, drug dose, drug;therapy);phenytoin;topical agent (drug therapy, pharmacology, topical drug administration);topiramate;unindexed drug (drug therapy);valproate semisodium (drug therapy);valproic acid;zonisamide;chronic pain (diagnosis, drug therapy, epidemiology, etiology);long term care;addiction (side effect);analgesia;ataxia (side effect);burning sensation (side effect);clinical pharmacy;clinical trial;cognitive defect (side effect);constipation (side effect);diplopia (side effect);dizziness (side effect);drowsiness (side effect);drug dependence (diagnosis);drug efficacy;drug formulation;drug mechanism;drug safety;drug tolerance;drug use;endocrine disease (side effect);gastrointestinal toxicity (side effect);geriatric patient;heart arrhythmia (side effect);human;hypotension (side effect);inappropriate drug use;lethargy (side effect);libido disorder (side effect);liver toxicity (side effect);low back pain (drug therapy);mental disease (complication);nausea (side effect);nephrotoxicity (side effect);neuropathic pain (drug therapy);nursing home;nystagmus (side effect);orthostatic hypotension (side effect);pain assessment;pharmacist;postherpetic neuralgia (drug therapy);prevalence;pruritus (side effect);review;sedation;side effect (side effect);sleep disorder (side effect);somnolence (side effect);sustained release preparation;thrombocyte dysfunction (side effect);undertreatment;visual impairment (side effect);vomiting (side effect);xerostomia (side effect);DRUG TRADE NAMES;actiq;carbatrol;depacon;dilantin;dilaudid;keppra;lamictal;neurontin;numorphan;roxanol;roxicodone;topamax;trileptal;zonegran;zydone;capsaicin (404-86-4);carbamazepine (298-46-4, 8047-84-5);clonazepam (1622-61-3);codeine (76-57-3);diphenhydramine (147-24-0, 58-73-1);etiracetam (102767-28-2, 33996-58-6);fentanyl citrate (990-73-8);fentanyl (437-38-7);gabapentin (60142-96-3);hydrocodone (125-29-1, 25968-91-6, 34366-67-1);hydromorphone (466-99-9, 71-68-1);ibuprofen (15687-27-1);lamotrigine (84057-84-1);lidocaine (137-58-6, 24847-67-4, 56934-02-2, 73-78-9);methadone (1095-90-5, 125-56-4, 23142-53-2, 297-88-1, 76-99-3);morphine sulfate (23095-84-3, 35764-55-7, 64-31-3);muscle relaxant agent (9008-44-0);opiate (53663-61-9, 8002-76-4, 8008-60-4);oxcarbazepine (28721-07-5);oxycodone (124-90-3, 76-42-6);oxymorphone (357-07-3, 76-41-5);paracetamol (103-90-2);phenytoin (57-41-0, 630-93-3);topiramate (97240-79-4);valproate semisodium (76584-70-8);valproic acid (1069-66-5, 99-66-1);zonisamide (68291-97-4);Anesthesiology (24);Drug Literature Index (37);Adverse Reactions Titles (38);Pharmacy (39);Neurology and Neurosurgery (8)</t>
  </si>
  <si>
    <t>Objectives: To understand the extent and impact of chronic pain in the nursing home setting, the array of pharmacological options available for the treatment of chronic pain, and to examine the role of the consultant pharmacist in improving chronic pain management among elderly nursing home residents. Data sources: Literature reviews, national and international guidelines, expert opinion. Data Synthesis: Chronic pain remains a common and undertreated condition among elderly nursing home residents. Although the reasons for the undertreatment of pain in this population are complex, failure to recognize pain and to utilize the full spectrum of analgesic options available for the management of pain may be central underlying elements. The consultant pharmacist, in conjunction with the entire treatment team, can prioritize pain recognition and implement treatment strategies that incorporate analgesics from the full array of pharmacological options shown to be effective and well tolerated in the elderly. Conclusions: Adequate treatment of pain in the nursing home setting will require an institutional commitment to determine which residents are in pain and to identify the most appropriate treatment option for an individual resident. The consultant pharmacist can play a central role in this process by (1) participating in a coordinated education process for the entire treatment team; (2) participating in the selection of an appropriate analgesic regimen; and (3) evaluating the ongoing efficacy, safety, and tolerability of analgesic regimens for long-term care residents.</t>
  </si>
  <si>
    <t>(Argoff C.E.) (Cranmer W.W.); ID: 1581</t>
  </si>
  <si>
    <t>0888-5109</t>
  </si>
  <si>
    <t>Armando,P. D.;Semer‚îú¬°a,N.;Tenllado,M. I.;Sola,N.;Author,Addresses;Departamento de,Farmacia;Facultad de Ciencias Quimicas, Universidad Nacional,de Cordoba;C‚îú‚îÇrdoba,Argentina;Correspondence,Address;Sola, Departamento de Farmacia Facultad de Ciencias Quimicas,N.;Universidad Nacional de Cordoba, C‚îú‚îÇrdoba,Argentina Email;nsola@dqo.fcq.unc.edu.ar</t>
  </si>
  <si>
    <t>D‚îú√≠der program in Argentina: Results of the first trimester activities</t>
  </si>
  <si>
    <t>Pharmaceutical Care Espana</t>
  </si>
  <si>
    <t>pharmaceutical care;Argentina;article;community;controlled study;drug efficacy;drug induced disease;drug safety;follow up;human;major clinical study;methodology;morbidity;mortality;pharmacist;physician;professional practice;sanitation;Pharmacy (39)</t>
  </si>
  <si>
    <t>Drug-related morbidity and mortality constitute a large sanitary problem. To optimize the pharmacotherapy established by the physician and to obtain the maximum effectiveness and safety of medication used by the patients, pharmacological treatment follow-up is necessary. Search, identification and resolution of drug related problems (DRP) succeed by implementing pharmaceutical care (PhC). In order to offer PhC to all patients wichever disease they have, the D‚îú√≠der Program Implementation of Pharmacological Treatment Follow-up was adopted. This program provides a methodology according to our surrounding for that purpose. The participant pharmacists (n=31) are from community pharmacies -belonging to the College of Pharmacists- and they practice in the Province of C‚îú‚îÇrdoba. To work efficiently, the pharmacists were organized in groups that met every 3 weeks for clinical sessions. Patients attended totaled 129. In the first trimester activities, 58% of the pharmacists registered pharmaceutical interventions (PhI). The total amount of PhI was 81 and it corresponded to 44 patients. In the patients with found DRP, 1.8 DRP per patient were identified and 80% of them were solved. In 67% of the cases, there was a communication with physician; then, 65% of these DRP were solved. The adoption of D‚îú√≠der Program carried out to an effective resolution in a high percent of DRP.</t>
  </si>
  <si>
    <t>(Armando P.D.; Semer‚îú¬°a N.; Tenllado M.I.; Sola N.); ID: 1621</t>
  </si>
  <si>
    <t>1139-6202</t>
  </si>
  <si>
    <t>Armor,B. L.;Bulkley,C. F.;Truong,T.;Carter,S. M.</t>
  </si>
  <si>
    <t>PMC3930254; Assessing student pharmacists' ability to identify drug-related problems in patients within a patient-centered medical home</t>
  </si>
  <si>
    <t>American Journal of Pharmaceutical Education</t>
  </si>
  <si>
    <t>Am.J.Pharm.Educ.</t>
  </si>
  <si>
    <t>*Clinical Competence/st Standards];*Drug-Related Side Effects and Adverse Reactions/di Diagnosis];Drug-Related Side Effects and Adverse Reactions/th Therapy];Humans;*Medication Adherence;Patient-Centered Care/mt Methods];*Patient-Centered Care/st Standards];*Professional Role;Retrospective Studies;*Students, Pharmacy</t>
  </si>
  <si>
    <t>OBJECTIVE: To quantify, describe, and categorize patient drug-related problems (DRPs) and recommendations identified by fourth-year (P4) student pharmacists during a live medication reconciliation activity within a patient-centered medical home (PCMH). METHODS: Fourth-year student pharmacists conducted chart reviews, identified and documented DRPs, obtained live medication histories, and immediately provided findings and recommendations to the attending physicians. Documentation of DRPs and recommendations were analyzed retrospectively. RESULTS: Thirty-eight students completed 99 medication reconciliation sessions from June 2011 to October 2012 during their advanced pharmacy practice experience (APPE). The students obtained 676 patient medication histories and identified or intervened on 1308 DRPs. The most common DRPs reported were incomplete medication list and diagnostic/laboratory testing needed. Physicians accepted 1,018 (approximately 78%) recommendations. CONCLUSION: Student pharmacists successfully identified and reduced DRPs through a live medication reconciliation process within an academic-based PCMH model. Their medication history-taking skills improved and medication use was optimized.</t>
  </si>
  <si>
    <t>J2: Am J Pharm Educ; Armor, Becky L Bulkley, Christina F Truong, Teresa Carter, Sandra M; ID: 75</t>
  </si>
  <si>
    <t>1553-6467</t>
  </si>
  <si>
    <t>Armor,Becky L. The University of Oklahoma College of Pharmacy, Oklahoma City, Oklahoma. Bulkley,Christina F. The University of Oklahoma College of Pharmacy, Oklahoma City, Oklahoma. Truong,Teresa. The University of Oklahoma College of Pharmacy, Oklahoma City, Oklahoma. Carter,Sandra M. The University of Oklahoma College of Pharmacy, Oklahoma City, Oklahoma.</t>
  </si>
  <si>
    <t>http://ovidsp.ovid.com/ovidweb.cgi?T=JS&amp;CSC=Y&amp;NEWS=N&amp;PAGE=fulltext&amp;D=medl&amp;AN=24558274</t>
  </si>
  <si>
    <t>http://dx.doi.org/10.5688/ajpe7816</t>
  </si>
  <si>
    <t>MEDLINE; Ovid Technologies; Assessing student pharmacists' ability to identify drug-related problems in patients within a patient-centered medical home</t>
  </si>
  <si>
    <t>Arnett,M. R.;Baba,N. Z.;Cheek,D.</t>
  </si>
  <si>
    <t>Improving tobacco dependence education for dental and dental hygiene students at Loma Linda University School of Dentistry</t>
  </si>
  <si>
    <t>Journal of dental education</t>
  </si>
  <si>
    <t>J.Dent.Educ.</t>
  </si>
  <si>
    <t>Attitude of Health Personnel;California;Counseling;Curriculum;*Dental Hygienists/ed Education];Dental Hygienists/px Psychology];*Education, Dental;Female;Follow-Up Studies;Humans;Male;Mouth Diseases/et Etiology];Referral and Consultation;Schools, Dental;Self Concept;*Smoking/pc Prevention &amp; Control];Smoking Cessation;Students, Dental/px Psychology];Tobacco Use Cessation Products/cl Classification];*Tobacco Use Disorder/pc Prevention &amp; Control]</t>
  </si>
  <si>
    <t>In a general effort to facilitate dental professionals' effective tobacco-dependence education (TDE), the student part of the project reported here had three purposes: 1) to promote tobacco cessation activities in the dental school clinic, 2) to evaluate dental and dental hygiene students' confidence level in treating tobacco-dependent patients, and 3) to determine the frequency, duration, and depth with which the students assisted tobacco-dependent patients. Surveys of senior dental and dental hygiene students at the Loma Linda University School of Dentistry were conducted in 2008. Of the twenty-seven questions on the survey, nineteen related to the procedures students performed and questions asked of patients, one question asked how many minutes students spent counseling patients, and seven questions related to barriers to incorporating TDE activities. Only 56.5 percent of the responding dental students reported they routinely "asked and advised" about their patients' smoking behaviors, but 87.5 percent of the responding dental hygiene students reported they routinely did so. After the curricular intervention, the follow-up survey found that the dental students more frequently showed their patients the effects of tobacco on the oral mucosa and more frequently discussed pharmacotherapy options and made referrals during routine care. Until all dental and dental hygiene students are required to meet written board and clinical competencies in TDE and given adequate mentoring by clinical faculty to treat tobacco-dependent patients, the likelihood of seeing major improvements in tobacco-cessation treatment in dental practices is low.</t>
  </si>
  <si>
    <t>J2: J Dent Educ; Arnett, Margie R Baba, Nadim Z Cheek, Darlene; ID: 215</t>
  </si>
  <si>
    <t>1930-7837</t>
  </si>
  <si>
    <t>Arnett,Margie R. School of Dentistry, Loma Linda University, Loma Linda, CA 92350, USA. marnett@llu.edu</t>
  </si>
  <si>
    <t>http://ovidsp.ovid.com/ovidweb.cgi?T=JS&amp;CSC=Y&amp;NEWS=N&amp;PAGE=fulltext&amp;D=medl&amp;AN=22473559</t>
  </si>
  <si>
    <t>MEDLINE; Ovid Technologies; Improving tobacco dependence education for dental and dental hygiene students at Loma Linda University School of Dentistry</t>
  </si>
  <si>
    <t>Aroni,F.;Iacovidou,N.;Dontas,I.;Pourzitaki,C.;Xanthos,T.;Author,Addresses;Laboratory,of;Experimental,Surgery;Surgical Research, Medical School,University of;Athens,Tideos Athens Greece;nd,Department of;Gynecology,Medical School;University,of Athens;Department of Pharmacology, Medical,School Aristotle;University,of Thessaloniki;Correspondence,Address;Aroni, Laboratory of Experimental Surgery,F.;Surgical Research,Medical;School,University of Athens Tideos Athens Greece Email;a.filippia@mycosmos.gr</t>
  </si>
  <si>
    <t>19546251; Pharmacological aspects and potential new clinical applications of ketamine: Reevaluation of an old drug</t>
  </si>
  <si>
    <t>(MAJOR FOCUS);ketamine (adverse drug reaction, clinical trial, drug combination, drug;therapy, epidural drug administration, intramuscular drug administration,;intranasal drug administration, intraperitoneal drug administration,;intravenous drug administration, oral drug administration, pharmacokinetics,;pharmacology, rectal drug administration, subcutaneous drug administration);morphine (drug therapy);thiopental (drug combination, pharmacology);asthma (drug therapy);bronchospasm (drug therapy);burn patient;cardiovascular system;child;clinical trial;continuous infusion;drug abuse;drug bioavailability;drug elimination;drug half life;drug inhibition;general anesthesia;human;nausea and vomiting (complication, drug therapy);nonhuman;pharmacodynamics;postanesthesia care;postoperative analgesia;postoperative pain (complication, drug therapy);review;unspecified side effect (side effect);ketamine (1867-66-9, 6740-88-1, 81771-21-3);morphine (52-26-6, 57-27-2);thiopental (71-73-8, 76-75-5);Anesthesiology (24);Clinical and Experimental Pharmacology (30);Drug Literature Index (37);Adverse Reactions Titles (38);Gastroenterology (48)</t>
  </si>
  <si>
    <t>Ketamine, the phencyclidine derivative described in 1965, is an intravenous anesthetic with a variety of applications. The enthusiasm following its initial release subsided due to side effects from the central nervous system. New anesthetics limited the role of ketamine in anesthetic practice. However, its hemodynamically stable profile, along with its beneficial respiratory properties and analgesic potency, rendered the drug invaluable in battlefield medicine, sedation of the uncooperative child, analgesia, and sedation in burn units. Reevaluation, though, of analgesic properties of ketamine resulted in new interest regarding its use in perioperative and chronic pain management. Moreover, recent studies in the effects of the substance on intracranial pressure and cerebral blood flow led to revising the recommendation against its use in brain injury. Furthermore, the bronchodilating effects of the substance led to increasing interest for potential use in asthma treatment. In addition, separation of the 2 enantiomers and subsequent separate studies indicated beneficial results of the S(+) one. Thus, new controlled multicentered clinical trials are to be conducted to justify approval for new uses of ketamine and take advantage of its unique range of applications. ‚î¨‚åê 2009 the American College of Clinical Pharmacology.</t>
  </si>
  <si>
    <t>(Aroni F., a.filippia@mycosmos.gr; Dontas I.; Xanthos T.) (Iacovidou N.) (Pourzitaki C.) SAGE Publications Inc., 2455 Teller Road, Thousand Oaks, United States.; ID: 1416</t>
  </si>
  <si>
    <t>0091-2700 1552-4604 (electronic)</t>
  </si>
  <si>
    <t>http://www.ncbi.nlm.nih.gov/pubmed/19546251</t>
  </si>
  <si>
    <t>Pharmacological aspects and potential new clinical applications of ketamine: Reevaluation of an old drug</t>
  </si>
  <si>
    <t>Arora,S.;Geppert,C. M.;Kalishman,S.;Dion,D.;Pullara,F.;Bjeletich,B.;Simpson,G.;Alverson,D. C.;Moore,L. B.;Kuhl,D.;Scaletti,J. V.</t>
  </si>
  <si>
    <t>NIHMS461626 PMC3855463; Academic health center management of chronic diseases through knowledge networks: Project ECHO</t>
  </si>
  <si>
    <t>Academic Medicine</t>
  </si>
  <si>
    <t>*Academic Medical Centers;*Computer Communication Networks/og Organization &amp; Administration];*Hepatitis C, Chronic/th Therapy];Humans;New Mexico;Program Development;*Remote Consultation/og Organization &amp; Administration]</t>
  </si>
  <si>
    <t>The authors describe an innovative academic health center (AHC)-led program of health care delivery and clinical education for the management of complex, common, and chronic diseases in underserved areas, using hepatitis C virus (HCV) as a model. The program, based at the University of New Mexico School of Medicine, represents a paradigm shift in thinking and funding for the threefold mission of AHCs, moving from traditional fee-for-service models to public health funding of knowledge networks. This program, Project Extension for Community Health care Outcomes (ECHO), involves a partnership of academic medicine, public health offices, corrections departments, and rural community clinics dedicated to providing best practices and protocol-driven health care in rural areas. Telemedicine and Internet connections enable specialists in the program to comanage patients with complex diseases, using case-based knowledge networks and learning loops. Project ECHO partners (nurse practitioners, primary care physicians, physician assistants, and pharmacists) present HCV-positive patients during weekly two-hour telemedicine clinics using a standardized, case-based format that includes discussion of history, physical examination, test results, treatment complications, and psychiatric, medical, and substance abuse issues. In these case-based learning clinics, partners rapidly gain deep domain expertise in HCV as they collaborate with university specialists in hepatology, infectious disease, psychiatry, and substance abuse in comanaging their patients. Systematic monitoring of treatment outcomes is an integral aspect of the project. The authors believe this methodology will be generalizable to other complex and chronic conditions in a wide variety of underserved areas to improve disease outcomes, and it offers an opportunity for AHCs to enhance and expand their traditional mission of teaching, patient care, and research.</t>
  </si>
  <si>
    <t>J2: Acad Med; Arora, Sanjeev Geppert, Cynthia M A Kalishman, Summers Dion, Denise Pullara, Frank Bjeletich, Barbara Simpson, Gary Alverson, Dale C Moore, Lori B Kuhl, Dave Scaletti, Joseph V 1 UC1 HS015135 (United States AHRQ HHS) M01 RR000997 (United States NCRR NIH HHS); ID: 406</t>
  </si>
  <si>
    <t>1040-2446</t>
  </si>
  <si>
    <t>Arora,Sanjeev. Department of Medicine, University of New Mexico School of Medicine, Albuquerque, New Mexico 87131-0001, USA. SArora@salud.unm.edu</t>
  </si>
  <si>
    <t>http://ovidsp.ovid.com/ovidweb.cgi?T=JS&amp;CSC=Y&amp;NEWS=N&amp;PAGE=fulltext&amp;D=med5&amp;AN=17264693</t>
  </si>
  <si>
    <t>MEDLINE; Ovid Technologies; Academic health center management of chronic diseases through knowledge networks: Project ECHO</t>
  </si>
  <si>
    <t>Arria,A. M.;DuPont,R. L.</t>
  </si>
  <si>
    <t>NIHMS203315 PMC2951617; Nonmedical prescription stimulant use among college students: why we need to do something and what we need to do</t>
  </si>
  <si>
    <t>Journal of Addictive Diseases</t>
  </si>
  <si>
    <t>*Central Nervous System Stimulants/ae Adverse Effects];Communication;Consumer Health Information;Drug Industry/lj Legislation &amp; Jurisprudence];Drug and Narcotic Control/lj Legislation &amp; Jurisprudence];Humans;*Prescription Drugs/ae Adverse Effects];Professional Role;Self Medication/ae Adverse Effects];*Self Medication/td Trends];*Students/px Psychology];*Substance-Related Disorders/pc Prevention &amp; Control];Universities;0 (Central Nervous System Stimulants);0 (Prescription Drugs)</t>
  </si>
  <si>
    <t>This article summarizes recent research findings on nonmedical use of prescription stimulants and outlines a multi-pronged strategic approach for responding to this unique problem among college students. Students, health professionals, parents, the pharmaceutical industry, and institutions of higher education all play roles in this response. Moreover, the academic community should view the translation of research findings as an important responsibility that can help dispel the myths often perpetuated in the media. The nonmedical use of prescription stimulants is a complex behavior and should be viewed in the larger context of alcohol and drug involvement among young adults. Strategies to reduce nonmedical use of prescription stimulants might have direct application to the abuse of other prescription drugs, including opiates.</t>
  </si>
  <si>
    <t>J2: J Addict Dis; Arria, Amelia M DuPont, Robert L R01 DA014845 (United States NIDA NIH HHS) R01DA14845 (United States NIDA NIH HHS) R56 DA014845 (United States NIDA NIH HHS); ID: 274</t>
  </si>
  <si>
    <t>1545-0848</t>
  </si>
  <si>
    <t>Arria,Amelia M. Department of Family Science, Center on Young Adult Health and Development, University of Maryland School of Public Health, College Park, MD, USA.</t>
  </si>
  <si>
    <t>http://ovidsp.ovid.com/ovidweb.cgi?T=JS&amp;CSC=Y&amp;NEWS=N&amp;PAGE=fulltext&amp;D=med5&amp;AN=20924877</t>
  </si>
  <si>
    <t>http://dx.doi.org/10.1080/10550887.2010.509273</t>
  </si>
  <si>
    <t>MEDLINE; Ovid Technologies; Nonmedical prescription stimulant use among college students: why we need to do something and what we need to do</t>
  </si>
  <si>
    <t>Asan,O.;Tikir,B.;Goka,E.;Author,Addresses;Correspondence,Address;Asan,O.</t>
  </si>
  <si>
    <t>The sociodemographic and alcohol-substance usage characteristics of patients, applied to alcohol and drug addiction treatment center of an education and research hospital</t>
  </si>
  <si>
    <t>Klinik Psikofarmakoloji Bulteni</t>
  </si>
  <si>
    <t>24 SUPPL. 1</t>
  </si>
  <si>
    <t>S255</t>
  </si>
  <si>
    <t>(MAJOR FOCUS);alcohol;cannabis;cocaine;diamorphine;drug dependence;education;hospital;human;patient;psychopharmacology;substance use;accident;city;community;drug therapy;drug use;female;friend;infection;male;needle;publication;reading;risk;social life;social status;structured questionnaire;substance abuse;travel;victim;work</t>
  </si>
  <si>
    <t>Objective: The aim of the study was to investigate the sociodemographic and alcohol-substance usage characteristics of patients, who were applied to the Alcohol and Drug Addiction Treatment Center (AMATEM) of Ankara Numune Education and Research Hospital. Method: In this study, the alcohol and substance users, who applied to Alcohol and Drug Addiction Treatment Center (AMATEM) between 1 January and 15 January 2013, have been interviewed. In addition, a semi-structured questionnaire has been used. Results: Of 302 patients, 283 were male and 19 were female. According to the choice of drugs, 14.6% were alcohol users, 53.3% were heroin users, 5.6% were cannabis users, 3.6% were users of other drugs (cocaine, ecstasy, volatile) and 22.8% were mixed-drug users. This study revealed that there was a great deal of drug and alcohol users in the family of the drug and alcohol users (30.5%). The study showed that 21.5% of the patients were having legal problems before starting to use alcohol-substance and 36.4% of the patients were having legal problems after starting to use alcohol-substance. It was found that 24.4% of the heroin users was IV (intravenous) users. The 55.8% of IV users have used the needle of other IV drug users. It has also been observed that 9.5% of them never sterilized the needle they used. The 58.9% of patients have not read any book and 31.8% have not read newspaper. The study showed that the cannabis users were making some activities like reading book-newspaper, going to cafe with friends, travelling to other cities more often than the other groups of users. Moreover, the study showed that 19.9% of the patients have not sustained education, 47% have lost job and 22.5% had an accident because of alcohol-drug usage. Conclusion: It was noticeable that there was a great deal of drug and alcohol users in the family of patients. It has been noticed that the social status of cannabis users were protected better than the other groups of users. The great deal of IV users, have used the needle of other users and have sterilized the needle with an incorrect method, so it is noticeable that IV substance users were under a high risk of infectious diseases. As a result, of the use of alcohol and/or substance, they were losing their jobs and it showed that the families of alcohol and substance users were being victims. The results of this study show that; the alcohol and substance abuse negatively affects many areas of life like social life, family and community relationships, job and education. Besides, alcohol and substance abuse causes increased illegal activities and disrupts the social peace. The alcohol and substance abuse is being a great problem day to day, so a multidisciplinary approach for treatment, which contains editing the social life, family and community relationships, the education and work life along with pharmacological treatment, should be developed.</t>
  </si>
  <si>
    <t>(Asan O.; Tikir B.; Goka E.) 6th International Congress on Psychopharmacology Antalya, Turkey 2014-04-16 to 2014-04-20 Cukurova Univ Tip Fakultesi Psikiyatri Anabilim Dali; ID: 911</t>
  </si>
  <si>
    <t>1017-7833</t>
  </si>
  <si>
    <t>Asatryan,L.;Popova,M.;Alkana,R. L.;Davies,D. L.;Author,Addresses;School of,Pharmacy;University of Southern California, Los Angeles,United States;Correspondence,Address;Asatryan, School of Pharmacy University of Southern California Los,L.;Angeles,United States</t>
  </si>
  <si>
    <t>Homomeric P2X4 and heteromeric P2X4/P2X6 receptors have similar sensitivity to ATP and alcohols</t>
  </si>
  <si>
    <t>Alcoholism: Clinical and Experimental Research</t>
  </si>
  <si>
    <t>33 SUPPL. 1</t>
  </si>
  <si>
    <t>85A</t>
  </si>
  <si>
    <t>(MAJOR FOCUS);adenosine triphosphate;alcohol derivative;receptor;alcohol;cation;hexanol;ion channel;ivermectin;ligand;alcoholism;society;United States;central nervous system;electrode;injection;nerve cell;oocyte;pharmacy;school;voltage clamp technique;Xenopus</t>
  </si>
  <si>
    <t>P2X receptors (P2XRs) are a family of cation-permeable ligand-gated ion channels (LGICs) gated by synaptically released extracellular ATP. Previous work demonstrated that ethanol inhibits ATP-activated currents in native neurons suggesting a role for P2XRs in behavioral effects of ethanol. The P2X4R subtype expresses in the CNS as a trimeric homomeric channel or a heteromeric receptor in combination with other P2XR subtypes. Among P2XRs, P2X6R subtype does not express as a functional homomeric receptor, but it is able to heteromerize with P2X4Rs. Presently, there is little information regarding the role of individual P2XR subtypes in ethanol sensitivities of heteromeric P2XRs. We found that ethanol inhibits the function of recombinantly expressed P2X4Rs. However, ethanol sensitivity of heteromeric P2X4/P2X6Rs has not been studied. The current work investigated alcohol sensitivity of heteromeric complexes that were produced from the co-injections of P2X4Rs and P2X6Rs in Xenopus oocytes using two-electrode voltage-clamp. To ensure the expression of heteromeric complexes, we first measured maximum inducible currents (Imax) in homomeric and heteromeric receptors. Coinjection of P2X4Rs and P2X6Rs in oocytes (10ng each) resulted in Imax values that were comparable to those achieved with 20ng injection of P2X4R and were 2-fold greater than Imax for 10ng P2X4R. These data suggested a presence of heteromeric receptors along with homomeric channels in coinjected oocytes. We found that ethanol (50-200mM) inhibited ATP-gated currents in oocytes expressing heteromeric P2X4/P2X6Rs. The extent of ethanol inhibition was similar to that of homomeric P2X4Rs. The longer chain alcohol hexanol potentiated ATP-activated currents in heteromeric receptors to the same extent as in homomeric P2X4Rs. We found no significant difference between homomeric P2X4Rs and heteromeric P2X4/P2X6Rs in regards to ATP function (i.e., EC(50), Hill slope) or ivermectin action (selective P2X4R modulator). These data suggest that homomeric P2X4Rs and heteromeric P2X4/P2X6Rs have similar sensitivities to ATP and to alcohols. Together, the results support the notion that inhibition of ATP-gated currents in native neurons may arise from the action of ethanol on heteromeric P2X4/P2X6R, as well as from action on homomeric P2X4Rs. Support: NIAAA/NIH KO-1 AA017243, AA013922, AA03972 and USC School of Pharmacy.</t>
  </si>
  <si>
    <t>(Asatryan L.; Popova M.; Alkana R.L.; Davies D.L.) Texas Research Society On Alcoholism - 19th Annual Scientific Meeting San Antonio, TX, United States 2009-02-20 to 2009-02-20 Blackwell Publishing Ltd; ID: 1434</t>
  </si>
  <si>
    <t>Asher,Sheila;Williams,Kecia;Richardson,Rela</t>
  </si>
  <si>
    <t>Nondiscriminatory, Multidisciplinary Care for Neonatal Abstinence Syndrome</t>
  </si>
  <si>
    <t>JOGNN: Journal of Obstetric, Gynecologic &amp; Neonatal Nursing</t>
  </si>
  <si>
    <t>S35</t>
  </si>
  <si>
    <t>S35 1p</t>
  </si>
  <si>
    <t>Neonatal Abstinence Syndrome;Substance Abuse, Perinatal;Ohio;Needs Assessment;Family Centered Care</t>
  </si>
  <si>
    <t>Purpose for the Program The State of Ohio has recommended that all labor and delivery hospitals drug test women in labor to better detect infants with neonatal abstinence syndrome (NAS). A multidisciplinary approach to caring for infants diagnosed with NAS is essential to optimizing outcomes. An innovative education session was developed for all disciplines to promote nondiscriminatory evidence-based care. Proposed Change Based upon the recommendations from the State of Ohio, needs assessment of the perinatal staff, and an increase in maternal drug and substance abuse in the Greater Cincinnati Area, a community-based Level II Family Birth Center examined and developed an innovative multidisciplinary education program about the plan of care for infants diagnosed with NAS that provided nondiscriminatory family-centered care and improved inter-rater reliability with the Finnegan Scoring Tool. Implementation, Outcomes, and Evaluation In response to the increase in maternal drug abuse, the NAS education program was implemented in collaboration with nurses, physicians, social workers, pharmacists, and spiritual care. Together the team created a multidisciplinary education program that covered incidence and general discussion of NAS; identification of fetal, maternal, and neonatal effects of commonly abused perinatal drug exposure; the role of diversity and compassionate care in relation to perinatal drug exposure; social service involvement in relation to perinatal maternal drug abuse and NAS; types of drug-testing techniques, pharmacologic protocol, and treatment for NAS; nonpharmacologic treatment for newborns with NAS; and scoring the signs and symptoms of NAS using the Finnegan Scoring Tool. As a result, the NAS education program fostered interdisciplinary communication, identified standards of care, and promoted nondiscriminatory care. Implications for Nursing Practice With the application of the content covered in the NAS education program, nurses are able to facilitate nondiscriminatory family-centered care with an infant diagnosed with NAS. With the increase of NAS at the Level II facility, the education program improved delivery of care, enhanced multidisciplinary communication, and improved inter-rater reliability for the Finnegan Scoring Tool.</t>
  </si>
  <si>
    <t>Entry Date: 20140917. Revision Date: 20150710. Publication Type: Journal Article; abstract. Journal Subset: Core Nursing; Nursing; Peer Reviewed; USA. Special Interest: Obstetric Care; Pediatric Care; Women's Health. NLM UID: 8503123.; ID: 1954</t>
  </si>
  <si>
    <t>0884-2175</t>
  </si>
  <si>
    <t>Mercy Health-Fairfield Hospital, Cincinnati, OH</t>
  </si>
  <si>
    <t>http://proxy.lib.umich.edu/login?url=http://search.ebscohost.com/login.aspx?direct=true&amp;db=ccm&amp;AN=103980218&amp;site=ehost-live&amp;scope=site</t>
  </si>
  <si>
    <t>10.1111/1552-6909.12413</t>
  </si>
  <si>
    <t>ccm; EBSCOhost; Nondiscriminatory, Multidisciplinary Care for Neonatal Abstinence Syndrome</t>
  </si>
  <si>
    <t>Ashjian,E.;Salamin,L. B.;Eschenburg,K.;Kraft,S.;Mackler,E.</t>
  </si>
  <si>
    <t>Evaluation of outpatient medication reconciliation involving student pharmacists at a comprehensive cancer center</t>
  </si>
  <si>
    <t>*Ambulatory Care/ma Manpower];*Cancer Care Facilities/ma Manpower];Female;Health Services Needs and Demand;Humans;Male;*Medication Reconciliation;Michigan;Middle Aged;*Neoplasms/dt Drug Therapy];*Patient Satisfaction;Program Evaluation;*Students, Pharmacy</t>
  </si>
  <si>
    <t>OBJECTIVE: To determine the number of discrepancies and medication-related problems found as a result of pharmacy-led medication reconciliation involving introductory pharmacy practice experience (IPPE) students at a comprehensive cancer center. SETTING: Outpatient infusion center of a National Cancer Institute (NCI)-designated and National Comprehensive Cancer Network (NCCN) cancer center. PRACTICE DESCRIPTION AND INNOVATION: Third-year IPPE students contacted and completed medication reconciliation for 510 hematology/oncology patients scheduled for infusion center appointments without a coupled provider visit. IPPE students discussed the findings of the medication reconciliations with their pharmacist preceptors, who updated the medication histories in the electronic medical record (EMR) and communicated with prescribers directly about identified medication-related problems. All medication reconciliation was documented using a standardized note template in the EMR. MAIN OUTCOME MEASURES: Number of medication discrepancies found, including medication additions, medication deletions, dose changes, and herbal product additions; medication-related problems-including drug-drug interactions, untreated indications (e.g., nausea, vomiting, pain, need for prophylactic medications), failure of patients to receive prescribed medications, and adverse drug reactions-were also documented. RESULTS: Medication reconciliation was completed for 510 patients through the student pharmacist/pharmacist preceptor-led intervention during a 1-year period between January 1, 2013, and December 31, 2013. A total of 88% of patients had at least one discrepancy identified in their medication history and corrected in the EMR. In addition, 11.4% of patients had a medication-related problem identified. CONCLUSIONS: Pharmacy-led medication reconciliation identified a large number of discrepancies among our hematology/oncology patients. This intervention allowed for correction of discrepancies in the EMR leading to improved accuracy of patient medication lists. In addition, it provided a valuable learning experience for student pharmacists.</t>
  </si>
  <si>
    <t>J2: J Am Pharm Assoc (2003); Ashjian, Emily Salamin, Louise B Eschenburg, Katie Kraft, Shawna Mackler, Emily; ID: 1</t>
  </si>
  <si>
    <t>http://ovidsp.ovid.com/ovidweb.cgi?T=JS&amp;CSC=Y&amp;NEWS=N&amp;PAGE=fulltext&amp;D=medl&amp;AN=26359964</t>
  </si>
  <si>
    <t>http://dx.doi.org/10.1331/JAPhA.2015.14214</t>
  </si>
  <si>
    <t>MEDLINE; Ovid Technologies; Evaluation of outpatient medication reconciliation involving student pharmacists at a comprehensive cancer center</t>
  </si>
  <si>
    <t>Ashmore,R.;Carver,N.;Banks,D.</t>
  </si>
  <si>
    <t>Mental health nursing students' relationships with the pharmaceutical industry</t>
  </si>
  <si>
    <t>Nurse education today</t>
  </si>
  <si>
    <t>Nurse Educ.Today</t>
  </si>
  <si>
    <t>*Attitude of Health Personnel;Bias (Epidemiology);Clinical Competence;Codes of Ethics;Conflict of Interest;Drug Industry/es Ethics];*Drug Industry/og Organization &amp; Administration];Drug Information Services;Education, Nursing, Graduate/es Ethics];Education, Nursing, Graduate/og Organization &amp; Administration];Female;Gift Giving/es Ethics];*Gift Giving;Great Britain;Health Knowledge, Attitudes, Practice;Health Services Needs and Demand;Humans;Interprofessional Relations/es Ethics];*Interprofessional Relations;Male;Nursing Methodology Research;Persuasive Communication;Psychiatric Nursing/ed Education];*Psychiatric Nursing;Qualitative Research;*Students, Nursing/px Psychology];Surveys and Questionnaires</t>
  </si>
  <si>
    <t>INTRODUCTION: The medical profession's relationship with the pharmaceutical industry (PI) has come under increased scrutiny in recent years, however little is known on the subject in mental health nursing. AIMS: The study sought to investigate: (1) the frequency of contact between mental health nursing students and PI employees; (2) students' attitudes and beliefs about their relationship with the PI; (3) the range of 'gifts', promotional items and hospitality accepted or seen in clinical environments by students in a one year period; and (4) students' attitudes to 'gifts', promotional items and hospitality offered by the industry. METHOD: Employing a survey design, a 35-item questionnaire was distributed to 472 students at two universities in the UK. Data were analysed from 347 respondents by means of descriptive statistics and simple content analysis. RESULTS: The findings suggest that students have significant contact with the industry through one-to-one meetings with pharmaceutical representatives (PRs) and by attending events giving information on specific drugs or general mental health issues. Students also identified a number of benefits (e.g. receiving "up-to-date" information on new drugs) and problems (e.g. the potential influence exerted on practitioners to use their drugs) arising out of this contact. Most students (79.8%) had accepted some form of 'gift' from the industry but few (11.5%) believed it was unacceptable to do so. The presence of promotional items in the clinical environment was seen as advertising (84.4%) but few students (19.3%) believed clinical environment should be free of these items. Over half (57.1%) of the students believed that PRs did not always give unbiased information but thought that they and mental health nurses in general would be able to detect any bias. CONCLUSIONS: In parallel with medicine, the study has shown that the pharmaceutical industry has at least the potential to influence mental health nursing students. Within medicine this realisation has triggered a vigorous debate on how medical schools should respond to the promotional activities of the PI. We suggest this study goes some way to demonstrating there is a need for these issues to be debated in the education of mental health nurses.</t>
  </si>
  <si>
    <t>J2: Nurse Educ Today; Ashmore, Russell Carver, Neil Banks, David; ID: 382</t>
  </si>
  <si>
    <t>0260-6917</t>
  </si>
  <si>
    <t>Ashmore,Russell. Sheffield Hallam University, Faculty of Health and Wellbeing, Mundella House, Collegiate Crescent, S1 1WB, United Kingdom. r.j.ashmore@shu.ac.uk</t>
  </si>
  <si>
    <t>http://ovidsp.ovid.com/ovidweb.cgi?T=JS&amp;CSC=Y&amp;NEWS=N&amp;PAGE=fulltext&amp;D=med5&amp;AN=17113686</t>
  </si>
  <si>
    <t>MEDLINE; Ovid Technologies; Mental health nursing students' relationships with the pharmaceutical industry</t>
  </si>
  <si>
    <t>Ashor,A. W.</t>
  </si>
  <si>
    <t>Variable influence of the degree of smoking dependence on adult attention deficit/hyperactivity disorder in Iraqi medical students</t>
  </si>
  <si>
    <t>Adolescent;Adult;*Attention Deficit Disorder with Hyperactivity/ep Epidemiology];Female;Humans;Iraq/ep Epidemiology];Male;Psychiatric Status Rating Scales;*Smoking/ep Epidemiology];Statistics, Nonparametric;*Students, Medical;Young Adult</t>
  </si>
  <si>
    <t>OBJECTIVE: To demonstrate the differences in the patterns of adult attention deficit/hyperactivity disorder (ADHD) symptoms among non, light, and heavy smokers. METHODS: A cross-sectional study involving 400 medical students (representing first to sixth year students) was conducted in the Department of Pharmacology, University of Al-Mustansiriya, Baghdad, Iraq from March to June 2011. The medical students completed a questionnaire containing the adult ADHD self-report scale (ASRS-screener) and the Fagerstrom Test for Nicotine Dependence (FTND). An ADHD score &gt;14 was considered positive. An FTND score &gt;6 signifies heavy smokers, and an FTND score &lt;5 signifies light smokers. RESULTS: Three hundred and sixty-one medical students completed the questionnaire, 16.6% reported ADHD symptoms (19.8% male, 12.1% females). Forty-five percent of ADHD adults were smokers; more than half of them were categorized as heavy smokers (51.8%). In comparison with non-smokers, heavy smokers displayed significant deterioration in their inattentive and total ASRS score (p=0.0001). Light smokers show significantly higher hyperactive symptoms in comparison with non-smokers (p=0.041). A high FTND score was associated with severer deterioration in inattentive (r=0.391, p=0.001) but not hyperactive symptoms (r=0.153, p=0.117). CONCLUSION: The ADHD symptoms are highly prevalent among Iraqi medical students, and smoking among ADHD students is higher and heavier than non-ADHD controls. Heavy smoking tends to deteriorate rather than ameliorate (self-medicate) ADHD symptoms.</t>
  </si>
  <si>
    <t>J2: Neurosciences; Ashor, Ammar W; ID: 177</t>
  </si>
  <si>
    <t>Ashor,Ammar W. Department of Pharmacology, Al-Mustansiriya University, Baghdad, Iraq. ammar_w_78@yahoo.com</t>
  </si>
  <si>
    <t>http://ovidsp.ovid.com/ovidweb.cgi?T=JS&amp;CSC=Y&amp;NEWS=N&amp;PAGE=fulltext&amp;D=medl&amp;AN=22772930</t>
  </si>
  <si>
    <t>MEDLINE; Ovid Technologies; Variable influence of the degree of smoking dependence on adult attention deficit/hyperactivity disorder in Iraqi medical students</t>
  </si>
  <si>
    <t>Degree of dependence influences the effects of smoking on psychomotor performance and working memory capacity</t>
  </si>
  <si>
    <t>Cognition Disorders/ci Chemically Induced];*Cognition Disorders/di Diagnosis];Cognition Disorders/px Psychology];Humans;Male;*Memory, Short-Term/de Drug Effects];Memory, Short-Term/ph Physiology];*Psychomotor Performance/de Drug Effects];Psychomotor Performance/ph Physiology];*Smoking/ae Adverse Effects];Tobacco Use Disorder/cl Classification];*Tobacco Use Disorder/et Etiology];Tobacco Use Disorder/px Psychology];Young Adult</t>
  </si>
  <si>
    <t>OBJECTIVE: Exploration of the variable effect of the degree of smoking dependence on psychomotor performance and working memory capacity. METHODS: This is a randomized, controlled, prospective study conducted in the Department of Pharmacology, College of Medicine, Al-Mustansiriya University, Baghdad, Iraq from 15 January 2011 to 25 February 2011. After third stage male medical students completed the Fagerstrom Test for Nicotine Dependence questionnaire, we randomly selected a sample of 32 students and divided them into 3 groups: 10 participants with zero score (non-smokers), 11 participants with a score of 5 or less (light smokers), and 11 participants with a score of 6 or more (heavy smokers). Choice reaction time and flicker fusion were measured by the Leeds psychomotor performance test battery, and working memory capacity was measured by the N-back working memory test. RESULTS: We found significant improvement in ascending flicker fusion test in heavy smokers in comparison with non-smokers (p=0.005, confidence interval CI] 0.99-6), and light smokers (p=0.053, CI 0.39-4.5). Heavy smokers significantly deteriorated in the 3-back task in comparison with non-smokers (p=0.006, CI 4-25.8), and light smokers (p=0.009, CI 3-24.4). No significant changes were seen between groups in the descending critical flicker fusion, the components of choice reaction time, and in 1-, 2- back working memory tests. CONCLUSION: Heavy smoking (high nicotine) enhances arousal, but impairs working memory capacity.</t>
  </si>
  <si>
    <t>J2: Neurosciences; Ashor, Ammar W; ID: 231</t>
  </si>
  <si>
    <t>Ashor,Ammar W. Department of Pharmacology, College of Medicine, Al-Mustansiriya University, Baghdad, Iraq. ammar_w_78@yahoo.com</t>
  </si>
  <si>
    <t>http://ovidsp.ovid.com/ovidweb.cgi?T=JS&amp;CSC=Y&amp;NEWS=N&amp;PAGE=fulltext&amp;D=med5&amp;AN=21983379</t>
  </si>
  <si>
    <t>MEDLINE; Ovid Technologies; Degree of dependence influences the effects of smoking on psychomotor performance and working memory capacity</t>
  </si>
  <si>
    <t>Ashor,A. W.;Author,Addresses;Department,of Pharmacology;Medicine,Al-Mustansiriya University P.O.Box Baghdad Iraq;Correspondence,Address;Ashor, Department of Pharmacology College of Medicine,A.W.;Al-Mustansiriya University, P O Box Baghdad,Iraq Email;ammar_w_78@yahoo.com</t>
  </si>
  <si>
    <t>Smoking dependence and common psychiatric disorders in medical students: Cross-sectional study</t>
  </si>
  <si>
    <t>Pakistan Journal of Medical Sciences</t>
  </si>
  <si>
    <t>July-September</t>
  </si>
  <si>
    <t>anxiety;depression;medical student;smoking;tobacco dependence;adult;article;assessment of humans;controlled study;cross-sectional study;disease association;fagerstrom test;female;Hamilton Depression Rating Scale;high risk population;human;Iraq;male;onset age;smoking habit;Zung self report depression scale;Public Health, Social Medicine and Epidemiology (17);Psychiatry (32)</t>
  </si>
  <si>
    <t>Objectives: Exploring the variable effect of the degree of smoking dependence on the level of anxiety and depression symptoms among medical students. Methodology: This cross-section study, conducted in the Department of Pharmacology, College of Medicine, Al-Mustansiriya University, Baghdad-Iraq from December 2010 to May 2011, involving 300 medical students selected by cluster random sampling techniques. Those students completed the Hamilton rating scale for anxiety, Zung self-report depression scale and the Fagerstrom test for nicotine dependence with a value of six or more regarded as heavy smokers, and a value less than six considered as light smokers. Results: The response rate was 89%, heavy smokers were signifcantly older and start smoking at an earlier age than non- and light smokers (p=0.001). Heavy smokers associated with high chance of depressive symptoms in comparison with non-smokers (OR=4.8, C.I.=1.752-13.677) and light smokers (OR=4.2, C.I.=1.042-17.161). Regarding anxiety symptoms, heavy smokers demonstrate high chance of anxiety symptoms in comparison with non-smokers (OR=5.2, C.I.=1.826-15.176), and light smokers (OR=4.5, C.I.=1.318-15.526). Conclusions: Heavy smokers differ from non- and light smokers, associated with high risk of anxiety and depression, therefore heavy smoking tends to deteriorate rather than ameliorate these symptoms.</t>
  </si>
  <si>
    <t>(Ashor A.W., ammar_w_78@yahoo.com) Professional Medical Publications, Raja Ghazanfar Ali Road, Saddar, Karachi, Pakistan.; ID: 1135</t>
  </si>
  <si>
    <t>1682-024X</t>
  </si>
  <si>
    <t>Ashton,H.</t>
  </si>
  <si>
    <t>The treatment of benzodiazepine dependence</t>
  </si>
  <si>
    <t>Addiction</t>
  </si>
  <si>
    <t>Anti-Anxiety Agents/ad Administration &amp; Dosage];Anti-Anxiety Agents/ae Adverse Effects];*Anti-Anxiety Agents;Behavior Therapy;Benzodiazepines;Combined Modality Therapy;Dose-Response Relationship, Drug;Drug Administration Schedule;Follow-Up Studies;Humans;Substance Withdrawal Syndrome/px Psychology];Substance Withdrawal Syndrome/rh Rehabilitation];Substance-Related Disorders/px Psychology];*Substance-Related Disorders/rh Rehabilitation];Treatment Outcome;0 (Anti-Anxiety Agents);12794-10-4 (Benzodiazepines)</t>
  </si>
  <si>
    <t>Withdrawal of benzodiazepines is currently advised for long-term benzodiazepine users because of doubts about continued efficacy, risks of adverse effects, including dependence and neuropsychological impairment and socio-economic costs. About half a million people in the UK may need advice on withdrawal. Successful withdrawal strategies should combine gradual dosage reduction and psychological support. The benzodiazepine dosage should be tapered at an individually titrated rate which should usually be under the patient's control. The whole process may take weeks or months. Withdrawal from diazepam is convenient because of available dosage strengths, but can be carried out directly from other benzodiazepine. Adjuvant medication may occasionally be required (antidepressants, propranolol) but no drugs have been proved to be of general utility in alleviating withdrawal-related symptoms. Psychological support should be available both during dosage reduction and for some months after cessation of drug use. Such support should include the provision of information about benzodiazepines, general encouragement, and measures to reduce anxiety and promote the learning of non-pharmacological ways of coping with stress. For many patients the degree of support required is minimal; a minority may need counselling or formal psychological therapy. Unwilling patients should not be forced to withdraw. With these methods, success rates of withdrawal are high and are unaffected by duration of usage, dosage or type of benzodiazepine, rate of withdrawal, symptom severity, psychiatric history or personality disorder. Longer-term outcome is less clear; a considerable proportion of patients may temporarily take benzodiazepines again and some need other psychotropic medication. However, the outcome may be improved by careful pharmacological and psychological handling of withdrawal and post-withdrawal phases. References: 40]</t>
  </si>
  <si>
    <t>J2: Addiction; Ashton, H; ID: 630</t>
  </si>
  <si>
    <t>0965-2140</t>
  </si>
  <si>
    <t>Ashton,H. Department of Pharmacological Sciences, University of Newcastle upon Tyne, UK.</t>
  </si>
  <si>
    <t>http://ovidsp.ovid.com/ovidweb.cgi?T=JS&amp;CSC=Y&amp;NEWS=N&amp;PAGE=fulltext&amp;D=med3&amp;AN=7841868</t>
  </si>
  <si>
    <t>MEDLINE; Ovid Technologies; The treatment of benzodiazepine dependence</t>
  </si>
  <si>
    <t>Assemi,M.;Mutha,S.;Hudmon,K. S.;Author,Addresses;School of,Pharmacy;University of California, San Francisco,C.A.United States;Department of Medicine, Center for the,Health Professions;University of California, San Francisco,C.A.United States;Purdue University,School,of Pharmacy;Pharmaceutical;Sciences,United States;Education,Ucsf Fresno Pharmacy;Program,N. F.;Correspondence,Address;Fresno Street,M.Assemi, Ucsf Fresno Pharmacy Education Program N.;Fresno,C. A. U.</t>
  </si>
  <si>
    <t>19503694; Evaluation of a train-the-trainer program for cultural competence</t>
  </si>
  <si>
    <t>71:6 Article Number: 110.</t>
  </si>
  <si>
    <t>education program;smoking cessation;article;clinical pharmacy;curriculum development;female;health program;human;male;pharmacy student;smoking;tobacco dependence;Public Health, Social Medicine and Epidemiology (17)</t>
  </si>
  <si>
    <t>Objectives. To develop, implement, and evaluate the impact of a cultural competence train-the-trainer workshop for pharmacy educators. Methods. A 2-day train-the-trainer workshop entitled Incorporating Cultural Competency in Pharmacy Education (1.65 CEUs) was provided to pharmacy faculty from schools across the United States. Baseline, posttraining, and 9-month follow-up surveys assessed participants' (n = 50) characteristics and self-efficacy in developing and teaching content. Results. At baseline, 94% of faculty members reported no formal training in teaching cultural competence. After completing the workshop, participants' self-rated confidence for developing and teaching workshop content significantly increased. The number of participants who rated their ability to teach cultural competence as "very good" or "excellent" increased from 13% to 60% posttraining. Participants reported teaching 1 or more aspects of the workshop curriculum to nearly 3,000 students in the 9-months following training. Conclusions. The workshop significantly increased faculty members' perceived and documented ability to teach cultural competence. The train-the-trainer model appears to be a viable and promising strategy for meeting the American Council for Pharmacy Education accreditation standards relating to the teaching of diversity, cultural issues, and health literacy.</t>
  </si>
  <si>
    <t>(Assemi M., assemim@pharmacy.ucsf.edu; Hudmon K.S.) (Mutha S.) (Hudmon K.S.) (Assemi M., assemim@pharmacy.ucsf.edu) American Association of Colleges of Pharmacy, 1426 Prince Street, Alexandria, United States.; ID: 1478</t>
  </si>
  <si>
    <t>0002-9459 1553-6467 (electronic)</t>
  </si>
  <si>
    <t>http://www.ncbi.nlm.nih.gov/pubmed/19503694</t>
  </si>
  <si>
    <t>Evaluation of a train-the-trainer program for cultural competence</t>
  </si>
  <si>
    <t>Aurora,S. K.;Author,Addresses;Swedish Neuroscience,Institute;Swedish Headache Center, Madison Seattle,W.A.United States;Correspondence,Address;SK Aurora, Swedish Neuroscience Institute Swedish,Headache Center;Madison,Seattle W.A.United States Email sheena aurora swedish org</t>
  </si>
  <si>
    <t>21770931; Implications of current clinical trials focused on medication overuse and therapeutic prophylaxis</t>
  </si>
  <si>
    <t>Headache</t>
  </si>
  <si>
    <t>July-August</t>
  </si>
  <si>
    <t>amitriptyline (drug therapy);analgesic agent (drug therapy);botulinum toxin A (clinical trial, drug therapy);fluoxetine (drug therapy);gabapentin (drug therapy);tizanidine (drug therapy);topiramate (adverse drug reaction, clinical trial, drug dose, drug therapy,;pharmacology);unclassified drug;transformed migraine (drug therapy, drug therapy, prevention, therapy);article;clinical trial (topic);drug abuse;drug efficacy;drug mechanism;drug safety;drug tolerability;headache (drug therapy);human;nerve stimulation;outcome assessment;practice guideline;priority journal;prophylaxis;unspecified side effect (side effect);amitriptyline (50-48-6, 549-18-8);botulinum toxin A (93384-43-1);fluoxetine (54910-89-3, 56296-78-7, 59333-67-4);gabapentin (60142-96-3);tizanidine (51322-75-9, 64461-82-1);topiramate (97240-79-4);Neurology and Neurosurgery (8);Drug Literature Index (37);Adverse Reactions Titles (38)</t>
  </si>
  <si>
    <t>Chronic migraine (CM) is a complex disorder requiring a multifaceted management approach encompassing lifestyle modification, trigger avoidance, behavioral therapy, pharmacotherapy, patient education and support, management of expectations, and close follow-up. The lack of pharmacotherapies approved by the US Food and Drug Administration (FDA) hinders CM prophylaxis and management. Topiramate, gabapentin, tizanidine, fluoxetine, amitriptyline, and onabotulinumtoxinA have been evaluated for prophylactic treatment of CM in randomized, double-blind, placebo-controlled or active comparator-controlled trials. Additional well-designed, placebo-controlled studies are needed to assess the effectiveness of new and existing treatment options for CM. Understanding current clinical trial design and management guidelines is critical to designing future trials that overcome the challenge of consistent use of sensitive and clinically meaningful outcome measures. Topiramate is approved for episodic migraine management and has been studied for CM management. A growing body of evidence has shown it to be safe, effective, and well-tolerated in specific patient populations. However, intolerable adverse effects and inadequate efficacy associated with topiramate may lead to poor adherence. The efficacy, safety, and tolerability of onabotulinumtoxinA have been demonstrated in studies in various migraine patient populations, leading to recent FDA approval of onabotulinumtoxinA for the prophylactic treatment of</t>
  </si>
  <si>
    <t>(Aurora S.K., sheena.aurora@swedish.org) Blackwell Publishing Inc., 350 Main Street, Malden, United States.; ID: 1254</t>
  </si>
  <si>
    <t>0017-8748 1526-4610 (electronic)</t>
  </si>
  <si>
    <t>http://www.ncbi.nlm.nih.gov/pubmed/21770931</t>
  </si>
  <si>
    <t>Implications of current clinical trials focused on medication overuse and therapeutic prophylaxis</t>
  </si>
  <si>
    <t>Avant,N.;Marcy,T.;Planas,L.;Stevens,E.;Author,Addresses;University of Arkansas,for Medical;United,States;University,of Oklahoma;Pharmacy,United States;Correspondence,Address;Avant, University of Arkansas for Medical Sciences United States Email,N.;navant2@att.net</t>
  </si>
  <si>
    <t>Evaluation of a hypertension adherence service in a community pharmacy</t>
  </si>
  <si>
    <t>e118</t>
  </si>
  <si>
    <t>antihypertensive agent;hypertension;pharmacy;adverse drug reaction;antihypertensive therapy;blood pressure;college;diabetes mellitus;diagnosis;drug therapy;female;heart rate;hospital;human;medication compliance;patient;patient education;pharmacist;physician;primary medical care;United States;university</t>
  </si>
  <si>
    <t>Objective: The objective of this study was to define the impact of a hypertension medication adherence service in a community pharmacy. Methods: The setting for this study was a community pharmacy, managed by a college of pharmacy, housed within a university-based primary care clinic in Oklahoma. Participants were predominately black patients with hypertension. Pharmacist-run interventions using scheduled visits averaging 22 minutes to assess each patient's blood pressure (BP), heart rate, antihypertensive therapies, medication adherence, barriers to adherence, and drug-related problems (DRPs). Outcome measures were changes in BP and BP control as well as DRPs, and respective interventions were collected retrospectively and assessed at baseline and at the second visit. Results: The mean age of the 17 patients eligible for this study was 58 years with patients on an average of three antihypertensive medications. Eightytwo percent of the patients possessed a concomitant diabetes mellitus diagnosis and two-thirds of patients were female. The mean BP at the initial visit was 152/82 mm Hg with 82% of patients having BP &gt;140/90 mm Hg. By visit 2, patients achieved greater improvements in systolic BP (-8 mm Hg) and BP control (17.6% vs. 47.1%). Among the 17 patients, 20 DRPs were identified just at visit 1. Pharmacists documented an average of 2.4 DRPs per patient in two visits. Of the total 41 DRPs found by visit 2, the most common were medication misuse (32%), missing lab (20%), suboptimal treatment (12%), and adverse drug reactions (10%). Of the 44 interventions documented, the most common were patient education (27%), change dose (23%), order lab (18%), and refer for evaluation (9%). Half of the recommendations to change dose, 25% of the recommendations to order labs, and 100% of the recommendations to be referred for evaluation were executed. Conclusion: Community pharmacists collaborating with physicians achieved reductions in BP and improved control rates in patients with hypertension as well as identified and corrected DRPs.</t>
  </si>
  <si>
    <t>(Avant N., navant2@att.net) (Marcy T.; Planas L.; Stevens E.) APhA2015 San Diego, CA, United States 2015-03-27 to 2015-03-30 American Pharmacists Association; ID: 841</t>
  </si>
  <si>
    <t>Avres,M.;Hazlet,T.;Author,Addresses;University of,Washington;School,of Pharmacy;Correspondence,Address;Avres, University of Washington School of Pharmacy United States,M.;Email,xavrgram u. washington edu</t>
  </si>
  <si>
    <t>Qualitative evaluation of case studies in pharmacy ethics</t>
  </si>
  <si>
    <t>case study;medical ethics;abuse;adult;assisted suicide;beneficence;clinical pharmacy;emergency contraception;environment;ethics;face validity;hospital patient;human;justice;maturation;medical practice;morality;neoplasm;outpatient;patient;patient care;pharmacist;pharmacy;reimbursement;student;transplantation</t>
  </si>
  <si>
    <t>Objective: To perform a qualitative evaluation of an original collection of case studies in ethical dilemmas of pharmacy practice, describing the range of these dilemmas and elucidating needs for focused study in pharmacy ethics as distinct from ethics developed from other practice settings. Methods: Cases collected from second professional year student pharmacist ethics coursework (n = 122) are evaluated along several axes-inpatient or outpatient setting, patient age, primary payer, and disease state-are described. The primary and secondary ethical principles of interest and contextual root cause of dilemma are identified for each case. Results: Of 55 evaluable cases, most (60%) involved adults (25-64 years old), were independent of reimbursement issues (80%), and were observed in an outpatient setting (81%). Nonmaleficence was the dominant ethics principle (36%), followed by autonomy (24%), beneficence (16%), justice (13%), and virtue (4%); 4 cases involved strictly legal issues. The dominant disease states were chronic pain/substance abuse (18%), cancer (11%), psychiatric (10%), emergency contraception (6%), organ transplant (6%), and assisted suicide (3.5%). The root cause for almost half of the cases involved a patient care versus law conflict (43%), followed by psychiatric issues (16%), and patient misunderstandings of disease process (7%). We find that pharmacy practice occurs in a unique environment of care that is not accurately described or sufficiently addressed by medical ethics. Face validity of cases as unique to pharmacy practice by setting or clinical nature are consistently strong throughout. As applied medical ethics were developed in response to the settings and needs of medical practice, a correct response to the maturation of clinical pharmacy practice is the development of specific ethical tools for pharmacy. Our analysis will be refined to describe pharmacy ethics and suggest new approaches to validating appropriate ethics tools. Further work should be done to validate and describe applied pharmacy ethics. Conclusion: NA (research in progress).</t>
  </si>
  <si>
    <t>(Avres M., xavrgram@u.washington.edu; Hazlet T.) APhA2010 Washington, DC, United States 2010-03-12 to 2010-03-15 American Pharmacists Association; ID: 1395</t>
  </si>
  <si>
    <t>Awaisu,A.;Abd Rahman,N. S.;Nik Mohamed,M. H.;Bux,Rahman Bux;Mohamed Nazar,N. I.</t>
  </si>
  <si>
    <t>PMC2856427; Malaysian pharmacy students' assessment of an objective structured clinical examination (OSCE)</t>
  </si>
  <si>
    <t>Adult;*Clinical Competence;Communication;Drug Labeling;*Education, Pharmacy/mt Methods];Female;Humans;Malaysia;Male;Patient Education as Topic;Perception;Prescription Drugs/ae Adverse Effects];Prescription Drugs/pk Pharmacokinetics];*Program Evaluation;Students, Pharmacy/px Psychology];*Students, Pharmacy;Surveys and Questionnaires;Task Performance and Analysis;Young Adult;0 (Prescription Drugs)</t>
  </si>
  <si>
    <t>OBJECTIVE: To implement and determine the effectiveness of an objective structured clinical examination (OSCE) to assess fourth-year pharmacy students' skills in a clinical pharmacy course. DESIGN: A 13-station OSCE was designed and implemented in the 2007-2008 academic year as part of the assessment methods for a clinical pharmacy course. The broad competencies tested in the OSCE included: patient counseling and communication, clinical pharmacokinetics (CPK), identification and resolution of drug-related problems (DRPs), and literature evaluation/drug information provision. ASSESSMENT: Immediately after all students completed the OSCE, a questionnaire containing items on the clarity of written instructions, difficulty of the tasks, perceived degree of learning gained and needed, and the suitability of the references or literature resources provided was administered. More than 70% of the students felt that a higher degree of learning was needed to accomplish the tasks at the 2 DRP stations and 2 CPK stations and the majority felt the written instructions provided at the phenytoin CPK station were difficult to understand. Although about 60% of the students rated OSCE as a difficult form of assessment, 75% said it should be used more and 81% perceived they learned a lot from it. CONCLUSION: Although most students felt that the OSCE accurately assessed their skills, a majority felt the tasks required in some stations required a higher degree of learning than they had achieved. This may indicate deficiencies in the students' learning abilities, the course curriculum, or the OSCE station design. Future efforts should include providing clearer instructions at OSCE stations and balancing the complexity of the competencies assessed.</t>
  </si>
  <si>
    <t>J2: Am J Pharm Educ; Awaisu, Ahmed Abd Rahman, Norny Syafinaz Nik Mohamed, Mohamad Haniki Bux Rahman Bux, Siti Halimah Mohamed Nazar, Nor Ilyani; ID: 292</t>
  </si>
  <si>
    <t>Awaisu,Ahmed. Department of Clinical Pharmacy, School of Pharmaceutical Sciences, Universiti Sains Malaysia, 11800 Penang, Malaysia. pharmahmed@yahoo.com</t>
  </si>
  <si>
    <t>http://ovidsp.ovid.com/ovidweb.cgi?T=JS&amp;CSC=Y&amp;NEWS=N&amp;PAGE=fulltext&amp;D=med5&amp;AN=20414449</t>
  </si>
  <si>
    <t>MEDLINE; Ovid Technologies; Malaysian pharmacy students' assessment of an objective structured clinical examination (OSCE)</t>
  </si>
  <si>
    <t>Azhar,S.;Hassali,M. A.;Ibrahim,M. M. I.;Author,Addresses;Discipline;of,Social;Administrative Pharmacy, School of,Pharmaceutical Sciences;Universiti Sains Malaysia, Minden,Penang Malaysia;Correspondence,Address;Hassali,Discipline of Social,M.A.;Administrative Pharmacy,School of;Pharmaceutical Sciences, Universiti Sains Malaysia,Minden Penang;Malaysia Email,azmihassali,gmail com</t>
  </si>
  <si>
    <t>Perceptions of hospital pharmacist's role in Pakistan's healthcare system: A cross-sectional survey</t>
  </si>
  <si>
    <t>health care system;hospital pharmacy;pharmacist attitude;adult;article;cross-sectional study;drug formulary;female;human;male;Pakistan;patient education;professional standard;Public Health, Social Medicine and Epidemiology (17)</t>
  </si>
  <si>
    <t>Purpose: To investigate hospital pharmacists' perception of their current clinical role in Pakistan's healthcare system. Methods: This was a cross-sectional study in a population that consisted of hospital pharmacists in Islamabad, Faisalabad and Lahore which are three cities in Punjab State, Pakistan. A sample of 116 hospital pharmacists was selected from public and private hospitals in these three cities. Results: At least 42.2 % of the hospital pharmacists were involved in patient education pertaining to drugs. Although they were willing to take personal responsibility for resolving drug-related problems encountered, 84.5 % of them conveyed that their current role is more focused on pharmacy record keeping. Only 57.8% of the pharmacist indicated that they were involved in compiling and updating of their hospital's drug formulary. Conclusion: The findings suggest that hospital pharmacists in Pakistan do have concerns about their present professional roles and face significant barriers with regards to increasing their involvement in clinical services. However, they need to be proactive in their collaboration with other healthcare professionals if the concept of pharmaceutical care is to take root in the healthcare system. ‚î¨‚åê Pharmacotherapy Group.</t>
  </si>
  <si>
    <t>(Azhar S.; Hassali M.A., azmihassali@gmail.com; Ibrahim M.M.I.) Pharmacotherapy Group, Benin City, Nigeria.; ID: 1316</t>
  </si>
  <si>
    <t>Azhar,S.;Hassali,M. A.;Ibrahim,M. M. I.;Author,Addresses;Discipline;of,Social;Administrative Pharmacy, School of,Pharmaceutical Sciences;Universiti,Sains Malaysia;Correspondence,Address;Hassali,Discipline of Social,M.A.;Administrative Pharmacy,School of;Pharmaceutical Sciences, Universiti Sains Malaysia,Penang Malaysia;Email,azmihassali gmail com</t>
  </si>
  <si>
    <t>Doctors' perception and expectations of the role of the pharmacist in Punjab, Pakistan</t>
  </si>
  <si>
    <t>pharmacist;article;drug information;drug therapy;expectation;health care quality;health care system;human;knowledge;medical expert;Pakistan;patient counseling;perception;physician;professional practice;public hospital;questionnaire;responsibility;Public Health, Social Medicine and Epidemiology (17)</t>
  </si>
  <si>
    <t>Purpose: To investigate doctors' perception and expectations of the role of pharmacists in Pakistan's healthcare system. Methods: This was a cross-sectional study and the study population consisted of 462 medical doctors from three Pakistani cities in Punjab State, namely, Islamabad, Faisalabad and Lahore. The doctors were selected from government hospitals in these three cities. Results: Three hundred and fifty four questionnaires were returned, giving a response rate of 76.6%. Sixty eight percent of the doctors appeared comfortable with pharmacists playing patient-centred roles. A majority (84.5%, n=299; p=0.022) expected pharmacists to take personal responsibility for resolving any drug-related problem. Furthermore, 76% of them considered pharmacists as knowledgeable drug therapy experts. Only 50% of the doctors thought that pharmacists apply their drug knowledge in practice while 11% indicated that pharmacists routinely counselled their patients. Conclusion: The doctors considered pharmacists drug information experts but their expectation of pharmacists as providers of quality clinically-focused pharmacy services was low. The doctors were also uncomfortable with pharmacists providing direct patient care. ‚î¨‚åê Pharmacotherapy Group, Faculty of Pharmacy, University of Benin, Benin City, 300001 Nigeria.</t>
  </si>
  <si>
    <t>(Azhar S.; Hassali M.A., azmihassali@gmail.com; Ibrahim M.M.I.) Pharmacotherapy Group, Benin City, Nigeria.; ID: 1346</t>
  </si>
  <si>
    <t>Azizi,S.;Pirbalouti,A. G.;Amirmohammadi,M.;Author,Addresses;Department,of Pathobiology;University,of Kerman;Department of Medicinal Plants, Shahrekord,Branch Islamic;Azad University,Shahrekord Iran;Collage of Natural Science, University,of Massachusetts;Amherst,M. A. U.;Young Research Club, Islamic Azad,University Jiroft;Branch,Kerman Iran;Correspondence,Address;Azizi, Department of Pathobiology Shahid Bahonar University of Kerman,S.;Kermn,Iran Email azizi uk ac ir</t>
  </si>
  <si>
    <t>Effect of hydro-alcoholic extract of persian oak (Quercus brantii) in experimentally gastric ulcer</t>
  </si>
  <si>
    <t>(MAJOR FOCUS);plant extract (drug comparison, drug development, drug therapy, oral drug;administration);Quercus brantii extract (drug comparison, drug development, drug therapy,;oral drug administration);alcohol;omeprazole (drug comparison, drug therapy, oral drug administration);unclassified drug;stomach ulcer (drug therapy, drug therapy);animal experiment;animal model;animal tissue;article;bleeding;controlled study;disease severity;drug dose comparison;Fagaceae;histopathology;hyperemia;immunohistochemistry;lymphocytic infiltration;male;medicinal plant;nonhuman;Quercus brantii;rat;stomach injury;alcohol (64-17-5);omeprazole (73590-58-6, 95510-70-6);Drug Literature Index (37);Gastroenterology (48)</t>
  </si>
  <si>
    <t>Persian oak (Quercus brantii Lindl.) belongs the family Fagaceae, is a medicinal plant which seed flour is used to treat inflammatory and gastric ulcers by the tribes in south western Iran. The current study was done to evaluate the effect of hydro-alcoholic extract of Q. brantii seed flour for treatment of gastric ulcers induced by ethanol in Wistar rats. The hydro-alcoholic extract of Q. brantii was tested orally at doses of 250, 500, and 1000 mg/Kg, control group and standard drug (omperazole) on experimentally gastric ulceration. At the 3, 6, 9, and 14(th) days, ulcer index in mm(2) and histopathological findings were evaluated. Results indicated the size of ulcers significantly reduced at 9, and 14 days after of Q. brantii extract treatment. Curative effect in the hydro-alcoholic induced gastric damage was 100% at 1000 mg/Kg and omeprazole, 99.8% at 500 mg/Kg, and 95.4% at 250 mg/Kg after 14 days. Results of histopathological investigation showed the thickness of ulcerated mucosa was similar to the normal mucosa with 1000 mg/Kg of Q. brantii hydro-alcoholic extract after 14 days but in the groups treated by 250, and 500 mg/Kg, superficial erosions were visible in the central portion of the healed ulcers. In conclusion, the hydro-alcoholic extract of Q. brantii had active components (tannin = 8.2%) that accelerates ulcer healing and thus supported its traditional use. ‚î¨‚åê 2014 by School of Pharmacy Shaheed Beheshti University of Medical Sciences and Health Services.</t>
  </si>
  <si>
    <t>(Azizi S., azizi@uk.ac.ir) (Pirbalouti A.G.) (Amirmohammadi M.) Iranian Journal of Pharmaceutical Research, info@ijpr-online.com; ID: 927</t>
  </si>
  <si>
    <t>1726-6890 (electronic) 1735-0328</t>
  </si>
  <si>
    <t>Azmi,S.;Nazri,N.;Azmi,A. H.</t>
  </si>
  <si>
    <t>Extending the roles of community pharmacists: views from general medical practitioners</t>
  </si>
  <si>
    <t>Medical Journal of Malaysia</t>
  </si>
  <si>
    <t>Med.J.Malaysia</t>
  </si>
  <si>
    <t>This study investigates the views of general medical practitioners (GP) to the extended role of the community pharmacists (CP). A self-administered questionnaire was distributed to all private clinics (n=438) run by GPs in the state of Penang. The questionnaire asked GP's views on ideas for new services provided by community pharmacists. Three hundred and twenty-seven questionnaires were collected, giving a response rate of 74.5%. More than 50% of respondents were in favour of the community pharmacist involvement in activities of providing public health education (58.7%), contacting GPs on matters related to prescribing and prescription errors (56.0%), and referring patients who exhibit drug-related problems (53.0%). However, the respondents had a mixed opinion regarding the roles of CPs in smoking cessation programme (34.8%) and providing drug information to physicians (43.0%). Additional research is needed to explain GPs attitudes towards the acceptability of the new role of the pharmacist.</t>
  </si>
  <si>
    <t>J2: Med J Malaysia; Azmi, S Nazri, N Azmi, A H M; ID: 773</t>
  </si>
  <si>
    <t>0300-5283</t>
  </si>
  <si>
    <t>Azmi,S. Universiti Sains Malaysia, School of Pharmaceutical Sciences, Minden, Penang, Malaysia. azmi@usm.my.</t>
  </si>
  <si>
    <t>http://ovidsp.ovid.com/ovidweb.cgi?T=JS&amp;CSC=Y&amp;NEWS=N&amp;PAGE=fulltext&amp;D=prem&amp;AN=23770948</t>
  </si>
  <si>
    <t>MEDLINE; Ovid Technologies; Extending the roles of community pharmacists: views from general medical practitioners</t>
  </si>
  <si>
    <t>Bachyrycz,A.;Shrestha,S.;Shah,D.;Tinker,D.;Bakhireva,L.;Author,Addresses;Department of,Pharmacy;Practice;Administrative Sciences, College of Pharmacy University,of New;Mexico,Albuquerque United States;New Mexico Pharmacists Association, Albuquerque,United States;Correspondence,Address;Bachyrycz, Department of Pharmacy Practice,A.;Administrative,Sciences;College of Pharmacy, University of New Mexico Albuquerque,United States</t>
  </si>
  <si>
    <t>Naloxone pharmacist prescriptive authority program: Early successes with prescribing Naloxone rescue kits in New Mexico</t>
  </si>
  <si>
    <t>e223</t>
  </si>
  <si>
    <t>(MAJOR FOCUS);naloxone;analgesic agent;benzodiazepine derivative;diamorphine;opiate;American;clinical pharmacy;college;human;pharmacist;prescriptive authority;United States;demography;drug megadose;exposure;female;high risk patient;intoxication;law;maintenance therapy;multiple drug abuse;patient;patient education;pharmacy;prescription;prevention</t>
  </si>
  <si>
    <t>PURPOSE: Current New Mexico legislation allows certified pharmacists to prescribe, dispense and educate patients about the naloxone rescue kits (NRKs). The objective of this study was to describe the preliminary data collected through the Naloxone Pharmacist Prescriptive Authority Program and to evaluate specific trends in opioid overdose prevention in New Mexico pharmacies. METHODS: During 2014, 157 pharmacists participated in the training about prescription of NRKs and patient education. After prescribing and/or dispensing of NRKs, pharmacists participating in the Program were asked to complete a brief reporting form, which captured patient demographic characteristics, reasons for NRK prescriptions, and the concurrent use of other substances. RESULTS: As of January, 2015, pharmacists reported dispensing NRKs to 62 patients during the first 9 months of the Program. The mean age of participating patients was 39.9 ‚î¨‚ñí 14.8 years (range: 19-76 years) and there were 40% female participants. For the majority of patients (90%) NRKs were prescribed for the first time; for the remaining 10% it was a refill. The most common reason for NRKs prescription was due to high-dose of prescription opioids (37.1%), followed by long-term opioid use (35.4%). Request for NRKs by a patient was primarily from patients on opioid maintenance therapy. After opioids (heroin, opioid-maintenance, prescription analgesics), benzodiazepines were reported the most frequently as a co-exposure (17.7%). The majority of the patients (42%) reported polydrug use. CONCLUSION: These preliminary results indicate that pharmacists can play a vital role in identifying high risk patients susceptible to opioid overdose and prescribe, dispense, and educate patients on the use of NRKs effectively, thus helping to minimize opioid overdose throughout the state. Future goal of the Program includes evaluation of pharmacists' and patients' perceived barriers towards prescribing and requesting NRKs, respectively.</t>
  </si>
  <si>
    <t>(Bachyrycz A.; Shrestha S.; Shah D.; Bakhireva L.) (Tinker D.) 2015 Annual Meeting of the American College of Clinical Pharmacy, ACCP 2015 San Francisco, CA, United States 2015-10-17 to 2015-10-21 Pharmacotherapy Publications Inc.; ID: 790</t>
  </si>
  <si>
    <t>Backes,A.;Rizos,A.;Pricor,L.;Author,Addresses;Sharp;HealthCare,United States;Correspondence,Address;Backes, Sharp HealthCare United States Email andrea c backes gmail com,A.</t>
  </si>
  <si>
    <t>Primary medication adherence among patients transitioning from hospital to home care</t>
  </si>
  <si>
    <t>home care;hospital;human;medication compliance;patient;chi square test;congestive heart failure;control group;counseling;data analysis;drug therapy;emergency ward;heart graft;hospital readmission;informed consent;medication therapy management;nurse;pharmacy;primary medical care;professional practice;randomized controlled trial;Student t test</t>
  </si>
  <si>
    <t>Objective: The objective is to determine the effect of a pharmacy resident- led intervention on primary medication adherence among patients transitioning from hospital to home care (HC). Methods: This is a randomized, controlled trial. Patients discharged from the hospital and admitted to HC will be eligible if they have congestive heart failure or take &gt;10 medications. Patients being evaluated for heart transplants will be excluded. Eligible patients will be visited by the pharmacy resident prior to discharge. Written informed consent and pharmacy information will be obtained. The control group will receive usual care, which consists of discharge medication counseling by a nurse and medication reconciliation by a HC clinician. The intervention group will be visited by the pharmacy resident prior to discharge (phase I) and at home within 5 days after discharge (phase II). Phase I will consist of reviewing the discharge medication list for drugrelated problems (DRPs), discussing DRPs with hospitalist, and medication counseling. Phase II will consist of comparing medication bottles to discharge medication list and identifying DRPs to address with the primary care provider. The primary outcome will be primary medication adherence within 5 days of discharge. The pharmacy resident will call patients' pharmacies to determine whether newly prescribed medications were picked up by the patients. For intervention patients, this will be physically confirmed during the home visit. For control patients, this will be electronically confirmed by the assessment done by the HC clinician. Secondary outcomes will be frequency of 30-day readmissions and 30-day emergency department visits. All data analyses will be performed using Stata. Continuous variables will be compared using the student's t test, and categorical data will be compared using chi-square test. Data analyses will include descriptive analyses of patient demographics, rate of primary medication non-adherence, and factors associated with primary medication non-adherence.</t>
  </si>
  <si>
    <t>(Backes A., andrea.c.backes@gmail.com; Rizos A.; Pricor L.) APhA2012 New Orleans, LA, United States 2012-03-09 to 2012-03-12 American Pharmacists Association; ID: 1187</t>
  </si>
  <si>
    <t>Bailey,A. M.;Wermeling,D. P.</t>
  </si>
  <si>
    <t>NIHMS669667 PMC4361936; Naloxone for opioid overdose prevention: pharmacists' role in community-based practice settings</t>
  </si>
  <si>
    <t>Annals of Pharmacotherapy</t>
  </si>
  <si>
    <t>Ann.Pharmacother.</t>
  </si>
  <si>
    <t>Ambulatory Care Facilities/og Organization &amp; Administration];Analgesics, Opioid/po Poisoning];*Community Pharmacy Services/og Organization &amp; Administration];*Drug Overdose/pc Prevention &amp; Control];Humans;*Naloxone/tu Therapeutic Use];*Narcotic Antagonists/tu Therapeutic Use];Opioid-Related Disorders/dt Drug Therapy];*Pharmacists/og Organization &amp; Administration];*Professional Role;0 (Analgesics, Opioid);0 (Narcotic Antagonists);36B82AMQ7N (Naloxone)</t>
  </si>
  <si>
    <t>BACKGROUND: Deaths related to opioid overdose have increased in the past decade. Community-based pharmacy practitioners have worked toward overcoming logistic and cultural barriers to make naloxone distribution for overdose prevention a standard and accepted practice. OBJECTIVE: To describe outpatient naloxone dispensing practices, including methods by which practitioners implement dispensing programs, prescribing patterns that include targeted patient populations, barriers to successful implementation, and methods for patient education. METHODS: Interviews were conducted with providers to obtain insight into the practice of dispensing naloxone. Practitioners were based in community pharmacies or clinics in large metropolitan cities across the country. RESULTS: It was found that 33% of participating pharmacists practice in a community-pharmacy setting, and 67% practice within an outpatient clinic-based location. Dispensing naloxone begins by identifying patient groups that would benefit from access to the antidote. These include licit users of high-dose prescription opioids (50%) or injection drug users and abusers of prescription medications (83%). Patients were identified through prescription records or provider screening tools. Dispensing naloxone required a provider's prescription in 5 of the 6 locations identified. Only 1 pharmacy was able to exercise pharmacist prescriptive authority within their practice. CONCLUSION: Outpatient administration of intramuscular and intranasal naloxone represents a means of preventing opioid-related deaths. Pharmacists can play a vital role in contacting providers, provision of products, education of patients and providers, and dissemination of information throughout the community. Preventing opioid overdose-related deaths should become a major focus of the pharmacy profession.</t>
  </si>
  <si>
    <t>J2: Ann Pharmacother; Bailey, Abby M Wermeling, Daniel P 4R42DA030001-02 (United States NIDA NIH HHS) UL1 TR000117 (United States NCATS NIH HHS) UL1TR000117 (United States NCATS NIH HHS); ID: 71</t>
  </si>
  <si>
    <t>1542-6270</t>
  </si>
  <si>
    <t>Bailey,Abby M. University of Kentucky HealthCare, Lexington, KY, USA.</t>
  </si>
  <si>
    <t>http://ovidsp.ovid.com/ovidweb.cgi?T=JS&amp;CSC=Y&amp;NEWS=N&amp;PAGE=fulltext&amp;D=medl&amp;AN=24523396</t>
  </si>
  <si>
    <t>http://dx.doi.org/10.1177/1060028014523730</t>
  </si>
  <si>
    <t>MEDLINE; Ovid Technologies; Naloxone for opioid overdose prevention: pharmacists' role in community-based practice settings</t>
  </si>
  <si>
    <t>Bailey,Abby M.;Macaulay,Tracy</t>
  </si>
  <si>
    <t>Pharmacology update. Pharmacologic approaches to smoking cessation</t>
  </si>
  <si>
    <t>Orthopedics</t>
  </si>
  <si>
    <t>511 7p</t>
  </si>
  <si>
    <t>Orthopedic Surgery;Smoking Cessation;Smoking -- Complications;Smoking -- Drug Therapy;Administration, Intranasal;Adolescence;Bupropion -- Therapeutic Use;Chewing Gum;Child;Depression;Female;Male;Nebulizers and Vaporizers;Nicotine Replacement Therapy;Nicotine -- Administration and Dosage;Receptors, Cell Surface -- Antagonists and Inhibitors;Schizophrenia;Sex Factors;Substance Abuse;Substance Dependence;Transdermal Patches, Drugs;Treatment Outcomes</t>
  </si>
  <si>
    <t>Cigarette smokers experience greater rates of morbidity and mortality. Despite the known health risks, use of tobacco products remains high throughout the United States (approximately 19.3% of adults). Tobacco use is associated with higher rates of cardiovascular illness, cardiovascular risk factors (ie, hypertension and atherosclerosis), chronic obstructive pulmonary disease, emphysema, and various types of cancer. Pharmacologic smoking cessation therapies have been used to facilitate abstinence from smoking. This article provides clinicians with instructions for the use of pharmacologic agents for smoking cessation, including considerations for special populations.</t>
  </si>
  <si>
    <t>Entry Date: 20120824. Revision Date: 20150711. Publication Type: Journal Article; pictorial; tables/charts. Journal Subset: Allied Health; Biomedical; Peer Reviewed; USA. Special Interest: Perioperative Care; Physical Therapy. NLM UID: 7806107. PMID: 22691640.; ID: 1988</t>
  </si>
  <si>
    <t>0147-7447</t>
  </si>
  <si>
    <t>http://proxy.lib.umich.edu/login?url=http://search.ebscohost.com/login.aspx?direct=true&amp;db=ccm&amp;AN=104462230&amp;site=ehost-live&amp;scope=site</t>
  </si>
  <si>
    <t>10.3928/01477447-20120525-07</t>
  </si>
  <si>
    <t>ccm; EBSCOhost; Pharmacology update. Pharmacologic approaches to smoking cessation</t>
  </si>
  <si>
    <t>Bailey,J. E.;Surbhi,S.;Bell,P. C.;Jones,A. M.;Rashed,S.;Ugwueke,M. O.</t>
  </si>
  <si>
    <t>SafeMed: Using pharmacy technicians in a novel role as community health workers to improve transitions of care</t>
  </si>
  <si>
    <t>OBJECTIVES: To describe the design, implementation, and early experience of the SafeMed program, which uses certified pharmacy technicians in a novel expanded role as community health workers (CPhT-CHWs) to improve transitions of care. SETTING: A large nonprofit health care system serving the major medically underserved areas and geographic hotspots for readmissions in Memphis, TN. PRACTICE INNOVATION: The SafeMed program is a care transitions program with an emphasis on medication management designed to use low-cost health workers to improve transitions of care from hospital to home for superutilizing patients with multiple chronic conditions and polypharmacy. EVALUATION: CPhT-CHWs were given primary responsibility for patient outreach after hospital discharge with the use of home visits and telephone follow-up. SafeMed program CPhT-CHWs served as pharmacist extenders, obtaining medication histories, assisting in medication reconciliation and identification of potential drug therapy problems (DTPs), and reinforcing medication education previously provided by the pharmacist per protocol. RESULTS: CPhT-CHW training included patient communication skills, motivational interviewing, medication history taking, teach-back techniques, drug disposal practices, and basic disease management. Some CPhT-CHWs experienced difficulties adjusting to an expanded scope of practice. Nonetheless, once the Tennessee Board of Pharmacy affirmed that envisioned SafeMed CPhT-CHW roles were consistent with Board rules, additional responsibilities were added for CPhT-CHWs to enhance their effectiveness. Patient outreach teams including CPhT-CHWs achieved increases in home visit and telephone follow-up rates and were successful in helping identify potential DTPs. CONCLUSION: The early experience of the SafeMed program demonstrates that CPhT-CHWs are well suited for novel expanded roles to improve care transitions for superutilizing populations. CPhT-CHWs can identify and report potential DTPs to the pharmacist to help target medication therapy management. Critical success factors include strong CPhT-CHW patient-centered communication skills and strong pharmacist champions. In collaboration with state pharmacy boards and pharmacist associations, the SafeMed CPhT-CHW model can be successfully scaled to serve superutilizing patients throughout the country.Copyright ‚î¨‚åê 2016 American Pharmacists Association. Published by Elsevier Inc. All rights reserved.</t>
  </si>
  <si>
    <t>J2: J Am Pharm Assoc (2003); Bailey, James E Surbhi, Satya Bell, Paula C Jones, Angel M Rashed, Sahar Ugwueke, Michael O S1544-3191(15)00012-6; ID: 763</t>
  </si>
  <si>
    <t>http://ovidsp.ovid.com/ovidweb.cgi?T=JS&amp;CSC=Y&amp;NEWS=N&amp;PAGE=fulltext&amp;D=prem&amp;AN=26802925</t>
  </si>
  <si>
    <t>http://dx.doi.org/10.1016/j.japh.2015.11.011</t>
  </si>
  <si>
    <t>MEDLINE; Ovid Technologies; SafeMed: Using pharmacy technicians in a novel role as community health workers to improve transitions of care</t>
  </si>
  <si>
    <t>Bailey,Leonard C.</t>
  </si>
  <si>
    <t>A Laboratory Experiment in Pharmaceutical Analysis: Determination of Drugs of Abuse in Human Urine by Thin-Layer Chromatography</t>
  </si>
  <si>
    <t>Chromatography;Costs;Higher Education;Student Reaction;(Major): Chemical Analysis;Drug Abuse;Laboratory Experiments;Pharmaceutical Education;Science Experiments;Identifier: Rutgers University NJ</t>
  </si>
  <si>
    <t>An experiment is described that was developed for a course in Inorganic and Analytical Pharmaceutical Chemistry at Rutgers University to provide pharmacy students with practical experience in the thin-layer chromatography used for the analysis of urine to monitor patient compliance with drug abuse treatment programs. (JMD)</t>
  </si>
  <si>
    <t>Connect to the Mirlyn catalog at the University of Michigan Article (EJ); ID: 2091</t>
  </si>
  <si>
    <t>EJ214563</t>
  </si>
  <si>
    <t>ERIC; OCLC; A Laboratory Experiment in Pharmaceutical Analysis: Determination of Drugs of Abuse in Human Urine by Thin-Layer Chromatography</t>
  </si>
  <si>
    <t>Bailey,Stacy Cooper;Agarwal,Nisha;Sleath,Betsy;Gumusoglu,Serena;Wolf,Michael S.</t>
  </si>
  <si>
    <t>Improving drug labeling and counseling for limited english proficient adults</t>
  </si>
  <si>
    <t>Journal of Health Care for the Poor &amp; Underserved</t>
  </si>
  <si>
    <t>1143 13p</t>
  </si>
  <si>
    <t>Counseling;Drug Labeling;Drug Therapy;Drugs, Prescription;English as a Second Language;Civil Rights;Communication Barriers;Health Policy;Health Services Accessibility;Information Literacy;Interpreter Services;Patient Education;Pharmacists;Physicians;Primary Health Care</t>
  </si>
  <si>
    <t>Abstract:Language barriers between patients and providers adversely affect quality of care and a patient's ability to obtain, understand, and act on health information. Health care organizations are mandated by law to provide language concordant services. While health systems have taken steps to promote language access, minimal effort has been made to improve pharmacy practice. This is problematic, as patient misunderstanding of prescription drug instructions is a root cause of many adverse drug events occurring annually in outpatient settings. Enhanced, language concordant prescription labeling and counseling is needed to promote safe use of prescription medications among limited English proficient patients.</t>
  </si>
  <si>
    <t>Entry Date: 20120106. Revision Date: 20150712. Publication Type: Journal Article; review. Journal Subset: Health Services Administration; Peer Reviewed; Public Health; USA. Special Interest: Public Health. NLM UID: 9103800. PMID: 22080698.; ID: 1914</t>
  </si>
  <si>
    <t>1049-2089</t>
  </si>
  <si>
    <t>http://proxy.lib.umich.edu/login?url=http://search.ebscohost.com/login.aspx?direct=true&amp;db=ccm&amp;AN=108205756&amp;site=ehost-live&amp;scope=site</t>
  </si>
  <si>
    <t>ccm; EBSCOhost; Improving drug labeling and counseling for limited english proficient adults</t>
  </si>
  <si>
    <t>Baldwin,J. N.</t>
  </si>
  <si>
    <t>PMC2779636; The addicts among us</t>
  </si>
  <si>
    <t>*Alcoholism/ep Epidemiology];Alcoholism/pc Prevention &amp; Control];Attitude of Health Personnel;Education, Pharmacy;Health Knowledge, Attitudes, Practice;Humans;Pharmacists/px Psychology];*Pharmacists/sn Statistics &amp; Numerical Data];Professional Role;*Schools, Pharmacy/sn Statistics &amp; Numerical Data];Students, Pharmacy/px Psychology];*Students, Pharmacy/sn Statistics &amp; Numerical Data];*Substance-Related Disorders/ep Epidemiology];Substance-Related Disorders/pc Prevention &amp; Control];United States/ep Epidemiology]</t>
  </si>
  <si>
    <t>J2: Am J Pharm Educ; Baldwin, Jeffrey N; ID: 313</t>
  </si>
  <si>
    <t>Baldwin,Jeffrey N. American Association of Colleges of Pharmacy, USA.</t>
  </si>
  <si>
    <t>http://ovidsp.ovid.com/ovidweb.cgi?T=JS&amp;CSC=Y&amp;NEWS=N&amp;PAGE=fulltext&amp;D=med5&amp;AN=19960083</t>
  </si>
  <si>
    <t>MEDLINE; Ovid Technologies; The addicts among us</t>
  </si>
  <si>
    <t>PMC2576417; A guided abstinence experience to illustrate addiction recovery principles</t>
  </si>
  <si>
    <t>Attitude of Health Personnel;*Behavior, Addictive;Clinical Competence;Counseling;Curriculum;*Education, Pharmacy/mt Methods];*Habits;Health Knowledge, Attitudes, Practice;Humans;Perception;*Problem-Based Learning;Program Development;Program Evaluation;*Students, Pharmacy/px Psychology];Substance Withdrawal Syndrome/px Psychology];*Substance Withdrawal Syndrome/th Therapy];Substance-Related Disorders/px Psychology];*Substance-Related Disorders/th Therapy]</t>
  </si>
  <si>
    <t>OBJECTIVES: To develop and implement an elective pharmacy course that included a guided abstinence experience to illustrate addiction recovery principles. DESIGN: A 1-credit elective course to illustrate addiction recovery principles was developed and implemented. The course required students to give up a habit for 6 weeks that was causing them problems, meet weekly to discuss addiction recovery processes, and relate their experiences in a journal. Course grades were determined by class participation, submitted worksheets, and submission of the journal and a paper concerning their role as a pharmacist in dealing with those with addictions and in recovery. Pre- and posttests consisting of addiction case scenarios were used to assess students' application of course material. ASSESSMENT: Graded course elements, pretesting and posttesting, and student course evaluations indicated that course objectives were met. Over the past 15 years, student enrollment has grown from approximately 10% of pharmacy classes to approximately 50% (average 31 students). CONCLUSION: A guided abstinence experience was an effective tool for teaching pharmacy students the concepts of addiction and recovery.</t>
  </si>
  <si>
    <t>J2: Am J Pharm Educ; Baldwin, Jeffrey N; ID: 348</t>
  </si>
  <si>
    <t>Baldwin,Jeffrey N. College of Pharmacy, The University of Nebraska Medical Center, Omaha, NE 68198-6045, USA. jbaldwin@unmc.edu</t>
  </si>
  <si>
    <t>http://ovidsp.ovid.com/ovidweb.cgi?T=JS&amp;CSC=Y&amp;NEWS=N&amp;PAGE=fulltext&amp;D=med5&amp;AN=19002278</t>
  </si>
  <si>
    <t>MEDLINE; Ovid Technologies; A guided abstinence experience to illustrate addiction recovery principles</t>
  </si>
  <si>
    <t>Baldwin,J. N.;Alexander,J. W.;Dole,E. J.;Ryan,G.;Hirning,F. C.;Author,Addresses</t>
  </si>
  <si>
    <t>9740911; ASHP statement on the pharmacist's role in substance abuse prevention, education, and assistance</t>
  </si>
  <si>
    <t>health promotion;pharmacist;substance abuse;article;education;health care organization;health care system;morbidity;priority journal;responsibility;Public Health, Social Medicine and Epidemiology (17);Pharmacy (39);Drug Dependence, Alcohol Abuse and Alcoholism (40)</t>
  </si>
  <si>
    <t>(Baldwin J.N.; Alexander J.W.; Dole E.J.; Ryan G.; Hirning F.C.) American Society of Health-Systems Pharmacy, 7272 Wisconsin Ave., Bethesda, United States.; ID: 1661</t>
  </si>
  <si>
    <t>http://www.ncbi.nlm.nih.gov/pubmed/9740911</t>
  </si>
  <si>
    <t>Baldwin,J. N.;Scott,D. M.;Agrawal,S.;Bartek,J. K.;Davis-Hall,R.;Reardon,T. P.;DeSimone,E. M., 2</t>
  </si>
  <si>
    <t>Assessment of alcohol and other drug use behaviors in health professions students</t>
  </si>
  <si>
    <t>Substance Abuse</t>
  </si>
  <si>
    <t>Sep</t>
  </si>
  <si>
    <t>Adult;*Alcohol-Related Disorders/ep Epidemiology];Alcohol-Related Disorders/ge Genetics];Alcohol-Related Disorders/px Psychology];Allied Health Occupations/ed Education];Cross-Sectional Studies;Female;Genetic Predisposition to Disease;Health Surveys;Humans;Male;Nebraska;Students, Dental/px Psychology];Students, Dental/sn Statistics &amp; Numerical Data];Students, Health Occupations/px Psychology];*Students, Health Occupations/sn Statistics &amp; Numerical Data];Students, Medical/px Psychology];Students, Medical/sn Statistics &amp; Numerical Data];Students, Nursing/px Psychology];Students, Nursing/sn Statistics &amp; Numerical Data];Students, Pharmacy/px Psychology];Students, Pharmacy/sn Statistics &amp; Numerical Data];*Substance-Related Disorders/ep Epidemiology];Substance-Related Disorders/ge Genetics];Substance-Related Disorders/px Psychology]</t>
  </si>
  <si>
    <t>Alcohol and other drug (AOD) use behaviors of health professions students (HPS) were assessed by surveying both university-based HPS and other nursing programs in a Midwestern state in 1999. Response was 2,646 (56.4%) of surveyed students. Family history of alcohol-related and drug-related problems were reported by 39.8% and 13.9%, respectively, with 42.6% of respondents reporting one or both. Among nursing respondents, 48.1%, 19.2% and 51.1%, respectively, reported family problems with alcohol, drugs, or one or both. Past-year alcohol use was comparable to undergraduate college students (UCS) nationally (83%); heavy drinking, tobacco and recreational drug use by HPS were lower. Past year drug use was highest among medical students. Marijuana was the predominant illicit drug; medical students and males most often reported use. Health professions educational systems should proactively address student AOD prevention, education and assistance needs.</t>
  </si>
  <si>
    <t>J2: Subst Abus; Baldwin, Jeffrey N Scott, David M Agrawal, Sangeeta Bartek, Jean K Davis-Hall, R Ellen Reardon, Thomas P DeSimone, Edward M 2nd; ID: 384</t>
  </si>
  <si>
    <t>0889-7077</t>
  </si>
  <si>
    <t>Baldwin,Jeffrey N. College of Pharmacy, The University of Nebraska Medical Center, Omaha, NE, 68198-2135, USA. jbaldwin@unmc.edu</t>
  </si>
  <si>
    <t>http://ovidsp.ovid.com/ovidweb.cgi?T=JS&amp;CSC=Y&amp;NEWS=N&amp;PAGE=fulltext&amp;D=med5&amp;AN=17135178</t>
  </si>
  <si>
    <t>MEDLINE; Ovid Technologies; Assessment of alcohol and other drug use behaviors in health professions students</t>
  </si>
  <si>
    <t>Baldwin,J. N.;Scott,D. M.;DeSimone,E. M., 2;Forrester,J. H.;Fankhauser,M. P.</t>
  </si>
  <si>
    <t>Substance use attitudes and behaviors at three pharmacy colleges</t>
  </si>
  <si>
    <t>Adolescent;Adult;*Education, Pharmacy;Female;*Health Knowledge, Attitudes, Practice;Humans;Male;Risk-Taking;*Students, Pharmacy/px Psychology];*Substance-Related Disorders/ep Epidemiology];Substance-Related Disorders/px Psychology];Surveys and Questionnaires;United States/ep Epidemiology];Young Adult</t>
  </si>
  <si>
    <t>The objective of this study was to profile and compare alcohol and other drug (AOD) use attitudes and behaviors in three pharmacy colleges. Student surveys of AOD use attitudes and behaviors were conducted at one southwestern and two midwestern pharmacy colleges. Response was 86.5% (566/654). Reported past-year use included alcohol 82.8%, tobacco 25.4%, and marijuana 6.9%. Past-year AOD-associated events included blackouts 18.2%, class or work under influence 7.8%, patient care under influence 1.4%, lowered grades or job evaluations 5.8%, legal charges 2.7%, and heavy drinking 29.0%. Family histories of alcohol or drug problems were reported by 35.5% and 13.1%, respectively. A number of significant differences in AOD use attitudes and behaviors between the three colleges were identified. Pharmacy students reported a number of risky drug-use attitudes and behaviors in this survey. Student AOD prevention, assistance, and education should be proactively addressed by pharmacy colleges.</t>
  </si>
  <si>
    <t>J2: Subst Abus; Baldwin, Jeffrey N Scott, David M DeSimone, Edward M 2nd Forrester, Joy H Fankhauser, Martha P; ID: 263</t>
  </si>
  <si>
    <t>1547-0164</t>
  </si>
  <si>
    <t>Baldwin,Jeffrey N. College of Pharmacy, The University of Nebraska Medical Center, Omaha, Nebraska 68198-6045, USA. jbaldwin@unmc.edu</t>
  </si>
  <si>
    <t>http://ovidsp.ovid.com/ovidweb.cgi?T=JS&amp;CSC=Y&amp;NEWS=N&amp;PAGE=fulltext&amp;D=med5&amp;AN=21302181</t>
  </si>
  <si>
    <t>http://dx.doi.org/10.1080/08897077.2011.540470</t>
  </si>
  <si>
    <t>MEDLINE; Ovid Technologies; Substance use attitudes and behaviors at three pharmacy colleges</t>
  </si>
  <si>
    <t>Baldwin,Jeffrey N.</t>
  </si>
  <si>
    <t>Curricular Guidelines for Pharmacy Education: Substance Abuse and Addictive Disease</t>
  </si>
  <si>
    <t>Win</t>
  </si>
  <si>
    <t>Course Content;Curriculum Design;Educational Objectives;Elective Courses;Geographic Location;Higher Education;Identification;Legal Problems;Professional Education;Required Courses;Social Influences;Toxicology;(Major): Alcoholism;Drug Addiction;Intervention;Pharmaceutical Education;Pharmacology;Substance Abuse;Identifier: American Association of Colleges of Pharmacy</t>
  </si>
  <si>
    <t>American Association of Colleges of Pharmacy guidelines for required and elective instructional content concerning substance abuse for pharmacy students is presented. Recommended required content includes psychosocial aspects of drug use; pharmacology and toxicology; identification, intervention, and treatment of addiction; and legal issues. Objectives, suggested location, resources, and elective experiences are specified. (Author/MSE)</t>
  </si>
  <si>
    <t>FirstSearch indicates your institution subscribes to this publication. Libraries worldwide that own item: 1082 University of Michigan Library INDEPENDENT U-M LIBRARIES Search the Mirlyn catalog at the University of MichiganLocal Holdings Information: 1998-Local Holdings Information: 1-66,68-70,72-76; 1937-2012; 1994- Target Audience: Teachers; Administrators; Practitioners Article (EJ); ID: 2087</t>
  </si>
  <si>
    <t>EJ439718</t>
  </si>
  <si>
    <t>ERIC; OCLC; Curricular Guidelines for Pharmacy Education: Substance Abuse and Addictive Disease</t>
  </si>
  <si>
    <t>Evaluation of Alcohol and Drug Use Attitudes and Behaviors in Pharmacy College Faculty: Part I. Behaviors</t>
  </si>
  <si>
    <t>Fall</t>
  </si>
  <si>
    <t>Alcoholism;Drug Addiction;Family Characteristics;Higher Education;National Surveys;Professional Education;(Major): Alcohol Abuse;College Faculty;Drug Abuse;Drug Use;Pharmaceutical Education;Teacher Behavior</t>
  </si>
  <si>
    <t>A national survey of pharmacy faculty (n=1,326) found widespread current alcohol use, 2 percent diagnosed or undiagnosed self-reported alcoholism, and "drinking problems" in 3 percent. Prior recreational drug use was reported by 32 percent, current use 4 percent. Some reported drug addiction or abuse problems. Alcohol use rates are similar to other health professions, drug use lower. (Author/MSE)</t>
  </si>
  <si>
    <t>FirstSearch indicates your institution subscribes to this publication. Libraries worldwide that own item: 1082 University of Michigan Library INDEPENDENT U-M LIBRARIES Search the Mirlyn catalog at the University of MichiganLocal Holdings Information: 1998-Local Holdings Information: 1-66,68-70,72-76; 1937-2012; 1994- Article (EJ); ID: 2086</t>
  </si>
  <si>
    <t>EJ416880</t>
  </si>
  <si>
    <t>ERIC; OCLC; Evaluation of Alcohol and Drug Use Attitudes and Behaviors in Pharmacy College Faculty: Part I. Behaviors</t>
  </si>
  <si>
    <t>Evaluation of Alcohol and Drug Use Attitudes and Behaviors in Pharmacy College Faculty: Part II. Attitudes</t>
  </si>
  <si>
    <t>College Students;Curriculum Development;Drug Rehabilitation;Higher Education;National Surveys;Personnel Policy;Professional Education;(Major): Alcohol Abuse;College Faculty;Drug Abuse;Drug Use;Pharmaceutical Education;Teacher Attitudes;Wellness</t>
  </si>
  <si>
    <t>A national survey of pharmacy faculty members (n=1,326) found most members saw chemical dependencies as diseases and favored rehabilitation over exclusion for chemically dependent health professionals, assistance programs for faculty and students, retention of faculty in recovery, and strengthening substance abuse and wellness curricula by a variety of methods. (Author/MSE)</t>
  </si>
  <si>
    <t>FirstSearch indicates your institution subscribes to this publication. Libraries worldwide that own item: 1082 University of Michigan Library INDEPENDENT U-M LIBRARIES Search the Mirlyn catalog at the University of MichiganLocal Holdings Information: 1998-Local Holdings Information: 1-66,68-70,72-76; 1937-2012; 1994- Article (EJ); ID: 2076</t>
  </si>
  <si>
    <t>EJ416881</t>
  </si>
  <si>
    <t>ERIC; OCLC; Evaluation of Alcohol and Drug Use Attitudes and Behaviors in Pharmacy College Faculty: Part II. Attitudes</t>
  </si>
  <si>
    <t>Balhara,Yatan Pal Singh</t>
  </si>
  <si>
    <t>Drug Abuse Liability Assessment: A Review</t>
  </si>
  <si>
    <t>Addictive Disorders &amp; Their Treatment</t>
  </si>
  <si>
    <t>135 13p</t>
  </si>
  <si>
    <t>Drugs -- Adverse Effects;Liability, Legal -- Evaluation;Risk Assessment;Substance Abuse -- Prevention and Control;Substance Abuse -- Risk Factors;Animal Studies;Clinical Assessment Tools;Consent;Research Methodology;Study Design</t>
  </si>
  <si>
    <t>Assessment of abuse liability of drugs is an important area of biomedical research. It has important implications ranging from physician education to regulatory control of different pharmacological compounds. One needs to be aware of the recommended paradigms while indulging in such research. Selection of appropriate methodology and study design would help answer the question definitively. There are different recommendations to carry out such research. The choice of the methodology should be driven by recommendations and need of the particular paradigm.</t>
  </si>
  <si>
    <t>Entry Date: 20121130. Revision Date: 20150712. Publication Type: Journal Article; review. Journal Subset: Biomedical; Blind Peer Reviewed; Editorial Board Reviewed; Expert Peer Reviewed; Peer Reviewed; USA. Special Interest: Psychiatry/Psychology. NLM UID: 101148822.; ID: 1880</t>
  </si>
  <si>
    <t>1531-5754</t>
  </si>
  <si>
    <t>http://proxy.lib.umich.edu/login?url=http://search.ebscohost.com/login.aspx?direct=true&amp;db=ccm&amp;AN=108099178&amp;site=ehost-live&amp;scope=site</t>
  </si>
  <si>
    <t>ccm; EBSCOhost; Drug Abuse Liability Assessment: A Review</t>
  </si>
  <si>
    <t>Ball,A. L.;Rana,S.;Dehne,K. L.</t>
  </si>
  <si>
    <t>PMC1307739; HIV prevention among injecting drug users: responses in developing and transitional countries</t>
  </si>
  <si>
    <t>Public health reports</t>
  </si>
  <si>
    <t>Public Health Rep.</t>
  </si>
  <si>
    <t>113 Suppl 1</t>
  </si>
  <si>
    <t>*Developing Countries;Global Health;*HIV Infections/pc Prevention &amp; Control];Humans;*Primary Prevention/og Organization &amp; Administration];*Substance-Related Disorders/co Complications]</t>
  </si>
  <si>
    <t>OBJECTIVE: Human immunodeficiency virus (HIV) infection associated with injecting drug use has been reported in at least 98 countries and territories worldwide. There is evidence that new epidemics are emerging in different regions, including Eastern Europe, Latin American, and the eastern Mediterranean. The authors provide a global overview of the situation of HIV infection associated with injecting drug use and responses that have been implemented in various developing and transitional countries. METHODS: Although there has been extensive documentation of the extent and nature of of HIV infection associated with injecting drug use in many developed countries and the various interventions implemented in those countries, there is very limited information on the situation in developing and transitional countries. This chapter brings together information from a broad range of sources, including published literature; "gray" or "fugitive" literature; data collected by the World Health Organization (WHO), the Joint United Nations Programme on HIV/AIDS (UNAIDS) and the United Nations International Drug Control Programme (UNDCP); personal communications; and direct observation by the authors. The authors have traveled extensively to a wide range of developing and transitional countries and have accessed information not readily available to the international research community. RESULTS: A wide range of HIV prevention strategies targeting injecting drug users (IDUs) has been implemented in developing countries and countries in transition. Interventions include opioid substitution pharmacotherapy, needle syringe exchange and distribution, condom and bleach distribution, outreach to IDUs, peer education programs, and social network interventions. In some communities, completely new models of intervention and service delivery have developed in response to specific local needs and limitations. CONCLUSIONS: Although empirical data may currently be lacking to demonstrate the effectiveness of may HIV prevention programs targeting IDUs in developing and transitional countries, there is evidence that innovative HIV prevention initiatives are being implemented and sustained in a wide range of sociocultural settings. References: 63]</t>
  </si>
  <si>
    <t>J2: Public Health Rep; Ball, A L Rana, S Dehne, K L; ID: 584</t>
  </si>
  <si>
    <t>0033-3549</t>
  </si>
  <si>
    <t>Ball,A L. Division of Mental Health and Prevention of Substance Abuse, World Health Organization, Geneva, Switzerland. balla@who.ch</t>
  </si>
  <si>
    <t>http://ovidsp.ovid.com/ovidweb.cgi?T=JS&amp;CSC=Y&amp;NEWS=N&amp;PAGE=fulltext&amp;D=med4&amp;AN=9722822</t>
  </si>
  <si>
    <t>MEDLINE; Ovid Technologies; HIV prevention among injecting drug users: responses in developing and transitional countries</t>
  </si>
  <si>
    <t>Balling,Lauren;Erstad,Brian L.;Weibel,Kurt</t>
  </si>
  <si>
    <t>Impact of a transition-of-care pharmacist during hospital discharge</t>
  </si>
  <si>
    <t>448 6p</t>
  </si>
  <si>
    <t>Objective: To assess the impact of a transition-of-care pharmacist during hospital discharge.Setting: An academic medical center in southern Arizona.Practice Description: One pharmacist coordinated patient discharges in two inpatient units from August 2012 through July 2013. The pharmacist attended interdisciplinary discharge coordination meetings, ensured appropriate discharge orders, facilitated the filling of medications, and educated patients on discharge medications.Practice Innovation: The implementation of a transition-of-care pharmacist to provide discharge medication reconciliation and education.Main Outcome Measures: Readmission rates and medication interventions made by the pharmacist at discharge.Results: The pharmacist was involved in the education of 1,011 patients and performed 452 interventions. There were more readmissions per month in the control year versus the year of pharmacist involvement (median 27.5 vs. 25, P = 0.0369). Interventions made by the pharmacist to improve discharge management included starting an omitted medication (23.5%), preventing multiple discharge problems (16.4%), avoiding duplication of therapy (15.7%), correcting insurance issues related to medication coverage (12.2%), changing an improper medication dose or quantity (11.3%), changing an inappropriate prescription for a medication (5.1%), preventing a drug interaction (3.3%), and resolving other problems (12.6%). The most common medication classes involved were antimicrobial agents (9.1%), anticoagulants (8%), antihyperglycemic agents (3.8%), other drug classes (24%), and multiple drug classes (35%).Conclusion: A transition-of-care pharmacist is in a unique position to educate patients on hospital discharge, to intercept a substantial number of medication errors, and to resolve insurance issues that may lead to adherence problems. These improvements in care may result in reduced hospital readmission rates.</t>
  </si>
  <si>
    <t>Entry Date: 20150923. Revision Date: 20160317. Publication Type: journal article; research. Journal Subset: Biomedical; Peer Reviewed; USA. NLM UID: 101176252. PMID: 26161488.; ID: 1907</t>
  </si>
  <si>
    <t>http://proxy.lib.umich.edu/login?url=http://search.ebscohost.com/login.aspx?direct=true&amp;db=ccm&amp;AN=109596416&amp;site=ehost-live&amp;scope=site</t>
  </si>
  <si>
    <t>10.1331/JAPhA.2015.14087</t>
  </si>
  <si>
    <t>ccm; EBSCOhost; Impact of a transition-of-care pharmacist during hospital discharge</t>
  </si>
  <si>
    <t>Baltieri,D. A.;Correa Filho,J. M.</t>
  </si>
  <si>
    <t>Role of two clusters of male alcoholics in treatment retention</t>
  </si>
  <si>
    <t>European addiction research</t>
  </si>
  <si>
    <t>Eur.Addict.Res.</t>
  </si>
  <si>
    <t>Adult;Alcoholics Anonymous;Alcoholism/px Psychology];*Alcoholism/rh Rehabilitation];*Cluster Analysis;*Drug Users/cl Classification];Drug Users/px Psychology];Drug Users/sn Statistics &amp; Numerical Data];Humans;Male;Middle Aged;Outcome Assessment (Health Care);*Outpatients/cl Classification];Outpatients/px Psychology];Outpatients/sn Statistics &amp; Numerical Data];*Patient Acceptance of Health Care/px Psychology];Severity of Illness Index</t>
  </si>
  <si>
    <t>AIMS: This study aimed to classify alcohol-dependent outpatients on the basis of clinical factors and to verify if the resulting types show different treatment retention. METHODS: The sample comprised 332 alcoholics that were enrolled in three different pharmacological trials carried out at Sao Paulo University, Brazil. Based on four clinical factors - problem drinking onset age, familial alcoholism, alcohol dependence severity, and depression - K-means cluster analysis was performed by using the average silhouette width to determine the number of clusters. A direct logistic regression was performed to analyze the influence of clusters, medication groups, and Alcoholics Anonymous (AA) attendance in treatment retention. RESULTS: Two clusters were delineated. The cluster characterized by earlier onset age, more familial alcoholism, higher alcoholism severity, and less depression symptoms showed a higher chance of discontinuing the treatment, independently of medications used and AA attendance. Participation in AA was significantly related to treatment retention. DISCUSSION: Health services should broaden the scope of services offered to meet heterogeneous needs of clients, and identify treatment practices and therapists which improve retention. Information about patients' characteristics linked to dropout should be used to make treatment programs more responsive and attractive, combining pharmacological agents with more intensive and diversified psychosocial interventions.Copyright ‚î¨‚åê 2012 S. Karger AG, Basel.</t>
  </si>
  <si>
    <t>J2: Eur Addict Res; Baltieri, Danilo Antonio Correa Filho, Joao Maria; ID: 191</t>
  </si>
  <si>
    <t>1421-9891</t>
  </si>
  <si>
    <t>Baltieri,Danilo Antonio. Department of Psychiatry of the University of Sao Paulo, Sao Paulo, Brazil. dbaltieri@uol.com.br</t>
  </si>
  <si>
    <t>http://ovidsp.ovid.com/ovidweb.cgi?T=JS&amp;CSC=Y&amp;NEWS=N&amp;PAGE=fulltext&amp;D=medl&amp;AN=22507891</t>
  </si>
  <si>
    <t>http://dx.doi.org/10.1159/000336530</t>
  </si>
  <si>
    <t>MEDLINE; Ovid Technologies; Role of two clusters of male alcoholics in treatment retention</t>
  </si>
  <si>
    <t>Baluch,W. M.;Author,Addresses;Pharmacy Administration, Puget Sound Group,Health Cooperative;SW 16th Street, Renton,W.A.United States;Correspondence,Address;WM Baluch, Pharmacy Administration Puget Sound Group,Health Cooperative;SW 16th Street, Renton,W.A.United States</t>
  </si>
  <si>
    <t>7749956; Pharmacists' role in a smoking-cessation program at a health maintenance organization</t>
  </si>
  <si>
    <t>(MAJOR FOCUS);nicotine (drug dose, drug therapy);nicotine gum (drug dose, drug therapy);cigarette smoke;tobacco smoke;addiction (drug therapy, epidemiology, prevention, therapy);health maintenance organization;pharmacist;smoking cessation;tobacco;behavior modification;dose response;health program;human;major clinical study;oral drug administration;patient education;patient monitoring;priority journal;review;substitution therapy;teamwork;transdermal drug administration;DRUG TRADE NAMES;nicoderm Marion Merrell Dow;DRUG MANUFACTURERS;Marion Merrell Dow;nicotine (54-11-5);nicotine gum (96055-45-7);Public Health, Social Medicine and Epidemiology (17);Psychiatry (32);Health Policy, Economics and Management (36);Drug Literature Index (37);Drug Dependence, Alcohol Abuse and Alcoholism (40)</t>
  </si>
  <si>
    <t>A comprehensive smoking-cessation program sponsored by a health maintenance organization (HMO) and the role of pharmacists in the program are described. Group Health Cooperative of Puget Sound is an HMO serving more than 385,000 enrollees in western Washington State. Group Health established a smoking-cessation program in 1985. The smoking-cessation benefit consists of interventions by providers to determine smoking status, a formal behavioral modification program, and nicotine-replacement therapy (beginning in 1993) for patients undergoing behavioral modification. The behavioral modification program is offered in group or individualized format. A team of trained nursing, medical, and pharmacy staff members provides consultative support to the program's smoking-cessation specialists. A tobacco-use road- map team has been created as part of the quality-improvement effort at Group Health; a pharmacist serves on this team. The ultimate goal of the team is to reduce the percentage of adult enrollees who smoke from the current 20% to 12.5% by 2000. A procedure for promoting smoking cessation was presented to all the pharmacists, along with continuing-education sessions. The pharmacists are encouraged to be brief but consistent in their antismoking message and to apply the 'four A's' (ask about the patient's smoking status, advise the patient to quit smoking, assist in the patient's efforts to quit, and arrange follow-up). The inclusion of nicotine-replacement products in the smoking-cessation program in 1993 provided pharmacists with a key role in determining dosages and monitoring patients. Although the program is leading many smokers to quit, efforts will have to be intensified if program goals are to be realized by 2000. Pharmacists at an HMO that offers a comprehensive smoking-cessation program help identify smokers and encourage them to quit, assist with enrollees' nicotine-replacement therapy, and participate on the organization's quality-improvement team for tobacco use.</t>
  </si>
  <si>
    <t>(Baluch W.M.) American Society of Health-Systems Pharmacy, 7272 Wisconsin Ave., Bethesda, United States.; ID: 1696</t>
  </si>
  <si>
    <t>http://www.ncbi.nlm.nih.gov/pubmed/7749956</t>
  </si>
  <si>
    <t>Pharmacists' role in a smoking-cessation program at a health maintenance organization</t>
  </si>
  <si>
    <t>Baptista,T.;Novoa,D.;Hernandez,R.</t>
  </si>
  <si>
    <t>Substance use among Venezuelan medical and pharmacy students</t>
  </si>
  <si>
    <t>Adult;*Cross-Cultural Comparison;Cross-Sectional Studies;Female;Humans;Incidence;Male;*Psychotropic Drugs;*Street Drugs;*Students, Medical/sn Statistics &amp; Numerical Data];*Students, Pharmacy/sn Statistics &amp; Numerical Data];*Substance-Related Disorders/ep Epidemiology];Venezuela/ep Epidemiology];0 (Psychotropic Drugs);0 (Street Drugs)</t>
  </si>
  <si>
    <t>The frequency of substance use disorders and non-pathological use of drugs was assessed in a cohort of undergraduate medical (N = 1013) and pharmacy students (N = 426) from the University of the Andes (Merida, Venezuela). The survey was conducted using a self-administered Spanish version of the Diagnostic Interview Schedule (DIS-III-A). It was found that the lifetime frequency of substance use disorders was significantly higher in medical than in pharmacy students, but this difference disappeared when the sex was controlled. Substance use disorders were more common in single males and most cases were observed in subjects in their intermediate academic semesters. It was also found that the frequency of non-pathological use of drugs was higher in medical than in pharmacy students and in men than in women. The frequency of substance use disorders in our sample was smaller than that reported in American surveys of substance misuse among medical and pharmacy students. However, because of methodological differences these comparisons are questionable. Our results suggest that Venezuelan medical students are not at an unusually high risk of substance misuse when compared with pharmacy students whose reputedly low levels of substance use are often contrasted with those of the medical profession.</t>
  </si>
  <si>
    <t>J2: Drug Alcohol Depend; Baptista, T Novoa, D Hernandez, R; ID: 635</t>
  </si>
  <si>
    <t>Baptista,T. Department of Human Physiology, Universidad de los Andes, Facultad de Medicina, Merida, Venezuela.</t>
  </si>
  <si>
    <t>http://ovidsp.ovid.com/ovidweb.cgi?T=JS&amp;CSC=Y&amp;NEWS=N&amp;PAGE=fulltext&amp;D=med3&amp;AN=8026299</t>
  </si>
  <si>
    <t>MEDLINE; Ovid Technologies; Substance use among Venezuelan medical and pharmacy students</t>
  </si>
  <si>
    <t>Barkin,R. L.</t>
  </si>
  <si>
    <t>Interview: The need to tailor pain management approaches to individual requirements</t>
  </si>
  <si>
    <t>Pain Management</t>
  </si>
  <si>
    <t>Robert L Barkin talks to Roshaine Gunawardana, Commissioning Editor: Dr Barkin has authored over 150 publications including journals, book chapters and CD-Roms. He is a reviewer for over 30 journals, on the editorial board of nine journals and is an Associate Editor of the American Journal of Therapeutics. He received his BSc. Pharmacy degree from St Louis College of Pharmacy and Allied Science St Louis, MO, USA in 1963, an MBA in Healthcare Administration at DePaul University Chicago, IL, USA in 1976 and a doctorate in Clinical Pharmacy at Purdue University, IN, USA in 1985. Dr Barkin is engaged in a very active in-patient and out-patient practice with a collaborative arrangement with five anesthesiologist and consults with physical medicine and rehabilitation, rheumatology, oncology, neurology, neurosurgery, obstetrics and gynecology, psychiatry and chemical dependency/addiction specialists. He has presented over 500 formal lectures in the USA, Poland, India, China, Taiwan, Philippines, Puerto Rico, Australia and Canada. Dr Barkin's interest lies in pain, psychiatry, geriatrics, clinical pharmacology, clinical testing for medication and pain pharmacology. He has been the first to be granted scientific status with the American Academy of Pain Medicine.</t>
  </si>
  <si>
    <t>J2: Pain manag; Barkin, Robert L; ID: 104</t>
  </si>
  <si>
    <t>1758-1877</t>
  </si>
  <si>
    <t>Barkin,Robert L. NorthShore University HealthSystem Clinical Pharmacologist of Pain Centers of Evanston and Stokie Hospitals, IL, USA and Department of Anesthesiology, Rush University Medical Center, IL, USA and Professor of Anesthesiology, Family Medicine, Pharmacology at Rush Medical College Faculty, IL, USA. robert_barkin@rush.edu.</t>
  </si>
  <si>
    <t>http://ovidsp.ovid.com/ovidweb.cgi?T=JS&amp;CSC=Y&amp;NEWS=N&amp;PAGE=fulltext&amp;D=prem&amp;AN=24645858</t>
  </si>
  <si>
    <t>http://dx.doi.org/10.2217/pmt.12.45</t>
  </si>
  <si>
    <t>MEDLINE; Ovid Technologies; Interview: The need to tailor pain management approaches to individual requirements</t>
  </si>
  <si>
    <t>Barnes,G. E.;Chappell,N. L.;Author,Addresses;Dept Psychiat, Fac Med,Univ Manitoba;Winnipeg,R. E. W.;Correspondence,Address;Dept Psychiat, Fac Med Univ Manitoba,Winnipeg R.</t>
  </si>
  <si>
    <t>6976626; Pharmacists' knowledge in the area of alcohol, and alcohol and drug interactions</t>
  </si>
  <si>
    <t>Social Science and Medicine - Part A Medical Sociology</t>
  </si>
  <si>
    <t>15 A</t>
  </si>
  <si>
    <t>(MAJOR FOCUS);alcohol;chlorpromazine;indometacin;penicillin G;probenecid;salicylic acid;warfarin;alcoholism;drug interaction;education;pharmacist;pharmacy;central nervous system;human cell;alcohol (64-17-5);chlorpromazine (50-53-3, 69-09-0);indometacin (53-86-1, 74252-25-8, 7681-54-1);penicillin G (1406-05-9, 61-33-6);probenecid (57-66-9);salicylic acid (63-36-5, 69-72-7);warfarin (129-06-6, 2610-86-8, 3324-63-8, 5543-58-8, 81-81-2);Health Policy, Economics and Management (36);Drug Literature Index (37);Public Health, Social Medicine and Epidemiology (17);Psychiatry (32);Drug Dependence, Alcohol Abuse and Alcoholism (40)</t>
  </si>
  <si>
    <t>Pharmacists from 6 urban centres across Canada were interviewed to determine their knowledge about alcohol and alcohol and drug interactions. Pharmacists generally performed quite poorly. Pharmacists who were more knowledgeable were also more professional in other areas of pharmacy practice. Multivariate data analysis utilizing four predictors: age, sex, work region, and work setting to predict alcohol and alcohol and drug interaction knowledge accounted for 30.7% of the variance in knowledge scores with three of the predictors, age, work region, and work setting making a significant contribution in the prediction of knowledge.</t>
  </si>
  <si>
    <t>(Barnes G.E.; Chappell N.L.); ID: 1766</t>
  </si>
  <si>
    <t>http://www.ncbi.nlm.nih.gov/pubmed/6976626</t>
  </si>
  <si>
    <t>Pharmacists' knowledge in the area of alcohol, and alcohol and drug interactions</t>
  </si>
  <si>
    <t>Baron,E. P.</t>
  </si>
  <si>
    <t>Comprehensive Review of Medicinal Marijuana, Cannabinoids, and Therapeutic Implications in Medicine and Headache: What a Long Strange Trip It's Been</t>
  </si>
  <si>
    <t>Cannabinoids/pk Pharmacokinetics];*Cannabinoids/tu Therapeutic Use];*Headache/di Diagnosis];*Headache/dt Drug Therapy];Headache/me Metabolism];Humans;Medical Marijuana/pk Pharmacokinetics];*Medical Marijuana/tu Therapeutic Use];Time Factors;0 (Cannabinoids);0 (Medical Marijuana)</t>
  </si>
  <si>
    <t>BACKGROUND: The use of cannabis, or marijuana, for medicinal purposes is deeply rooted though history, dating back to ancient times. It once held a prominent position in the history of medicine, recommended by many eminent physicians for numerous diseases, particularly headache and migraine. Through the decades, this plant has taken a fascinating journey from a legal and frequently prescribed status to illegal, driven by political and social factors rather than by science. However, with an abundance of growing support for its multitude of medicinal uses, the misguided stigma of cannabis is fading, and there has been a dramatic push for legalizing medicinal cannabis and research. Almost half of the United States has now legalized medicinal cannabis, several states have legalized recreational use, and others have legalized cannabidiol-only use, which is one of many therapeutic cannabinoids extracted from cannabis. Physicians need to be educated on the history, pharmacology, clinical indications, and proper clinical use of cannabis, as patients will inevitably inquire about it for many diseases, including chronic pain and headache disorders for which there is some intriguing supportive evidence. OBJECTIVE: To review the history of medicinal cannabis use, discuss the pharmacology and physiology of the endocannabinoid system and cannabis-derived cannabinoids, perform a comprehensive literature review of the clinical uses of medicinal cannabis and cannabinoids with a focus on migraine and other headache disorders, and outline general clinical practice guidelines. CONCLUSION: The literature suggests that the medicinal use of cannabis may have a therapeutic role for a multitude of diseases, particularly chronic pain disorders including headache. Supporting literature suggests a role for medicinal cannabis and cannabinoids in several types of headache disorders including migraine and cluster headache, although it is primarily limited to case based, anecdotal, or laboratory-based scientific research. Cannabis contains an extensive number of pharmacological and biochemical compounds, of which only a minority are understood, so many potential therapeutic uses likely remain undiscovered. Cannabinoids appear to modulate and interact at many pathways inherent to migraine, triptan mechanisms ofaction, and opiate pathways, suggesting potential synergistic or similar benefits. Modulation of the endocannabinoid system through agonism or antagonism of its receptors, targeting its metabolic pathways, or combining cannabinoids with other analgesics for synergistic effects, may provide the foundation for many new classes of medications. Despite the limited evidence and research suggesting a role for cannabis and cannabinoids in some headache disorders, randomized clinical trials are lacking and necessary for confirmation and further evaluation.Copyright ‚î¨‚åê 2015 American Headache Society.</t>
  </si>
  <si>
    <t>J2: Headache; Baron, Eric P Comment in: Headache. 2015 Jun;55(6):917-8; PMID: 26084242; ID: 3</t>
  </si>
  <si>
    <t>1526-4610</t>
  </si>
  <si>
    <t>Baron,Eric P. Department of Neurology, Headache Center, Cleveland Clinic Neurological Institute, Cleveland, OH, USA.</t>
  </si>
  <si>
    <t>http://ovidsp.ovid.com/ovidweb.cgi?T=JS&amp;CSC=Y&amp;NEWS=N&amp;PAGE=fulltext&amp;D=medl&amp;AN=26015168</t>
  </si>
  <si>
    <t>http://dx.doi.org/10.1111/head.12570</t>
  </si>
  <si>
    <t>MEDLINE; Ovid Technologies; Comprehensive Review of Medicinal Marijuana, Cannabinoids, and Therapeutic Implications in Medicine and Headache: What a Long Strange Trip It's Been</t>
  </si>
  <si>
    <t>Barris,D.;Faus,M. J.;Author,Addresses;Zarzuelo,Farmacia C.;Plaza Mayor,Benalmadena;Bioqu‚îú¬°mica Y Biolog‚îú¬°a Molecular, Facultad,de Farmacia;Universidad de,Granada;Correspondence,Address;Cd Melilla Plaza Mayor,D.Barris, Farmacia C.Zarzuelo C.;Benalmadena Email, d barris,recol es</t>
  </si>
  <si>
    <t>An initiation in D‚îú√≠der methodology in the pharmacotherapeutic monitoring in a community pharmacy ORIGINAL (NON-ENGLISH) TITLE Iniciaci‚îú‚îÇn a la metodolog‚îú¬°a D‚îú√≠der de seguimiento farmacoterap‚îú‚åêutico en una farmacia comunitaria</t>
  </si>
  <si>
    <t>Ars Pharmaceutica</t>
  </si>
  <si>
    <t>Ars Pharm.</t>
  </si>
  <si>
    <t>antidiabetic agent;antihypertensive agent;antilipemic agent;drug monitoring;pharmaceutical care;article;Dader program methodology;drug efficacy;drug indication;drug safety;health care system;human;methodology;pharmacist;pharmacy;Public Health, Social Medicine and Epidemiology (17)</t>
  </si>
  <si>
    <t>The objectives of this study were to analyse drug related problems (DRP) detected in patients at a community pharmacy, to classify them in accordance with the categories of necessity, effectiveness and safety, and to evaluate the communication channel used to solve the problem. The D‚îú√≠der Program methodology for pharmacotherapy following at community pharmacies, was proposed by the Research Group for Pharmaceutical Care at the University of Granada. A total of 44 DRPs were detected over a period of 16 months, of which 75% were successfully resolved. The distribution of DRPs in accordance with the three basic categories of drug therapy were as follows: indication 31.8% (DRP 1 &amp; 2), effectiveness 34.1% (DRP 3 &amp; 4) and safety 34.1% (DRP 5 &amp; 6). A successful outcome was achieved in 72.4% of the DRPs when a physician was contacted in order to resolve the problem, while 66.7% of the cases were resolved successfully through direct pharmacist intervention with the patient. The main therapeutic groups predominating in DRPs were: antihypertensives, lipid-lowering drugs and antidiabetics. New strategies are necessary in order to overcome barriers and in so doing, increase the number of patients receiving pharmacotherapy following service. This may be achieved through an improvement in communication techniques with the patient and a greater integration of the community pharmacy within the health system.</t>
  </si>
  <si>
    <t>(Barris D., d.barris.000@recol.es) (Malaga) (Faus M.J.) Editorial Universida de Granada, Campus Universitario de Cartuja, Granada, Spain.; ID: 1582</t>
  </si>
  <si>
    <t>0004-2927 0004-2927 (electronic)</t>
  </si>
  <si>
    <t>Barros,H. M. T.;Tannhauser,C. L.;Tannhauser,M.;Author,Addresses;Ligue,Pharmacosciences Dept Ufcspa;Brazil;Encrementare,Porto Alegre Brazil;Correspondence,Address;HMT Barros, Ligue Pharmacosciences Dept,Ufcspa Brazil</t>
  </si>
  <si>
    <t>Drugs of abuse, pharmacology curriculum and learning styles of medical students</t>
  </si>
  <si>
    <t>Clinical therapeutics</t>
  </si>
  <si>
    <t>Clin.Ther.</t>
  </si>
  <si>
    <t>e69</t>
  </si>
  <si>
    <t>alcohol;illicit drug;abuse;clinical pharmacology;curriculum;European;human;learning style;medical student;pharmacology;therapy;biological activity;diseases;drug abuse;drug screening;drug use;education;exercise;health;learning;medical education;medical school;patient;reading;satisfaction;skill;student;tobacco;videorecording;volunteer</t>
  </si>
  <si>
    <t>Introduction: Drug abuse (tobacco, alcohol and illicit drugs) can worsen several health disorders; are among the twenty most common burden to health problems worldwide. Medical student education should provide detailed knowledge of these issues together with skills needed to detect/counsel patients with unhealthy drug use patterns. Time to include subjects in the clinical pharmacology curriculum to medical students is limited. Online educational strategies are often sought. It is necessary to evaluate the educational outcomes. This study was designed to develop and evaluate an online module on drug abuse to teach medical students about pharmacology of drugs and brief intervention of drug use problems. Material and Methods: Eighty-nine medical students of UFCSPA were taking the Pharmacology Course in 2014. Drug abuse is not part of their curricular medical program and an online training was offered as additional set of studies for volunteer enrolment. Information (written and videos, exercises, reading recommendations) on drugs of abuse and health, mechanisms of action, biological effects of drugs, methods of drug screening, brief interventions and treatment protocols for drug abuse and dependence were presented online. After the course, all students, volunteering or not, completed an evaluation and the Kolb Learning Style Inventory (KLSI). Results: Seventy students enrolled and completed the online training with success. The range time for completion was 5 to 20 hours. The mean knowledge score after completing the online training was 90/100. All medical students who completed the online Training described satisfaction. A difference in KLSI was detected between students who had/had not volunteered to the online training. Conclusions: The online training on drugs of abuse resulted in significant changes in knowledge. This online format could be incorporated into the medical school curriculum, with students learning the material at their own pace and in their available time.</t>
  </si>
  <si>
    <t>(Barros H.M.T.; Tannhauser C.L.) (Tannhauser C.L.; Tannhauser M.) 12th Congress of the European Association for Clinical Pharmacology and Therapeutics, EACPT 2015 Madrid, Spain 2015-06-27 to 2015-06-30 Excerpta Medica Inc.; ID: 815</t>
  </si>
  <si>
    <t>0149-2918</t>
  </si>
  <si>
    <t>Basger,B. J.;Moles,R. J.;Chen,T. F.</t>
  </si>
  <si>
    <t>Development of an aggregated system for classifying causes of drug-related problems</t>
  </si>
  <si>
    <t>*Adverse Drug Reaction Reporting Systems;Data Collection;Documentation;*Drug-Related Side Effects and Adverse Reactions/cl Classification];Humans;Pharmaceutical Services/og Organization &amp; Administration];Pharmacists/og Organization &amp; Administration]</t>
  </si>
  <si>
    <t>BACKGROUND: More than 20 different types of classification systems for drug-related problems (DRPs) and their causes have been developed. Classification is necessary to describe and assess clinical, organizational, and economic impacts of DRPs through documentation of collected data. However, many researchers have judged classification systems incomplete when describing their data, and have modified them or developed their own. This variability between systems has made study comparisons difficult. OBJECTIVES: To perform a category-by-category comparison of the content of selected DRP classification systems to construct an aggregated cause-of-DRP classification system containing the content of all systems. METHOD: DRP classification systems were identified after a literature review, with 7 chosen based on their use in varied health care settings, geographical diversity, frequency of use, and method of development. These systems were critically analyzed, and the content of each category was compared and aggregated where appropriate. A hierarchy of categories was constructed to include all content from all systems. Any modifications that previous studies may have made to the 7 systems were also cross-referenced to ensure that no concepts were missing from the newly aggregated system. Clinical examples to optimize application, and instructions for when or when not to use categories, were developed. Interrater agreement for classification of the causes of DRPs from 10 medication reviews was performed between 3 clinical pharmacists and the authors' gold standard. RESULTS: We found variation in developmental methods, category descriptions, number and types of categories, and validation methods between the 7 selected systems, together with intermingling of categories identified as causes of DRPs with DRPs themselves. A hierarchical classification system was constructed consisting of 9 cause-of-DRP categories, 33 subcategories, and 58 sub-subcategories, for which interrater agreements were 82.5%, 74.6%, and 58.8%, respectively. CONCLUSION: An aggregated classification system was constructed through a unique and transparent developmental process that may provide the most comprehensive description of causes of DRPs to date. This may facilitate teaching of pharmaceutical care, comparisons of clinical practice, and measurement of the effectiveness of pharmaceutical care interventions.Copyright ‚î¨‚åê The Author(s) 2015.</t>
  </si>
  <si>
    <t>J2: Ann Pharmacother; Basger, Benjamin J Moles, Rebekah J Chen, Timothy F; ID: 35</t>
  </si>
  <si>
    <t>Basger,Benjamin J. The University of Sydney, Sydney, NSW, Australia ben.basger@sydney.edu.au. Moles,Rebekah J. The University of Sydney, Sydney, NSW, Australia. Chen,Timothy F. The University of Sydney, Sydney, NSW, Australia.</t>
  </si>
  <si>
    <t>http://ovidsp.ovid.com/ovidweb.cgi?T=JS&amp;CSC=Y&amp;NEWS=N&amp;PAGE=fulltext&amp;D=medl&amp;AN=25614526</t>
  </si>
  <si>
    <t>http://dx.doi.org/10.1177/1060028014568008</t>
  </si>
  <si>
    <t>MEDLINE; Ovid Technologies; Development of an aggregated system for classifying causes of drug-related problems</t>
  </si>
  <si>
    <t>Bass‚îú‚îÇ-Quevedo,R. F.;Del,Carmen Medel;Author,Addresses;Facultad De,Ciencias;Qu‚îú¬°micas e Ingenier‚îú¬°a, Universidad Aut‚îú‚îÇnoma De Baja,California Tijuana;B.C,Mexico;Correspondence,Address;RF Bass‚îú‚îÇ-Quevedo, Facultad De Ciencias Qu‚îú¬°micas,e Ingenier;Aut‚îú‚îÇnoma De,Baja California</t>
  </si>
  <si>
    <t>Clinical contact workshop for pharmacy students in a Mexican University</t>
  </si>
  <si>
    <t>e241</t>
  </si>
  <si>
    <t>American;clinical pharmacy;college;human;Mexican;pharmacy student;university;workshop;clinical practice;communication skill;curriculum;drug therapy;hospital;hospital patient;humanities;patient;pharmacist;responsibility;school;skill;student</t>
  </si>
  <si>
    <t>PURPOSE: Through the implementation of a Clinical Contact Workshop (CCW), pharmacy students can improve their knowledge and clinical skills on pharmacotherapy. Due to a lack of a clinical practice rotation in most Mexican pharmacy schools, the students have their only opportunity to be introduced to the hospital environment. METHODS: The curriculum of the Mexican pharmacy schools do not have clinical practice rotations in the hospital, therefore a CCW was implemented. During the CCW, the students 1) Created and implemented formats to document the pharmacological history of patients, 2) Attended to the medical rounds, 3) Interviewed a minimum of two hospitalized patients, 4) Evaluated their pharmacotherapy, mainly in search for Drug Related Problems and 5) Wrote a pharmaceutical intervention for each of them. The interventions were sent to a staff pharmacist for assessment and the patient cases were presented to an audience. RESULTS: This workshop has been implemented during the last six semesters, 134 students has attend to it and there have been 272 patient cases; the interventions were evaluated by the pharmacists as good or very good in 76% of them; their clinical and communication skills, improved by 80% between the first and second case. It has been a rewarding experience to 89% of the students, both academically and in the humanities. CONCLUSION: The students developed better clinical skills in the real hospital environment, than the ones that could be acquired in a classroom. Being with patients created a sense of responsibility in the students. The interventions presented were well received by the pharmacists.</t>
  </si>
  <si>
    <t>(Bass‚îú‚îÇ-Quevedo R.F.; Del Carmen Medel-Boj‚îú‚îÇrquez M.) 2015 Annual Meeting of the American College of Clinical Pharmacy, ACCP 2015 San Francisco, CA, United States 2015-10-17 to 2015-10-21 Pharmacotherapy Publications Inc.; ID: 791</t>
  </si>
  <si>
    <t>Bataille,J.;Joret,P.;Prot-Labarthe,S.;Bourdon,O.;Brion,F.;Hartmann,J. F.;Author,Addresses;Aphp;Pharmacie,H‚îú‚î§;Pharmacie Clinique,Universit‚îú‚åê;Paris Descartes,Paris France;Laboratoire Education et,Pratiques de;Universit‚îú‚åê Paris Xiii, Bobigny,Paris France;Coordonnateur de La Gestion Des Risques Associ‚îú‚åê,,S.Aux Soins;Charge,C. LIN/CVR;MeDicamenteuse,H‚îú‚î§;Correspondence,Address;Bataille, Aphp Pharmacie H‚îú‚î§pital Robert-Debr‚îú‚åê Paris France,J.</t>
  </si>
  <si>
    <t>High-alert medications in pediatrics hospital</t>
  </si>
  <si>
    <t>adrenalin;amiodarone;anticoagulant agent;antimalarial agent;magnesium sulfate;paracetamol;quinine;clinical pharmacy;drug therapy;hospital;pediatrics;pharmacy;aerosol;consensus;diffusion;drug misuse;France;habit;human;injury;intensive care unit;nurse;nursing staff;pathology;pharmacist;population;registered nurse;risk;United States;university</t>
  </si>
  <si>
    <t>Background and Objective: High-alert medications have the highest risk of causing injury when misused. Errors on high-alert medications occur at the same rate compared to usual medicine. Pediatric population itself is at high risk of drug misuse. The aim of this study is to identify clinicians, nurses and pharmacists perceptions of high-alert medications and to develop a pediatrics specific high-alert medications list. Setting and Method: A three step process was set: (1) review of literature, (2) electronic survey was sent to clinicians (seniors and residents), registered nurses, young nurses and pharmacists working in a pediatric university French hospital. They suggested their top ten highalert medications and the medication which was the most frequently involved. They were asked the type of errors they have already encountered and to describe the consequences of the misuse. Results were compared to the Institute for Safe Medications Practices list and Franke&amp;al PICU-specific, high-alert medications list. (3) consensus of experts who approved a list of high-alert medications for the hospital. Main outcome measures: Obtain a pediatrics specific high-alert medications list. Results: The review of literature pinpoints four documentary sources 27 medication classes and 63 specific medications. Only one study has identified a pediatric intensive care unit, specific high-alert medications in the United States (US). The response survey rate was 20 % and nurses were the most represented category. The number of medicines listed fluctuate form 3-10. The consensus list was composed of 17 medication classes and specific medications such as adrenaline aerosol, amiodarone, anticoagulants and antimalarial drugs. The complete table will be presented in the final poster. Conclusions: Four medications weren't identified on the Institute for Safe Medications Practices list and the PICU-specific, high-alert medications list: injectable acetaminophen, quinine and derivates, magnesium sulfate and adrenaline aerosol. This difference could be due to diversity of practice between France and US (incidence of pathology, habit of care and specific commercialized medicine). Currently, no pediatrics' specific high-alert medications list was described in France and only one in the US. The diffusion of the list can sensibilise the nursing staff to the drugs they have to be aware of. A national study has to be conducted in other pediatrics' hospital to confirm these results.</t>
  </si>
  <si>
    <t>(Bataille J.; Joret P.; Prot-Labarthe S.; Bourdon O.; Brion F.) (Bataille J.; Joret P.; Bourdon O.; Brion F.) (Bourdon O.; Brion F.) (Hartmann J.-F.) 42nd ESCP Symposium on Clinical Pharmacy: Implementation of Pharmacy Practice Prague, Czech Republic 2013-10-16 to 2013-10-18 Springer Netherlands; ID: 967</t>
  </si>
  <si>
    <t>Bataille,J.;Prot-Labarthe,S.;Bourdon,O.;Joret,P.;Brion,F.;Hartmann,J. F.;Author,Addresses;Pharmacie;H‚îú‚î§pital Robert-Debr‚îú‚åê,A.P.H.P.Paris France;Pharmacie Clinique,Universit‚îú‚åê,Paris Descartes;Paris,France;Laboratoire Educations et,Pratiques de;Universit‚îú‚åê,Paris Xiii;Coordonnateur de la Gestion des Risques Associ‚îú‚åê,,S.Aux Soins;Clin/CvriS,H‚îú‚î§pital Robert-Debr‚îú‚åê,Paris France;Correspondence,Address;Paris France,J.Bataille, Pharmacie H‚îú‚î§pital Robert-Debr‚îú‚åê A.P.H.P.</t>
  </si>
  <si>
    <t>Safety measures of high-alert medications in paediatrics hospital</t>
  </si>
  <si>
    <t>anesthetic agent;insulin;clinical pharmacy;drug therapy;hospital;human;patient safety;pediatrics;safety;consensus;drug administration;drug misuse;endocrinology;environmental factor;health care;injury;medical staff;medication error;nurse;operating room;pediatric hospital;pharmacist;pharmacy;population;procedures;risk;standardization</t>
  </si>
  <si>
    <t>Background and objective: High-alert medications are drugs associated with the highest risk of injury when they are misused. Paediatric population itself is at high risk of drug misuse. In a previous study, a list of 17 high-alert medications was identifying in our department. The aim of this study is to identify the list of safety measures to reduce errors on high-alert medications use process. Setting and method: A three-step process was set: (1) literature review, (2) electronic survey sent to clinicians (seniors and residents), nurses and pharmacists working in a paediatric hospital. The participants were asked to select safety measures from the list constructed from the literature search and to suggest other measures for the use of high-alert medications. (3) A consensus staff approved a list of safety measures for the hospital with a prioritization of action. Main outcome measures: Obtain a list of paediatric measures to secure highalert medications process. Results: The review of literature identified 69 safety measures. The response rate to the survey was 20 % and nurses were the most represented category (64 %). Survey participants suggested improvement to safety measures in the following areas: incident reporting, drug administration protocol, clear and accessible information about medications, and double-checking implementation. The consensus list was composed of 53 measures. Several working groups are created to set up these projects. Some high-alert medications are daily used, for example insulin in endocrinology and anaesthetics in operating rooms. The medical staff working in these departments is not bound to implement the complete measures, but these exceptions are notified on the protocol. 26 % of these measures are already set up. Conclusions: We proposed additional safety measures to prevent medication errors associated with high-alert medications. These measures addressed human, technical, organizational, and environmental factors such as information sheets for each high-alert medications, development and standardization of safety procedures and identification of high-alert medications in stockrooms at the pharmacy and the health care units. The implementation of these measures in paediatric hospital should help to prevent medication errors, and subsequent studies will be carried out to confirm their effectiveness. The outcomes expected are a reduction of medications errors, an increase of reporting incidents of errors and nearly errors.</t>
  </si>
  <si>
    <t>(Bataille J.; Prot-Labarthe S.; Bourdon O.; Joret P.; Brion F.) (Bataille J.; Joret P.) (Bourdon O.; Brion F.) (Hartmann J.-F.) 43rd ESCP International Symposium on Clinical Pharmacy Patient Safety: Bridging the Gaps Copenhagen, Denmark 2014-10-22 to 2014-10-24 Kluwer Academic Publishers; ID: 846</t>
  </si>
  <si>
    <t>Baudonnat,M.;Guillou,J. L.;Husson,M.;Vandesquille,M.;Corio,M.;Decorte,L.;Faugere,A.;Porte,Y.;Mons,N.;David,V.</t>
  </si>
  <si>
    <t>Disrupting effect of drug-induced reward on spatial but not cue-guided learning: implication of the striatal protein kinase A/cAMP response element-binding protein pathway</t>
  </si>
  <si>
    <t>Journal of Neuroscience</t>
  </si>
  <si>
    <t>Analysis of Variance;Animals;Behavior, Animal;Brain Mapping;*CREB-Binding Protein/me Metabolism];Choice Behavior/de Drug Effects];Corpus Striatum/de Drug Effects];*Corpus Striatum/me Metabolism];*Cues;Cyclic AMP/aa Analogs &amp; Derivatives];Cyclic AMP/pd Pharmacology];*Cyclic AMP-Dependent Protein Kinases/me Metabolism];Discrimination (Psychology)/de Drug Effects];Gene Expression Regulation/de Drug Effects];Hippocampus/me Metabolism];Male;Maze Learning/de Drug Effects];Mice;Mice, Inbred C57BL;Microinjections/mt Methods];Morphine/ad Administration &amp; Dosage];Narcotics/ad Administration &amp; Dosage];Phosphorylation/de Drug Effects];Protein Kinase Inhibitors/pd Pharmacology];Proto-Oncogene Proteins c-fos/me Metabolism];Reaction Time/de Drug Effects];*Reward;Signal Transduction/de Drug Effects];*Signal Transduction/ph Physiology];Space Perception/de Drug Effects];*Space Perception/ph Physiology];Thionucleotides/pd Pharmacology];Ventral Tegmental Area/de Drug Effects];0 (Narcotics);0 (Protein Kinase Inhibitors);0 (Proto-Oncogene Proteins c-fos);0 (Thionucleotides);23645-17-2 (adenosine-3',5'-cyclic phosphorothioate);76I7G6D29C (Morphine);E0399OZS9N (Cyclic AMP);EC 2-3-1-48 (CREB-Binding Protein);EC 2-7-11-11 (Cyclic AMP-Dependent Protein Kinases)</t>
  </si>
  <si>
    <t>The multiple memory systems hypothesis posits that different neural circuits function in parallel and may compete for information processing and storage. For example, instrumental conditioning would depend on the striatum, whereas spatial memory may be mediated by a circuit centered on the hippocampus. However, the nature of the task itself is not sufficient to select durably one system over the other. In this study, we investigated the effects of natural and pharmacological rewards on the selection of a particular memory system during learning. We compared the effects of food- or drug-induced activation of the reward system on cue-guided versus spatial learning using a Y-maze discrimination task. Drug-induced reward severely impaired the acquisition of a spatial discrimination task but spared the cued version of the task. Immunohistochemical analysis of the phosphorylated form of the cAMP response element binding (CREB) protein and c-Fos expression induced by behavioral testing revealed that the spatial deficit was associated with a decrease of both markers within the hippocampus and the prefrontal cortex. In contrast, drug reward potentiated the cued learning-induced CREB phosphorylation within the dorsal striatum. Administration of the protein kinase A inhibitor 8-Bromo-adenosine-3',5'-cyclic monophosphorothioate Rp isomer (Rp-cAMPS) into the dorsal striatum before training completely reversed the drug-induced spatial deficit and restored CREB phosphorylation levels within the hippocampus and the prefrontal cortex. Therefore, drug-induced striatal hyperactivity may underlie the declarative memory deficit reported here. This mechanism could represent an important early step toward the development of addictive behaviors by promoting conditioning to the detriment of more flexible forms of memory.</t>
  </si>
  <si>
    <t>J2: J Neurosci; Baudonnat, Mathieu Guillou, Jean-Louis Husson, Marianne Vandesquille, Matthias Corio, Marc Decorte, Laurence Faugere, Angelique Porte, Yves Mons, Nicole David, Vincent; ID: 232</t>
  </si>
  <si>
    <t>1529-2401</t>
  </si>
  <si>
    <t>Baudonnat,Mathieu. Universite de Bordeaux and Institut de Neurosciences Cognitives et Integratives d'Aquitaine, Centre National de la Recherche Scientifique, Unite Mixte de Recherche 5287, 33405 Talence, France.</t>
  </si>
  <si>
    <t>http://ovidsp.ovid.com/ovidweb.cgi?T=JS&amp;CSC=Y&amp;NEWS=N&amp;PAGE=fulltext&amp;D=med5&amp;AN=22090478</t>
  </si>
  <si>
    <t>http://dx.doi.org/10.1523/JNEUROSCI.1787-11.2011</t>
  </si>
  <si>
    <t>MEDLINE; Ovid Technologies; Disrupting effect of drug-induced reward on spatial but not cue-guided learning: implication of the striatal protein kinase A/cAMP response element-binding protein pathway</t>
  </si>
  <si>
    <t>Baumgartner,R. P.</t>
  </si>
  <si>
    <t>Overcoming the Barriers to Pharmacist Intervention in Problems Associated with the Use of Drugs--Institutional Pharmacy</t>
  </si>
  <si>
    <t>Nov-Dec</t>
  </si>
  <si>
    <t>Financial Support;Health Personnel;Higher Education;Institutions;Medicine;Pharmaceutical Education;Professional Recognition;(Major): Change Strategies;Drug Education;Intervention;Job Enrichment;Pharmacists;Pharmacy</t>
  </si>
  <si>
    <t>Barriers to role expansion for pharmacists working in institutional settings are discussed, such as competency, interdisciplinary responsibilities, and financial reimbursement. Underlying principles that may be applied to overcome the traditional barriers to pharmacist intervention in drug use problems are examined. (SF)</t>
  </si>
  <si>
    <t>Connect to the Mirlyn catalog at the University of Michigan Article (EJ); ID: 2101</t>
  </si>
  <si>
    <t>EJ219767</t>
  </si>
  <si>
    <t>ERIC; OCLC; Overcoming the Barriers to Pharmacist Intervention in Problems Associated with the Use of Drugs--Institutional Pharmacy</t>
  </si>
  <si>
    <t>Bayer,A. M.;Carhuas,C. M.;Sanchez,J. F.;Beltran,M.;Razuri,H. R.;Zavaleta,C.;Halsey,E. S.;Montgomery,J. M.;Sanders,J. W.;Lescano,A. G.;Author,Addresses;United States Naval,Medical Research;Detachment,Lima Peru;Peruvian Ministry,of Health;National Center of Intercultural Health, Peruvian,Ministry of;Health,Lima Peru;Center,U. S. A.;Wright-Patterson Air,Force Base;Correspondence,Address;AM Bayer, United States Naval Medical Research Center,Detachment Lima;Peru</t>
  </si>
  <si>
    <t>Perceptions about health processes among community members from small riverine populations in the peruvian rainforest</t>
  </si>
  <si>
    <t>American Journal of Tropical Medicine and Hygiene</t>
  </si>
  <si>
    <t>Am.J.Trop.Med.Hyg.</t>
  </si>
  <si>
    <t>cigarette smoke;community;health;hygiene;population;rain forest;society;tropical medicine;adult;bark;beak;bird;child;diagnosis;diarrhea;drug therapy;female;flower;fruit;health care;health care facility;herb;home care;information processing;malaria;male;Peru;pharmacy;pneumonia;prevention;river;sampling;stomach pain;therapy;tropical rain forest;urinary tract infection;vagina bleeding;vagina discharge</t>
  </si>
  <si>
    <t>Little is known about the processes that community members in the tropical rainforest of Peru follow to address day-to-day health issues. Therefore, the objective of this study was to describe the processes that the inhabitants of Loreto, Peru utilize to address the health problems of young children and adults. This study was conducted in four small-to medium-sized communities along the Mara‚îú‚ñíon and Huallaga rivers in the Peruvian Amazon. Focus groups were held with 34 community members aged 18 years or older recruited using purposive sampling. Participants documented the processes that community members follow to address important health problems faced by children under five years of age, adult males and adult females. Data were analyzed by synthesizing and comparing the flow diagrams produced by participants. For cases of pediatric diarrhea and pneumonia, the majority (75%) of participants wait three to six days prior to taking their child to a health facility. Home treatment provided during the wait consists of primarily natural remedies (65%) and some self-prescribed medication (35%) prior to formal medical treatment. Adult males typically wait one to two days prior to seeking professional care for stomach pain and approximately 80% of males never seek skilled care for presumed malaria. Most adult women (65%) with a urinary tract infection or vaginal discharge use natural remedies for one to four days before going to a health establishment. One-third of women wait one day before seeking professional care for vaginal bleeding. Natural remedies for different populations and health problems included drinks with herbs, fruit peels and bird beaks; baths with herbs, flowers and barks; and cigarette smoke. It is important to note that natural remedies often included medication acquired from a pharmacy. In conclusion, residents of these Peruvian Amazon communities utilize multiple methods to address health problems at home, based on their own diagnoses of their health issues and perceptions of which treatments are most appropriate. Further research needs to be performed to determine the best methods to optimize the utilization of appropriate health care and prevention services.</t>
  </si>
  <si>
    <t>(Bayer A.M.; Carhuas C.M.; Sanchez J.F.; Razuri H.R.; Montgomery J.M.; Sanders J.W.; Lescano A.G.) (Beltran M.) (Zavaleta C.) (Halsey E.S.) 58th Annual Meeting of the American Society of Tropical Medicine and Hygiene, ASTMH Washington, DE, United States 2009-11-18 to 2009-11-22 American Society of Tropical Medicine and Hygiene; ID: 1409</t>
  </si>
  <si>
    <t>Bazaldua,O.;Ables,A. Z.;Dickerson,L. M.;Hansen,L.;Harris,I.;Hoehns,J.;Jackson,E.;Kraus,C.;Mayville,H.;Saseen,J. J.;Author,Addresses;Univ of Texas,Health Science;San Antonio,T.X.United States;Spartanburg Fam Med,Residency P.;States;Medical University,of South;University of,Colorado;University of,Minnesota;University of,Iowa;University of,Connecticut;University of,Wisconsin;Lehigh Valley Hospital, Lehigh,P.A.United States;Univ of Texas,Health Science;Floyd Curl Drive, San Antonio,T.X.United States;Correspondence,Address;Bazaldua, Univ of Texas Health Science Center Floyd Curl Drive,O.;San Antonio, T X United States Email bazaldua,uthscsa edu</t>
  </si>
  <si>
    <t>15690249; Suggested guidelines for pharmacotherapy curricula in family medicine residency training: Recommendations from the society of teachers of family medicine group on pharmacotherapy</t>
  </si>
  <si>
    <t>Family medicine</t>
  </si>
  <si>
    <t>Fam.Med.</t>
  </si>
  <si>
    <t>family medicine;residency education;addiction (disease management);cardiovascular disease (disease management);clinical pharmacy;competence;curriculum;education program;endocrine disease (disease management);gastrointestinal disease (disease management);hospital information system;infection (disease management);intoxication (disease management);lung disease (disease management);male genital system disease (disease management);maternal disease (disease management);mental disease (disease management);musculoskeletal disease (disease management);neurologic disease (disease management);osteoporosis (disease management);practice guideline;resident;review;skin disease (disease management);teacher;Public Health, Social Medicine and Epidemiology (17);Health Policy, Economics and Management (36)</t>
  </si>
  <si>
    <t>Rational drug use has increasingly received public policy attention in efforts to maintain quality health care at lower costs. Prescribing habits are developed during residency training, and education regarding rational drug use should be an integral part of the residency curricula. Considering that many medical errors in family medicine are related to incorrect medication management, there is need for a focused education in pharmacotherapy. This paper outlines suggested guidelines for pharmacotherapy curricula in family medicine residency training, as recommended by the Society of Teachers of Family Medicine Group on Pharmacotherapy. A pharmacotherapy curriculum should include common conditions managed in family medicine, as well as general principles of pharmacotherapy. This should allow for repeated exposure to core topics over a 3-year cycle and be delivered in various settings (didactic teaching, longitudinal active learning, point-of-care education, and rotations). The curriculum should apply and evaluate pharmacotherapy education according to the six core competencies of the Accreditation Council for Graduate Medical Education (ACGME). Although physician faculty can be responsible for pharmacotherapy education, a clinical pharmacist is uniquely qualified to provide this service. Overall, family medicine residents need comprehensive instruction in pharmacotherapy to develop rational prescribing habits. A structured pharmacotherapy curriculum may assist in achieving this goal and in meeting the ACGME core competencies for residency training.</t>
  </si>
  <si>
    <t>(Bazaldua O., bazaldua@uthscsa.edu) (Ables A.Z.) (Dickerson L.M.) (Hansen L.; Saseen J.J.) (Harris I.) (Hoehns J.) (Jackson E.) (Kraus C.) (Mayville H.) Society of Teachers of Family Medicine, Ste 540, Leawood, United States.; ID: 1552</t>
  </si>
  <si>
    <t>0742-3225</t>
  </si>
  <si>
    <t>http://www.ncbi.nlm.nih.gov/pubmed/15690249</t>
  </si>
  <si>
    <t>Suggested guidelines for pharmacotherapy curricula in family medicine residency training: Recommendations from the society of teachers of family medicine group on pharmacotherapy</t>
  </si>
  <si>
    <t>Bazan,N.;Saber-Ayad,M.;Youssry,M.;Osman,M.;El Naggar,A. R.;Zaki,M.;Author,Addresses;Department of Critical Care, Cairo University,Cairo Egypt;Department of,Pharmacology;Pharmaceutics,University of;Sharjah,Sharjah United Arab Emirates;Department,of;Pharmacology,Cairo University Cairo Egypt;Correspondence,Address;Bazan, Department of Critical Care Cairo University Cairo Egypt,N.</t>
  </si>
  <si>
    <t>Outcome of clinical pharmacology and pharmacy project in Cairo University Hospitals: The magnitude of drug-related problems in the critical care units</t>
  </si>
  <si>
    <t>clinical pharmacology;clinical pharmacy;intensive care;pharmacy;prescription;university hospital;clinical practice;college;drug dose;drug interaction;drug therapy;Egypt;evidence based medicine;female;heart disease;hospital;hospital patient;hospitalization;human;liver;patient;patient care;pharmacist;pharmacology;physician;therapy</t>
  </si>
  <si>
    <t>Introduction Clinical Pharmacy has been recently introduced in the curricular content of pharmacy colleges in Egypt. In view of the increased awareness of drug-related problems (DRPs), a project started in Cairo University Hospitals in 2008 with the main objective of short-term training of working pharmacists/clinical pharmacologists on prescription auditing under support of evidence-based Medicine (EBM). The project is a joint work between the College of Pharmacy and Medicine with the ultimate goal of optimizing drug therapy and minimizing DRPs. We started in the Critical Care Departments, where DRPs are usually life-threatening; hence the great impact on the clinical practice of the overloaded physicians. Here, we present the magnitude of the problem as was detected by the newly trained clinical pharmacists and pharmacologists in a 6-month period. Materials &amp; Methods Data were collected from patients' medical files. The DRPs identified in each In-hospital drug chart were written in standardized auditing sheets. A number of EBM resources (e.g. BNF, Micro-medex, Up-to-date, Cochrane) were used to identify DRPs. The process was carried out by the trained demonstrators of pharmacology and the pharmacists of the Critical Care Departments. The notes taken by the team members were discussed instantaneously with the physicians. Frequently encountered and serious DRPs were also discussed at a higher level. The impact of the project on improving clinical practice in critical care units will be further studied and compared with similar studies and projects.1 Results Out of 800 in-hospital drug charts revised in the initial phase, 40 charts showed at least one DRP (5%). Patients with DRP aged 54.5 ‚î¨‚ñí 17.7 years (14 females, 23 with cardiac disease). The hospital stay ranged from 3-40 days (mean: 9.8 ‚î¨‚ñí 7 days with 50% of the patients stayed for&lt;or = 1 week). The most frequent DRPs were related to drug-drug interaction overlooked by the treating physician (32 out of 40, i.e. 80%). Improper drug doses were noticed in 16 charts (40%), and incomplete instructions in 11 charts (27.5%). Lack of dose adjustment for patients in special situations (renal, liver impairment,... etc) was reported in 12 pts, and lack of required TDM in 15 pts. Unnecessary drugs as well as duplication of therapy were noticed in 10% of pts' cases revised by our team. Discussion &amp; Conclusion Clinical Pharmacists and Pharmacologists can play a major and indispensible role in patient care through detecting and minimizing drug-related problems. Short-term training of working pharmacists and pharmacologists is necessary especially in critical care departments. The impact of the project on improving clinical practice will be studied at a later stage.</t>
  </si>
  <si>
    <t>(Bazan N.) (Saber-Ayad M.) (Saber-Ayad M.; Youssry M.; Osman M.; El Naggar A.R.; Zaki M.) 39th ESCP European Symposium on Clinical Pharmacy and 13th SFPC Congress: Clinical Pharmacy at the Front Line of Innovations Lyon, France 2010-10-21 to 2010-10-23 Springer Netherlands; ID: 1291</t>
  </si>
  <si>
    <t>Beausir,A.;Duvauchelle,B.;Gras,V.;Huges,D.;Henry,J.;Author,Addresses;Centre,Hospitalier;Abbeville,France;Correspondence,Address;Beausir, Centre Hospitalier Abbeville France,A.</t>
  </si>
  <si>
    <t>How to get doctors addicted to adverse drug reaction notification?</t>
  </si>
  <si>
    <t>Fundamental and Clinical Pharmacology</t>
  </si>
  <si>
    <t>25 SUPPL. 1</t>
  </si>
  <si>
    <t>adverse drug reaction;drug surveillance program;human;pharmacology;physician;physiology;society;therapy;fruit;government;health practitioner;hospital;intranet;monitoring;patient safety;pharmacist;pharmacy;pharmacy student;policy;procedures;risk;risk management;student;writing</t>
  </si>
  <si>
    <t>Health professionals have still many difficulties in declaring potential drug side effects. The main reasons are the lack of time and the procedures of declaration which are still widely unknown. Since 2008, the Pharmacy of our hospital has introduced a real policy to increase doctors awareness of the problem so that it complies with the government's legal recommendations of March 29th 2004, regarding the setting up of a risk management program. The aim is eventually a better autonomy of the prescribers and an increase in the declaration number. Both a pharmacist and a doctor have been appointed as supervising professionals for pharmacovigilance monitoring. However the pharmacist must be the first person to be informed, in order to concentrate the activity. Since 2008, each nonresident pharmacy student has been sent in a department to follow the daily visit of the doctor and to help him to save time by filling the Cerfa form as soon as it was necessary. When the students don't work, prescribers are invited to call the supervising professional directly. The arrival of a resident pharmacy student from May to November 2010 enabled the writing of a simplified declaration of adverse drug reaction, accepted by the management risk committee of the hospital, and available on the intranet. This policy has borne fruit: 9 declarations were sent in 2008 to the Pharmacovigilance Regional Center, 17 in 2009, and 30 from January to November 2010, which represents an increase of 233% over 2 years. We observe a diversification in the declaring services: 3 in 2008, 7 different in 2009 and 10 in 2010. Among the 19 declarations registered from May to November 2010, 47% were signaled to the supervising professionals or the resident student by phone, 32% thanks to the former or the simplified form and 21% by the non-resident students. None has been declared via intranet. Mentality change is progressively appearing in the hospital. Doctors realize more and more the importance of the declaration of drug side effects. Nevertheless we must actively continue to inform doctors, help people when they have to fill a declaration and rally the whole pharmacy staff: resident and non-resident students, pharmacists. Each actor plays a great role to contribute to patient's safety.</t>
  </si>
  <si>
    <t>(Beausir A.; Duvauchelle B.; Gras V.; Huges D.; Henry J.) 15th Annual Meeting of the French Society of Pharmacology and Therapeutics, the 78th Annual Meeting of the Society of Physiology, the 32nd Pharmacovigilance Meeting, the 12th APNET Seminar and the 9th CHU CIC Meeting Grenoble, France 2011-03-22 to 2011-03-24 Blackwell Publishing Ltd; ID: 1290</t>
  </si>
  <si>
    <t>0767-3981</t>
  </si>
  <si>
    <t>Beavers,N.;Author,Addresses</t>
  </si>
  <si>
    <t>Recognition</t>
  </si>
  <si>
    <t>Drug Topics</t>
  </si>
  <si>
    <t>(MAJOR FOCUS);nicotine (drug therapy);nicotine gum (drug therapy);accreditation;pharmacist;smoking cessation;fee;human;note;patient counseling;pharmacy benefit manager;withdrawal syndrome (complication, drug therapy, prevention);DRUG TRADE NAMES;nicoderm SmithKline Beecham;nicorette SmithKline Beecham;DRUG MANUFACTURERS;SmithKline Beecham;nicotine gum (96055-45-7);nicotine (54-11-5);Public Health, Social Medicine and Epidemiology (17);Health Policy, Economics and Management (36);Drug Literature Index (37);Drug Dependence, Alcohol Abuse and Alcoholism (40)</t>
  </si>
  <si>
    <t>(Beavers N.); ID: 1676</t>
  </si>
  <si>
    <t>Bech,P.</t>
  </si>
  <si>
    <t>Fifty years with the Hamilton scales for anxiety and depression. A tribute to Max Hamilton</t>
  </si>
  <si>
    <t>Psychotherapy &amp; Psychosomatics</t>
  </si>
  <si>
    <t>*Anxiety Disorders/hi History];*Depressive Disorder/hi History];England;History, 20th Century;Humans;*Personality Inventory/hi History];*Psychiatry/hi History]</t>
  </si>
  <si>
    <t>From the moment Max Hamilton started his psychiatric education, he considered psychometrics to be a scientific discipline on a par with biochemistry or pharmacology in clinical research. His clinimetric skills were in operation in the 1950s when randomised clinical trials were established as the method for the evaluation of the clinical effects of psychotropic drugs. Inspired by Eysenck, Hamilton took the long route around factor analysis in order to qualify his scales for anxiety (HAM-A) and depression (HAM-D) as scientific tools. From the moment when, 50 years ago, Hamilton published his first placebo-controlled trial with an experimental anti-anxiety drug, he realized the dialectic problem in using the total score on HAM-A as a sufficient statistic for the measurement of outcome. This dialectic problem has been investigated for more than 50 years with different types of factor analyses without success. Using modern psychometric methods, the solution to this problem is a simple matter of reallocating the Hamilton scale items according to the scientific hypothesis under examination. Hamilton's original intention, to measure the global burden of the symptoms experienced by the patients with affective disorders, is in agreement with the DSM-IV and ICD-10 classification systems. Scale reliability and obtainment of valid information from patients and their relatives were the most important clinimetric innovations to be developed by Hamilton. Max Hamilton therefore belongs to the very exclusive family of eminent physicians celebrated by this journal with a tribute.Copyright 2009 S. Karger AG, Basel.</t>
  </si>
  <si>
    <t>J2: Psychother Psychosom; Bech, P; ID: 329</t>
  </si>
  <si>
    <t>1423-0348</t>
  </si>
  <si>
    <t>Bech,P. Psychiatric Research Unit, Frederiksborg General Hospital, Hillerod, Denmark. pebe@noh.regionh.dk</t>
  </si>
  <si>
    <t>http://ovidsp.ovid.com/ovidweb.cgi?T=JS&amp;CSC=Y&amp;NEWS=N&amp;PAGE=fulltext&amp;D=med5&amp;AN=19401620</t>
  </si>
  <si>
    <t>http://dx.doi.org/10.1159/000214441</t>
  </si>
  <si>
    <t>MEDLINE; Ovid Technologies; Fifty years with the Hamilton scales for anxiety and depression. A tribute to Max Hamilton</t>
  </si>
  <si>
    <t>Becker,H. C.;Crissman,A. M.;Studders,S.;Kelley,B. M.;Middaugh,L. D.</t>
  </si>
  <si>
    <t>Differential neurosensitivity to the discriminative stimulus properties of ethanol in C57BL/6J and C3H/He mice</t>
  </si>
  <si>
    <t>Animals;Brain/de Drug Effects];Brain/ph Physiology];*Discrimination Learning/de Drug Effects];Discrimination Learning/ph Physiology];Dose-Response Relationship, Drug;*Ethanol/pd Pharmacology];Male;Mice;Mice, Inbred C3H;Mice, Inbred C57BL;Reaction Time/de Drug Effects];Reaction Time/ph Physiology];Species Specificity;3K9958V90M (Ethanol)</t>
  </si>
  <si>
    <t>BACKGROUND: A large body of evidence suggests that the interoceptive cue associated with ethanol intoxication is complex and dependent on a number of environmental and biological factors. Despite the fact that mice have been widely used to study genetic influences on sensitivity to various actions of ethanol, few studies have used mice to examine sensitivity to the discriminative stimulus effects of ethanol. The purpose of this study was to compare sensitivity to the discriminative stimulus effects of ethanol in two inbred mouse strains, namely C57BL/6J and C3H/He mice. METHODS: Adult male C57BL/6J and C3H/He mice were trained to discriminate between ethanol and saline using a two-lever food reinforcement operant procedure. Once criterion discrimination performance was achieved, dose-response functions were determined from generalization tests. Additional experiments were conducted to determine whether differences in discrimination performance were related to differential blood/brain ethanol levels in the two mouse strains. RESULTS: A greater proportion of C57BL/6J mice acquired the discrimination and required fewer trials to achieve criterion performance compared with C3H/He mice with a 1.0 g/kg ethanol training dose. This deficit in acquisition was overcome when the training dose was increased to 2.0 g/kg for C3H/He mice. In a second experiment, a 1.5 g/kg training dose of ethanol was used for both strains. Again, a greater proportion of C57BL/6J mice acquired the discrimination and required fewer training trials to achieve criterion performance compared with C3H/He mice. Blood ethanol levels did not differ between the strains after administration of the 1.5 g/kg training dose. However, blood and brain ethanol levels did differ between the strains after doses of ethanol were administered that produced equivalent discrimination performance. CONCLUSIONS: Results indicate that ethanol discrimination was more readily acquired and maintained in C57BL/6J mice than C3H/He mice. Ethanol dose-response functions generated from generalization tests also clearly demonstrated greater sensitivity to the discriminative stimulus properties of ethanol in C57BL/6J mice compared with the C3H/He strain. This differential sensitivity to the interoceptive cue produced by ethanol does not seem to be related to learning or pharmacokinetic differences between the two inbred strains.</t>
  </si>
  <si>
    <t>J2: Alcohol Clin Exp Res; Becker, Howard C Crissman, Alicia M Studders, Shannon Kelley, Brian M Middaugh, Lawrence D AA10761 (United States NIAAA NIH HHS); ID: 475</t>
  </si>
  <si>
    <t>Becker,Howard C. Medical Research, Department of Veterans Affairs, Charleston Alcohol Research Center, Department of Psychiatry and Behavioral Sciences, Medical University of South Carolina, Charleston, South Carolina, USA. beckerh@musc.edu</t>
  </si>
  <si>
    <t>http://ovidsp.ovid.com/ovidweb.cgi?T=JS&amp;CSC=Y&amp;NEWS=N&amp;PAGE=fulltext&amp;D=med5&amp;AN=15166645</t>
  </si>
  <si>
    <t>MEDLINE; Ovid Technologies; Differential neurosensitivity to the discriminative stimulus properties of ethanol in C57BL/6J and C3H/He mice</t>
  </si>
  <si>
    <t>Becker,J.;Mendez-Quigley,T.;Phillips,M.</t>
  </si>
  <si>
    <t>Nursing role in the pharmaceutical life cycle</t>
  </si>
  <si>
    <t>Nursing administration quarterly</t>
  </si>
  <si>
    <t>Nurs.Adm.Q.</t>
  </si>
  <si>
    <t>Oct-Dec</t>
  </si>
  <si>
    <t>*Drug-Related Side Effects and Adverse Reactions;Environmental Exposure;Green Chemistry Technology/mt Methods];Humans;*Nurse's Role;Pharmaceutical Preparations/ch Chemistry];Pharmaceutical Preparations/me Metabolism];Prescription Drugs/ae Adverse Effects];Prescription Drugs/ch Chemistry];Prescription Drugs/me Metabolism];*Water Pollution, Chemical/pc Prevention &amp; Control];*Water Purification/mt Methods];Water Supply/an Analysis];0 (Pharmaceutical Preparations);0 (Prescription Drugs)</t>
  </si>
  <si>
    <t>Biologically active, nontherapeutic levels of pharmaceuticals have been detected in waterways and effluent. Although the vast majority of releases stem from human or animal excretion and production effluent, some come from disposal practices. Studies have demonstrated numerous links between environmental exposures from pharmaceutical compounds and their impact upon aquatic life. Nurses need to be aware of this issue since their roles in health care are expanding and considered among the most trusted. Throughout the life cycle of pharmaceuticals (design, approval/regulation, production, use, and discharge/disposal), nursing can play pivotal roles in reducing and eliminating pharmaceutical waste as well as improving public safety through decreasing poisoning and drug abuse. This article discusses the environmental impact of the pharmaceutical life cycle and what roles nurses have as clinicians, educators, advocates, and researchers.</t>
  </si>
  <si>
    <t>J2: Nurs Adm Q; Becker, Julie Mendez-Quigley, Teresa Phillips, Maureen; ID: 277</t>
  </si>
  <si>
    <t>1550-5103</t>
  </si>
  <si>
    <t>Becker,Julie. Women's Health &amp; Environmental Network, Philadelphia, Pennsylvania 19130, USA. becker.julie@gmail.com</t>
  </si>
  <si>
    <t>http://ovidsp.ovid.com/ovidweb.cgi?T=JS&amp;CSC=Y&amp;NEWS=N&amp;PAGE=fulltext&amp;D=med5&amp;AN=20838174</t>
  </si>
  <si>
    <t>http://dx.doi.org/10.1097/NAQ.0b013e3181f5640a</t>
  </si>
  <si>
    <t>MEDLINE; Ovid Technologies; Nursing role in the pharmaceutical life cycle</t>
  </si>
  <si>
    <t>Beckova,I.;Visnovsky,P.;Author,Addresses;Dept,of Pharmacology;Pharmacy,Charles University Praque Heyrovskeho Hradec C.Z.;Kralove,Czech Republic;Correspondence,Address;Beckova, Dept of Pharmacology Toxicology Faculty of Pharmacy Charles,I.;University Praque, Heyrovskeho Hradec,C.Z.Kralove Czech;Republic</t>
  </si>
  <si>
    <t>Drug use in the Czech Republic university students</t>
  </si>
  <si>
    <t>Fabad Journal of Pharmaceutical Sciences</t>
  </si>
  <si>
    <t>cannabis;cocaine;lysergide;methamphetamine;drug abuse;drug dependence;adolescent;adult;article;attitude;college student;Czech Republic;experience;female;human;male;money;cannabis (8001-45-4, 8063-14-7);cocaine (50-36-2, 53-21-4, 5937-29-1);lysergide (50-37-3);methamphetamine (28297-73-6, 51-57-0, 537-46-2, 7632-10-2);Public Health, Social Medicine and Epidemiology (17);Drug Dependence, Alcohol Abuse and Alcoholism (40)</t>
  </si>
  <si>
    <t>Attitudes to drug addiction and experience with drug abuse were investigated in 3387 undergraduates of the first and third of 11 different university colleges. A standard questionnaire, used by the District Authority, Section of Public Health in Hradec Kralove, and commonly used in the whole Czech Republic, was employed for the survey. Most respondents were aged from 18 to 2 5 years and more than a half of them come towns with more than ten thousand inhabitants. It follows from the obtained results that the drug most widely used by undergraduates is marihuana. Personal experience with taking this drug is stated in dependence on the type of the faculty, by 13.5 to 50% of respondents; the highest percentage is represented by the undergraduates of the Faculty of Pharmacy in Bmo. A similar situation has been found in the case of hallucinogens abuse (LSD), where the highest percentage of abusers were again at the Faculty of Pharmacy in Bmo (7.7%). The age limit of the first experience with a drug ranges in most respondents between 14 to 23 years of age. In a small percentage of respondents, however, the first use of a drug is reported already below the age of 10. Drug abuse takes place usually at parties discotheques and rock clubs. The study has demonstrated that availability of drugs in schools is much lower than in places of residence; with increasing age of respondents their knowledge of existence of drugs in schools increases, and their knowledge of drug availability in places of residence decreases. An analysis of opinions concerning legalization of drugs in the Czech Republic has revealed a generally tolerant attitude of undergraduates to permitting the use and distribution of drugs. The most negative viewpoint concerning this problem has been taken by the undergraduates of the Pedagogical Faculty in Hradec Kralove; on the greatest benevolence has been found in the undergraduates of the Faculty of Pharmacy, Charles University, in Hradec Kralove, and those of the University of Pardubice.</t>
  </si>
  <si>
    <t>(Beckova I.; Visnovsky P.); ID: 1635</t>
  </si>
  <si>
    <t>1300-4182</t>
  </si>
  <si>
    <t>Bedouch,P.;Tessier,A.;Baudrant,M.;Labarere,J.;Foroni,L.;Calop,J.;Bosson,J. L.;Allenet,B.</t>
  </si>
  <si>
    <t>Computerized physician order entry system combined with on-ward pharmacist: analysis of pharmacists' interventions</t>
  </si>
  <si>
    <t>Journal of evaluation in clinical practice</t>
  </si>
  <si>
    <t>J.Eval.Clin.Pract.</t>
  </si>
  <si>
    <t>Adolescent;Adult;Aged;Aged, 80 and over;Cohort Studies;Confidence Intervals;Female;France;Hospitals, University;Humans;*Interdisciplinary Communication;Male;*Medical Order Entry Systems;Medication Errors/pc Prevention &amp; Control];Middle Aged;Patient Safety;*Pharmacists;Pharmacy Service, Hospital;*Professional Role;Prospective Studies;Young Adult</t>
  </si>
  <si>
    <t>RATIONALE, AIMS AND OBJECTIVES: To analyse pharmacists' interventions in a setting where a computerized physician order entry system (CPOE) is in use and a pharmacist works on the ward. METHOD: A prospective cohort study was conducted in seven wards of a French teaching hospital using CPOE along with the presence of a full-time on-ward pharmacy resident. We documented the characteristics of pharmacists' interventions communicated to physicians during the medication order validation process whenever a drug-related problem was identified. Independent predictors of the physician's acceptance of the pharmacist's intervention were assessed using multiple logistic regression analysis. RESULTS: The 448 pharmacists' interventions concerned: non-conformity to guidelines or contraindications (22%), too high doses (19%), drug interactions (15%) and improper administration (15%). The interventions consisted of changes in drug choice (41%), dose adjustment (23%), drug monitoring (19%) and optimization of administration (17%). Interventions were communicated via the CPOE in 57% of cases and 43% orally. The rate of physicians' acceptance was 79.2%. In multivariate analysis, acceptance was significantly associated with the physician's status higher for residents vs. seniors: OR = 7.23, CI 95 (2.37-22.10), P &lt; 0.01], method of communication higher for oral vs. computer communication: OR = 12.5, CI 95 (4.16-37.57), P &lt; 0.01] and type of recommendation higher for drug monitoring vs. drug choice recommendations: OR = 10.32, CI 95 (3.20-33.29), P &lt; 0.01]. CONCLUSIONS: When a clinical pharmacist is present on a ward in which a CPOE is in use, the pharmacists' interventions are well accepted by physicians. Specific predictors of the acceptance by physicians emerge, but further research as to the impact of CPOE on pharmacist-physician communication is needed.Copyright ‚î¨‚åê 2011 Blackwell Publishing Ltd.</t>
  </si>
  <si>
    <t>J2: J Eval Clin Pract; Bedouch, Pierrick Tessier, Alexandre Baudrant, Magalie Labarere, Jose Foroni, Luc Calop, Jean Bosson, Jean-Luc Allenet, Benoit; ID: 190</t>
  </si>
  <si>
    <t>1365-2753</t>
  </si>
  <si>
    <t>Bedouch,Pierrick. Pharmacy Department, Grenoble University Hospital, Grenoble, France. pbedouch@chu-grenoble.fr</t>
  </si>
  <si>
    <t>http://ovidsp.ovid.com/ovidweb.cgi?T=JS&amp;CSC=Y&amp;NEWS=N&amp;PAGE=fulltext&amp;D=medl&amp;AN=21689216</t>
  </si>
  <si>
    <t>http://dx.doi.org/10.1111/j.1365-2753.2011.01704.x</t>
  </si>
  <si>
    <t>MEDLINE; Ovid Technologies; Computerized physician order entry system combined with on-ward pharmacist: analysis of pharmacists' interventions</t>
  </si>
  <si>
    <t>Beers,M. H.;Fingold,S. F.;Ouslander,J. G.</t>
  </si>
  <si>
    <t>A computerized system for identifying and informing physicians about problematic drug use in nursing homes</t>
  </si>
  <si>
    <t>Journal of medical systems</t>
  </si>
  <si>
    <t>J.Med.Syst.</t>
  </si>
  <si>
    <t>*Clinical Pharmacy Information Systems;Data Display;Drug Information Services;*Drug Utilization;Health Services Misuse;Homes for the Aged/st Standards];Medication Systems;*Nursing Homes/st Standards];Software;United States;User-Computer Interface;*Utilization Review</t>
  </si>
  <si>
    <t>With growing concern over the quality of medication use in nursing homes, physicians, administrators, pharmacists, and regulators are looking for effective and efficient methods to improve it. Pharmacy consultation alone appears to be ineffective in controlling the use of inappropriate drugs. We describe here a computerized drug utilization review system designed for use in nursing homes. The system evaluates the appropriateness of medication use by criteria developed through the consensus of experts in geriatrics and specifically designed to address the pharmacological needs of elderly, nursing home residents. The program not only determines the frequency of inappropriate prescriptions, but produces written, educational statements to be given to prescribing physicians. These statements can also be given to nurses to educate them about issues in geriatrics pharmacology. Additionally, the system produces medication order forms that may help focus physicians' attention on the need to evaluate drugs individually.</t>
  </si>
  <si>
    <t>J2: J Med Syst; Beers, M H Fingold, S F Ouslander, J G; ID: 644</t>
  </si>
  <si>
    <t>0148-5598</t>
  </si>
  <si>
    <t>Beers,M H. Merck and Co., Inc., West Point, PA 19486.</t>
  </si>
  <si>
    <t>http://ovidsp.ovid.com/ovidweb.cgi?T=JS&amp;CSC=Y&amp;NEWS=N&amp;PAGE=fulltext&amp;D=med3&amp;AN=1304593</t>
  </si>
  <si>
    <t>MEDLINE; Ovid Technologies; A computerized system for identifying and informing physicians about problematic drug use in nursing homes</t>
  </si>
  <si>
    <t>Behnam,B.;Semnani,V.;Saghafi,N.;Ghorbani,R.;Shori,M. D.;Choobmasjedi,S. G.;Author,Addresses;Psychiatry Group, Semnan University,of Medical;Sciences,Semnan Iran;Pathology Department,Semnan;University of,Medical Sciences;Epidemiology Group, Semnan University of,Medicine Semnan;Iran;Semnan University,of Medical;Semnan,Iran;Correspondence,Address;Semnani, Pathology Department Semnan University of Medical Sciences,V.;Semnan,Iran Email vahidsemnani yahoo com</t>
  </si>
  <si>
    <t>Gabapentin effect on pain associated with heroin withdrawal in Iranian crack: A randomized double-blind clinical trial</t>
  </si>
  <si>
    <t>(MAJOR FOCUS);gabapentin (clinical trial, drug therapy);clonidine;drug withdrawal;heroin dependence;pain (drug therapy, drug therapy);withdrawal related pain (drug therapy, drug therapy);withdrawal syndrome (drug therapy, drug therapy);analgesia;article;bedtime dosage;controlled study;detoxification;disease severity;double blind procedure;drug efficacy;human;Iran;major clinical study;male;pain assessment;randomized controlled trial;treatment duration;clonidine (4205-90-7, 4205-91-8, 57066-25-8);gabapentin (60142-96-3);Psychiatry (32);Drug Literature Index (37);Drug Dependence, Alcohol Abuse and Alcoholism (40)</t>
  </si>
  <si>
    <t>Gabapentin seems to be a safe and well tolerated medication for treating heroine dependence. This study examined the efficacy of gabapentin for relieving withdrawal-related pain due to heroin use. Sixty men were recruited from an inpatient psychiatric ward of Fatemieh hospital in Semnan and randomized to receive either placebo (n = 30) or gabapentin (1800 mg/day) (n = 30) for 7 days. Subjective Opioid Withdrawal Scale (SOWS) was measured as a self-administered scale for grading body pain at baseline, and on days 1, 2, 3, 4, 6, and 7. Mean of pain score had a significant decrease trend in both gabapentin and placebo groups. Pain severity during the most of detoxification duration was significantly lower in gabapentin group compared with the placebo group. It is suggested that gabapentin may have an effective role in removing heroin withdrawal-related pain. ‚î¨‚åê 2012 by School of PharmacyShaheed.</t>
  </si>
  <si>
    <t>(Behnam B.; Saghafi N.) (Semnani V., vahidsemnani1345@yahoo.com) (Ghorbani R.) (Shori M.D.; Choobmasjedi S.G.) Iranian Journal of Pharmaceutical Research, P.O. Box 14155-6153, Vali-e-Asr Avenue, Niayesh Junction, Tehran, Iran.; ID: 1126</t>
  </si>
  <si>
    <t>Belaiche,S.;Romanet,T.;Bell,R.;Calop,J.;Allenet,B.;Zaoui,P.</t>
  </si>
  <si>
    <t>Pharmaceutical care in chronic kidney disease: experience at Grenoble University Hospital from 2006 to 2010</t>
  </si>
  <si>
    <t>Journal of nephrology</t>
  </si>
  <si>
    <t>J.Nephrol.</t>
  </si>
  <si>
    <t>Aged;Chronic Disease;Cooperative Behavior;Drug Interactions;Drug Monitoring;Drug-Related Side Effects and Adverse Reactions;Female;France;Guideline Adherence/sn Statistics &amp; Numerical Data];*Hospitals, University/sn Statistics &amp; Numerical Data];Humans;Kidney Diseases/di Diagnosis];*Kidney Diseases/dt Drug Therapy];Male;Medication Errors/pc Prevention &amp; Control];Middle Aged;Outpatient Clinics, Hospital/sn Statistics &amp; Numerical Data];*Patient Care Team/sn Statistics &amp; Numerical Data];*Pharmacists/sn Statistics &amp; Numerical Data];*Pharmacy Service, Hospital/sn Statistics &amp; Numerical Data];Practice Guidelines as Topic;Practice Patterns, Physicians'/sn Statistics &amp; Numerical Data];Professional Role;Retrospective Studies;Time Factors;Treatment Outcome</t>
  </si>
  <si>
    <t>BACKGROUND: Clinical pharmacists (CPs) specifically manage lab-test follow-up, adapt drug dosage according to guidelines and evaluate cardiovascular risk factors and decline in renal function. The aim of this study was to assess the impact of clinical pharmacy services in outpatient nephrology clinics. METHOD: For each patient, medical history and current treatment were obtained. Each intervention was classified according to the Act-IP document of the French Society of Clinical Pharmacy. This tool contains identifications and guidelines for prevention and resolution of drug-related problems (DRPs). RESULTS: From January 2008 until April 2009, 42 patients seen by the CP on at least 2 visits were included in the study. We observed 350 pharmaceutical consultations and 263 interventions. The pharmaceutical interventions concerned: untreated indication (30%), underdosage (25.9%) and overdosage (18.3%). The CP interventions consisted of: adapting doses (42.2%) and adding treatments (31.9%). The main drugs involved concerned the cardiovascular (33.1%), digestive-metabolic (28.6%) and hematopoietic (21.6%) systems. CONCLUSION: The inclusion of a CP in the management of chronic kidney disease (CKD) patients is necessary for identification and prevention of DRPs. Besides the medical improvement of CKD patients, the CP participates in the development of prescription recommendations and therapeutic education programs for patients. Moreover, redefining roles and practices of members of a clinical team proved its efficiency in optimizing the medical care of CKD patients. Furthermore, patient entry into dialysis is postponed, which leads to a reduction in costs for health care insurance.</t>
  </si>
  <si>
    <t>J2: J Nephrol; Belaiche, Stephanie Romanet, Thierry Bell, Robert Calop, Jean Allenet, Benoit Zaoui, Philippe; ID: 189</t>
  </si>
  <si>
    <t>1724-6059</t>
  </si>
  <si>
    <t>Belaiche,Stephanie. Nephrology Clinic, Grenoble University Hospital, Grenoble, France.</t>
  </si>
  <si>
    <t>http://ovidsp.ovid.com/ovidweb.cgi?T=JS&amp;CSC=Y&amp;NEWS=N&amp;PAGE=fulltext&amp;D=medl&amp;AN=22101677</t>
  </si>
  <si>
    <t>http://dx.doi.org/10.5301/jn.5000033</t>
  </si>
  <si>
    <t>MEDLINE; Ovid Technologies; Pharmaceutical care in chronic kidney disease: experience at Grenoble University Hospital from 2006 to 2010</t>
  </si>
  <si>
    <t>Belcastro,P. A.</t>
  </si>
  <si>
    <t>Pedagogical patronizing of the pharmacodynamic promises of illicit drugs</t>
  </si>
  <si>
    <t>Journal of drug education</t>
  </si>
  <si>
    <t>J.Drug Educ.</t>
  </si>
  <si>
    <t>Curriculum;Drug Contamination;*Health Education;Humans;Risk Factors;Street Drugs/ae Adverse Effects];*Street Drugs/pk Pharmacokinetics];Substance-Related Disorders/bl Blood];*Substance-Related Disorders/pc Prevention &amp; Control];Textbooks as Topic;0 (Street Drugs)</t>
  </si>
  <si>
    <t>A review of popular drug education textbooks and curricula indicated most juxtapose the physiologic effects of licitly manufactured drugs under headings representing illicitly prepared drugs. This misrepresentation ignores the literature, which is undivided, in reporting that illicit drugs contain adulterants and substitutes such as: sodium acetate, sodium cyclamate, dolomite, acetaminophen, gypsum, mannitol, inositol, lidocaine, amydricaine, benzocaine, caffeine, ephedrine, intercaine, phenylpropanolamine, piperocaine, procainamide, azopyridine, bromodiphenhydramine, ibuprofen, methaqualone, phenobarital trazodone, acetylcodine, codeine, quinine, quinidine, thallium, arsenic and strychnine. The temptation to extrapolate the results of licitly pure drug lots administered at precisely measured doses to represent the pharmacodynamics of illegally prepared drug lots administered at indiscernible doses must be avoided in drug educational resources. There is a pressing need to correct the factual base, both implied and suggestive, of drug education resources regarding the purity and toxicity of illicitly manufactured and purchased drugs. References: 13]</t>
  </si>
  <si>
    <t>J2: J Drug Educ; Belcastro, P A; ID: 659</t>
  </si>
  <si>
    <t>0047-2379</t>
  </si>
  <si>
    <t>Belcastro,P A. BMCC-City University, New York.</t>
  </si>
  <si>
    <t>http://ovidsp.ovid.com/ovidweb.cgi?T=JS&amp;CSC=Y&amp;NEWS=N&amp;PAGE=fulltext&amp;D=med3&amp;AN=1593391</t>
  </si>
  <si>
    <t>MEDLINE; Ovid Technologies; Pedagogical patronizing of the pharmacodynamic promises of illicit drugs</t>
  </si>
  <si>
    <t>Beletsky,L.;Lozada,R.;Gaines,T.;Abramovitz,D.;Staines,H.;Vera,A.;Rangel,G.;Arredondo,J.;Strathdee,S. A.</t>
  </si>
  <si>
    <t>PMC3675719; Syringe confiscation as an HIV risk factor: the public health implications of arbitrary policing in Tijuana and Ciudad Juarez, Mexico</t>
  </si>
  <si>
    <t>Journal of Urban Health</t>
  </si>
  <si>
    <t>Adult;Confidence Intervals;Female;*HIV Infections/pc Prevention &amp; Control];Humans;*Law Enforcement;Mexico;Odds Ratio;*Public Health;Regression Analysis;Risk Factors;*Sex Workers;Substance Abuse, Intravenous;Surveys and Questionnaires;Syringes/sd Supply &amp; Distribution];*Syringes</t>
  </si>
  <si>
    <t>Female sex workers who inject drugs (FSW-IDUs) face elevated risk for HIV/STIs and constitute a key population for public health prevention. Through direct and indirect pathways including human rights violations, policing practices like syringe confiscation can compound FSW-IDU health risk and facilitate the spread of disease. We studied correlates of experiencing syringe confiscation among FSW-IDUs in northern Mexico, where formal policy allows for syringes to be available over the counter without a prescription, but police practices are often at odds with the law. FSW-IDUs reporting recent syringe sharing and unprotected sex with clients in Tijuana and Ciudad Juarez were administered surveys and HIV/STI testing. Logistic regression was used to identify correlates of syringe confiscation. Among 624 respondent FSW-IDUs, prevalence of syringe confiscation in the last 6 months was 48%. The following factors were positively associated with syringe confiscation: testing positive for HIV (adjusted odds ratio aOR]=2.54, 95% confidence interval CI]=1.11-5.80), reporting sexual abuse by police (aOR=12.76, 95% CI=6.58-24.72), engaging in groin injection (aOR=1.84, 95% CI=1.15-2.93), injecting in public (aOR=1.64; 95% CI=1.14-2.36), and obtaining syringes from pharmacies (aOR=1.54; 95% CI=1.06-2.23). Higher education level was negatively associated with syringe confiscation (aOR=0.92, 95% CI=0.87-0.98) as was frequent injection with clients within the last month (aOR=0.64, 95% CI=0.44-0.94). This analysis adds to the body of evidence linking unauthorized law enforcement actions targeting high-risk groups with HIV and other adverse health outcomes. Using a public health lens to conceptualize abuse as a structural risk factor, we advocate for multi-prong prevention, systematic monitoring, and evidence-based intervention response to deleterious police practices.</t>
  </si>
  <si>
    <t>J2: J Urban Health; Beletsky, Leo Lozada, Remedios Gaines, Tommi Abramovitz, Daniela Staines, Hugo Vera, Alicia Rangel, Gudelia Arredondo, Jaime Strathdee, Steffanie A D43 TW008633 (United States FIC NIH HHS) D43TW008633 (United States FIC NIH HHS) K01 DA034523 (United States NIDA NIH HHS) R01 DA023877 (United States NIDA NIH HHS) R25DA025771 (United States NIDA NIH HHS); ID: 147</t>
  </si>
  <si>
    <t>1468-2869</t>
  </si>
  <si>
    <t>Beletsky,Leo. Division of Global Public Health, University of California-San Diego, La Jolla, CA, USA. l.beletsky@neu.edu</t>
  </si>
  <si>
    <t>http://ovidsp.ovid.com/ovidweb.cgi?T=JS&amp;CSC=Y&amp;NEWS=N&amp;PAGE=fulltext&amp;D=medl&amp;AN=22806453</t>
  </si>
  <si>
    <t>http://dx.doi.org/10.1007/s11524-012-9741-3</t>
  </si>
  <si>
    <t>MEDLINE; Ovid Technologies; Syringe confiscation as an HIV risk factor: the public health implications of arbitrary policing in Tijuana and Ciudad Juarez, Mexico</t>
  </si>
  <si>
    <t>Bellingham,C.;Author,Addresses</t>
  </si>
  <si>
    <t>Campaigning to improve men's health</t>
  </si>
  <si>
    <t>Pharmaceutical Journal</t>
  </si>
  <si>
    <t>health promotion;health service;pharmacy;alcoholism;awareness;blood pressure measurement;confidentiality;consultation;coping behavior;cultural factor;health care access;health education;health hazard;human;information dissemination;life expectancy;male;masculinity;medical information system;note;pharmacist;privacy;prostate cancer;social class;testis cancer;Cancer (16);Public Health, Social Medicine and Epidemiology (17);Urology and Nephrology (28)</t>
  </si>
  <si>
    <t>(Bellingham C.); ID: 1570</t>
  </si>
  <si>
    <t>Ben Abacha,A.;Chowdhury,M. F.;Karanasiou,A.;Mrabet,Y.;Lavelli,A.;Zweigenbaum,P.</t>
  </si>
  <si>
    <t>Text mining for pharmacovigilance: Using machine learning for drug name recognition and drug-drug interaction extraction and classification</t>
  </si>
  <si>
    <t>Journal of Biomedical Informatics</t>
  </si>
  <si>
    <t>J.Biomed.Inform.</t>
  </si>
  <si>
    <t>Pharmacovigilance (PV) is defined by the World Health Organization as the science and activities related to the detection, assessment, understanding and prevention of adverse effects or any other drug-related problem. An essential aspect in PV is to acquire knowledge about Drug-Drug Interactions (DDIs). The shared tasks on DDI-Extraction organized in 2011 and 2013 have pointed out the importance of this issue and provided benchmarks for: Drug Name Recognition, DDI extraction and DDI classification. In this paper, we present our text mining systems for these tasks and evaluate their results on the DDI-Extraction benchmarks. Our systems rely on machine learning techniques using both feature-based and kernel-based methods. The obtained results for drug name recognition are encouraging. For DDI-Extraction, our hybrid system combining a feature-based method and a kernel-based method was ranked second in the DDI-Extraction-2011 challenge, and our two-step system for DDI detection and classification was ranked first in the DDI-Extraction-2013 task at SemEval. We discuss our methods and results and give pointers to future work.Copyright ‚î¨‚åê 2015 Elsevier Inc. All rights reserved.</t>
  </si>
  <si>
    <t>J2: J Biomed Inform; Ben Abacha, Asma Chowdhury, Md Faisal Mahbub Karanasiou, Aikaterini Mrabet, Yassine Lavelli, Alberto Zweigenbaum, Pierre S1532-0464(15)00209-9; ID: 749</t>
  </si>
  <si>
    <t>1532-0480</t>
  </si>
  <si>
    <t>Ben Abacha,Asma. Luxembourg Institute of Science and Technology, Luxembourg. Electronic address: asma.benabacha@list.lu. Chowdhury,Md Faisal Mahbub. IBM Research, NY, USA. Electronic address: mchowdh@us.ibm.com. Karanasiou,Aikaterini. Luxembourg Institute of Science and Technology, Luxembourg. Electronic address: aikaterini.karanasiou@list.lu. Mrabet,Yassine. Luxembourg Institute of Science and Technology, Luxembourg. Electronic address: yassine.mrabet@list.lu. Lavelli,Alberto. HLT Research Unit, FBK, Trento, Italy. Electronic address: lavelli@fbk.eu. Zweigenbaum,Pierre. LIMSI-CNRS, Orsay, France. Electronic address: pz@limsi.fr.</t>
  </si>
  <si>
    <t>http://ovidsp.ovid.com/ovidweb.cgi?T=JS&amp;CSC=Y&amp;NEWS=N&amp;PAGE=fulltext&amp;D=prem&amp;AN=26432353</t>
  </si>
  <si>
    <t>http://dx.doi.org/10.1016/j.jbi.2015.09.015</t>
  </si>
  <si>
    <t>MEDLINE; Ovid Technologies; Text mining for pharmacovigilance: Using machine learning for drug name recognition and drug-drug interaction extraction and classification</t>
  </si>
  <si>
    <t>Benaouda,F.;Author,Addresses;St Charles Hospital, Central North West,London N.;United,Kingdom;Correspondence,Address;Trust,F.Benaouda, St Charles Hospital Central North West London N.H.S.;United,Kingdom</t>
  </si>
  <si>
    <t>The prophylactic use of Pabrinex during alcohol detoxification treatment</t>
  </si>
  <si>
    <t>Clinical Pharmacist</t>
  </si>
  <si>
    <t>S2</t>
  </si>
  <si>
    <t>(MAJOR FOCUS);alcohol;thiamine;vitamin B complex;vitamin B group;college;detoxification;mental health;pharmacy;alcoholism;anaphylaxis;consultation;hospital patient;human;injection;medical audit;mental health center;patient;policy;prevention;risk;supplementation;therapy;Wernicke encephalopathy</t>
  </si>
  <si>
    <t>Wernicke's encephalopathy (WE) is common (&gt;1%) and associated with alcohol dependence (&gt;80%).(1) The initiation of alcohol detoxification (AD) may precipitate the onset of WE, since it has been reported to cause a large reduction of thiamine stores in patients.(1,2) The trust's AD policy recommends a prophylactic Pabrinex intramuscular (IM) course for all inpatients undergoing AD.(1) Concerns have been raised across the trust with regards to the effective and routine use of Pabrinex during AD. AIM AND OBJECTIVES: The aim of the audit was to assess the quality of WE prevention during inpatient AD in order to identify the limiting factors for the implementation of the trust's guidelines. The objectives were to assess: (1) the route of the prophylactic thiamine replenishment therapy used, (2) the duration and initiation of the Pabrinex IM course, and (3) the continuation oral supplementation therapy. METHOD: The audit included all inpatients undergoing AD within the trust (six mental health units (MHUs) and one substance misuse unit (SMU)), between 5 and 31 January 2010. The audit standards were: (1) Pabrinex IM injection should be administered on day 1 of the AD to all inpatients undergoing AD; (2) it should be continued for three to five days, unless contraindicated; and (3) it should be followed by oral supplementation (vitamin B compound and thiamine). RESULTS: At the SMU, standard 1 was adhered to at a high percentage (94%). However, the adherence to this standard at the MHU was very low (20% at MHU1 and 0% at MHU2). Interestingly, all the participants received oral supplementation of thiamine alone or in combination with vitamin B complex. At MHU1, Pabrinex was initiated on day 4 of the AD regimen, whereas it was started on day 1 in all the cases at the SMU. At both sites, IM Pabrinex was continued for five days and in 94% of the cases, Pabrinex IM therapy was followed by oral supplementation using a combination of thiamine and vitamin B strong compound. DISCUSSION AND CONCLUSION: In spite of the limitations of the audit, the obtained data clearly indicated that the adherence of the MHUs to the trust's policy regarding the prophylactic use of Pabrinex IM injection was poor. Analysis of the audit results identified numerous reasons, including consultants being reluctant to prescribe Pabrinex, the trust guidelines not being sufficiently directive, concerns about the risk of anaphylactic shock, and patient refusal (which accounted for 7.5% only). Accordingly, it was suggested to increase awareness regarding the trust guidelines on the prophylactic use of Pabrinex within the medical team and to highlight the benefit to risk ratio profile of Pabrinex IM injection (one report of associated anaphylactic reaction for every 5 million pairs sold4 vs &gt;1% risk of developing WEI). With respect to the trust's guidelines document, it was proposed to include a treatment flowchart in order to clarify the thiamine prophylactic treatment steps for inpatient AD further. It was also suggested to reaudit six months following the implementation of the action plan to cover a longer period.</t>
  </si>
  <si>
    <t>(Benaouda F.) College of Mental Health Pharmacy Conference 2010 Leicestershire, United Kingdom 2010-10-22 to 2010-10-24 Pharmaceutical Press; ID: 1303</t>
  </si>
  <si>
    <t>1758-9061</t>
  </si>
  <si>
    <t>Ben-Shahar,O.;Sacramento,A. D.;Miller,B. W.;Webb,S. M.;Wroten,M.;Caruana,A. L.;Gordon,E.;Ploense,K. L.;Ditzhazy,J.;Kippin,T. E.;Szumlinski,K. K.;Author,Addresses;University of California at Santa Barbara, Santa Barbara,United States;Correspondence,Address;KK Szumlinski, University of California at Santa Barbara,Santa Barbara;United,States</t>
  </si>
  <si>
    <t>Deficits in ventral prefrontal cortex group1 metabotropic glutamate receptor function mediate resistance to extinction during protracted withdrawal from an extensive history of cocaine self-administration</t>
  </si>
  <si>
    <t>36 SUPPL. 1</t>
  </si>
  <si>
    <t>S192</t>
  </si>
  <si>
    <t>(MAJOR FOCUS);cocaine;metabotropic receptor;2 methyl 6 (phenylethynyl)pyridine;3 (2 methyl 4 thiazolyl)ethynyl]pyridine;receptor;sodium chloride;college;drug self administration;prefrontal cortex;psychopharmacology;abstinence;adaptation;addiction;agonist;analysis of variance;drug withdrawal;follow up;human;hypothesis;immunoblotting;infusion;learning;rat;stimulus response;tissues;withdrawal syndrome</t>
  </si>
  <si>
    <t>Background: Anomalies in excitatory transmission with prefrontal cortex (PFC) are theorized to contribute to poor inhibitory control over behavior, behavioral inflexibility, as well as drug craving, in addiction. The molecular mechanisms underpinning drug-induced PFC dysfunction are largely unknown. As Group I metabotropic glutamate receptors (mGluRs) are critical for drug reinforcement/reward, as well as drug-related learning, we examined for changes in the expression of mGluR1/5 within PFC subregions produced during protracted withdrawal from an extensive history of cocaine self-administration and then tested the functional relevance of observed changes for cocaine craving and extinction learning using behavioral pharmacological approaches. Methods: Immunoblotting was conducted on ventral PFC (vPFC) and dorsal PFC (dPFC) tissue derived from rats trained to self-administer cocaine (0.25 mg/infusion) during 10 daily 6-hr sessions that were subjected to a 2-hr test for cue-reinforced behavior, in the absence of any further cocaine/saline delivery, at either 3 or 30 days withdrawal. Control animals received daily 1-hr or 6-hr training to lever-press for saline, and were sacrificed also following cue testing. Follow-up behavioral studies examined the effects of intra-PFC infusions of mGluR5 antagonists (3 mg/side MPEP and MTEP), mGluR1 antagonist (15 ng/side JNJ 16259685) or an mGluR1/5 agonist (27.5 ng/side DHPG) on cue-reinforced behavior and on the extinction of behavior with subsequent testing. Results: Animals with a history of cocaine self-administration exhibited time-dependent: increases in cocaine craving and impairments in extinction learning (for both measures: IV X Withdrawal ANOVA, p0.05), but impaired extinction learning manifested upon subsequent testing only in animals with cocaine experience (IC X IV ANOVA, p&lt;0.05). Stimulating mGluR1/5 via intra-vPFC infusions of DHPG at 30 days withdrawal also produced no acute effects on cocaine craving (one-way ANOVA, p40.05), but facilitated extinction learning as manifested on a subsequent test for craving in cocaine-experienced animals only (IC X IV ANOVA, p&lt;0.05). Discussion: The present report provides in vivo validation of an important role for vPFC Group1 mGluRs in learning to suppress cocaine-seeking behavior during cocaine abstinence by showing that the site-directed pharmacological manipulation of both mGluR1 and mGluR5 function within the vPFC bi-directionally affects extinction learning in animals with an extensive history of cocaine self-administration. Taken altogether, these results support the hypothesis that a time-dependent reduction in vPFC Group I mGluR function is a neural adaptation produced during withdrawal from an extensive history of cocaine selfadministration that impairs the capacity of an addicted individual to learn new stimulus-response contingences during protracted drug abstinence. If relevant to humans, such findings implicate a progressive decrease in vPFC mGluR1/5 function during drug abstinence as a molecular cordon to recovery, which may be best overcome using receptor agonist treatment strategies.</t>
  </si>
  <si>
    <t>(Ben-Shahar O.; Sacramento A.D.; Miller B.W.; Webb S.M.; Wroten M.; Caruana A.L.; Gordon E.; Ploense K.L.; Ditzhazy J.; Kippin T.E.; Szumlinski K.K.) 50th Annual Meeting of the American College of Neuropsychopharmacology, ACNP Waikoloa, HI, United States 2011-12-04 to 2011-12-08 Nature Publishing Group; ID: 1212</t>
  </si>
  <si>
    <t>0893-133X</t>
  </si>
  <si>
    <t>Benzon,H. T.;Kendall,M. C.;Katz,J. A.;Benzon,H. A.;Malik,K.;Cox,P.;Dean,K.;Avram,M. J.</t>
  </si>
  <si>
    <t>Prescription patterns of pain medicine physicians</t>
  </si>
  <si>
    <t>Pain Practice</t>
  </si>
  <si>
    <t>Acetaminophen/tu Therapeutic Use];*Analgesics/tu Therapeutic Use];Analgesics, Opioid/tu Therapeutic Use];*Drug Prescriptions;Humans;Methadone/tu Therapeutic Use];Opioid-Related Disorders/di Diagnosis];Opioid-Related Disorders/pc Prevention &amp; Control];Pain/di Diagnosis];*Pain/dt Drug Therapy];*Physicians/td Trends];*Professional Practice/td Trends];*Surveys and Questionnaires;0 (Analgesics);0 (Analgesics, Opioid);362O9ITL9D (Acetaminophen);UC6VBE7V1Z (Methadone)</t>
  </si>
  <si>
    <t>OBJECTIVES: Our study surveyed physician members of 3 American pain societies to determine prescription patterns and whether these practices reflect current expert opinion. METHODS: We sent 3 mailings to 2938 physicians from January 2010 to January 2011. The questionnaire contained 49 questions on topics related to opioids, antidepressants, anticonvulsants, and preferences for the different pain syndromes. RESULTS: A total of 474 physicians responded, representing a 16% return. Seventy-two percent ask patients to sign an opioid agreement, 59% order random urine drug testing, 13% wait until the dose of methadone is between 100 and 150 mg before converting the drug to another opioid, and 85% do not think there is a maximum dose of opioids with respect to driving. Most responders prescribe codeine to Caucasians and Asians. While 42% stated that the maximum daily dose of acetaminophen is 3000 mg, 75% would decrease the dose in patients who are moderate or heavy drinkers. Fifty-four percent do not order an ECG at all when prescribing tricyclic antidepressants. CONCLUSIONS: The responses pertaining to opioid agreements, urine drug testing, acetaminophen, and treatment for neuropathic pain are reassuring in that they prevent misuse and abuse of opioids, prevent acetaminophen-induced hepatotoxicity, and reflect evidence-based treatments. However, we identified gaps in knowledge, including the prescription of codeine in certain populations and the use of electrocardiogram in patients on antidepressants. Further education of physicians who treat chronic pain pharmacologically is warranted.Copyright ‚î¨‚åê 2012 The Authors Pain Practice ‚î¨‚åê 2012 World Institute of Pain.</t>
  </si>
  <si>
    <t>J2: Pain pract; Benzon, Honorio T Kendall, Mark C Katz, Jeffrey A Benzon, Hubert A Malik, Khalid Cox, Paul Dean, Kathryn Avram, Michael J; ID: 115</t>
  </si>
  <si>
    <t>1533-2500</t>
  </si>
  <si>
    <t>Benzon,Honorio T. Department of Anesthesiology, Northwestern University Feinberg School of Medicine, Chicago, Illinois, U.S.A. h-benzon@northwestern.edu</t>
  </si>
  <si>
    <t>http://ovidsp.ovid.com/ovidweb.cgi?T=JS&amp;CSC=Y&amp;NEWS=N&amp;PAGE=fulltext&amp;D=medl&amp;AN=23228095</t>
  </si>
  <si>
    <t>http://dx.doi.org/10.1111/papr.12011</t>
  </si>
  <si>
    <t>MEDLINE; Ovid Technologies; Prescription patterns of pain medicine physicians</t>
  </si>
  <si>
    <t>Berger,R.;Lacro,J.;Robinson,S.;Groban,S.;Author,Addresses;San,Diego Veterans;Healthcare System,United States;Correspondence,Address;Berger, San Diego Veterans Affairs Healthcare System United States,R.</t>
  </si>
  <si>
    <t>Use of buprenorphine/naloxone for opioid dependency at a veterans affairs drug treatment program</t>
  </si>
  <si>
    <t>(MAJOR FOCUS);opiate;alcohol;methadone;naloxone;oxycodone;college;drug therapy;human;pharmacist;veteran;chi square test;health care system;hospital;medical record review;medication therapy management;opiate substitution treatment;pain;patient;prescription;psychosocial rehabilitation;rehabilitation;soldier;substance abuse;urinalysis</t>
  </si>
  <si>
    <t>Type: Work in Progress. Background: Substance abuse is a key concern among military personnel and veterans. Buprenorphine/ naloxone is an effective opioid replacement treatment option for opioid dependence when used as part of a comprehensive treatment program. Providers who prescribe buprenorphine/naloxone must receive specific training and obtain a DEA number allowing them to write for this medication. The San Diego Veterans Affairs (SDVA) healthcare system started using buprenorphine/naloxone in January 2010. The facility also offers comprehensive psychosocial rehabilitation treatment through its Alcohol and Drug Treatment Program (ADTP) at the same physical location where patients receive their opiate medication management. This study will determine how successful the use of buprenorphine/naloxone for opiate replacement has been as part of a comprehensive rehabilitation program at this facility. Objectives: 1. Compare retention rate and percentage of opiate-negative urine samples of buprenorphine/naloxone treatment at this facility to rates described in the literature. 2. Describe different treatment settings in which patients receive buprenorphine/naloxone at the SDVA. Methods: This will be a retrospective chart review. Patients included will be &gt;18 years of age with a prescription for buprenorphine/ naloxone from 1/1/2010-12/31/2012 for opioid replacement therapy and will be followed in buprenorphine/naloxone clinic (either individual or group) for at least 3 months. Exclusion criteria will be patients prescribed buprenorphine/ naloxone for any purpose other than opioid replacement therapy such as acute opioid withdrawal or pain, patients in buprenorphine/naloxone group &lt;3 months (enrolled after 9/30/12) and patients whose opioid replacement therapy was co-managed by a provider outside of the San Diego VA program. Outcomes: Retention in treatment is defined as the percentage of patients who continue to receive buprenorphine/naloxone. Opiate negative urine samples will be determined as a percentage of all urine samples. Urine samples positive for opiates, oxycodone or methadone will count as positive. Missing urine samples will count as positive. Urine samples from date of enrollment into buprenorphine/naloxone treatment and up to one year after will be included. Both percentage retention in treatment and percentage of negative urine samples will be compared to a weighted mean of percentages described in the literature using Pearson's Chi-square test. Results and Conclusion: Results will be presented.</t>
  </si>
  <si>
    <t>(Berger R.; Lacro J.; Robinson S.; Groban S.) 16th Annual Meeting of the College of Psychiatric and Neurologic Pharmacists, CPNP 2013 Colorado Springs, CO, United States 2013-04-21 to 2013-04-24 SAGE Publications Inc.; ID: 1028</t>
  </si>
  <si>
    <t>Berger,S. M.;Bartsch,D.</t>
  </si>
  <si>
    <t>The role of L-type voltage-gated calcium channels Cav1.2 and Cav1.3 in normal and pathological brain function</t>
  </si>
  <si>
    <t>Cell &amp; Tissue Research</t>
  </si>
  <si>
    <t>Animals;Brain/me Metabolism];*Brain/ph Physiology];*Brain/pp Physiopathology];Calcium Channels, L-Type/an Analysis];Calcium Channels, L-Type/ge Genetics];*Calcium Channels, L-Type/me Metabolism];Cognition;Humans;Memory;Nervous System Diseases/ge Genetics];Nervous System Diseases/me Metabolism];Nervous System Diseases/pp Physiopathology];Neuronal Plasticity;Polymorphism, Genetic;Schizophrenia/ge Genetics];Schizophrenia/me Metabolism];Schizophrenia/pp Physiopathology];0 (Calcium Channels, L-Type);0 (L-type calcium channel alpha(1C));0 (alpha1D (Cav1.3) L-type calcium channel, human)</t>
  </si>
  <si>
    <t>The use of specific activators and inhibitors that penetrate the central nervous system has suggested an essential functional role of L-type calcium channels (LTCC) in several important physiological processes of the brain, including the modulation of the mesoaccumbal dopamine signalling pathway, synaptic transmission of auditory stimuli and synaptic plasticity of neutral and aversive learning and memory processes. However, the lack of selectivity of available pharmacological agents towards the most prominent LTCC isoforms in the brain, namely Cav1.2 and Cav1.3, has hampered the elucidation of the precise contribution made by each specific channel isoform within these specific physiological processes. Modern genetic approaches, both in rodents and in human, have recently enhanced our understanding of the selective functional roles of Cav1.2 and Cav1.3 channels. In rodents, the characterisation of global and conditional isoform-specific knockouts suggests a contribution of Cav1.2 channels in spatial memory formation, whereas Cav1.3 channels seem to be involved in the consolidation of fear memories and in neurodegenerative mechanisms associated with the development of Parkinson's disease. With regard to the molecular mechanisms underlying drug addiction, Cav1.3 channels are necessary for the development and Cav1.2 channels for the expression of cocaine and amphetamine behavioural sensitisation. In humans, both the identification of naturally occurring LTCC variants ("channelopathies") and unbiased genome-wide association studies have linked LTCCs to working memory performance in healthy individuals and schizophrenic patients. Individually, CACNA1C polymorphisms and CACNA1D variants have been linked to a variety of psychiatric diseases and to congenital deafness, respectively. However, the contribution of individual LTCCs and their polymorphisms to human brain function and diseases remains unclear, necessitating the use of isoform-specific pharmacological agents.</t>
  </si>
  <si>
    <t>J2: Cell Tissue Res; Berger, Stefan M Bartsch, Dusan; ID: 53</t>
  </si>
  <si>
    <t>1432-0878</t>
  </si>
  <si>
    <t>Berger,Stefan M. Department of Molecular Biology, Central Institute of Mental Health and Medical Faculty Mannheim, Heidelberg University, 68159, Mannheim, Germany.</t>
  </si>
  <si>
    <t>http://ovidsp.ovid.com/ovidweb.cgi?T=JS&amp;CSC=Y&amp;NEWS=N&amp;PAGE=fulltext&amp;D=medl&amp;AN=24996399</t>
  </si>
  <si>
    <t>http://dx.doi.org/10.1007/s00441-014-1936-3</t>
  </si>
  <si>
    <t>MEDLINE; Ovid Technologies; The role of L-type voltage-gated calcium channels Cav1.2 and Cav1.3 in normal and pathological brain function</t>
  </si>
  <si>
    <t>Berk,S. L.;Verghese,A.;Berk,M. L.;Author,Addresses;Department,of Medicine;State University, Quillen-Dishner College of Medicine Johnson,City T.;Correspondence,Address;Department of Medicine, East Tennessee State,University Quillen;College of Medicine, Johnson,City T.</t>
  </si>
  <si>
    <t>6710200; Survey of physician acceptance of the pneumococcal vaccine</t>
  </si>
  <si>
    <t>Southern medical journal</t>
  </si>
  <si>
    <t>South.Med.J.</t>
  </si>
  <si>
    <t>(MAJOR FOCUS);Pneumococcus vaccine;alcoholism;chronic respiratory tract disease;congestive cardiomyopathy;human;prevention;respiratory system;therapy;Microbiology: Bacteriology, Mycology, Parasitology and Virology (4);Chest Diseases, Thoracic Surgery and Tuberculosis (15);Cardiovascular Diseases and Cardiovascular Surgery (18)</t>
  </si>
  <si>
    <t>A group of 251 randomly selected physicians completed a survey designed to study their attitudes toward, knowledge about, and use of pneumococcal vaccine. Eighty-five percent of respondents believed the vaccine had been proven effective. For the use of the vaccine, respondents supported broad indications, including chronic lung disease, alcoholism, and congestive heart failure. Some respondents expressed concern about the safety of the vaccine. Physicians who learned about the vaccine from continuing education programs, colleagues, and pharmaceutical representatives were likely to use the vaccine more often than those who did not.</t>
  </si>
  <si>
    <t>(Berk S.L.; Verghese A.; Berk M.L.); ID: 1756</t>
  </si>
  <si>
    <t>0038-4348</t>
  </si>
  <si>
    <t>http://www.ncbi.nlm.nih.gov/pubmed/6710200</t>
  </si>
  <si>
    <t>Survey of physician acceptance of the pneumococcal vaccine</t>
  </si>
  <si>
    <t>Bevins,R. A.;Barrett,S. T.;Polewan,R. J.;Pittenger,S. T.;Swalve,N.;Charntikov,S.</t>
  </si>
  <si>
    <t>NIHMS342424 PMC3413479; Disentangling the nature of the nicotine stimulus</t>
  </si>
  <si>
    <t>Behavioural processes</t>
  </si>
  <si>
    <t>Behav.Processes</t>
  </si>
  <si>
    <t>Animals;Conditioning, Classical/de Drug Effects];Conditioning, Operant/de Drug Effects];Discrimination Learning/de Drug Effects];*Extinction, Psychological/de Drug Effects];*Nicotine/pd Pharmacology];*Nicotinic Agonists/pd Pharmacology];Transfer (Psychology)/de Drug Effects];0 (Nicotinic Agonists);6M3C89ZY6R (Nicotine)</t>
  </si>
  <si>
    <t>Learning involving interoceptive stimuli likely plays an important role in many diseases and psychopathologies. Within this area, there has been extensive research investigating the interoceptive stimulus effects of abused drugs. In this pursuit, behavioral pharmacologists have taken advantage of what is known about learning processes and adapted the techniques to investigate the behavioral and receptor mechanisms of drug stimuli. Of particular interest is the nicotine stimulus and the use of the two-lever operant drug discrimination task and the Pavlovian drug discriminated goal-tracking task. There is strong concordance between the two methods when using "standard" testing protocols that minimize learning on test days. For example, ABT-418, nornicotine, and varenicline all fully evoked nicotine-appropriate responding. Notably, research from our laboratory with the discriminated goal-tracking task has used an alternative testing protocol. This protocol assesses stimulus substitution based on how well extinction learning using a non-nicotine ligand transfers back to the nicotine stimulus. These findings challenge conclusions based on more "standard" testing procedures (e.g., ABT-418 is not nicotine-like). As a starting point, we propose Thurstone scaling as a quantitative method for more precisely comparing transfer of extinction across doses, experiments, and investigators. We close with a discussion of future research directions and potential implications of the research for understanding interoceptive stimuli.Copyright ‚î¨‚åê 2011 Elsevier B.V. All rights reserved.</t>
  </si>
  <si>
    <t>J2: Behav; Bevins, Rick A Barrett, Scott T Polewan, Robert J Pittenger, Steven T Swalve, Natashia Charntikov, Sergios DA018114 (United States NIDA NIH HHS) DA023951 (United States NIDA NIH HHS) R01 DA018114 (United States NIDA NIH HHS) R01 DA018114-07 (United States NIDA NIH HHS) R21 DA023951 (United States NIDA NIH HHS) R21 DA023951-02 (United States NIDA NIH HHS); ID: 203</t>
  </si>
  <si>
    <t>1872-8308</t>
  </si>
  <si>
    <t>Bevins,Rick A. Department of Psychology, University of Nebraska-Lincoln, Lincoln, NE 68588-0308, USA. rbevins1@unl.edu</t>
  </si>
  <si>
    <t>http://ovidsp.ovid.com/ovidweb.cgi?T=JS&amp;CSC=Y&amp;NEWS=N&amp;PAGE=fulltext&amp;D=medl&amp;AN=22119845</t>
  </si>
  <si>
    <t>http://dx.doi.org/10.1016/j.beproc.2011.10.020</t>
  </si>
  <si>
    <t>MEDLINE; Ovid Technologies; Disentangling the nature of the nicotine stimulus</t>
  </si>
  <si>
    <t>Beyhun,N. E.;Can,G.;Topbas,M.;Cankaya,S.;Ketenci,H. C.</t>
  </si>
  <si>
    <t>Are the last grade medical students aware of the danger of synthetic cannabinoids?</t>
  </si>
  <si>
    <t>Journal of Forensic &amp; Legal Medicine</t>
  </si>
  <si>
    <t>Synthetic cannabinoids are drugs which are increasingly used by especially adolescents and young people. In recent years hospital admissions even concluding with deaths have been observed. Therefore, the awareness of medical students, who will be in challenge with this new drug abuse, is an important issue. The aim of this study is to figure out the awareness of the last grade medical students and its correlates. This is a questionnaire based descriptive study with the participation of 148 students at Karadeniz Technical University Medical Faculty, Turkey. An awareness score was produced to measure awareness (cronbach alpha = 0.67). The 17.6% (26/148) of students who reported not knowing what synthetic cannabinoids were and hearing the name for the first time in this study. The 16.4% of students assumed that synthetic cannabinoid use was legal, and 16.2% assumed that synthetic cannabinoids are not drugs. The internet (including social media) (48.6%) and pharmacology lectures (40.5%) were identified as the most stated sources of information. The students who have synthetic cannabinoid user friends and social media account have significantly higher awareness scores (p &lt; 0.05 for both). Last grade medical students have a lack of awareness towards synthetic cannabinoids which is an increasing threat that they have to challenge. Copyright ‚î¨‚åê 2015 Elsevier Ltd and Faculty of Forensic and Legal Medicine. All rights reserved.</t>
  </si>
  <si>
    <t>J2: J Forensic Leg Med; Beyhun, Nazim Ercument Can, Gamze Topbas, Murat Cankaya, Sertac Ketenci, Huseyin Cetin S1752-928X(15)00220-6; ID: 760</t>
  </si>
  <si>
    <t>1878-7487</t>
  </si>
  <si>
    <t>Beyhun,Nazim Ercument. Karadeniz Technical University Medical Faculty, Dep. of Public Health, 61080 Trabzon, Turkey. Electronic address: ebeyhun@yahoo.com. Can,Gamze. Karadeniz Technical University Medical Faculty, Dep. of Public Health, 61080 Trabzon, Turkey. Electronic address: gcanktu@yahoo.com. Topbas,Murat. Karadeniz Technical University Medical Faculty, Dep. of Public Health, 61080 Trabzon, Turkey. Electronic address: murattopbas@yahoo.com. Cankaya,Sertac. Karadeniz Technical University Medical Faculty, Dep. of Public Health, 61080 Trabzon, Turkey. Electronic address: drsertaccankaya@gmail.com. Ketenci,Huseyin Cetin. Trabzon Branch of The Council of Forensic Medicine, Trabzon, Turkey. Electronic address: hcketenci@gmail.com.</t>
  </si>
  <si>
    <t>http://ovidsp.ovid.com/ovidweb.cgi?T=JS&amp;CSC=Y&amp;NEWS=N&amp;PAGE=fulltext&amp;D=prem&amp;AN=26694870</t>
  </si>
  <si>
    <t>http://dx.doi.org/10.1016/j.jflm.2015.11.014</t>
  </si>
  <si>
    <t>MEDLINE; Ovid Technologies; Are the last grade medical students aware of the danger of synthetic cannabinoids?</t>
  </si>
  <si>
    <t>Bhavin,V.;Ruchi,V.;Santani,D. D.;Author,Addresses;Maliba,Pharmacy College;Vidyanagar,Tarsadi India;Rofel,Shri G.M.Bilakhia College of Pharmacy Vapi India;Correspondence,Address;Bhavin, Maliba Pharmacy College Gopal Vidyanagar Tarsadi India Email,V.;rxbhavin@gmail.com</t>
  </si>
  <si>
    <t>Diuretic potential of whole plant extracts of Pergularia daemia (Forsk.)</t>
  </si>
  <si>
    <t>(MAJOR FOCUS);diuretic agent (drug analysis, drug development, drug toxicity, oral drug;administration, pharmacology);Pergularia daemia extract (drug analysis, drug comparison, drug development,;drug toxicity, oral drug administration, pharmacology);plant extract (drug analysis, drug development, drug toxicity, oral drug;acetic acid ethyl ester;alcohol;alkaloid (drug analysis);butanol;electrolyte (endogenous compound);flavonoid (drug analysis);furosemide (drug comparison, oral drug administration);petroleum ether;potassium ion (endogenous compound);saponin (drug analysis);sodium ion (endogenous compound);steroid (drug analysis);triterpene (drug analysis);unclassified drug;Apocynaceae;diuretic activity;Pergularia daemia;acute toxicity;animal experiment;animal model;article;controlled study;drug screening;electrolyte urine level;female;male;mouse;nonhuman;phytochemistry;potassium urine level;rat;sodium urine level;urine volume;acetic acid ethyl ester (141-78-6);alcohol (64-17-5);butanol (35296-72-1, 71-36-3);furosemide (54-31-9);petroleum ether (8032-32-4);potassium ion (24203-36-9);saponin (8047-15-2);sodium ion (17341-25-2);Urology and Nephrology (28);Clinical and Experimental Pharmacology (30);Drug Literature Index (37)</t>
  </si>
  <si>
    <t>The whole plant, Pergularia daemia (Family: Asclepediaceae), was extracted with 50% alcohol and a fresh batch of the plant material was successively extracted with petroleum ether, ethyl acetate and n-butanol to determine its diuretic activity. The diuretic activity of the different extracts at a dose of 400 mg/Kg was assessed orally in rats with furosemide as a standard drug using Lipschitzs test. All extracts except the petroleum ether extract showed significant increase (p &lt; 0.001) in urine output. Urinary electrolyte excretion was also affected by the extracts: the alcoholic, ethyl acetate and n-butanol extract caused an increase in the urinary excretion of sodium and potassium ions. These findings suggest that among the mentioned extracts, ethanolic has the maximum diuretic activity followed by n-butanol extract. ‚î¨‚åê 2011 by School of Pharmacy.</t>
  </si>
  <si>
    <t>(Bhavin V., rxbhavin@gmail.com; Ruchi V.) (Santani D.D.) Iranian Journal of Pharmaceutical Research, P.O. Box 14155-6153, Vali-e-Asr Avenue, Niayesh Junction, Tehran, Iran.; ID: 1216</t>
  </si>
  <si>
    <t>Bhokasub,D.;Lizer,M.;Author,Addresses;Dunn,Bernard J.;University,Winchester Medical Center Winchester United States;Correspondence,Address;Dunn School of Pharmacy Shenandoah University,D.Bhokasub, Bernard J.;Winchester Medical Center, Winchester,United States</t>
  </si>
  <si>
    <t>Cost effectiveness of providing a 30 day supply of medications on 30 day readmission rates and costs in an uninsured mental health population</t>
  </si>
  <si>
    <t>college;cost effectiveness analysis;drug therapy;hospital readmission;human;medically uninsured;mental health;pharmacist;population;adult;follow up;health center;hospital patient;indigent;medication compliance;motivation;outpatient;patient;pharmacy;pilot study;substance abuse;United States</t>
  </si>
  <si>
    <t>Type: Work in Progress. Presented at the CPNP Annual Meeting in Colorado Springs, CO on Monday, April 22, 2013. Background: At WMC, uninsured indigent patients make up 30% of admissions in the behavioral health unit (BHU). Currently, these patients are not provided medications upon discharge. In addition, many of these patients cannot afford the medications they are stabilized on at discharge. As a result they decompensate and are readmitted. A retrospective review of 30-day readmission rates from BHU in 2011-2012 was completed and provided financial information needed for WMC administration to fund this pilot study. It showed thatŒì√™√π4 patients /month were being readmitted due to an inability to afford medications. Objective: 1. Compare readmission rates of the uninsured indigent patients provided with 30 day supply of medications to historical readmission data. 2. Determine study patient's ability and/or barriers to obtaining follow up care post 30 days. Methods: This is a prospective pilot conducted on a 26 bed adult inpatient unit (WMC) for a 3 month trial period. A 30 day supply of medications shall be filled at competitive pricing from an outpatient pharmacy and given to the patient upon discharge. Patients will be included who are uninsured and cannot afford medications due to financial difficulty. They must demonstrate motivation and mental clarity to remain compliant to their treatment regimen. Excluded are patients who have an active substance abuse disease. Included patients will be decided by the treatment team based on the above criteria. Each patient who receives medication will be documented and monitored for the following 3 months. All patients, unless readmitted, will receive a follow up phone call 1 week post 30 days. We will assess and document reasons for readmission or non-readmission, medication adherence, ability and/or barriers to obtaining follow up care. Outcomes: To be determined.</t>
  </si>
  <si>
    <t>(Bhokasub D.; Lizer M.) (WMC) 16th Annual Meeting of the College of Psychiatric and Neurologic Pharmacists, CPNP 2013 Colorado Springs, CO, United States 2013-04-21 to 2013-04-24 SAGE Publications Inc.; ID: 1032</t>
  </si>
  <si>
    <t>Bhuiyan,J. S.;Jonkman,L.;Connor,S.;Giannetti,V.;Freyder,P.;Author,Addresses;University of Pittsburgh,Medical Center;States;University of Pittsburgh, School,of Pharmacy;Pittsburgh,United States;Duquesne University, Mylan School of,Pharmacy Pittsburgh;United,States;Salvation Army Harbor Light Center, Pittsburgh,United States;Correspondence,Address;JS Bhuiyan, University of Pittsburgh Medical Center,Pittsburgh United;States</t>
  </si>
  <si>
    <t>Perceptions of smoking cessation from clients at an alcohol and other drug facility</t>
  </si>
  <si>
    <t>(MAJOR FOCUS);alcohol;college;human;pharmacist;smoking cessation;army;data analysis;death;drug therapy;grounded theory;housing;income;interview;morbidity;motivation;patient;pharmacy student;population;qualitative research;smoking;social support;statistics;substance abuse;tobacco</t>
  </si>
  <si>
    <t>Type: Work in Progress. Background: Smokers with substance use disorder have twice the expected rate of deaths attributable to tobacco use than in the general population. Despite the evident need for smoking cessation in this population, tobacco use dependence treatment is not routinely provided due to the ungrounded belief it will interfere with recovery from the primary substance use problem. Trials of smoking cessation among patients actively receiving treatment for substance use disorder have yielded modest quit rates. Limited data exists on concurrent tobacco use dependence behaviors and beliefs that may indicate the unique challenges to smoking cessation this population faces. Objectives: To determine the perceptions of clients in an alcohol and other drug treatment facility regarding the provision of smoking cessation services, including 1) motivations for and barriers to smoking cessation; 2) attitudes towards quality, extent, and importance of smoking cessation services offered at their facility; 3) attitudes towards smoking cessation in a population actively receiving treatment for substance use disorder; 4) the 'culture' of smoking cessation at the facility; and 5) social support. Methods: Semi-structured, one-on-one in-person interviews will be conducted with clients using standardized qualitative research methods at Salvation Army Harbor Light Center, a 90-day residential alcohol and other drug treatment facility in Pittsburgh, PA. All clients who are current or past smokers will be invited to participate in this study. Baseline demographic data will be obtained via survey methods and will include age, race/ethnicity, income level, and primary drug of choice, stage of change, co-morbidity, smoking status, and housing status. Interviews will be transcribed verbatim and transcripts will be verified with other members of the research team. Codes will be developed and themes will be identified using Grounded Theory to generate a theory/hypothesis. Survey data will be evaluated using descriptive statistics. Data analysis will be conducted simultaneously to identify a point of saturation. Outcomes: The data collected will help to tailor smoking cessation services to the needs of the population - both at this program and other similar programs. The data may also further explore the role of the pharmacy student in providing smoking cessation services to this population.</t>
  </si>
  <si>
    <t>(Bhuiyan J.S.) (Jonkman L.; Connor S.) (Giannetti V.) (Freyder P.) 16th Annual Meeting of the College of Psychiatric and Neurologic Pharmacists, CPNP 2013 Colorado Springs, CO, United States 2013-04-21 to 2013-04-24 SAGE Publications Inc.; ID: 1019</t>
  </si>
  <si>
    <t>Biber,A.;Fischer,H.;Romer,A.;Chatterjee,S. S.</t>
  </si>
  <si>
    <t>Oral bioavailability of hyperforin from hypericum extracts in rats and human volunteers</t>
  </si>
  <si>
    <t>Pharmacopsychiatry</t>
  </si>
  <si>
    <t>31 Suppl 1</t>
  </si>
  <si>
    <t>Administration, Oral;Adult;Animals;Area Under Curve;Bicyclo Compounds;Biological Availability;Chromatography, High Pressure Liquid;Female;Half-Life;Humans;Hypericum;Male;*Perylene/aa Analogs &amp; Derivatives];Perylene/ch Chemistry];Perylene/pk Pharmacokinetics];Phloroglucinol/aa Analogs &amp; Derivatives];Plant Extracts/pk Pharmacokinetics];Plants, Medicinal;*Quercetin/aa Analogs &amp; Derivatives];Quercetin/ch Chemistry];Quercetin/pk Pharmacokinetics];Rats;Rats, Sprague-Dawley;Terpenes/an Analysis];Terpenes/bl Blood];Terpenes/pk Pharmacokinetics];Xanthenes/ch Chemistry];*Xanthenes/pk Pharmacokinetics];0 (Bicyclo Compounds);0 (Plant Extracts);0 (Terpenes);0 (Xanthenes);5QD5427UN7 (Perylene);9IKM0I5T1E (Quercetin);DHD7FFG6YS (Phloroglucinol);RM741E34FP (hyperforin)</t>
  </si>
  <si>
    <t>Validated analytical methods suitable for determining hyperforin in plasma after administration of alcoholic Hypericum perforatum extracts containing hyperforin are described. After oral administration of 300 mg/kg Hypericum extract (WS 5572, containing 5% hyperforin) to rats maximum plasma levels of approximately 370 ng/ml (approx. 690 nM) were reached after 3 h, as quantified by a HPLC and UV detection method. Estimated half-life and clearance values were 6 h and 70 ml/min/kg respectively. Since therapeutic doses of Hypericum extracts are much lower than that used in rats, a more sensitive LC/MS/MS method was developed. The lower limit of quantification of this method was 1 ng/ml. Using this method, plasma levels of hyperforin could be followed for up to 24 h in healthy volunteers after administration of film coated tablets containing 300 mg hypericum extracts representing 14.8 mg hyperforin. The maximum plasma levels of approximately 150 ng/ml (approx. 280 nM) were reached 3.5 h after administration. Half-life and mean residence time were 9 and 12 h respectively. Hyperforin pharmacokinetics were linear up to 600 mg of the extract. Increasing the doses to 900 or 1200 mg of extract resulted in lower Cmax and AUC values than those expected from linear extrapolation of data from lower doses. Plasma concentration curves in volunteers fitted well in an open two-compartment model. In a repeated dose study, no accumulation of hyperforin in plasma was observed. Using the observed AUC values from the repeated dose study, the estimated steady state plasma concentrations of hyperforin after 3 x 300 mg/day of the extract, i.e., after normal therapeutic dose regimen, was approximately 100 ng/ml (approx. 180 nM).</t>
  </si>
  <si>
    <t>J2: Pharmacopsychiatry; Biber, A Fischer, H Romer, A Chatterjee, S S; ID: 582</t>
  </si>
  <si>
    <t>0176-3679</t>
  </si>
  <si>
    <t>Biber,A. Dr. W. Schwabe GmbH &amp; Co., Karlsruhe, Germany.</t>
  </si>
  <si>
    <t>http://ovidsp.ovid.com/ovidweb.cgi?T=JS&amp;CSC=Y&amp;NEWS=N&amp;PAGE=fulltext&amp;D=med4&amp;AN=9684946</t>
  </si>
  <si>
    <t>MEDLINE; Ovid Technologies; Oral bioavailability of hyperforin from hypericum extracts in rats and human volunteers</t>
  </si>
  <si>
    <t>Biederman,J.;Author,Addresses;Massachusetts General Hospital, Parkman Street,Boston M.;Correspondence,Address;Massachusetts General Hospital, Parkman Street,Boston M.</t>
  </si>
  <si>
    <t>Attention deficit hyperactivity disorder (ADHD)</t>
  </si>
  <si>
    <t>Annals of Clinical Psychiatry</t>
  </si>
  <si>
    <t>(MAJOR FOCUS);amfebutamone (drug therapy);amphetamine (drug comparison, drug dose, drug therapy);clonidine (drug therapy);methylphenidate (drug comparison, drug dose, drug therapy);monoamine oxidase inhibitor (drug therapy);tricyclic antidepressant agent (drug comparison, drug dose, drug therapy);desipramine (drug comparison, drug therapy);imipramine (drug comparison, drug therapy);placebo (drug comparison);propranolol (drug therapy);antisocial behavior;anxiety;attention deficit disorder (drug therapy);family;hyperactivity;adolescent;child;human;review;short survey;amfebutamone (31677-93-7, 34911-55-2);amphetamine (1200-47-1, 139-10-6, 156-34-3, 2706-50-5, 300-62-9, 51-62-7,;60-13-9, 60-15-1);clonidine (4205-90-7, 4205-91-8, 57066-25-8);desipramine (50-47-5, 58-28-6);imipramine (113-52-0, 50-49-7);methylphenidate (113-45-1, 298-59-9);propranolol (13013-17-7, 318-98-9, 3506-09-0, 4199-09-1, 525-66-6);Psychiatry (32);Drug Literature Index (37)</t>
  </si>
  <si>
    <t>Attention deficit hyperactivity disorder (ADHD) is a highly prevalent disorder that has an onset in early childhood, but persists frequently into adolescence and adulthood. Outcome studies suggest continued deleterious effects in adolescence and adulthood with continued academic impairment, and increased risk for the development of antisocial behaviors, substance abuse, and psychopathology. Recent findings indicate that ADHD is highly familial and that discrete subtypes may be identified based on patterns of comorbidity, particularly with conduct, mood, and anxiety disorders. These subtypes may have differing risk factors, clinical course, and pharmacological responses. Treatment needs to be multimodal and may include individual therapy, family counseling and parental guidance, cognitive and behavior therapy, remedial educational interventions, and pharmacotherapy. The mainstay of pharmacotherapy has been the stimulant medications, but alternative interventions including tricyclic antidepressants are available. Patients and families should be educated regarding the nature of this disorder, the available interventions, and the need for long-term support and follow-up.</t>
  </si>
  <si>
    <t>(Biederman J.) Dowden Health Media,Inc, 110 Summit Avenue, Montvale, United States.; ID: 1727</t>
  </si>
  <si>
    <t>1040-1237</t>
  </si>
  <si>
    <t>Biederman,J.;Gao,H.;Rogers,A. K.;Spencer,T. J.</t>
  </si>
  <si>
    <t>Comparison of parent and teacher reports of attention-deficit/hyperactivity disorder symptoms from two placebo-controlled studies of atomoxetine in children</t>
  </si>
  <si>
    <t>Biological psychiatry</t>
  </si>
  <si>
    <t>Biol.Psychiatry</t>
  </si>
  <si>
    <t>Adolescent;*Adrenergic Uptake Inhibitors/tu Therapeutic Use];Atomoxetine Hydrochloride;*Attention Deficit Disorder with Hyperactivity/dt Drug Therapy];Child;Double-Blind Method;Female;Humans;Male;Neuropsychological Tests;*Parents;Personality Assessment;*Propylamines/tu Therapeutic Use];*Teaching;Time Factors;Treatment Outcome;0 (Adrenergic Uptake Inhibitors);0 (Propylamines);57WVB6I2W0 (Atomoxetine Hydrochloride)</t>
  </si>
  <si>
    <t>BACKGROUND: The validity of parent reports regarding children's attention-deficit/hyperactivity disorder (ADHD) symptoms has been questioned. This study assessed whether parent reports were as sensitive as teacher reports to document change in ADHD symptoms during clinical trials with atomoxetine. METHODS: Data were compared from two randomized, double-blind, placebo-controlled clinical trials of atomoxetine using different versions (parent or teacher) of the same rating scale (Attention-Deficit/Hyperactivity Disorder Rating Scale-IV parent or teacher] Version: Investigator Administered and Scored - ADHD RS). Exclusion criteria included history of bipolar disorder, psychosis, seizures, alcohol abuse, or positive drug screen. Patients (6-16 years old) were treated with atomoxetine (titrated to a maximum dose of 1.8 mg/kg/day) administered once daily for up to 7 weeks. Parent and teacher ratings were compared using an analysis of covariance (ANCOVA) model. RESULTS: The analysis (n = 318) showed that treatment effects (mean change, baseline to endpoint) were similar between parent and teacher ratings (total, p = .762; inattention, p = .519; hyperactive/impulsive, p = .955). Effect sizes also were similar based on total scores (parent ratings = .69; teacher ratings = .63). CONCLUSIONS: Parent reports are as sensitive as teacher reports in assessing the efficacy of long-acting pharmacologic treatment for ADHD in children during clinical trials using the nonstimulant atomoxetine.</t>
  </si>
  <si>
    <t>J2: Biol Psychiatry; Biederman, Joseph Gao, Haitao Rogers, Ann K Spencer, Thomas J; ID: 418</t>
  </si>
  <si>
    <t>Biederman,Joseph. Scientific Communications, Lilly Research Laboratories, Indianapolis, Indiana, USA. jbiederman@partners.org</t>
  </si>
  <si>
    <t>http://ovidsp.ovid.com/ovidweb.cgi?T=JS&amp;CSC=Y&amp;NEWS=N&amp;PAGE=fulltext&amp;D=med5&amp;AN=16806096</t>
  </si>
  <si>
    <t>MEDLINE; Ovid Technologies; Comparison of parent and teacher reports of attention-deficit/hyperactivity disorder symptoms from two placebo-controlled studies of atomoxetine in children</t>
  </si>
  <si>
    <t>Biederman,J.;Spencer,T. J.</t>
  </si>
  <si>
    <t>Psychopharmacology of adults with attention-deficit/hyperactivity disorder</t>
  </si>
  <si>
    <t>Primary Psychiatry</t>
  </si>
  <si>
    <t>74 8p</t>
  </si>
  <si>
    <t>Attention Deficit Hyperactivity Disorder -- Drug Therapy -- In Adulthood;Adult;Delayed-Action Preparations;Dextroamphetamine -- Therapeutic Use;Education, Continuing (Credit);Methylphenidate -- Therapeutic Use</t>
  </si>
  <si>
    <t>Although frequently unrecognized, as many as 4% of adults in the general population may have attention-deficit/hyperactivity disorder (ADHD). Increased public awareness is leading many adults to their family physician for treatment. While education about the disorder and specific counseling can be a great help, pharmacotherapy is the key to achieving control of the core symptoms of ADHD in most patients. This article reviews the available data for the pharmacologic treatment of adults with ADHD. Methylphenidate (MPH) is the most studied treatment for ADHD, with response rates exceeding 70% when dosed optimally. A similar response rate has been reported for dextroamphetamines. Both stimulants have a well-established safety profile from extensive experience in children, and are well tolerated in adults as well. The recently introduced extended-release stimulant formulations, OROS MPH and the mixed amphetamine salt Adderall XR, achieve symptom control for &lt;/=12 hours following administration of a single dose. Promising preliminary results suggest that these formulations would be the treatment of choice for adults. The nonstimulant atomoxetine has also demonstrated efficacy in adults with ADHD and may be an appropriate alternative in patients unresponsive to stimulant therapy, or in whom substance abuse or tics are of concern. However, atomoxetine requires twice/day dosing in most adults and has a less well-proven efficacy and safety profile.</t>
  </si>
  <si>
    <t>Entry Date: 20040827. Revision Date: 20150711. Publication Type: Journal Article; CEU; exam questions; tables/charts. Journal Subset: Biomedical; Blind Peer Reviewed; Expert Peer Reviewed; Peer Reviewed; USA. NLM UID: 9602353.; ID: 2010</t>
  </si>
  <si>
    <t>1082-6319</t>
  </si>
  <si>
    <t>WACC 725, Pediatric Psychopharmacology Research Unit, Massachusetts General Hospital, Harvard Medical School, 15 Parkman St, Boston, MA 02114</t>
  </si>
  <si>
    <t>http://proxy.lib.umich.edu/login?url=http://search.ebscohost.com/login.aspx?direct=true&amp;db=ccm&amp;AN=106682272&amp;site=ehost-live&amp;scope=site</t>
  </si>
  <si>
    <t>ccm; EBSCOhost; Psychopharmacology of adults with attention-deficit/hyperactivity disorder</t>
  </si>
  <si>
    <t>Bigelow,G. E.;Griffiths,R. R.;Stitzer,M. L.;Liebson,I. A.</t>
  </si>
  <si>
    <t>Development of clinical procedures for abuse liability assessment: progress report from the Behavioral Pharmacology Research Unit of the Johns Hopkins University School of Medicine and Baltimore City Hospitals</t>
  </si>
  <si>
    <t>NIDA research monograph</t>
  </si>
  <si>
    <t>NIDA Res.Monogr.</t>
  </si>
  <si>
    <t>Animals;Behavior, Animal/de Drug Effects];Body Weight/de Drug Effects];Emotions/de Drug Effects];Humans;Injections, Intravenous;Research Design;*Substance-Related Disorders/et Etiology];Substance-Related Disorders/px Psychology]</t>
  </si>
  <si>
    <t>J2: NIDA Res Monogr; Bigelow, G E Griffiths, R R Stitzer, M L Liebson, I A DA-01022 (United States NIDA NIH HHS) DA-01472 (United States NIDA NIH HHS) DA-01943 (United States NIDA NIH HHS) etc.; ID: 711</t>
  </si>
  <si>
    <t>1046-9516</t>
  </si>
  <si>
    <t>http://ovidsp.ovid.com/ovidweb.cgi?T=JS&amp;CSC=Y&amp;NEWS=N&amp;PAGE=fulltext&amp;D=med2&amp;AN=6410246</t>
  </si>
  <si>
    <t>MEDLINE; Ovid Technologies; Development of clinical procedures for abuse liability assessment: progress report from the Behavioral Pharmacology Research Unit of the Johns Hopkins University School of Medicine and Baltimore City Hospitals</t>
  </si>
  <si>
    <t>Biyani,D.;Agrawal,D.;Patel,S.;Author,Addresses;Department,of;Pharmaceutical Sciences, Birla Institute of Technology,Mesra Ranchi;India,Jharkhand;Correspondence,Address;Biyani, Department of Pharmaceutical Sciences Birla Institute of,D.;Technology,Mesra Ranchi Jharkhand India Email;biyani_d@rediffmail.com</t>
  </si>
  <si>
    <t>Availability of banned drugs: A case report</t>
  </si>
  <si>
    <t>International Journal of Pharmaceutical Sciences Review and Research</t>
  </si>
  <si>
    <t>cisapride;gatifloxacin;nimesulide;phenylpropanolamine;rosiglitazone;sibutramine;tegaserod;drug surveillance program;article;drug legislation;drug marketing;health care availability;postmarketing surveillance;cisapride (81098-60-4);gatifloxacin (112811-59-3, 180200-66-2);nimesulide (51803-78-2);phenylpropanolamine (14838-15-4, 154-41-6, 4345-16-8, 48115-38-4);rosiglitazone (122320-73-4, 155141-29-0);sibutramine (106650-56-0);tegaserod (145158-71-0, 189188-57-6);Public Health, Social Medicine and Epidemiology (17);Drug Literature Index (37)</t>
  </si>
  <si>
    <t>The present case report attempts to study the current scenario regarding the latest decision of DCGI for banning certain drug vide the Gazette of India G.S.R.910 (E), the Gazette of India G.S.R.82 (E), and the Gazette of India G.S.R.218 (E). Pharmacovigilance is the science of collecting, monitoring, researching, assessing and evaluating information from healthcare providers and patients on the adverse effects of medications, biological products, herbalism and traditional medicines. If through Pharmacovigilance, adverse events are found to be critical, DCGI takes the action to ban such a drug in India. Recently DCGI banned drugs Rosiglitazone, Nimesulide, Cisapride, Phenylpropanolamine, Sibutramine, Gatifloxacin and Tegasorid for certain indications and specific group of patients. It was thought to carry out a survey pertaining to these drugs availability in the medical shops to reveal the implementation of the highest authority's decision in this matter. For this, a random visit to various medical stores in and around Bhopal, Vidisha, Raisen, and Indore (Madhya Pradesh) was made with prescription containing the above mentioned drugs to reveal the exact scenario of their availability and dispensing by the pharmacist. The case report reveals the pathetic condition of implementation of law regarding such matters. Also the Community Pharmacists are not well aware about the reasons behind such prohibition of sale of these aforementioned drugs. This problem can be resolved by Educating the Community Pharmacist through continuing Education program.</t>
  </si>
  <si>
    <t>(Biyani D., biyani_d@rediffmail.com; Agrawal D.; Patel S.) Global Research Online, Plot No: 6, R. K. Lake view, Hebbagudi, Anekal Taluk, Bangalore, India.; ID: 1255</t>
  </si>
  <si>
    <t>0976-044X (electronic)</t>
  </si>
  <si>
    <t>Blain,L.;Rappaport,P.;Author,Addresses;Faculty of Pharmacy, University of Toronto,Toronto Ont;Canada;Pharmaceutical Services, Toronto East,General Hospital;Toronto,Ont Canada;Department of Pharmaceutical Services, Toronto,East General;Hospital,Coxwell Ave Toronto Ont M.C.E.Canada;Correspondence,Address;Rappaport, Dept of Pharmaceutical Services Toronto East General,P.;Hospital,Coxwell Ave Toronto Ont M.C.E.Canada</t>
  </si>
  <si>
    <t>Pharmaceutical care implementation in a community teaching hospital</t>
  </si>
  <si>
    <t>Canadian Journal of Hospital Pharmacy</t>
  </si>
  <si>
    <t>Can.J.Hosp.Pharm.</t>
  </si>
  <si>
    <t>hospital pharmacy;patient care;pharmaceutical care;article;human;job performance;learning;major clinical study;patient selection;pharmacist;workload;Health Policy, Economics and Management (36)</t>
  </si>
  <si>
    <t>The pharmacists at Toronto East General Hospital have been working towards the implementation of pharmaceutical care (PC) since 1991. To facilitate the progression from patient pharmacotherapy monitoring to PC, a structured program was developed to teach the pharmacists the process. Then, each pharmacist set a target of one, two or three years to provide full pharmaceutical care to 50 patients. At the same time, data were collected to determine if patient screening criteria could be developed and to evaluate the actual time required for initial work-up and patient follow-up. When this evaluation was performed, pharmacists were, on average, attaining 60% of their targeted numbers of patients receiving full PC. They understood the process, but were limited by the amount of time it took to follow each patient. Data collection for screening criteria did not show any correlation with age or service, but showed a positive relationship with length of stay. The average time per patient to provide PC was 206 minutes per admission. There was a significant correlation between the number of drug-related problems and the time to provide PC. The recommendations from three pharmacy working groups for ways to increase the amount of pharmacist time for direct patient care and increase the efficiency for pharmacists providing PC are presented.</t>
  </si>
  <si>
    <t>(Blain L.) (Rappaport P.); ID: 1689</t>
  </si>
  <si>
    <t>Block,Lawrence H.</t>
  </si>
  <si>
    <t>The Impact of Biotechnology on Pharmaceutics</t>
  </si>
  <si>
    <t>Spr</t>
  </si>
  <si>
    <t>Higher Education;(Major): Biomedicine;Chemistry;Curriculum Development;Pharmaceutical Education;Pharmacology;Technological Advancement;Identifier: Biotechnology</t>
  </si>
  <si>
    <t>The emergence of bioactive peptides and proteins as new drug species poses formidable problems for the pharmaceutical scientist. Implications for revision or change in undergraduate and graduate pharmaceutics curricula derive from the biopharmaceutical, pharmacokinetic, and physiochemical aspects of the new drug species, which differ from conventional xenobiotics. (MSE)</t>
  </si>
  <si>
    <t>Connect to the Mirlyn catalog at the University of Michigan Article (EJ); ID: 2081</t>
  </si>
  <si>
    <t>EJ408837</t>
  </si>
  <si>
    <t>ERIC; OCLC; The Impact of Biotechnology on Pharmaceutics</t>
  </si>
  <si>
    <t>Bloor,C.;Moss,K.;Bacci,J.;Antinopoulos,B.;Mc-Givney,M.;Author,Addresses;University,of Pittsburgh;Correspondence,Address;Bloor, University of Pittsburgh United States,C.</t>
  </si>
  <si>
    <t>Collaborative practice agreements: Potential for community pharmacists to more efficiently resolve drug therapy problems</t>
  </si>
  <si>
    <t>e130</t>
  </si>
  <si>
    <t>drug therapy;human;pharmacist;community;diabetes mellitus;diabetic patient;education;needs assessment;patient;patient care;pharmacy;physician;student;United States</t>
  </si>
  <si>
    <t>Objective: The study objectives are to: (1) determine the proportion of drug therapy problems identified by community pharmacists in patients with diabetes that could be more efficiently resolved through a collaborative practice agreement (CPA) in Pennsylvania and (2) identify pharmacies in Allegheny County, Pennsylvania, that are equipped to implement a CPA. Methods: CPAs are a tool to aid in pharmacists collaborating with physicians to more efficiently care for their patients. Regulations are currently pending in Pennsylvania to allow wide-scale implementation of CPAs in the community setting. One hundred and fourteen second-professional year student pharmacists are in 70 community pharmacists in Allegheny County within a required experiential education course. Student pharmacists' observations of community pharmacists identifying and resolving drug therapy problems in diabetic patients will be retrospectively reviewed. Data collected include type of drug therapy problem identified, the pharmacists' steps taken to resolve the problem, and time to resolution. A needs assessment of each pharmacy practice was conducted to identify existing resources for CPA implementation. An expert panel of pharmacists who work collaboratively with physicians will review the student observation data and determine the proportion of drug therapy problems that could be more efficiently resolved through a CPA. A summative evaluation of the needs assessment will provide an overview of services in the region and allow a forecasted determination of impact if CPAs were in place. Results: Research in progress. Uncovering drug therapy problems that can be identified and resolved by pharmacists in the community through CPAs can assist in understanding the impact on efficiency and quality of patient care by pharmacists. Laws and regulations of CPAs currently vary from state to state, yet determination of impact is critical for all communities.</t>
  </si>
  <si>
    <t>(Bloor C.; Moss K., ksm38@pitt.edu; Bacci J.; Antinopoulos B.; Mc-Givney M.) APhA2015 San Diego, CA, United States 2015-03-27 to 2015-03-30 American Pharmacists Association; ID: 842</t>
  </si>
  <si>
    <t>Blumenthal,W. J.;Springer,K. W.;Jones,T. S.;Sterk,C. E.</t>
  </si>
  <si>
    <t>Pharmacy student knowledge, attitudes, and beliefs about selling syringes to injection drug users</t>
  </si>
  <si>
    <t>HIV Infections/pc Prevention &amp; Control];*Health Knowledge, Attitudes, Practice;Humans;Patient Education as Topic;*Students, Pharmacy;*Substance Abuse, Intravenous;*Syringes/sd Supply &amp; Distribution]</t>
  </si>
  <si>
    <t>OBJECTIVE: To explore pharmacy school education and pharmacy students' knowledge, attitudes, and beliefs about human immunodeficiency virus (HIV) and acquired immunodeficiency syndrome (AIDS), drug use, and syringe sales to injection drug users (IDUs). DESIGN: Qualitative study of a convenience sample of pharmacy school students. SETTING: A pharmacy school in the southeastern United States. INTERVENTION: Two focus groups and nine in-depth interviews were conducted about HIV/AIDS education and counseling, syringe sales to possible IDUs, and related pharmacy school education. PARTICIPANTS: 19 Doctor of Pharmacy students, including 88 students in their third professional year and 11 in their fourth professional year. RESULTS: Most participants believed that they would benefit from more class time on HIV/AIDS topics, including AIDS treatment medications and HIV prevention. Most participants believed that the laws and regulations governing syringe sales in their state were vague, leaving syringe sale decisions to pharmacists' discretion. Nine study participants supported selling syringes to possible IDUs, five opposed it, and five were undecided or ambivalent. Classroom education focused on addiction to prescription drugs, with limited attention to illicit drug use. CONCLUSION: Pharmacy students have divided opinions about selling syringes to IDUs. To prepare students for helping their patients with drug-use problems, pharmacy schools should increase training about HIV/AIDS and addiction. Policy makers should consider changing laws and regulations of syringe sales to recognize prevention of blood-borne infections as a legitimate medical purpose for selling syringes to IDUs.</t>
  </si>
  <si>
    <t>J2: J Am Pharm Assoc (Wash); Blumenthal, Wendy J Springer, Kristen W Jones, T Stephen Sterk, Claire E; ID: 511</t>
  </si>
  <si>
    <t>1086-5802</t>
  </si>
  <si>
    <t>Blumenthal,Wendy J. Division of Emergency and Environmental Health Services, National Center for Environmental Health, Centers for Disease Control and Prevention, Atlanta, GA 30333, USA. Wblumenthal@cdc.gov</t>
  </si>
  <si>
    <t>http://ovidsp.ovid.com/ovidweb.cgi?T=JS&amp;CSC=Y&amp;NEWS=N&amp;PAGE=fulltext&amp;D=med4&amp;AN=12489613</t>
  </si>
  <si>
    <t>MEDLINE; Ovid Technologies; Pharmacy student knowledge, attitudes, and beliefs about selling syringes to injection drug users</t>
  </si>
  <si>
    <t>Boatwright,D. E.</t>
  </si>
  <si>
    <t>Buprenorphine and addiction: challenges for the pharmacist</t>
  </si>
  <si>
    <t>May-Jun</t>
  </si>
  <si>
    <t>*Analgesics, Opioid/tu Therapeutic Use];*Buprenorphine/tu Therapeutic Use];Counseling;Humans;*Legislation, Drug;Naloxone/tu Therapeutic Use];Narcotic Antagonists/tu Therapeutic Use];*Opioid-Related Disorders/rh Rehabilitation];*Pharmacists;United States;0 (Analgesics, Opioid);0 (Narcotic Antagonists);36B82AMQ7N (Naloxone);40D3SCR4GZ (Buprenorphine)</t>
  </si>
  <si>
    <t>OBJECTIVE: To present an analysis of the Drug Addiction Treatment Act of 2000 (DATA) and its impact on the practice of pharmacy. DATA SOURCES: Statutes, codes, regulations, newspaper articles, journal articles; search of articles posted on MEDLINE identified using the search terms methadone, buprenorphine, treatment, opioid abuse, and opioid addiction. STUDY SELECTION: Not applicable. DATA EXTRACTION: Not applicable. DATA SYNTHESIS: DATA and Food and Drug Administration approval of sublingual tablets of buprenorphine and buprenorphine with naloxone (Reckitt and Benckiser) will dramatically expand opioid addicts' access to treatment and increase the number of opioid addicts receiving prescriptions for buprenorphine and buprenorphine with naloxone. The availability of buprenorphine will pose unique challenges to pharmacists and suggests the need for education on addiction and greater awareness of the unique needs of patients recovering from addiction. CONCLUSION: The stage is being set to expand access to treatment and reach more untreated opioid addicts in the United States. Professional organizations such as the American Pharmaceutical Association should work with the U.S. Department of Health and Human Services and its Substance Abuse and Mental Health Services Administration to develop training materials, curricula, and guidelines for pharmacists on substance abuse with a special focus on outpatient opioid treatment. Such materials could be used in continuing education programs and materials and in pharmacy schools.</t>
  </si>
  <si>
    <t>J2: J Am Pharm Assoc (Wash); Boatwright, Deborah E; ID: 528</t>
  </si>
  <si>
    <t>Boatwright,Deborah E. San Francisco Veterans Affairs Medical Center, Calif, USA. deborah.boatwright@mail.va.gov</t>
  </si>
  <si>
    <t>http://ovidsp.ovid.com/ovidweb.cgi?T=JS&amp;CSC=Y&amp;NEWS=N&amp;PAGE=fulltext&amp;D=med4&amp;AN=12030630</t>
  </si>
  <si>
    <t>MEDLINE; Ovid Technologies; Buprenorphine and addiction: challenges for the pharmacist</t>
  </si>
  <si>
    <t>Boggs,A. A.;Bihday,C.;Boggs,D. L.;Author,Addresses;Pharmacy Service, V A Connecticut,Healthcare System;West Haven,United States;Psychiatry Service, V A Connecticut Healthcare,System West;Haven,United States;Department of Psychiatry, Yale University School,of Medicine;New Haven,United States;Correspondence,Address;AA Boggs, Pharmacy Service V A Connecticut Healthcare System,West Haven;United,States</t>
  </si>
  <si>
    <t>Aripiprazole's effects on risperidone consta induced hyperprolactinemia: A case report</t>
  </si>
  <si>
    <t>(MAJOR FOCUS);aripiprazole;risperidone;haloperidol;prolactin;case report;college;human;hyperprolactinemia;pharmacist;breast tenderness;dyslipidemia;erectile dysfunction;gynecomastia;hospital;hospital patient;hypogonadism;Indian;infertility;lactation;libido disorder;low drug dose;male;mastalgia;medical history;mental disease;osteoporosis;paranoid schizophrenia;patient;physical disease by body function;procedures;prolactin blood level;safety;schizophrenia;sexual dysfunction;side effect;therapy;tobacco dependence</t>
  </si>
  <si>
    <t>Background: Hyperprolactinemia is a common side effect of antipsychotics especially haloperidol and risperidone. Prolactin levels for men greater than 20 ng/mL are indicative of hyperprolactinemia. Symptoms of hyperprolactinemia include: lactation, breast pain, loss of libido, hypogonadism, infertility, gynaecomastia, erectile dysfunction and possibly osteoporosis. Patient-History: The patient is a 29 year-old Indian male diagnosed at age 25 with chronic paranoid schizophrenia. Past medical history includes: dyslipidemia, status post uvulectomy for benign growth; and nicotine dependence. Patient was hospitalized in July 2009 after attempting to jump off a bridge. During inpatient stay on 8/11/2009, patient was started on risperidone Consta1 25 mg IM every 2 weeks and risperidone 1 mg BID. Patient responded to treatment and was continued on this regimen. A routine serum prolactin concentration was drawn on 11/2010 showing slightly elevated prolactin levels 21.9 ng/mL (reference 2 - 14). Oral risperidone was discontinued on 12/2010 but risperidone Consta1 was continued allowing patient to attend college and work. On 9/2011 a repeat serum prolactin level was drawn showing an elevation in prolactin to 29.8 ng/ml. In October of 2011 patient started to report transient left breast tenderness and redness (no drainage) along with sexual dysfunction. On 11/23/2011 patient was prescribed aripiprazole 2.5 mg PO daily to treat signs and symptoms of hyperprolactinemia. In January 2012 patient returned to clinic reporting moderate adherence with aripiprazole (taking 4-5 times a week). Patient reports a resolution of breast tenderness and redness with no change in psychiatric symptoms. Patient was ordered a repeat prolactin level but did not go to lab for procedure. Review of Literature: Several recent studies have been published establishing the safety and efficacy of using aripiprazole for a treatment of antipsychotic induced hyperprolactinemia in people with schizophrenia. However, to our knowledge, this is the first reported case where aripiprazole was used to treat hyperprolactinemia with injectable antipsychotics. Conclusion: In cases where people with schizophrenia are stabilized on an injectable antipsychotic and have symptoms of hyperprolactinemia, low dose aripiprazole is a potential therapy to improve side effects while continuing treatment.</t>
  </si>
  <si>
    <t>(Boggs A.A.; Boggs D.L.) (Bihday C.) (Boggs D.L.) 15th Annual Meeting of the College of Psychiatric and Neurologic Pharmacists, CPNP 2012 Tampa, FL, United States 2012-04-29 to 2012-05-02 SAGE Publications Inc.; ID: 1166</t>
  </si>
  <si>
    <t>Boggs,D. L.;Gorelick,D. A.;Wittenberg,G. F.;Kelly,D. L.;Marshall,V. H.;Holcomb,H. H.;Author,Addresses;University of Maryland, School of Medicine Baltimore,United States;Maryland,Psychiatric;Research Center,Catonsville,United States;Intramural Research Program, National Institute,on Drug;Abuse,N. I. H. B.;Veterans Affairs Medical Center, Grcc,Baltimore United;States;Johns Hopkins School of Medicine, Baltimore,United States;Correspondence,Address;DL Boggs, University of Maryland School of Medicine,Baltimore United;States</t>
  </si>
  <si>
    <t>Pilot study of cue induced targeting of Transcranial Magnetic Stimulation (TMS) in nicotine addiction</t>
  </si>
  <si>
    <t>cotinine;nicotine;nitrogen 15;college;pharmacist;pilot study;tobacco dependence;transcranial magnetic stimulation;abstinence;association;brain;brain region;breathing;demography;dopaminergic system;drug dependence;follow up;functional magnetic resonance imaging;nuclear magnetic resonance imaging;prefrontal cortex;pulse rate;relapse;reward;safety;stimulation;withdrawal syndrome</t>
  </si>
  <si>
    <t>Abstract Type: Work in Progress. Background: Transcranial magnetic stimulation (TMS) is a noninvasive tool for modulating brain neuronal activity. High frequency stimulation of the dorsolateral prefrontal cortex (DLPFC) using repetitive TMS (rTMS) is believed to have a modulatory effect on the mesolimbic and mesostriatal dopaminergic systems, areas associated with reward and desire. These pathways are heavily implicated in neurobiological mechanisms of drug addiction. Treatment for nicotine addiction is often unsatisfactory and characterized by high rates of relapse. Cue induced craving (CIC) is a significant factor in relapse to substance use during abstinence. In this study, we will use single-pulse TMS (spTMS) to disrupt CIC by stimulating a cortical brain region enhanced by nicotine cues as assessed by fMRI Objectives: 1) Evaluate the efficacy and safety of spTMS for reducing cue-induced nicotine craving. 2) Identify the brain regions associated with cue-induced craving for nicotine using fMRI. 3) Evaluate if spTMS sessions change the regional brain response to nicotineassociated cues using fMRI. 4) Evaluate if disruption of cue-induced nicotine craving by spTMS is associated with decreased nicotine use. Methods: A 3-week, double-blind, pilot study to test whether 5 days of treatment with spTMS, delivered in association with nicotineassociated visual cues, reduces nicotine craving in healthy nicotinedependent individuals. Subjects will be randomly assigned to receive active spTMS (n = 15) or sham stimulation (n = 15) for 5 days, followed by 2 weeks of weekly follow-up visits. Subjects will participate in MRI scanning before the first and after the last spTMS sessions. fMRI data will be acquired to determine the optimal location for spTMS pulse delivery. During each fMRI session, participants will be exposed to neutral, positive non-drug, and nicotine-associated cues. The second fMRI will evaluate whether spTMS has altered the regional brain response to nicotine-cue-induced craving. Outcomes: We will report subject demographic characteristics, previous substance use, changes in regional brain activation (by fMRI), salivary cotinine, expired breath CO, self-reported craving for nicotine, and self-reported use of nicotine.</t>
  </si>
  <si>
    <t>(Boggs D.L.; Wittenberg G.F.; Kelly D.L.; Marshall V.H.; Holcomb H.H.) (Boggs D.L.; Kelly D.L.; Marshall V.H.; Holcomb H.H.) (Gorelick D.A.) (Wittenberg G.F.) (Holcomb H.H.) 13th Annual Meeting of the College of Psychiatric and Neurologic Pharmacists, CPNP 2010 San Antonio, TX, United States 2010-04-18 to 2010-04-21 SAGE Publications Inc.; ID: 1354</t>
  </si>
  <si>
    <t>Bohan,K. B.;Adome,R. O.;Author,Addresses;Department of Pharmacy Practice, Wilkes,University Wilkes;Barre,United States;Department of Pharmacy, Makerere University,Kampala Uganda;Correspondence,Address;KB Bohan, Department of Pharmacy Practice Wilkes,University Wilkes;Barre,United States</t>
  </si>
  <si>
    <t>Development and Implementation of a pharmaceutical care skills course in Uganda through the Fulbright specialist program</t>
  </si>
  <si>
    <t>e237</t>
  </si>
  <si>
    <t>e238</t>
  </si>
  <si>
    <t>American;clinical pharmacy;college;human;medical specialist;pharmaceutical care;skill;Uganda;counseling;curriculum;drug therapy;health care personnel;interview;learning;model;needs assessment;patient;pharmacy;pharmacy student;problem identification;student;teacher;teaching;teaching hospital;therapy;Ugandan;university;writing</t>
  </si>
  <si>
    <t>PURPOSE: The curriculum of the Bachelors of Pharmacy program at Makerere University (MU) in Kampala, Uganda is primarily didactic and knowledge-based. Although students learn therapeutics in the classroom setting, there is little skills or experiential training provided. The goal of this project was to develop and implement curriculum to train undergraduate pharmacy students in the skills required to perform Pharmaceutical Care (PC) during patient interactions to improve medication use. METHODS: A collaboration between MU and the Fulbright Specialist Program provided support for three trips to Uganda. A needs assessment to inventory the current curriculum and identify gaps in the teaching of knowledge and skills was conducted in trip 1. Findings were used to write learning outcomes and a PC Clinical Skills Lab (PCSL) was developed to meet theses outcomes. It was taught during trip 2 using a train-the-teacher model for faculty development. The PCSL also included an experiential component at the university teaching hospital. Preceptor training materials were developed. During trip 3, the learning outcomes were assessed using OSCEs and reflective writing. RESULTS: In fall 2014, nine classes of the PCSL were taught to both 3rd and 4th year Bachelors of Pharmacy students. Topics included patient interview skills, counseling, communicating with healthcare providers, and drug therapy problem identification and management. During the OSCE, 3rd year students outperformed 4th year students. Reflective writing demonstrated stu-dents were using the new skills to care for patients and improved throughout the term. CONCLUSION: The PCSL successfully taught Ugandan pharmacy students how to interact with patients and collaborate with other healthcare providers to improve medication use. It was well accepted by both students and faculty and will be taught again in Fall 2015.</t>
  </si>
  <si>
    <t>(Bohan K.B.) (Adome R.O.) 2015 Annual Meeting of the American College of Clinical Pharmacy, ACCP 2015 San Francisco, CA, United States 2015-10-17 to 2015-10-21 Pharmacotherapy Publications Inc.; ID: 801</t>
  </si>
  <si>
    <t>Bohan,K. B.;Akajagbor,D.;Adome,R. O.;Author,Addresses;Department of,Pharmacy Practice;Wilkes-Barre,United;School of Pharmacy, D'Youville College,Buffalo United;States;Department of Pharmacy, Makerere University,Kampala Uganda;Correspondence,Address;KB Bohan, Department of Pharmacy Practice,Wilkes University;Wilkes-Barre,United</t>
  </si>
  <si>
    <t>Building capacity to improve medication use in Uganda through a short-term, experiential pharmaceutical care skills training program in the USA for Ugandan pharmacists</t>
  </si>
  <si>
    <t>e236</t>
  </si>
  <si>
    <t>American;clinical pharmacy;college;drug therapy;human;pharmaceutical care;pharmacist;skill;training;Uganda;Ugandan;ambulatory care;aptitude;community hospital;exposure;flight;health care organization;health care personnel;information literacy;medical information;motivation;oral communication;patient;patient care;pharmacy;pharmacy student;school;teaching;university;ward</t>
  </si>
  <si>
    <t>PURPOSE: Most Ugandan pharmacists don't participate in direct patient care or work with other healthcare providers (HCP) to improve medication use because pharmaceutical care (PC) training in their Bachelors of Pharmacy programs is lacking. Literature has shown interprofessional practice (IPP) can improve quality of care. Such collaboration could produce positive outcomes in Uganda but advanced training isn't available in-country. Since it is very difficult for internationally trained pharmacists to qualify for advanced clinical training in the USA, a short-term experiential course in the USA was developed to teach PC skills, instill confidence, and provide direction for improving medication use. METHODS: Two USA schools of pharmacy collaborated with Makerere University Department of Pharmacy in Kampala and the Pharmaceutical Society of Uganda to develop an 8-week experiential training program in the USA. It focused on teaching medical information literacy, improving oral communication with both patients and HCP, and resolving drug therapy problems. Participants funded their J-1 visa and international flight but the American pharmacy schools jointly funded all expenses once in the USA. RESULTS: Two pharmacists were chosen based on their motivation, clinical aptitude, and prior initiatives in starting new programs at their institutions in Uganda. The PC training was similar to Advanced Pharmacy Practice Experiential rotations and included exposure to community, hospital, ambulatory care, and administrative pharmacy practice. Since returning, the participants have become involved in multidisciplinary ward rounds for improving patient care and training pharmacy students and interns in Uganda. They agreed the program not only improved their skills but also increased their confidence to participate in direct patient care. CONCLUSIONS: This opportunity for pharmacists to observe, participate and be mentored in the provision of PC to patients in the USA is unique approach to building capacity to improve medication use in Uganda. It will be repeated in 2015.</t>
  </si>
  <si>
    <t>(Bohan K.B.) (Akajagbor D.) (Adome R.O.) 2015 Annual Meeting of the American College of Clinical Pharmacy, ACCP 2015 San Francisco, CA, United States 2015-10-17 to 2015-10-21 Pharmacotherapy Publications Inc.; ID: 792</t>
  </si>
  <si>
    <t>Bolea,B.;Adamou,M.;Arif,M.;Asherson,P.;Gudjonsson,G.;Muller,U.;Nutt,D. J.;Pitts,M.;Thome,J.;Young,S.</t>
  </si>
  <si>
    <t>ADHD matures: time for practitioners to do the same?</t>
  </si>
  <si>
    <t>Journal of Psychopharmacology</t>
  </si>
  <si>
    <t>Adult;Age Factors;*Attention Deficit Disorder with Hyperactivity/di Diagnosis];Attention Deficit Disorder with Hyperactivity/ec Economics];*Attention Deficit Disorder with Hyperactivity/th Therapy];Follow-Up Studies;Health Services Needs and Demand;Humans</t>
  </si>
  <si>
    <t>Attention deficit and hyperactivity disorder (ADHD) is not restricted to children. Abundant evidence from follow-up studies accumulated since the 1970s supports the concept of ADHD in adulthood. Genetic research points to a heritability of 76%, and neuroimaging studies have reported structural and functional brain abnormalities in patients with ADHD. Contrary to popular belief, ADHD is not a culturally bound disorder and has been described worldwide. ADHD has a cost for society, as adults with this disorder suffer from increased rates of unemployment and psychiatric comorbidity, including substance use disorders. Studies undertaken in forensic populations describe high rates of ADHD in these groups, particularly amongst young offenders. One of the main issues in the diagnosis of ADHD in the adult is the fact that most clinicians have not been educated to diagnose and treat ADHD. Effective pharmacological treatments for ADHD are available and should be prescribed for these patients. The National Institute for Health and Clinical Excellence (NICE) and the British Association for Psychopharmacology (BAP) guidelines established a benchmark for service development required to treat ADHD adequately in the adult population. However, the implementation of new services has been slow. More resources are needed to effectively assess and treat ADHD in the adult.</t>
  </si>
  <si>
    <t>J2: J Psychopharmacol; Bolea, B Adamou, M Arif, M Asherson, P Gudjonsson, G Muller, U Nutt, D J Pitts, M Thome, J Young, S; ID: 179</t>
  </si>
  <si>
    <t>1461-7285</t>
  </si>
  <si>
    <t>Bolea,B. Psychopharmacology Unit, University of Bristol, Bristol, UK. blanca.bolea@bristol.ac.uk</t>
  </si>
  <si>
    <t>http://ovidsp.ovid.com/ovidweb.cgi?T=JS&amp;CSC=Y&amp;NEWS=N&amp;PAGE=fulltext&amp;D=medl&amp;AN=21890596</t>
  </si>
  <si>
    <t>http://dx.doi.org/10.1177/0269881111410898</t>
  </si>
  <si>
    <t>MEDLINE; Ovid Technologies; ADHD matures: time for practitioners to do the same?</t>
  </si>
  <si>
    <t>Bommareddy,M.;Author,Addresses;Correspondence,Address;Bommareddy, Email manasvi hotmail com,M.</t>
  </si>
  <si>
    <t>General awareness of pharmacovigilance programmes in medical students</t>
  </si>
  <si>
    <t>Australasian Medical Journal</t>
  </si>
  <si>
    <t>dihydrotachysterol;drug surveillance program;human;India;medical student;adverse drug reaction;clinical trial (topic);computer program;curriculum;epidemiology;grass;health care personnel;medical practice;medical school;pharmacology;pilot study;population;prevention;questionnaire;sample size;skill;statistical significance;statistics;student;United States;world health organization</t>
  </si>
  <si>
    <t>Introduction Pharmacovigilance is the science and activities relating to the detection, assessment, understanding and prevention of adverse effects or any other drug-related problem.The awareness about clinical trials and pharmacovigilance in India has not reached to it's maximum amongst the health care professionals. One of the key skills that undergraduate medical students should develop during their training is to be prepared for safe medical practice. This concept is usually diluted or ignored in most medical curricula. Medical students should play a more active role in reporting the adverse drug reactions.Aims: To evaluate the level of awareness of Pharmacovigilance programs among medical students. Materials and Methods Study center and population: Students of Kasturba Medical College, Manipal, with a background of pharmacology. 2- 3 months . Study validation: This qualitative questionnaire based study has questions validated by experienced professionals. The study protocol tool was examine and validated by conducting a well designed pilot study. Study sample size: 196, according to WHO Epi info softwar. 325 ScoringA) Questions answered correcLy poinB) Questions answered incorrectly +00 poinC) Questions with multiple answers +01 points for each anser Analysis and management: Descriptive statistics and multiple response analyses will be conducted using SPSS 16 software (SPSS Inc, Chicago, Ill). A p-value less than 0.05 will be considered significant. Results A total of 196 students participated. Among the four categories of the questionnaire survey, students were excellent (&gt;60% reciprocated with positive response) in first one, importance of pharmacovigilance. In the second category, status of PV in india, majority of them had good concept (35% answered excellently, 34% good and 29% gave poor response). In the third one, causality assessment and ADR's reporting many were ignorant (&gt;90% poor knowledge). However they scored better in adverse reactions and events (&gt;50% answered correctly). Conclusions Students scored average and their knowledge was less than expected. Hence it is mandatory to educate students at the grass root level.</t>
  </si>
  <si>
    <t>(Bommareddy M., manasvi_999@hotmail.com) 4th International Medical Students' Research Conference of the Forum for Medical Students' Research (India) Mumbai, India 2011-05-12 to 2011-05-14 Australasian Medical Journal Pty Ltd; ID: 1186</t>
  </si>
  <si>
    <t>1836-1935</t>
  </si>
  <si>
    <t>Boning,J.</t>
  </si>
  <si>
    <t>Addiction memory as a specific, individually learned memory imprint</t>
  </si>
  <si>
    <t>42 Suppl 1</t>
  </si>
  <si>
    <t>S66</t>
  </si>
  <si>
    <t>Animals;Behavior, Addictive/et Etiology];*Behavior, Addictive/pp Physiopathology];Brain/pp Physiopathology];Disease Models, Animal;Humans;*Learning/ph Physiology];*Memory/ph Physiology];Recurrence</t>
  </si>
  <si>
    <t>The construct of "addiction memory" (AM) and its importance for relapse occurrence has been the subject of discussion for the past 30 years. Neurobiological findings from "social neuroscience" and biopsychological learning theory, in conjunction with construct-valid behavioral pharmacological animal models, can now also provide general confirmation of addiction memory as a pathomorphological correlate of addiction disorders. Under multifactorial influences, experience-driven neuronal learning and memory processes of emotional and cognitive processing patterns in the specific individual "set" and "setting" play an especially pivotal role in this connection. From a neuropsychological perspective, the episodic (biographical) memory, located at the highest hierarchical level, is of central importance for the formation of the AM in certain structural and functional areas of the brain and neuronal networks. Within this context, neuronal learning and conditioning processes take place more or less unconsciously and automatically in the preceding long-term-memory systems (in particular priming and perceptual memory). They then regulate the individually programmed addiction behavior implicitly and thus subsequently stand for facilitated recollection of corresponding, previously stored cues or context situations. This explains why it is so difficult to treat an addiction memory, which is embedded above all in the episodic memory, from the molecular carrier level via the neuronal pattern level through to the psychological meaning level, and has thus meanwhile become a component of personality. References: 20]</t>
  </si>
  <si>
    <t>J2: Pharmacopsychiatry; Boning, J; ID: 336</t>
  </si>
  <si>
    <t>1439-0795</t>
  </si>
  <si>
    <t>Boning,J. Clinic for Psychiatry, Psychosomatic Medicine and Psychotherapy, University of Wurzburg, Wurzburg, Germany. jobst.boening@gmx.net</t>
  </si>
  <si>
    <t>http://ovidsp.ovid.com/ovidweb.cgi?T=JS&amp;CSC=Y&amp;NEWS=N&amp;PAGE=fulltext&amp;D=med5&amp;AN=19434557</t>
  </si>
  <si>
    <t>http://dx.doi.org/10.1055/s-0029-1216357</t>
  </si>
  <si>
    <t>MEDLINE; Ovid Technologies; Addiction memory as a specific, individually learned memory imprint</t>
  </si>
  <si>
    <t>Bootman,J. L.;Harrison,D. L.;Cox,E.</t>
  </si>
  <si>
    <t>The health care cost of drug-related morbidity and mortality in nursing facilities</t>
  </si>
  <si>
    <t>Archives of Internal Medicine</t>
  </si>
  <si>
    <t>Arch.Intern.Med.</t>
  </si>
  <si>
    <t>*Cost of Illness;*Drug-Related Side Effects and Adverse Reactions;Humans;*Iatrogenic Disease/ep Epidemiology];Models, Statistical;*Nursing Homes/ec Economics];Pharmacists;Referral and Consultation/ec Economics];United States/ep Epidemiology]</t>
  </si>
  <si>
    <t>BACKGROUND: Preventable drug-related morbidity and mortality within nursing facilities represent a serious problem urgently requiring expert medical attention. The health care costs of drug-related problems can be both immense and avoidable. However, the research to date has been narrow in scope, focusing on the drug costs avoided and failing to consider the wider range of possible negative outcomes and potential drug-related problems. OBJECTIVES: To develop a model of therapeutic outcomes resulting from drug therapy within nursing facilities, to estimate the magnitude of the cost of drug-related morbidity and mortality within nursing facilities in the United States, and to assess the impact of pharmacist-conducted, federally mandated, monthly, retrospective review of nursing facility residents' drug regimens in reducing the cost of drug-related morbidity and mortality. METHODS: Using decision analysis techniques, a probability pathway model was developed to estimate the cost of drug-related problems within nursing facilities. An expert panel consisting of consultant pharmacists and physicians with practice experience in nursing facilities and geriatric care was surveyed to determine conditional probabilities of therapeutic outcomes attributable to drug therapy. Health care utilization and associated costs derived from negative therapeutic outcomes were estimated. RESULTS: Baseline estimates indicate that the cost of drug-related morbidity and mortality with the services of consultant pharmacists was $4 billion compared with $7.6 billion without the services of consultant pharmacists. CONCLUSIONS: Drug-related morbidity and mortality in nursing facilities represent a serious economic problem. For every dollar spent on drugs in nursing facilities, $1.33 in health care resources are consumed in the treatment of drug-related problems. With the current federally mandated drug regimen review, it is estimated that consultant pharmacists help to reduce health care resources attributed to drug-related problems in nursing facilities by $3.6 million.</t>
  </si>
  <si>
    <t>J2: Arch Intern Med; Bootman, J L Harrison, D L Cox, E; ID: 598</t>
  </si>
  <si>
    <t>Bootman,J L. Department of Pharmacy Practice and Science, College of Pharmacy, University of Arizona, Tucson, USA.</t>
  </si>
  <si>
    <t>http://ovidsp.ovid.com/ovidweb.cgi?T=JS&amp;CSC=Y&amp;NEWS=N&amp;PAGE=fulltext&amp;D=med4&amp;AN=9382665</t>
  </si>
  <si>
    <t>MEDLINE; Ovid Technologies; The health care cost of drug-related morbidity and mortality in nursing facilities</t>
  </si>
  <si>
    <t>Borgsdorf,L. R.;Miano,J. S.;Knapp,K. K.</t>
  </si>
  <si>
    <t>Pharmacist-managed medication review in a managed care system</t>
  </si>
  <si>
    <t>American Journal of Hospital Pharmacy</t>
  </si>
  <si>
    <t>Am.J.Hosp.Pharm.</t>
  </si>
  <si>
    <t>Adolescent;Adult;Aged;California;Cost Savings;*Drug Utilization Review/og Organization &amp; Administration];Efficiency;Female;Humans;Male;Managed Care Programs/ec Economics];*Managed Care Programs/st Standards];Middle Aged;*Patient Education as Topic/og Organization &amp; Administration];Pharmaceutical Services/ec Economics];*Pharmaceutical Services/og Organization &amp; Administration];Referral and Consultation</t>
  </si>
  <si>
    <t>A medication-review service at a managed care facility was studied. The service, developed in 1991, provides in-depth analysis of medication use and patient consultation by a pharmacist. Patients are seen by referral. During a visit, the pharmacist reviews each medication for patterns of use, clinical response, and adverse effects and if necessary teaches the patient how to use the drugs more appropriately. The pharmacist may change some aspect of the prescription and may schedule follow-up visits. The investigators reviewed data on (1) medication-related problems for all new patients seen by the pharmacist during the first 12 months of the service, (2) patient demographics for the first 23 months, (3) utilization of the service and pharmacist productivity for the first 23 months, (4) utilization of medications and health care services in a representative subset of patients 12 months before and after they used the service, and (5) costs. A total of 2720 medications were reviewed during months 1-12. On average, 64.9% of the drugs reviewed each month were problematic. A total of 836 patients were seen during the first 23 months; most of the referrals were from physicians. The patients averaged 2.6 diagnoses and 4.7 drugs each and were not dominated by any one age group, gender, diagnosis, or drug therapy. A representative subgroup showed reductions in the number of unscheduled physician visits, urgent care visits, emergency room visits, and hospital days; a savings of $644 per patient per year was calculated. Patients used fewer health services during the year after they began participating in a pharmacist-managed medication-review program.</t>
  </si>
  <si>
    <t>J2: Am J Hosp Pharm; Borgsdorf, L R Miano, J S Knapp, K K; ID: 636</t>
  </si>
  <si>
    <t>Borgsdorf,L R. Kaiser Permanente, Bakersfield, CA.</t>
  </si>
  <si>
    <t>http://ovidsp.ovid.com/ovidweb.cgi?T=JS&amp;CSC=Y&amp;NEWS=N&amp;PAGE=fulltext&amp;D=med3&amp;AN=8010315</t>
  </si>
  <si>
    <t>MEDLINE; Ovid Technologies; Pharmacist-managed medication review in a managed care system</t>
  </si>
  <si>
    <t>Borgsteede,S. D.;Rhodius,C. A.;De Smet,P. A.;Pasman,H. R.;Onwuteaka-Philipsen,B.;Rurup,M. L.</t>
  </si>
  <si>
    <t>PMC3016212; The use of opioids at the end of life: knowledge level of pharmacists and cooperation with physicians</t>
  </si>
  <si>
    <t>European journal of clinical pharmacology</t>
  </si>
  <si>
    <t>Eur.J.Clin.Pharmacol.</t>
  </si>
  <si>
    <t>*Analgesics, Opioid/tu Therapeutic Use];*Attitude of Health Personnel;Female;*Health Knowledge, Attitudes, Practice;Humans;Male;Netherlands;Opioid-Related Disorders;Pain Measurement;*Palliative Care;*Pharmacists;*Physicians;Surveys and Questionnaires;*Terminal Care;0 (Analgesics, Opioid)</t>
  </si>
  <si>
    <t>PURPOSE: What is the level of knowledge of pharmacists concerning pain management and the use of opioids at the end of life, and how do they cooperate with physicians? METHODS: A written questionnaire was sent to a sample of community and hospital pharmacists in the Netherlands. The questionnaire was completed by 182 pharmacists (response rate 45%). RESULTS: Pharmacists were aware of the most basic knowledge about opioids. Among the respondents, 29% erroneously thought that life-threatening respiratory depression was a danger with pain control, and 38% erroneously believed that opioids were the preferred drug for palliative sedation. One in three responding pharmacists did not think his/her theoretical knowledge was sufficient to provide advice on pain control. Most pharmacists had working agreements with physicians on euthanasia (81%), but fewer had working agreements on palliative sedation (46%) or opioid therapy (25%). Based on the experience of most of responding pharmacists (93%), physicians were open to unsolicited advice on opioid prescriptions. The majority of community pharmacists (94%) checked opioid prescriptions most often only after dispensing, while it was not a common practice among the majority of hospital pharmacists (68%) to check prescriptions at all. CONCLUSIONS: Although the basic knowledge of most pharmacists was adequate, based on the responses to the questionnaire, there seems to be a lack of knowledge in several areas, which may hamper pharmacists in improving the quality of care when giving advice to physicians and preventing or correcting mistakes if necessary. If education is improved, a more active role of the pharmacist may improve the quality of end-of-life pharmacotherapy.</t>
  </si>
  <si>
    <t>J2: Eur J Clin Pharmacol; Borgsteede, Sander D Rhodius, Christiaan A De Smet, Peter A G M Pasman, H Roeline W Onwuteaka-Philipsen, Bregje D Rurup, Mette L; ID: 247</t>
  </si>
  <si>
    <t>1432-1041</t>
  </si>
  <si>
    <t>Borgsteede,Sander D. Department Clinical Pharmacology and Pharmacy, VU University Medical Center, Amsterdam, the Netherlands. s.d.borgsteede@amc.uva.nl</t>
  </si>
  <si>
    <t>http://ovidsp.ovid.com/ovidweb.cgi?T=JS&amp;CSC=Y&amp;NEWS=N&amp;PAGE=fulltext&amp;D=med5&amp;AN=20853103</t>
  </si>
  <si>
    <t>http://dx.doi.org/10.1007/s00228-010-0901-7</t>
  </si>
  <si>
    <t>MEDLINE; Ovid Technologies; The use of opioids at the end of life: knowledge level of pharmacists and cooperation with physicians</t>
  </si>
  <si>
    <t>Borins,M.</t>
  </si>
  <si>
    <t>PMC2218356; Biofeedback, relaxation techniques and attitudinal changes in adolescents with migraines</t>
  </si>
  <si>
    <t>Canadian Family Physician</t>
  </si>
  <si>
    <t>From 3.2% to 9% of school-age children suffer from migraine headaches. Many physicians are concerned that pharmacological treatment of migraines can have undesirable side-effects, as well as lead to drug dependence in adolescents. A number of review articles have shown that biofeedback, behaviour modification and relaxation exercises can significantly help migraine sufferers. This article describes a feasibility study undertaken at a West Toronto high school to see if non-pharmacological treatment of migraines was effective.</t>
  </si>
  <si>
    <t>J2: Can Fam Physician; Borins, M; ID: 156</t>
  </si>
  <si>
    <t>0008-350X</t>
  </si>
  <si>
    <t>http://ovidsp.ovid.com/ovidweb.cgi?T=JS&amp;CSC=Y&amp;NEWS=N&amp;PAGE=fulltext&amp;D=prem&amp;AN=21263834</t>
  </si>
  <si>
    <t>MEDLINE; Ovid Technologies; Biofeedback, relaxation techniques and attitudinal changes in adolescents with migraines</t>
  </si>
  <si>
    <t>Borzadek,E. Z.;Holmes,J. T.;Krawtz,D. B.;Author,Addresses;Departments of,Family Medicine;Pharmacy Practice, Idaho State University Pocatello,United States;Correspondence,Address;EZ Borzadek, Departments of,Family Medicine;Pharmacy Practice,Idaho;State University,Pocatello,United States</t>
  </si>
  <si>
    <t>Lost in transition: The benefit of interdisciplinary home-based care following hospitalization</t>
  </si>
  <si>
    <t>e269</t>
  </si>
  <si>
    <t>clinical pharmacy;college;hospitalization;ambulatory care;chronic disease;clinical assessment;counseling;drug therapy;emergency care;fall risk assessment;follow up;health;hospital;hospital patient;human;medicare;nurse practitioner;occupation;patient;pharmacist;polypharmacy;professional practice;risk factor;screening;student;therapy;United States</t>
  </si>
  <si>
    <t>PURPOSE: Idaho has the lowest national 30-day re-hospitalization rate for Medicare beneficiaries at 13.3%, which may be misleading due to limited access to care. A home-based Transition of Care (TOC) clinic was developed to provide safe and effective transitions from acute care to home by utilizing a unique interdisciplinary team of nurse practitioner, clinical pharmacist, and health professions students with electronic medial record (EMR) access in the home; drug-related problems (DRPs) were identified. METHODS: An office-based interdisciplinary TOC clinic was developed in 2006 but evolved into a semi-weekly home-based service in 2011 due to high no-show rates and an inability to thoroughly identify and resolve DRPs. Enrollment criteria for the home-based TOC program included inpatient hospitalization &gt; 48 hours, age Œì√´√ë 65 and one additional risk factor (e.g. Œì√´√ë 2 hospitalizations in the past 6 months, Œì√´√ë 2 chronic illnesses, polypharmacy, Œì√´√ë 2 medication changes, documented history of poor adherence). Services provided were assessment for DRPs, medication counseling and reconciliation, personal medication record development, clinical assessment, depression/dementia screening, fall risk assessment, and assistance with advanced directives. An interim retrospective EMR chart abstraction of documented hospital follow-up was performed to compare DRPs identified at TOC and provider office visits. RESULTS: From October 17, 2011 to June 15, 2012, there were 55 home-based TOC encounters. Interim analysis identified 2.6 DRPs documented per TOC clinic encounter compared to 0.6 DRPs per provider office encounter (p=0.023). The most common DRPs in TOC clinic were secondary to unintentional/intentional non-adherence, incomplete/inaccurate discharge instructions, therapy duplication, and provider-provider/provider-patient miscommunication. A 12-month analysis of identified and classified DRPs and 30-day re-hospitalization rates will be presented. CONCLUSION: An interdisciplinary home-based TOC clinic is effective at identifying DRPs. Although cost-prohibitive in many areas, interdisciplinary home-visit TOC delivery should be further explored.</t>
  </si>
  <si>
    <t>(Borzadek E.Z.; Holmes J.T.; Krawtz D.B.) 2012 Annual Meeting of the American College of Clinical Pharmacy, ACCP 2012 Hollywood, FL, United States 2012-10-21 to 2012-10-24 Pharmacotherapy Publications Inc.; ID: 1114</t>
  </si>
  <si>
    <t>Bossaer,J. B.;Gray,J. A.;Miller,S. E.;Enck,G.;Gaddipati,V. C.;Enck,R. E.;Author,Addresses;Department,of;Pharmacy Practice, Gatton College of Pharmacy East,Tennessee State;University,Johnson City T. N. United States;Philosophy Department, University of Tennessee,Knoxville T.;United,States;Anderson Cancer Center, Houston,T.X.United States;University of Cincinnati,Medical Center;United,States;Department of Internal Medicine, Quillen College,of Medicine;East Tennessee State University, Johnson City,T.N.United States;Correspondence,Address;JB Bossaer, Box Johnson City T N United,States Email;bossaer@etsu.edu</t>
  </si>
  <si>
    <t>23702522; The use and misuse of prescription stimulants as "cognitive enhancers" by students at one academic health sciences center</t>
  </si>
  <si>
    <t>July</t>
  </si>
  <si>
    <t>(MAJOR FOCUS);central stimulant agent;cognition;drug misuse;medical personnel;article;artificial ventilation;drug effect;human;medical student;pharmacy student;university hospital</t>
  </si>
  <si>
    <t>PURPOSE: Prescription stimulant use as "cognitive enhancers" has been described among undergraduate college students. However, the use of prescription stimulants among future health care professionals is not well characterized. This study was designed to determine the prevalence of prescription stimulant misuse among students at an academic health sciences center. METHOD: Electronic surveys were e-mailed to 621 medical, pharmacy, and respiratory therapy students at East Tennessee State University for four consecutive weeks in fall 2011. Completing the survey was voluntary and anonymous. Surveys asked about reasons for, frequency of, and side effects of nonprescription misuse of prescription stimulants. Given the sensitive material, an opportunity to win one of ten $50 gift cards was used as an incentive. RESULTS: Three hundred seventy-two (59.9%) students completed the survey from three disciplines (47.6% medical, 70.5% pharmacy, and 57.6% respiratory therapy). Overall, 11.3% of responders admitted to misusing prescription stimulants. There was more misuse by respiratory therapy students, although this was not statistically significant (10.9% medicine, 9.7% pharmacy, 26.3% respiratory therapy; P = .087). Reasons for prescription stimulant misuse included to enhance alertness/energy (65.9%), to improve academic performance (56.7%), to experiment (18.2%), and to use recreationally/get high (4.5%). CONCLUSIONS: Prescription stimulant misuse was prevalent among participating students, but further research is needed to describe prevalence among future health care workers more generally. The implications and consequences of such misuse require further study across professions with emphasis on investigating issues of academic dishonesty (e.g., "cognitive enhancement"), educational quality, and patient safety or health care quality.</t>
  </si>
  <si>
    <t>(Bossaer J.B., bossaer@etsu.edu; Gray J.A.; Miller S.E.) (Enck G.) (Gaddipati V.C.) (Enck R.E.) Lippincott Williams and Wilkins, 530 Walnut Street,P O Box 327, Philadelphia, United States.; ID: 1009</t>
  </si>
  <si>
    <t>1040-2446 1938-808X (electronic)</t>
  </si>
  <si>
    <t>http://www.ncbi.nlm.nih.gov/pubmed/23702522</t>
  </si>
  <si>
    <t>The use and misuse of prescription stimulants as "cognitive enhancers" by students at one academic health sciences center</t>
  </si>
  <si>
    <t>Bosse,N.;Machado,M.;Mistry,A.;Author,Addresses;Walgreens Patient,Care Centers;College of,Pharmacy;Health Sciences,Boston,M.A.United States;Department of,Pharmacy Practice;College of,Pharmacy;Health Sciences,Boston,M.A.United States;Correspondence,Address;A.,N.Bosse, Walgreens Patient Care Center Weston St Waltham M.;United States Email, neetaroo,aol com</t>
  </si>
  <si>
    <t>22825235; Efficacy of an over-the-counter intervention follow-up program in community pharmacies</t>
  </si>
  <si>
    <t>(MAJOR FOCUS);non prescription drug;follow up;patient compliance;pharmacy;adult;article;drug misuse;female;hospital department;human;major clinical study;male;patient satisfaction;pharmacist;self care;symptom;telephone interview;United States;Public Health, Social Medicine and Epidemiology (17);Drug Literature Index (37)</t>
  </si>
  <si>
    <t>Objective: To evaluate whether patient adherence to appropriate self-care advice from a pharmacist or professional year 4 (PY4) advanced pharmacy practice experience (APPE) student provides satisfactory symptom relief. Setting: Two community pharmacies in the same chain in Massachusetts from mid-December 2009 to June 2010. Practice description: Pharmacists and PY4 APPE students offered a follow-up phone call to patients who were seeking or had accepted the offer for self-care advice for themselves or others for whom they are primary caregivers. Practice innovation: Patients were provided detailed counseling documented on an over-the-counter (OTC) intervention document, administered a point-of-care survey, offered a follow-up phone call(s), and then administered a follow-up survey. Main outcome measures: Patient demographics, point-of-care survey assessing current use and perceived benefit from a pharmacist's consultation, intervention document assessing potential medication-related problems, and follow-up telephone survey assessing patient adherence to advice, symptom relief, and satisfaction with the service. Results: Of the 207 patients offered a follow-up phone call, 83 accepted. Of these, 54 completed one call and 9 completed two calls. Of those who completed one phone call and claimed complete adherence to advice provided, 38 (82.6%) experienced great symptom relief. Three patients followed advice only partially and experienced the same level of improvement. More than 75% of patients classified the follow-up as "very helpful," felt that it led to greater symptom improvement, and would like to see this service offered all of the time. Conclusion: Pharmacist intervention in OTC therapy is widely accepted and can lead to improved patient outcomes.</t>
  </si>
  <si>
    <t>(Bosse N., neetaroo@aol.com) (Machado M.; Mistry A.) American Pharmacists Association, 2215 Constitution Avenue NW, Washington, United States.; ID: 1134</t>
  </si>
  <si>
    <t>1544-3191 1544-3450 (electronic)</t>
  </si>
  <si>
    <t>http://www.ncbi.nlm.nih.gov/pubmed/22825235</t>
  </si>
  <si>
    <t>Efficacy of an over-the-counter intervention follow-up program in community pharmacies</t>
  </si>
  <si>
    <t>Bounda,G. A.;Ngarambe,C.;Ge,W. H.;Yu,F.;Author,Addresses;Department,of Clinical;China Pharmaceutical University, School of Pharmacy Tong Jia,Xiang China;Department,of Pharmacy;Affiliated Drum Tower Hospital of Nanjing,University Medical;Zhongshan Road, Ding Jia,Qiao China;Department of Clinical Medicine, Southeast,University Medical;School,Ding Jia Qiao China;Correspondence,Address;G-A Bounda, Department of Clinical Pharmacy,China Pharmaceutical;University,International Students Hall Apartment Tong Jia Xiang;Nanjing,China Email armelb hotmail com</t>
  </si>
  <si>
    <t>Assessment and evaluation efficacy of a clinical pharmacist-led inpatient warfarin knowledge education program and follow-up at a Chinese tertiary referral teaching hospital</t>
  </si>
  <si>
    <t>Archives of Pharmacy Practice</t>
  </si>
  <si>
    <t>October/December</t>
  </si>
  <si>
    <t>(MAJOR FOCUS);warfarin;anticoagulant therapy;drug information;knowledge;medication therapy management;patient education;pharmacist;adult;aged;article;bleeding;Chinese;clinical article;clinical effectiveness;cross-sectional study;female;follow up;human;interview;length of stay;male;middle aged;observational study;questionnaire;teaching hospital;tertiary care center;young adult;warfarin (129-06-6, 2610-86-8, 3324-63-8, 5543-58-8, 81-81-2);Public Health, Social Medicine and Epidemiology (17);Drug Literature Index (37)</t>
  </si>
  <si>
    <t>Background: Oral anticoagulation therapy with warfarin is used to prevent and to treat venous and arterial thrombosis and embolism. Its narrow therapeutic index should be monitored carefully in order to reach the desired outcomes. Objective: This study aims to evaluate the clinical pharmacist-led in-patient warfarin's knowledge education program and to assess a follow-up efficacy in a Chinese tertiary referral teaching hospital. Design and Setting: A cross-sectional and observational study was conducted at the Affiliated Hospital of Medical College of Nanjing University, a 1460-bed tertiary referral teaching hospital in Nanjing. Materials and Methods: One-on-one interview questionnaire was conducted among 47 Chinese patients who had undergone prosthetic valve replacement. Before the patient education program's implemented, at discharge time and 3 months, 6-9 months and 12 months after surgery were considered as time points. A previously validated 17-item questionnaire was used to measure the patient's knowledge level of warfarin and to assess and evaluate a follow-up efficacy of this patient education program run by a clinical pharmacist. Knowledge scores were compared using the Student's t-test or one-way analysis of variance. Main Outcome Measure: Patients' knowledge on the warfarin education program and warfarin knowledge score, drug therapy problems or bleeding complication events associated to warfarin therapy and evaluation of clinical pharmacist's service provided. Results: Patients mean age was 47.68 ‚î¨‚ñí 9.70 years (range 23-67). The higher education strata had significantly higher warfarin knowledge scores (P &lt; 0.05). In terms of hospital stay post-surgery, compared with other groups, patients with an average of 11-14 days, were found significantly and statically higher knowledgeable in warfarin (P &lt; 0.05). The clinical pharmacist' service was found very satisfying f(80.85%). Conclusion: Chinese patients on warfarin therapy should benefit from periodic educational efforts reinforcing key medication safety information. Patient education is not a once-off procedure. A complete patient education program run by a clinical pharmacist in a Cardio-thoracic ward can considerably improve and enhance to reduce the hospital stays and significantly enlighten the role of the patient education in adherence to therapy.</t>
  </si>
  <si>
    <t>(Bounda G.-A., armelb80@hotmail.com; Yu F.) (Bounda G.-A., armelb80@hotmail.com; Ge W.H.) (Ngarambe C.) Archives of Global Professionals, Regent Court, Sheffield, United Kingdom.; ID: 978</t>
  </si>
  <si>
    <t>2045-080X (electronic)</t>
  </si>
  <si>
    <t>2014020767 FULL TEXT LINK http://dx.doi.org/10.4103/2045-080X.123226</t>
  </si>
  <si>
    <t>Boyadjieva,N.;Author,Addresses;Department of,Pharmacology;Toxicology,Medical Faculty;Medical University,Sofia Bulgaria;Correspondence,Address;Boyadjieva,Department of Pharmacology,N.;Toxicology,Medical Faculty;Medical University,Sofia Bulgaria</t>
  </si>
  <si>
    <t>Teaching pharmacology in the medical faculty of medical university in sofia</t>
  </si>
  <si>
    <t>Autonomic and Autacoid Pharmacology</t>
  </si>
  <si>
    <t>chemical agent;medical school;pharmacology;teaching;university;academic achievement;achievement;acquired immune deficiency syndrome;alternative medicine;animal experiment;arthritis;Asia;awards and prizes;book;brain;Bulgaria;cancer research;clinical competence;college;competition;computer;computer program;dental education;dentist;dentistry;drug abuse;drug interaction;drug mechanism;drug therapy;education;endocrinology;Europe;examination;experimentation;genetics;graduate;homeopathy;immunology;learning;learning theory;lung;medical personnel;medical student;microbiology;molecular biology;motivation;multimedia;neoplasm;neurology;neuropharmacology;nurse;ophthalmology;pain;pathology;peripheral lymphocyte;pharmacokinetics;pharmacy;physician;physiology;prescription;problem based learning;psychiatry;responsibility;school;scientist;specialization;speech;student;teacher;therapy;toxicology;videorecording;vocational education;workshop;writing</t>
  </si>
  <si>
    <t>The Department of Pharmacology and Toxicology at the Medical Faculty in Sofia was founded and started education on pharmacology in 1945. It was the first department teaching pharmacology in Bulgaria. Our department supported the development of pharmacology teaching in the Universities of Varna, Plovdiv, Pleven, Stara Zagora as well as pharmacology teaching in colleges for nurses and medical workers. The department has a history in advancing the progress of pharmacology as a scientific discipline. We offer a broad range of educational opportunities from undergraduate studies to graduate research leading toward the award of M.D. and Ph.D degrees. Our pharmacology education involves undergraduate, graduate degree programs, online pharmacology as well as professional education for medical doctors, dentists, nurses and medical workers. The program of pharmacology education in the Sofia Medical Faculty differs from pharmacy programs. Our program combines pharmacology and drug toxicology into a single unit, focusing on pharmacokinetic, pharmacodynamic, toxicology, drug interactions, prescriptions of drugs, etc., for medical students and doctors. The program contains general, systems, integrative pharmacology and drug toxicology. Students study pharmacology either as part of a medical degree or as part of training to become researchers. The Medical Faculty in Sofia offers PhD training in Pharmacology &amp; Toxicology. The specialization in Pharmacology is available. Currently, 300 medical students and 200 students from Dental School are taking classes and examinations in pharmacology in our department. The department competes to attract able students by offering new courses and options. Problem-based learning (PBL) is gaining interest in many medical schools. Although various approaches have been labelled PBL, it remains unclear which approach is most appropriate for pharmacology courses. There are numerous opportunities in the field of pharmacology available to undergraduate students in our department. The department offers an additional 7 PBL courses (modules) for students each academic year as follows: (1) Pharmacotherapy of chronic disorders; (2) Pharmacology of Pain; (3) Drug Abuse; (4) Pharmacotherapy of disorders in dentistry; (5) Alternative medicine for therapy of social-related diseases; (6) Homeopathy; (7) AIDS: pharmacotherapy. The courses focus on therapeutic and molecular mechanisms of action for various drugs, used in the treatment of a large spectrum of disorders (neuronal, brain, lung, cardio-vascular, gastro-intestinal, muscular, cancers, immune-related diseases, arthritis, AIDS, etc.). Our lectures correlate the effects of drugs and other chemical agents with physiological, biochemical, microbiological, immunological or behavioural factors influencing disease. Each of these courses is closely interwoven with the experimental techniques of biochemistry, cellular and molecular biology, microbiology, genetics, pathology, physiology, etc. The role of the tutor in PBL courses also affects the choice of potential tutors. Lecture-based pharmacology classes are typically taught by established lecturers. PBL courses have tutors-professors from our department. The results demonstrate the high level of interest from students in PBL. For example: 220 students took PBL classes in pharmacology during 2008/2009. The teaching hours were up to 200. The lectures on pharmacology and pharmacotherapy were given by eight professors and six assistant professors. This experience has led to suggestions that the advantages of PBL might manifest particularly in areas such as clinical competence and pharmacotherapy. Our results suggest that there is high rank correlation between assessment of student performance by computer and traditional appraisal by written examination. We incorporated various teaching packages on pharmacology for undergraduate students. The computer-assisted learning is a part of our teaching process. Our department started with multimedia 25 years ago. In this department, the use of computer-assisted learning software incorporating video, sound and animated graphics to replace animal's experiments started 30 years ago. We developed video-films on neuropharmacology, cardiopharmacology, pharmacolgy of pain, lung pharmacology, general pharmacology, etc. and our films demonstrate experimental benefits in teaching on pharmacology and drug toxicology. We also developed written exams on pharmacology for medical students in Bulgaria and published books with test questions in field of pharmacology. Our department has a high level of respect due to the publication of books on pharmacology. Our staff published 21 teaching books and up to 200 teaching chapters for medical students, students in dentistry, pharmacy, nurses, etc. in the last 20 years. Moreover, we proposed the first new pharmacology book in Bulgaria with illustrations/figures and textbooks for practice. Our department, together with the Department of Biochemistry were the first to make presentations about online pharmacology education at the International Meeting in 2000. Subsequently the online teaching of pharmacology was developed and accepted in 2008 as a support for teaching. Additionally, medical students have the option to test their pharmacological learning by using online tests developed by the department's staff. We pioneered a new method in the education of medical students named 'Written pharmacological chapters and competition for presentation' (WPC) in 2004. Each student has to write four pages on scientific question in field of pharmacology. Then, seven groups of professors and assistant professors in pharmacology score the written chapters and select the best of them for further competition and presentations. The department organizes the scientific-educational workshop each year in May. Students who won the competition present their posters or oral presentations. It is a big scientific meeting with a lot of students, teachers, and medical doctors. It is a great achievement in education on pharmacology. Posters presented news in various fields in pharmacology, analysis of students, information about scientific studies, etc. Multimedia oral presentations given by students provided training in publicly communicating the science of pharmacology. The results from last competition in 2009 were: (1) 250 students from 3rd medical course wrote the chapters; (2) the average score was 5.50; (3) the best chapters with score 6.00 + where written by 55 medical students; (4) Oral presentations were made by eight students, posters presented by 38 students; (5) 200 students and guests participated in the scientific meeting and discussions. The results demonstrated factual knowledge in the field of pharmacology. Although the presentation of pharmacological facts in a clinical and scientific context is likely to enhance medical student motivation to study pharmacology, based on learning theories a further enhancement of motivation can be expected by this new method in our department. We observed improved self-determination and responsibility in the students. We also observed that medical students were more able to take responsibility for defining and achieving their own learning objectives in pharmacology. Taken together, it appears that our new system of teaching pharmacology enhances the quality of education. We started teaching pharmacology for English speaking students in the Medical University in Sofia in 2003. We publish programs, tests, lectures, etc in English. The new module on 'Core information on pharmacotherapy of chronic disorders' was developed for them in 2007. The department also created the 'Writing pharmacological chapter and competition for presentation'. The results from last competition of English speaking students were: (1) All 24 students wrote chapters; (2) The average score was excellent (5.75); (3) All students made oral presentation during workshop in May 2009. The unique opportunity for undergraduate and graduate education in pharmacology, toxicology and pharmacotherapy is the First Science-Educational School (SES) for capable medical students. The department of Pharmacology and Toxicology organized the school in 2007. Approximately 70-80 students took lectures, seminars, workshops, posters discussions, etc. each year. The students with high motivation and qualifications are admitted to the school. The aims are to introduce the clinical, scientific and fundamental concepts in pharmacotherapy to students, to develop medical doctor-scientist from the 3rd year of study in our university. Students have a chance to learn a lot of from various great Bulgarian and European medical doctors and scientists. The close relationship of the students with Acad. E. Golovinsky, Acad. C. Cvetanov, Acad. P. Vasileva from the Bulgarian Academy of Science plays a role in their scientific/educational motivation. The school celebrated its 2 year anniversary in May 2009. Students enrolled at the school to study pharmacology, commenced their research projects where they are engaged in developing new experimental pharmacological products. The students have learned about and met great Bulgarian scientists in fields of endocrinology, neurology, pharmacology, cancer research, immunology, psychiatry, ophthalmology, molecular biology, microbiology. The students learned about and celebrated the progress in medicine made by our teachers and great scientists as Acad. R. Tzanev, Acad. T. Tashev, Acad. Ch. Nachev, Acad. I. Puhlev, Acad. I. Penchev, Acad. D. Pashov, Acad. V. Petkov, Acad. C. Angelov, Prof. D. Paskov, Prof. C. Stoichev, Prof. N. Shipkovenski, Prof. H. Gelinov, Prof. A. Spasov, etc. The SES students met the leaders in medicine from Bulgaria, USA, Europe and Asia. This has led to a high level of interest in SES.</t>
  </si>
  <si>
    <t>(Boyadjieva N.) 6th National Congress of Pharmacology Varna, Bulgaria 2009-10-01 to 2009-10-04 Blackwell Publishing Ltd; ID: 1368</t>
  </si>
  <si>
    <t>1474-8665</t>
  </si>
  <si>
    <t>Brackins,T.;Brahm,N. C.;Kissack,J. C.;Author,Addresses;Pharmacy Practice,Harding,University College;of Pharmacy,United States;Department of,Pharmacy Practice;Administrative;Services-Tulsa,University;Correspondence,Address;Brackins, Pharmacy Practice Harding University College of Pharmacy,T.;United,States</t>
  </si>
  <si>
    <t>Aripiprazole: A review for efficacy in methamphetamine use comorbidities in two psychiatric patient populations</t>
  </si>
  <si>
    <t>(MAJOR FOCUS);aripiprazole;methamphetamine;dopamine;partial agonist;college;human;mental patient;pharmacist;population;abuse;bipolar disorder;bipolar I disorder;community;documentation;food and drug administration;group therapy;hospital patient;major depression;medical record review;mental disease;mixed mania and depression;neurophysiology;patient;pharmacology;restlessness;schizophrenia;serotoninergic system;substance abuse;systematic review;therapy;withdrawal syndrome</t>
  </si>
  <si>
    <t>Background: Aripiprazole, a dopamine D2 receptor partial agonist, may represent one option for the treatment of methamphetamine abuse and dependence. It is currently approved by the Food and Drug Administration (FDA) for psychomotor agitation secondary to bipolar disorder, adjunctive therapy for acute manic or mixed episodes in bipolar I disorder, adjunctive therapy for major depressive disorder, and schizophrenia, with or without psychomotor agitation. Because it has activity in dopamine and serotonin systems, use as a treatment option to attenuate the cravings associated with methamphetamine (METH) use has been investigated. To date, the results have been inconclusive. This systematic review will focus on a review of the literature and use of aripiprazole in the treatment of 2 psychiatric patient populations, an inpatient and a community-based integrated multidisciplinary program of assertive community treatment, to evaluate if the use of psychiatric disorders was associated with changes in METH use/abuse and dependence. Objective: The objective of this review is 2-fold: to analyze the literature on the effects of aripiprazole as a treatment strategy for METH abuse and dependence. This will include a brief overview of the pharmacology of aripiprazole and how this may impact the neurophysiology of substance abuse and a review of the mechanism of action of aripiprazole, as it is currently understood, and how this might represent a treatment option for METH use/abuse and dependence. The second focus will be on the value of a psychiatric pharmacist addressing the needs of patients with substance abuse issues. Methods: A comprehensive literature review was conducted on the use of aripiprazole as a treatment strategy for METH use/abuse and dependence. Five articles meeting criteria for review were identified. Findings from these studies were compared to retrospective chart reviews from 2 psychiatric populations to determine if the use of aripiprazole was associated with changes in METH use. Outcomes: We will report the findings from a retrospective review of chart documentation following initiation of aripiprazole for psychiatric disorders to assess if changes in METH were reported.</t>
  </si>
  <si>
    <t>(Brackins T.; Kissack J.C.) (Brahm N.C.) 14th Annual Meeting of the College of Psychiatric and Neurologic Pharmacists, CPNP 2011 Phoenix, AZ, United States 2011-05-01 to 2011-05-04 Sage Publications; ID: 1276</t>
  </si>
  <si>
    <t>Brahm,N. C.;Davis,T.;Author,Addresses;University,of Oklahoma;of Pharmacy, Department of Pharmacy,Practice Clinical;Administrative;Sciences,Tulsa O. K. United States;Correspondence,Address;NC Brahm, University of Oklahoma College of Pharmacy,Department of;Pharmacy Practice,Clinical;Administrative Sciences,E. st;Street,H. T.;nancy,brahm ouhsc edu</t>
  </si>
  <si>
    <t>Psychiatric pharmacy delivery via an online course: Psychoactive substances</t>
  </si>
  <si>
    <t>Currents in Pharmacy Teaching and Learning</t>
  </si>
  <si>
    <t>(MAJOR FOCUS);psychotropic agent;curriculum development;online system;pharmacy student;article;mental disease;paramedical education;priority journal;substance abuse;United States;Public Health, Social Medicine and Epidemiology (17);Pharmacy (39)</t>
  </si>
  <si>
    <t>Data from the 2001 World Health Organization (WHO) report and the National Epidemiologic Survey on Alcohol and Related Conditions, published in 2004, outlined the scope of the mental illness problem, including substance-related disorders. The WHO estimates that one-quarter of all families have at least one member with a mental illness. In the United States, comorbid substance use disorders, as reported in the National Epidemiologic Survey on Alcohol and Related Conditions report, are estimated to be approximately 10% for a one-year period. Preparation of future pharmacists for new practice settings, at-risk patient populations, and an increased need for information about mental illnesses may require colleges of pharmacy to review where the curriculum can be changed or augmented. The extent to which asynchronous (operating without fixed time intervals) learning methodology can be adapted to meet these challenges has not been fully explored. When the search terms psychiatric pharmacy, psychoactive substances, online learning, and asynchronous learning were used, reports of previously developed courses for this area were not found. We report the development of an online elective in psychoactive substances delivered asynchronously. The Curriculum Committee approved the course. The University of Oklahoma Health Sciences Center Institutional Review Board authorized the student survey of their learning experience. Course development was completed before delivery. Feedback was solicited via focus group methodology and college-conducted student course survey evaluation. Input was positive and provided constructive suggestions for improvement, additional courses for an online delivery format, and the feasibility of online education in the psychiatric pharmacy curriculum. ‚î¨‚åê 2010 Elsevier Inc.</t>
  </si>
  <si>
    <t>(Brahm N.C., nancy-brahm@ouhsc.edu; Davis T.) Elsevier Inc., 360 Park Avenue South, New York, United States.; ID: 1330</t>
  </si>
  <si>
    <t>1877-1297</t>
  </si>
  <si>
    <t>2010543187 FULL TEXT LINK http://dx.doi.org/10.1016/j.cptl.2010.07.007</t>
  </si>
  <si>
    <t>Brahm,N. C.;Davis,T. S.;Author,Addresses;University of,Oklahoma;College of Pharmacy, Department of Pharmacy Practice,Clinical and;Administrative Sciences,Tulsa,O.K.United States;Correspondence,Address;NC Brahm, University of Oklahoma College of Pharmacy,Department of;Pharmacy Practice,Clinical;Administrative Sciences,E. st;Street,Tulsa O.K.United States Email nancy-brahm ouhsc edu</t>
  </si>
  <si>
    <t>Development of a psychiatric pharmacy elective track</t>
  </si>
  <si>
    <t>antidepressant agent;neuroleptic agent;curriculum development;paramedical education;pharmacy;psychiatric pharmacy;article;health care personnel;health care system;human;medical research;mental disease;patient;pharmacist;pharmacy student;postgraduate education;priority journal;professional development;professional knowledge;schizophrenia;study skills;substance abuse;traumatic brain injury;Public Health, Social Medicine and Epidemiology (17);Drug Literature Index (37)</t>
  </si>
  <si>
    <t>Introduction: Development of expertise in new pharmacy graduates is the gradual transition from novice to expert. Information on the development of specialty knowledge at the student level in pharmacy curricula has not been published extensively. Methods: This paper reports an overview of the development of a psychiatric pharmacy elective track at the University of Oklahoma College of Pharmacy to help professional pharmacy students gain expertise in a selected area of interest. Results: An elective track in psychiatric pharmacy with didactic and advanced pharmacy practice experiences is described. Curricular development is outlined and includes lessons learned. Advanced pharmacy practice experiences, both patient-based and research-focused, are discussed. Personal investment in the process by interested students and faculty, in addition to the resources needed to foster the process toward expertise, are highlighted. Conclusions: Professional development is an integral part of the advancement from novice to expert. Elective tracks with focused areas of study may facilitate this development. ‚î¨‚åê 2012 Elsevier Inc.</t>
  </si>
  <si>
    <t>(Brahm N.C., nancy-brahm@ouhsc.edu; Davis T.S.) Elsevier Inc., 360 Park Avenue South, New York, United States.; ID: 1099</t>
  </si>
  <si>
    <t>2012565169 FULL TEXT LINK http://dx.doi.org/10.1016/j.cptl.2012.05.001</t>
  </si>
  <si>
    <t>Brahm,N. C.;Davis,T. S.;Richard,M. D.;Stilwell,E. N.;Author,Addresses;University of,Oklahoma;College of Pharmacy, Department of Pharmacy Practice,Clinical and;Administrative Services, Schusterman Campus Tulsa,United States;Correspondence,Address;NC Brahm, University of Oklahoma College of Pharmacy,Department of;Pharmacy Practice,Clinical;Administrative Services,Schusterman Campus;Tulsa,United States</t>
  </si>
  <si>
    <t>Student perceptions on the use of blackboard to deliver course materials in a psychiatric pharmacy elective</t>
  </si>
  <si>
    <t>college;pharmacist;pharmacy;student;addiction;audiovisual equipment;curriculum;education;examination;feedback system;information processing;learning;qualitative analysis;satisfaction;school;therapy;writing</t>
  </si>
  <si>
    <t>Abstract Type: Original Research. Background: The extent to which the availability of psychiatric pharmacy education in colleges and schools of pharmacy curriculum is addressed was evaluated by Cates and colleagues using a mailed survey instrument to these institutions. In 2007, there were 91 potential responders. Information was received from 49 of 91 colleges or schools (a 54% return). Twenty-six colleges and schools (53%) considered psychiatric pharmacy a curriculum content focus although only about one-fourth of the institutions offered elective didactic courses in psychiatric pharmacy. With regards to substance-related disorders, approximately 20% of the institutions did not cover this topic in clinical therapeutics courses. If included, the amount of instruction clinical therapeutics courses averaged about 3 hours. Objective: To determine the value of using online learning via Blackboard in the professional program in pharmacy as perceived by the student stakeholders in a psychiatric pharmacy elective. Methods: Students enrolled in the Psychoactive Substances elective course participated in a focus group session. Students were asked a series of open-ended questions. The responses were recorded in writing for qualitative analysis by the researchers. Results: All students (17) participated in the focus group. When asked about some of their thoughts regarding the online learning experience, 100% requested additional courses. Satisfaction with the course was rated good or excellent by 100%. Feedback regarding changes for the course included the addition of a midterm examination and more peer-to-peer learning opportunities. Students were satisfied with the instructor use of Blackboard (100%). Conclusions: Student feedback was positive. They expressed satisfaction with the course, delivery style, (e.g.,movies, websites, peer-to-peer discussions), information covered, and learning experience. They requested additional courses with this format, offered suggestions for future courses, and requested the addition of a midterm examination.</t>
  </si>
  <si>
    <t>(Brahm N.C.; Davis T.S.; Richard M.D.; Stilwell E.N.) 13th Annual Meeting of the College of Psychiatric and Neurologic Pharmacists, CPNP 2010 San Antonio, TX, United States 2010-04-18 to 2010-04-21 SAGE Publications Inc.; ID: 1355</t>
  </si>
  <si>
    <t>Brahm,N. C.;Fast,G. A.;Author,Addresses;Department,of Pharmacy;Administrative Sciences, University of Oklahoma College of,Pharmacy E.;st Street,Tulsa,O.K.United States;Outpatient Psychiatry,Wichita,K.S.United States;Correspondence,Address;NC Brahm, University of Oklahoma College of Pharmacy,E.st Street;Tulsa,O. K. U.</t>
  </si>
  <si>
    <t>Exacerbation of psychosis: A case of possible varenicline-mediated effects in an intellectually disabled adult</t>
  </si>
  <si>
    <t>Clinical Schizophrenia and Related Psychoses</t>
  </si>
  <si>
    <t>(MAJOR FOCUS);varenicline (adverse drug reaction, drug dose, drug therapy);carbamazepine (drug therapy);escitalopram (drug therapy);haloperidol (drug therapy);ziprasidone (drug dose, drug therapy);intellectual impairment;psychosis (side effect, diagnosis, drug therapy, side effect, therapy);tobacco dependence (drug therapy);adult;aggression;article;auditory hallucination (side effect);behavior disorder (side effect);behavior therapy;case report;depression (drug therapy);drug dose increase;drug dose titration;drug withdrawal;health care facility;human;long term care;male;mental deficiency (drug therapy);morning dosage;obsessive compulsive disorder (drug therapy);paranoia (drug therapy, side effect);patient attitude;patient compliance;seizure (drug therapy);side effect (side effect);smoking cessation;verbal hostility;carbamazepine (298-46-4, 8047-84-5);escitalopram (128196-01-0, 219861-08-2);haloperidol (52-86-8);varenicline (249296-44-4, 375815-87-5);ziprasidone (118289-78-4, 122883-93-6, 138982-67-9, 199191-69-0);Psychiatry (32);Drug Literature Index (37);Adverse Reactions Titles (38);Drug Dependence, Alcohol Abuse and Alcoholism (40)</t>
  </si>
  <si>
    <t>Varenicline represents a new agent available to aid smoking cessation. A twenty-five year old, white male with diagnoses of Psychosis Not Otherwise Specified, Antisocial Personality Disorder, nicotine dependence, and mild mental retardation with food obsession, paranoia, and a seizure disorder, was well controlled with a regimen of ziprasidone and haloperidol for paranoia and psychosis, escitalopram for obsessiveness, and carbamazepine for seizures. He became increasingly paranoid following the addition of varenicline for smoking cessation. An increase in ziprasidone resolved paranoid symptoms. Concurrent use of ziprasidone, haloperidol and carbamazepine may have provided more psychiatric stability in this patient. There may exist a subset of patients for whom use of varenicline may increase the risk of breakthrough psychosis or mania. This case report was accepted for a poster presentation at the 2008 College of Psychiatric &amp; Neurologic Pharmacists Annual Meeting, April 13-16, 2008, Scottsdale, AZ.</t>
  </si>
  <si>
    <t>(Brahm N.C., nancy-brahm@ouhsc.edu) (Fast G.A.) Walsh Medical Media, LLC, P.O. Box 193, Montvale, NJ 07645, United States.; ID: 1454</t>
  </si>
  <si>
    <t>1935-1232</t>
  </si>
  <si>
    <t>2008509747 FULL TEXT LINK http://dx.doi.org/10.3371/CSRP.2.3.7</t>
  </si>
  <si>
    <t>Brandt,N.;Hardesty,J.;Doshi,J.;Author,Addresses;Clinical;Education Program, Peter Lamy,Center Baltimore;Md,United States;Dept of Geriatric Pharmacotherapy, Univ of Maryland,School of;Pharmacy,Baltimore M. D. United States;Univ of Maryland School,of Pharmacy;States;Correspondence,Address;Brandt,Clinical,N.;Education Program, Peter Lamy Center,Baltimore M.;United,States</t>
  </si>
  <si>
    <t>The 19th Annual Peter Lamy Conference: 'High-Tech' and 'High-Touch' Strategies to Improve Geriatric Medication Use</t>
  </si>
  <si>
    <t>antidepressant agent;cholinesterase inhibitor;neuroleptic agent;drug use;geriatric care;pharmaceutical care;technology;aged;computer program;conference paper;drug information;drug misuse (prevention);drug monitoring;drug safety;health care management;health care quality;health care system;human;information system;Internet;minicomputer;patient care;patient counseling;patient education;personal data assistant;prescription;United States;Public Health, Social Medicine and Epidemiology (17);Gerontology and Geriatrics (20);Biophysics, Bioengineering and Medical Instrumentation (27);Health Policy, Economics and Management (36)</t>
  </si>
  <si>
    <t>In October 2002, the Peter Lamy Center-one of the foremost U.S. institutions dedicated to geriatric pharmacotherapy research and education-convened its 19th annual conference on strategies for integrating innovative technology and to optimize medication outcomes in the senior population. This article summarizes selected highlights of the daylong conference.</t>
  </si>
  <si>
    <t>(Brandt N.) (Doshi J.) (Hardesty J.); ID: 1594</t>
  </si>
  <si>
    <t>Bremberg,E. R.;Hising,C.;Nylen,U.;Ehrsson,H.;Eksborg,S.</t>
  </si>
  <si>
    <t>An evaluation of pharmacist contribution to an oncology ward in a Swedish hospital</t>
  </si>
  <si>
    <t>Journal of Oncology Pharmacy Practice</t>
  </si>
  <si>
    <t>Adult;Aged;Aged, 80 and over;*Drug Utilization/st Standards];Drug-Related Side Effects and Adverse Reactions;Female;Humans;Male;Medication Errors/pc Prevention &amp; Control];Middle Aged;Neoplasms/dt Drug Therapy];Nurses;*Oncology Service, Hospital;*Patient Care Team;Pharmaceutical Preparations/ad Administration &amp; Dosage];*Pharmacists;Pharmacy Service, Hospital/ma Manpower];Physicians;*Professional Role;Quality Assurance, Health Care/mt Methods];*Quality Assurance, Health Care/og Organization &amp; Administration];Surveys and Questionnaires;Sweden;0 (Pharmaceutical Preparations)</t>
  </si>
  <si>
    <t>AIM: The aim of this project was to establish the importance of a pharmacist in the health-care team in improving drug use in an oncology ward in the Department of Oncology, Karolinska University Hospital, Stockholm, Sweden. METHODS AND PATIENTS: The pharmacist participated in the medical round in the mornings and worked as a member of the health-care team. Drug-related problems (DRPs) were identified by drug chart reviews based on data from medical files, laboratory tests and interviews with patients and/or relatives. A questionnaire to physicians and nurses was used to evaluate their experiences of the pharmacist's contribution to the oncology ward. RESULTS: In total, 114 DRPs were identified in 58 patients. For each DRP, the pharmacist gave proposals for solutions. Sixty-eight suggestions out of 114 (59.6%) were implemented by the physician. Two suggestions (1.8%) were partly followed. For 32 suggestions (28.0%) it was unclear if they had caused any change in medication. Twelve suggestions (10.5%) were not followed. Most of the physicians and nurses acknowledged the pharmacist's contribution to improved drug use in the ward. CONCLUSION: A pharmacist can improve drug use in an oncology ward as a member of the health-care team. The pharmacist contributes with a systematic focus on the patient from a drug perspective.</t>
  </si>
  <si>
    <t>J2: J Oncol Pharm Pract; Bremberg, Eva Ramme Hising, Christina Nylen, Urban Ehrsson, Hans Eksborg, Staffan; ID: 414</t>
  </si>
  <si>
    <t>1078-1552</t>
  </si>
  <si>
    <t>Bremberg,Eva Ramme. Karolinska Pharmacy, Karolinska University Hospital, Stockholm, Sweden. eva.bremberg@karolinska.se</t>
  </si>
  <si>
    <t>http://ovidsp.ovid.com/ovidweb.cgi?T=JS&amp;CSC=Y&amp;NEWS=N&amp;PAGE=fulltext&amp;D=med5&amp;AN=16984745</t>
  </si>
  <si>
    <t>MEDLINE; Ovid Technologies; An evaluation of pharmacist contribution to an oncology ward in a Swedish hospital</t>
  </si>
  <si>
    <t>Brennan,J. L.;Fabian,T.;Author,Addresses;Western Psychiatric Institute, Clinic,of Upmc;United,States;University of Pittsburgh, School of Pharmacy,United States;Correspondence,Address;JL Brennan, Western Psychiatric Institute Clinic of Upmc,United States</t>
  </si>
  <si>
    <t>Reversal of Korsakoff's syndrome following high dose intramuscular thiamine</t>
  </si>
  <si>
    <t>(MAJOR FOCUS);thiamine;alcohol;benzodiazepine derivative;college;drug megadose;human;Korsakoff psychosis;pharmacist;acute kidney failure;aggression;agitation;alcohol liver cirrhosis;alcohol withdrawal;alcoholism;beer;case report;Caucasian;cognitive defect;confabulation;diagnosis;diseases;drug dose regimen;female;gout;hospital patient;hospitalization;hypertension;intramuscular drug administration;liver;liver graft;long term care;low drug dose;medical history;Medline;nursing home;patient;prognosis;retrograde amnesia;supplementation;therapy;Wernicke encephalopathy</t>
  </si>
  <si>
    <t>Type: TherapeuticCaseReport.Background:Korsakoff's syndrome (KS) is a late, neuropsychiatric manifestation of Wernicke's encephalopathy (WE) in which there is a striking disorder of selective anterograde and retrograde amnesia. Treatment of suspected WE includes immediate high dose (500 mg three times daily) intravenous (IV) or intramuscular (IM) administration of thiamine to restore depleted levels.While norandomizedtrials support this high dose regimen, this approach is clinically justified when lower doses fail. OnceWEprogresses to KS, the prognosis is poor, with only about 20-25% of patients experiencing a full recovery if properly treated. Patient- History: The patient is a 50 year old Caucasian female with a past medical history significant for liver transplant in 2000 status post alcoholic cirrhosis, alcohol dependence, hypertension, gout, acute kidney injury and history of QTc prolongation. The patient's social history includes a long history of severe alcohol dependency, consuming 2-3 half gallons of liquor or 2-3 cases of beer weekly. Patient's recently estranged husband reports 12-15 hospitalizations for alcohol detoxificationsince her liver transplant.During a recent hospitalization at an outside facility, patient was treated with low dose benzodiazepines for alcohol withdrawal. Patient was lucid on admission; however, with no thiamine supplementation, patient developed worsening confusion, agitation, aggression and confabulation. She was discharged after nineteen days with a diagnosis of cognitive disorder, not otherwise specified and referred to a nursing home for long term care. The family admitted the patient to our institution for further evaluation and treatment. A diagnosis of KS was suspected, benzodiazepines were discontinued and thiamine 500 mg IM was initiated. Thiamine was continued at this high dose while inpatient for fourteen days, and the patient recovered fully. Review of Literature: A PubMed search revealed a published case report of reversal of KS after delay of treatment by four months. No other similar case reports were found. Conclusion: Even though initiation of high dose thiamine IM did not occur until approximately three weeks after WE onset, the two week course of treatment produced a full reversal of KS that had developed as a result of delayed thiamine therapy.</t>
  </si>
  <si>
    <t>(Brennan J.L.; Fabian T.) (Fabian T.) 16th Annual Meeting of the College of Psychiatric and Neurologic Pharmacists, CPNP 2013 Colorado Springs, CO, United States 2013-04-21 to 2013-04-24 SAGE Publications Inc.; ID: 1023</t>
  </si>
  <si>
    <t>Breslin,T. M.;Kulik,A. J.;Bugalski Stutrud,C. A.;Bowers,C. J.;Smith,G. B.;Mendez,J.;Afonso,N. M.;Waites,C. C.;O'Connell,M. B.;Author,Addresses;Wayne State University, Eugene Applebaum College of,Pharmacy and;Health Sciences,Detroit,United States;Wayne State University, College of,Social Work;Detroit,United States;Wayne State University, School of Medicine,Detroit United;States;Oakland University, William Beaumont School,of Medicine;Rochester,United States;Correspondence,Address;TM Breslin, Wayne State University Eugene Applebaum College,of Pharmacy;and Health Sciences, Detroit,United States</t>
  </si>
  <si>
    <t>Assessment of student pharmacist learning from a multidisciplinary older adult home visit</t>
  </si>
  <si>
    <t>422e</t>
  </si>
  <si>
    <t>423e</t>
  </si>
  <si>
    <t>adult;clinical pharmacy;college;human;learning;pharmacist;professional practice;student;achievement;aging;daily life activity;drug therapy;environment;fall risk;health;health care delivery;home environment;medical student;patient;patient assessment;personality;pharmacy;physician;professionalism;qualitative research;skill;statistics</t>
  </si>
  <si>
    <t>PURPOSE: To assess achievement of pharmacy experiential goals designed to enhance student learning related to aging, social constructs, patient assessment, physician roles, team care, and home visits from a multidisciplinary team experience with older adults in their homes. METHODS: 83 pairs of a third-year student pharmacist and secondyear medical student assessed an older adult in his/her home. Student pharmacists performed a comprehensive medication review, identified drug-related problems, and with a pharmacy preceptor created a recommendation letter and medication calendar, which were given to the older adult. Medical students assessed fall risk and activities of daily living. Student pharmacists completed a post-visit learning survey related to curricular goals. Survey questions were analyzed utilizing descriptive statistics (SPSS v19). Open-ended questions were analyzed using qualitative research techniques, resulting in learning themes. RESULTS: Sixty-six percent of students reported increased understanding about social influences on medication use. Students thought (&gt; 70% responses) team care was more comprehensive, could improve patient outcomes, and would be important to their professional success. Most students (96%) believed the home visit resulted in additional information that could improve health care delivery. Based on qualitative findings, students learned that older adults were more active, independent, and knowledgeable about their health than expected. They felt the medical students were empathetic toward the older adult and demonstrated positive personality traits, professionalism, and good interviewing skills. Students described multidisciplinary team care as important and provider roles complementary. The home visits were noted to provide an environment more comfortable for the older adult as they were quite amiable, communicative, and receptive to information provided by the team. Most students (86%) indicated the project was worthwhile and would recommend it to other students. CONCLUSION: Multidisciplinary training with older adults in a home environment was a good learning opportunity for the students.</t>
  </si>
  <si>
    <t>(Breslin T.M.; Kulik A.J.; Bugalski Stutrud C.A.; Smith G.B.; O'Connell M.B.) (Bowers C.J.; Waites C.C.) (Mendez J.) (Afonso N.M.) 2011 Annual Meeting of the American College of Clinical Pharmacy Pittsburgh, PA, United States 2011-10-16 to 2011-10-19 Pharmacotherapy Publications Inc.; ID: 1222</t>
  </si>
  <si>
    <t>Bressler,L. R.;Geraci,M. C.;Schatz,B. S.</t>
  </si>
  <si>
    <t>Misperceptions and inadequate pain management in cancer patients</t>
  </si>
  <si>
    <t>DICP</t>
  </si>
  <si>
    <t>Analgesics/ae Adverse Effects];Analgesics/tu Therapeutic Use];Attitude of Health Personnel;Drug Tolerance;Humans;Narcotics/ae Adverse Effects];Narcotics/tu Therapeutic Use];*Neoplasms/dt Drug Therapy];Neoplasms/pp Physiopathology];*Pain, Intractable/dt Drug Therapy];*Palliative Care/st Standards];Pharmacists;Substance-Related Disorders;0 (Analgesics);0 (Narcotics)</t>
  </si>
  <si>
    <t>This article examines misperceptions and barriers to adequate pain relief in cancer patients. Healthcare professionals have gaps in their knowledge of opioid drugs as well as misconceptions concerning tolerance, physical dependence, and addiction that often lead to the underprescribing of these agents. The pervasiveness of the "say no to drugs" message in our society and the fear of addiction on the part of patients and their families creates yet another barrier to the legitimate use of opioids to treat cancer pain. Legal and regulatory documents filled with arbitrary and ill-defined labels meant to promote the legitimate use of these drugs and curtail their misuse may instead intimidate healthcare professionals and negatively influence prescribing habits. Increased educational efforts for pharmacists and other healthcare professionals as well as the development of clinical role models and state cancer pain initiatives are cited as means to break down these barriers in order to achieve adequate pain relief for all cancer patients. References: 36]</t>
  </si>
  <si>
    <t>J2: Dicp; Bressler, L R Geraci, M C Schatz, B S; ID: 666</t>
  </si>
  <si>
    <t>1042-9611</t>
  </si>
  <si>
    <t>Bressler,L R. Department of Pharmacy Practice, College of Pharmacy, University of Illinois, Chicago 60612.</t>
  </si>
  <si>
    <t>http://ovidsp.ovid.com/ovidweb.cgi?T=JS&amp;CSC=Y&amp;NEWS=N&amp;PAGE=fulltext&amp;D=med3&amp;AN=1722370</t>
  </si>
  <si>
    <t>MEDLINE; Ovid Technologies; Misperceptions and inadequate pain management in cancer patients</t>
  </si>
  <si>
    <t>Brewer,C.;Author,Addresses;Stapleford Centre,United Kingdom;Correspondence,Address;Brewer, Stapleford Centre United Kingdom,C.</t>
  </si>
  <si>
    <t>Disulfiram: the most effective (and the most misunderstood) drug in alcoholism pharmacotherapy. A response to some therapeutic, psychological and ethical criticisms</t>
  </si>
  <si>
    <t>Alcohol and Alcoholism</t>
  </si>
  <si>
    <t>49 SUPPL. 1</t>
  </si>
  <si>
    <t>i30</t>
  </si>
  <si>
    <t>(MAJOR FOCUS);disulfiram;placebo;addiction;alcoholism;drug therapy;society;aversion;controlled study;exposure;human;laryngeal mask;meta analysis;patient;physician;prevention;punishment;relapse;risk</t>
  </si>
  <si>
    <t>Introduction. Supervised disulfiram (DSF) is considerably more effective than other relapse-prevention medications in alcoholism but its unique mode of action means that as with surgical vs pharmacological treatments in other fields, classic placebo-controlled trials are not necessarily the most appropriate method for studying it. Some critics not only fail to recognise its specific effectiveness but also criticise DSF on the grounds that its alleged mode of action (aversion) is ethically unacceptable because it supposedly involves 'punishment' and is also inconsistent with what they mistakenly claim to be the underlying psychological principles. Method. This paper reviews recent effectiveness research, including meta-analyses, and publications that examine the real psychological principles involved in supervised DSF treatment. Results. DSF's effectiveness is confirmed. Its initial mode of action is deterrence, not aversion. This both facilitates and reinforces the cognitivebehavioural process of exposure and response-prevention, leading to progressively more appropriate responses to drink-related cues and high-risk situations. DSF can then be tentatively discontinued. Conclusion. Comprehensive supervised DSF programmes should be seen not as essentially pharmacological interventions but as essentially educational processes, facilitated by DSF. Since the physician-therapist and the patient agree to collaborate in these processes, there are no valid ethical objections.</t>
  </si>
  <si>
    <t>(Brewer C.) 16th International Society of Addiction Medicine Annual Meeting Yokohama, Japan 2014-10-02 to 2014-10-06 Oxford University Press; ID: 892</t>
  </si>
  <si>
    <t>0735-0414</t>
  </si>
  <si>
    <t>Brewer,C.;Streel,E.</t>
  </si>
  <si>
    <t>Learning the language of abstinence in addiction treatment: some similarities between relapse-prevention with disulfiram, naltrexone, and other pharmacological antagonists and intensive "immersion" methods of foreign language teaching</t>
  </si>
  <si>
    <t>Adaptation, Psychological;*Alcohol Deterrents/tu Therapeutic Use];Alcoholism/pc Prevention &amp; Control];Alcoholism/px Psychology];*Behavior Control/mt Methods];Behavior Control/px Psychology];*Disulfiram/tu Therapeutic Use];Humans;Language;*Naltrexone/tu Therapeutic Use];*Narcotic Antagonists/tu Therapeutic Use];Secondary Prevention;*Substance-Related Disorders/pc Prevention &amp; Control];Substance-Related Disorders/px Psychology];Teaching;0 (Alcohol Deterrents);0 (Narcotic Antagonists);5S6W795CQM (Naltrexone);TR3MLJ1UAI (Disulfiram)</t>
  </si>
  <si>
    <t>Relapse-prevention (RP) is an educational process. Learning to abstain from alcohol or opiates after years of dependence involves selectively suppressing old, maladaptive habits of thought and behavior and establishing new, adaptive ones. This process resembles foreign language (FL) learning. Effective FL teaching techniques are relevant to RP. "Immersion," the most effective FL teaching method, discourages students from using their first language ab initio, requiring them to use the FL instead, however inexpertly. It resembles exposure and response-prevention for phobic or compulsive disorders. Supervised disulfiram aids RP by discouraging alcoholics from responding to real-life drinking cues in the "language" of excessive drinking, requiring them, ab initio, to practice new, alcohol-free responses. Supervised or depot naltrexone acts similarly in opiate dependence. We discuss the concept of antagonist-assisted abstinence. References: 83]</t>
  </si>
  <si>
    <t>J2: Subst Abus; Brewer, Colin Streel, Emmannuel; ID: 497</t>
  </si>
  <si>
    <t>Brewer,Colin. The Stapleford Centre, London, United Kingdom. cbrewer@doctors.net.uk</t>
  </si>
  <si>
    <t>http://ovidsp.ovid.com/ovidweb.cgi?T=JS&amp;CSC=Y&amp;NEWS=N&amp;PAGE=fulltext&amp;D=med4&amp;AN=12913365</t>
  </si>
  <si>
    <t>MEDLINE; Ovid Technologies; Learning the language of abstinence in addiction treatment: some similarities between relapse-prevention with disulfiram, naltrexone, and other pharmacological antagonists and intensive "immersion" methods of foreign (TRUNCATED)</t>
  </si>
  <si>
    <t>Brewster,J. M.;Ashley,M. J.;Laurier,C.;Dioso,R.;Charles Victor,J.;Ferrence,R.;Cohen,J.;Author,Addresses;Department of Public,Health Sciences;Toronto,Toronto Ont Canada;Ontario Tobacco,Research Unit;Ont,Canada;Facult‚îú‚åê de Pharmacie, Universit‚îú‚åê de Montr‚îú‚åêal,Montreal Que;Canada;Ontario,Tobacco Research;Russell Street,Toronto,Ont M.;Correspondence,Address;JM Brewster, Ontario Tobacco Research Unit Russell,Street Toronto;Ont M5S 2S, Canada Email joan brewster,camh net</t>
  </si>
  <si>
    <t>On the front line of smoking cessation: Pharmacists' practices and self-perception</t>
  </si>
  <si>
    <t>Canadian pharmaceutical journal</t>
  </si>
  <si>
    <t>Can.Pharm.J.</t>
  </si>
  <si>
    <t>nicotine (drug therapy);pharmacist;smoking cessation;behavior modification;Canada;education;human;nicotine replacement therapy;patient counseling;perception;pharmacy;prescription;review;tobacco dependence (drug therapy, therapy);nicotine (54-11-5);Public Health, Social Medicine and Epidemiology (17);Drug Literature Index (37);Pharmacy (39)</t>
  </si>
  <si>
    <t>Background: Pharmacists can be effective in helping patients to quit smoking, and opportunities for such interaction have been facilitated by legislative change making nicotine replacement therapy (NRT) available without prescription in Canada. However, there are no previous studies of Canadian pharmacists' preparation for, perception of, or practices regarding their roles in smoking cessation. Methods: Practising community pharmacists in four Canadian provinces were surveyed about their tobacco-related education and knowledge, practice environment, perceptions of their roles and practices related to helping people quit smoking, and factors perceived to facilitate tobacco-related practice. Results: A corrected response rate of 72% was obtained, giving a weighted n of 960 responses. Most pharmacists reported good or excellent knowledge of the health effects of smoking and the use of NRT in smoking cessation. Fewer reported being knowledgeable about behavioural approaches to quitting smoking. Advising patients about NRT was seen as a more important role for pharmacists than giving patients pamphlets or behavioural counselling. Pharmacists' reported practices corresponded to their knowledge and judged importance of roles; pharmacists were not proactive in approaching patients about smoking, but when smokers were identified, pharmacists gave brief advice about the use of NRT. Respondents reported that their smoking cessation practice was facilitated by their own knowledge and skills, patients' interest in quitting, opportunities for patient interaction, and the support of pharmacy management for patient counselling. Conclusions: Improving pharmacist education in patient counselling and behavioural approaches to smoking cessation would help to develop skills in initiating discussions about smoking and would give pharmacists a wider range of options to help patients quit smoking.</t>
  </si>
  <si>
    <t>(Brewster J.M., joan_brewster@camh.net; Ashley M.J.; Charles Victor J.; Ferrence R.; Cohen J.) (Brewster J.M., joan_brewster@camh.net; Ashley M.J.; Dioso R.; Charles Victor J.; Ferrence R.; Cohen J.) (Laurier C.) (Brewster J.M., joan_brewster@camh.net); ID: 1550</t>
  </si>
  <si>
    <t>0828-6914</t>
  </si>
  <si>
    <t>Brewster,J. M.;Victor,J. C.;Ashley,M. J.</t>
  </si>
  <si>
    <t>Views of Ontarians about health professionals' smoking cessation advice</t>
  </si>
  <si>
    <t>Canadian Journal of Public Health</t>
  </si>
  <si>
    <t>399 5p</t>
  </si>
  <si>
    <t>Attitude to Health;Counseling -- Standards;Patient Education -- Standards;Professional-Patient Relations;Smoking Cessation;Smoking -- Psychosocial Factors;Adolescence;Adult;Female;Friendship;Male;Middle Age;Ontario;Pharmacists -- Standards;Physicians -- Standards;Smoking -- Prevention and Control;Surveys;Human</t>
  </si>
  <si>
    <t>BACKGROUND: Health professionals have important roles in helping smokers quit. However, it is not known how the public, especially smokers, view smoking cessation advice from different health professionals. METHODS: We added questions regarding opinions and experiences with health professionals' smoking cessation advice to the 2002 CAMH Monitor, an annual random-digit-dialled survey of adult Ontarians. We report on how good a source of advice physicians, pharmacists, and dentists are perceived to be, how likely smokers are to consult each of these professionals, who smokers would ask for advice on the use of NRT, and advice received by smokers in the past year. RESULTS: About two thirds of respondents viewed physicians as a very good source of advice on quitting, compared to just over one third and about one quarter who thought this of pharmacists and dentists, respectively. Over half of current smokers would be very likely to ask a physician for quit advice, compared to about 20% and only 3% for a pharmacist or a dentist, respectively. Among smokers, over 40% would first ask a physician for advice on NRT; about 20% would first ask a pharmacist. About 42% and 8% of current smokers reported that they received advice in the past year from a physician and pharmacist, respectively. INTERPRETATION: Smokers are receptive to quit advice from physicians, but less likely to ask other health professionals. Few smokers received advice from pharmacists and dentists. Increasing the reach of quit advice requires both increased professional intervention and education of the public.</t>
  </si>
  <si>
    <t>Entry Date: 20080229. Revision Date: 20150711. Publication Type: Journal Article; research. Journal Subset: Biomedical; Canada; Double Blind Peer Reviewed; Expert Peer Reviewed; Peer Reviewed; Public Health. Special Interest: Public Health. NLM UID: 0372714. PMID: 17985682.; ID: 2071</t>
  </si>
  <si>
    <t>http://proxy.lib.umich.edu/login?url=http://search.ebscohost.com/login.aspx?direct=true&amp;db=ccm&amp;AN=106004192&amp;site=ehost-live&amp;scope=site</t>
  </si>
  <si>
    <t>ccm; EBSCOhost; Views of Ontarians about health professionals' smoking cessation advice</t>
  </si>
  <si>
    <t>Briceland,L. L.;Hamilton,R. A.;Kane,M. P.</t>
  </si>
  <si>
    <t>Pharmacy students' experience with identifying and solving drug-related problems during clinical clerkship</t>
  </si>
  <si>
    <t>*Clinical Clerkship/og Organization &amp; Administration];Curriculum;Drug Therapy/mt Methods];*Education, Pharmacy/og Organization &amp; Administration];New York;Problem Solving;Program Evaluation</t>
  </si>
  <si>
    <t>J2: Am J Hosp Pharm; Briceland, L L Hamilton, R A Kane, M P; ID: 646</t>
  </si>
  <si>
    <t>Briceland,L L. Albany College of Pharmacy, NY 12208.</t>
  </si>
  <si>
    <t>http://ovidsp.ovid.com/ovidweb.cgi?T=JS&amp;CSC=Y&amp;NEWS=N&amp;PAGE=fulltext&amp;D=med3&amp;AN=8480787</t>
  </si>
  <si>
    <t>MEDLINE; Ovid Technologies; Pharmacy students' experience with identifying and solving drug-related problems during clinical clerkship</t>
  </si>
  <si>
    <t>Briceland,L. L.;Kane,M. P.;Hamilton,R. A.</t>
  </si>
  <si>
    <t>Evaluation of patient-care interventions by Pharm.D. clerkship students</t>
  </si>
  <si>
    <t>Clinical Clerkship;Drug Therapy/ec Economics];*Drug Therapy/st Standards];Education, Pharmacy, Graduate;Hospitals, Veterans/ma Manpower];Humans;New York;*Outcome and Process Assessment (Health Care);*Pharmacy Service, Hospital/ma Manpower];Program Evaluation;*Students, Pharmacy</t>
  </si>
  <si>
    <t>A program is described in which Pharm.D. clerkship students provide pharmaceutical care by identifying drug-related problems, suggesting interventions to solve the problems, and documenting the patient's outcome. Four doctor of pharmacy degree students under the direct guidance of a clinical pharmacy preceptor suggested 231 patient-care interventions during their clinical rotations; 219 (94.8%) of the interventions were either fully or partially accepted by the prescriber. The most commonly solved drug-related problems were underdose (31.5%) and overdose (17.4%), followed by untreated indications (14.1%) and drug given without indication (13.7%). The remainder of the drug-related problems that the students solved were improper drug selection, failure to receive drug, adverse drug reactions, or drug interactions. All but 10 interventions were considered by preceptors to be significant contributions to patient care. The interventions were estimated to have decreased drug costs in 50.7% of the cases, increased drug costs in 23.7% of the cases, and not changed drug costs in 25.6% of the cases. Patient outcomes were documented by the students in 58.9% of cases; the desired goals of the accepted intervention were achieved in all documented cases. A preceptor-supervised intervention program was beneficial to Pharm.D. students and patients and was well received by prescribers.</t>
  </si>
  <si>
    <t>J2: Am J Hosp Pharm; Briceland, L L Kane, M P Hamilton, R A; ID: 658</t>
  </si>
  <si>
    <t>Briceland,L L. Albany College of Pharmacy, and Clinical Pharmacists, Samuel S. Stratton Department of Veterans Affairs Medical Center, NY.</t>
  </si>
  <si>
    <t>http://ovidsp.ovid.com/ovidweb.cgi?T=JS&amp;CSC=Y&amp;NEWS=N&amp;PAGE=fulltext&amp;D=med3&amp;AN=1595740</t>
  </si>
  <si>
    <t>MEDLINE; Ovid Technologies; Evaluation of patient-care interventions by Pharm.D. clerkship students</t>
  </si>
  <si>
    <t>Brittain,K.;Meadowcraft,L.;Melody,K.;Author,Addresses;South,Carolina College;Pharmacy,United States;University of,the Sciences;Correspondence,Address;Brittain, South Carolina College of Pharmacy United States Email,K.;brittain@musc.edu</t>
  </si>
  <si>
    <t>Implementation of a community pharmacy comprehensive medication review program in the workplace setting</t>
  </si>
  <si>
    <t>e64</t>
  </si>
  <si>
    <t>drug therapy;pharmacy;workplace;adverse drug reaction;African American;cost control;data analysis;drug induced disease;employee;employer;health;human;male;medication therapy management;non profit organization;patient;pharmacist;prescription;sample size;spouse;therapy</t>
  </si>
  <si>
    <t>Objective: The objectives of this study are to: (1) demonstrate the impact of a community pharmacist-run comprehensive medication review (CMR) program in the workplace setting; and (2) identify the type of interventions commonly made in a CMR program in the workplace setting. Methods: The CMR program used the framework for medication therapy management services developed by the American Pharmacists Association and the National Association of Chain Drug Stores Foundation. Patients (employees, spouses, and dependents) aged 18 years and older, taking one or more prescription and/or nonprescription medications, were eligible to have a pharmacist and/or community pharmacy resident conduct a CMR. During the CMR, medications were reconciled, reviewed, and evaluated to identify and address drug therapy problems including underutilization, overutilization, adverse drug reactions, drug-drug or drug-disease interactions, inappropriate therapy, duplicate therapy, insufficient dose or duration, excessive dose or duration, needs additional therapy, and cost-saving opportunities. Results: A total of 37 patients (73% male; 65% African American, 27% white; average age 52 years) participated in a CMR. The participants had an average of three disease states and took an average of seven medications. The pharmacists recorded 169 interventions, which averaged 4.5 per patient, with the most common type of intervention being needs additional therapy (24%) followed by cost savings (21%). Conclusion: The pharmacist team made many recommendations to enhance the patients' drug therapy. Although, 21% of the interventions were related to cost savings, suggesting that medication costs may decrease, the pharmacists also identified 40 interventions indicating need for additional therapy. Therefore, the effect of the CMR on cost savings cannot easily be concluded. While the pharmacists were able to make interventions, additional data were not collected including health-related cost information from employers. These data would be helpful to further identify how interventions and therefore the CMR program could impact their financial situation. Additionally, the small sample size makes data analysis difficult.</t>
  </si>
  <si>
    <t>(Brittain K., brittain@musc.edu; Meadowcraft L.) (Melody K.) APhA2013 Los Angeles, CA, United States 2013-03-01 to 2013-03-04 American Pharmacists Association; ID: 1073</t>
  </si>
  <si>
    <t>Broderick,J. P.;Viscoli,C. M.;Brott,T.;Kernan,W. N.;Brass,L. M.;Feldmann,E.;Morgenstern,L. B.;Wilterdink,J. L.;Horwitz,R. I.;Hemorrhagic,Stroke Project</t>
  </si>
  <si>
    <t>Major risk factors for aneurysmal subarachnoid hemorrhage in the young are modifiable</t>
  </si>
  <si>
    <t>Stroke</t>
  </si>
  <si>
    <t>Adolescent;Adult;Age Distribution;Body Mass Index;Case-Control Studies;Cocaine-Related Disorders/ep Epidemiology];Cohort Studies;Comorbidity;Cooperative Behavior;Female;Humans;Hypertension/ep Epidemiology];Logistic Models;Male;Middle Aged;Odds Ratio;Phenylpropanolamine/ae Adverse Effects];Risk Factors;Sex Distribution;Smoking/ep Epidemiology];Stroke/ep Epidemiology];Subarachnoid Hemorrhage/ci Chemically Induced];*Subarachnoid Hemorrhage/ep Epidemiology];Thinness;United States/ep Epidemiology];33RU150WUN (Phenylpropanolamine)</t>
  </si>
  <si>
    <t>BACKGROUND AND PURPOSE: To identify risk factors for subarachnoid hemorrhage (SAH) and intracerebral hemorrhage, we designed a case-control study of men and women 18 to 49 years of age (the Hemorrhagic Stroke Project HSP]). This report focuses on SAH. METHODS: Patients were recruited from 44 hospitals in the United States. Cases with SAH must have had a ruptured aneurysm documented by angiography or surgery. Two controls, identified by random digit dialing and matched to each patient for age, sex, race, and telephone exchange, were sought for each case subject. RESULTS: Between 1994 and 1999, 425 patients with SAH were enrolled in HSP, and 312 cases met the criteria for aneurysmal SAH. The present analyses also included 618 matched controls. Of the 312 cases, 66% were current cigarette smokers compared with 30% of controls (adjusted odds ratio OR], 3.73; 95% CI, 2.67 to 5.21). Cocaine use within the previous 3-day period was reported by 3% of cases and no controls (bivariate exact OR, 24.97; 95% exact CI, 3.95 to infinity; adjusted estimate not calculable). Other independent risk factors in the multivariable model included hypertension (adjusted OR, 2.21; 95% CI, 1.48 to 3.29), low body mass index (OR, 1.59; 95% CI, 1.08 to 2.35), primary family history of hemorrhagic stroke (OR, 3.83; 95% CI, 1.73 to 8.46), caffeine in pharmaceutical products (OR, 2.48; 95% CI, 1.19 to 5.20), lower educational achievement (OR, 2.36; 95% CI, 1.44 to 3.87), and nicotine in pharmaceutical products (adjusted estimate not calculable). CONCLUSIONS: Aneurysmal SAH may be largely a preventable disease among the young and middle-aged because several prevalent risk factors can be modified by medication (eg, hypertension) or behavioral change (eg, cigarette smoking, cocaine use). The association of caffeine and nicotine in pharmaceutical products and aneurysmal SAH warrants further study.</t>
  </si>
  <si>
    <t>J2: Stroke; Broderick, Joseph P Viscoli, Catherine M Brott, Thomas Kernan, Walter N Brass, Lawrence M Feldmann, Edward Morgenstern, Lewis B Wilterdink, Janet Lee Horwitz, Ralph I Hemorrhagic Stroke Project Investigators; ID: 502</t>
  </si>
  <si>
    <t>1524-4628</t>
  </si>
  <si>
    <t>Broderick,Joseph P. Department of Neurology, University of Cincinnati, College of Medicine, Cincinnati, Ohio 45267, USA. joseph.Broderick@uc.edu</t>
  </si>
  <si>
    <t>http://ovidsp.ovid.com/ovidweb.cgi?T=JS&amp;CSC=Y&amp;NEWS=N&amp;PAGE=fulltext&amp;D=med4&amp;AN=12764233</t>
  </si>
  <si>
    <t>MEDLINE; Ovid Technologies; Major risk factors for aneurysmal subarachnoid hemorrhage in the young are modifiable</t>
  </si>
  <si>
    <t>Brooks,V. G.;Brock,T. P.;Ahn,J.</t>
  </si>
  <si>
    <t>Do training programs work? An assessment of pharmacists activities in the field of chemical dependency</t>
  </si>
  <si>
    <t>*Education, Pharmacy, Continuing/st Standards];Female;Humans;Male;*Pharmacists;Professional Competence;*Professional-Patient Relations;Program Evaluation;*Substance-Related Disorders/pc Prevention &amp; Control];Surveys and Questionnaires;Utah</t>
  </si>
  <si>
    <t>OBJECTIVES: The primary objective of this study was to determine if a selected sample of pharmacists who had attended a chemical dependency training program were performing more chemical dependency related activities than a group of American Pharmaceutical Association (APhA) members who had not had this training. Additionally, an assessment of the perceived barriers to performing chemical dependencyrelated activities was performed. DESIGN: A confidential mail questionnaire was sent to 305 Utah School participants and 305 APhA members who had not participated in the program (See Appendix). RESULTS: Respondents who had received educational training in chemical dependency were more likely to perform the following activities: lecture to community groups and health care professionals about chemical dependency, participate in a pharmacists' recovery program, provide patients with information about treatment centers, and counsel patients about the alcohol in over-the-counter products. Respondents who had not received chemical dependency training indicated that the following barriers prevented them from taking a more active role in the chemical dependency field: lack of knowledge of chemical dependency resources in the community, unaware of how to get involved with the state recovery program, belief that involvement in the state recovery program would hurt their professional reputation, belief that chemically dependent individuals cannot be rehabilitated, and uncomfortable working with chemically dependent patients. CONCLUSIONS: Pharmacists who have attended substance abuse training programs are performing more chemical dependency activities than pharmacists who have not received training in chemical dependency. In addition, different barriers to performing chemical dependency related activities exist between pharmacists with and without training in this field.</t>
  </si>
  <si>
    <t>J2: J Drug Educ; Brooks, V G Brock, T P Ahn, J; ID: 539</t>
  </si>
  <si>
    <t>Brooks,V G. University of North Carolina at Chapel Hill, USA.</t>
  </si>
  <si>
    <t>http://ovidsp.ovid.com/ovidweb.cgi?T=JS&amp;CSC=Y&amp;NEWS=N&amp;PAGE=fulltext&amp;D=med4&amp;AN=11487992</t>
  </si>
  <si>
    <t>MEDLINE; Ovid Technologies; Do training programs work? An assessment of pharmacists activities in the field of chemical dependency</t>
  </si>
  <si>
    <t>Brown,D.;Portlock,J.;Rutter,P.;Author,Addresses;University,of Portsmouth;Hampshire,United Kingdom;School of Pharmacy, University College,London United;Kingdom;School of Pharmacy, University of Wolverhampton,West Midlands;United,Kingdom;Correspondence,Address;Brown, University of Portsmouth Portsmouth Hampshire United Kingdom,D.;Email,david brown port ac uk</t>
  </si>
  <si>
    <t>22527479; Review of services provided by pharmacies that promote healthy living</t>
  </si>
  <si>
    <t>health promotion;health services research;healthy living pharmacy;pharmacy;anticoagulation;asthma;Australia;Canada;chronic obstructive lung disease;diabetes mellitus;drug use;emergency contraception;Europe;evidence based practice;heart failure;hormonal contraception;human;hypertension;immunization;intervention study;medical research;New Zealand;osteoporosis (diagnosis);priority journal;public health service;publication;quality control;review;sexual health;smoking cessation;substance abuse;systematic review;United Kingdom;United States;weight control;Public Health, Social Medicine and Epidemiology (17)</t>
  </si>
  <si>
    <t>Background The recognition that community pharmacies have the potential to make a greater contribution to promoting public health has led to a new concept, called the Healthy Living Pharmacy (HLP). These are designed to meet public health needs through a tiered commissioning framework delivering health and well being services through community pharmacy, tailored to local requirements for tackling health inequalities. Aim To search the literature for quality evidence to support the inclusion of services in the HLP portfolio and suggest areas where more evidence is required. Method A systematic review of the research literature covering the period January 1990-August 2011 inclusive, using MEDLINE, EMBASE, Pharmline, NHS Evidence and the Cochrane databases. On-line searching of the grey literature (e.g. conference proceedings) was also carried out. Standard methods of assessing quality were employed. Results A total of 377 papers were included. Over time, there was a marked increase in frequency of publications reflecting a growing pharmacy interest in the public healthcare agenda; over a third (35 %) of papers appeared in the last three-year study period. The body of research had a wide geographical basis; contributions were as follows: UK (51.5 %), US (20.4 %), Australia/New Zealand (9.8 %), Europe (7.7 %) and Canada (7.2 %). The topics of contraception, cardiovascular disease prevention, diabetes and smoking cessation accounted for 40 % of included papers. The literature supports the introduction of specific community pharmacy services, targeted at customer groups, both with and without preexisting diseases. Good evidence exists for smoking cessation, cardiovascular disease prevention, hypertension and diabetes. Some good evidence exists for interventions on asthma and heart failure. The evidence supporting weight management, sexual health, osteoporosis detection, substance abuse and chronic obstructive pulmonary disease is weak and needs development. Conclusion There is strong evidence for the role of community pharmacy in a range of services, not only aimed at improving general health, but also maintaining the health of those with existing disease. In other areas, the evidence is less strong and further research is required to justify their inclusion in a HLP portfolio. ‚î¨‚åê 2011 CARS.</t>
  </si>
  <si>
    <t>(Brown D., david.brown@port.ac.uk) (Portlock J.) (Rutter P.) Springer Netherlands, Van Godewijckstraat 30, Dordrecht, Netherlands.; ID: 1141</t>
  </si>
  <si>
    <t>http://www.ncbi.nlm.nih.gov/pubmed/22527479</t>
  </si>
  <si>
    <t>Review of services provided by pharmacies that promote healthy living</t>
  </si>
  <si>
    <t>Brown,L.;Author,Addresses;Correspondence,Address;Brown,L.</t>
  </si>
  <si>
    <t>Quod me nutrit me destruit ("What nourishes me, destroys me")</t>
  </si>
  <si>
    <t>SA Pharmaceutical Journal</t>
  </si>
  <si>
    <t>codeine;drug abuse;health education;pharmacist;drug misuse;human;needle;note;prescription;scalpel;syringe;codeine (76-57-3);Public Health, Social Medicine and Epidemiology (17)</t>
  </si>
  <si>
    <t>(Brown L.) Medpharm Publications, PO Box 14804, Lyttelton, Gauteng, South Africa.; ID: 853</t>
  </si>
  <si>
    <t>1015-1362</t>
  </si>
  <si>
    <t>Browne,S.;Moore,C.;Negrusz,A.;Tebbett,I.;Covert,R.;Dusick,A.</t>
  </si>
  <si>
    <t>Detection of cocaine, norcocaine, and cocaethylene in the meconium of premature neonates</t>
  </si>
  <si>
    <t>Journal of forensic sciences</t>
  </si>
  <si>
    <t>J.Forensic Sci.</t>
  </si>
  <si>
    <t>Chromatography, High Pressure Liquid;*Cocaine/aa Analogs &amp; Derivatives];*Cocaine/an Analysis];*Dopamine Uptake Inhibitors/an Analysis];Female;Gas Chromatography-Mass Spectrometry;Humans;Infant, Newborn;*Infant, Premature;Male;*Meconium/ch Chemistry];Pregnancy;Pregnancy Complications/di Diagnosis];Prospective Studies;*Substance Abuse Detection/mt Methods];Urine/ch Chemistry];0 (Dopamine Uptake Inhibitors);3SL7BR2M1E (norcocaine);5353I8I6YS (benzoylecgonine);FJO3071W5Y (cocaethylene);I5Y540LHVR (Cocaine)</t>
  </si>
  <si>
    <t>Our objective was to investigate the methodologic detection of cocaine abuse during pregnancy by determining the viability of meconium analysis for cocaine and its metabolites using chromatographic procedures as an alternative to urine testing using enzyme multiplied immunoassay technique. Our design was as follows: meconium and urine were taken from 106 very low birthweight premature babies. Meconium analysis for cocaine and its metabolites using extraction and chromatographic analysis was compared with the criterion standard immunoassay testing for urine. The work was carried out at The University of Chicago Hospital, Department of Pediatrics and the University of Illinois at Chicago, Department of Pharmacodynamics. Our patients were very low birthweight, premature babies (mean birthweight 1109 g; mean gestational age 29.1 weeks). Gender was evenly divided between male and female. The outcome measures were as follows: two active metabolites, norcocaine and cocaethylene, were detected in the meconium, but not in the urine, of some of the neonates. Determination of cocaine exposure in the newborn influenced assignment of babies in research studies as well as psychosocial evaluation and subsequent treatment of the neonate. Our results were: of the 106 meconium samples analyzed, 21 (19.8%) were positive for cocaine (n = 19, 0.24-0.78 mg/kg), norcocaine (n = 7, 0.10-0.56 mg/kg), cocaethylene (n = 1, 0.12 mg/kg) or combinations thereof. Benzoylecgonine was not detected in any of the samples. Of the urine samples analyzed by immunoassay, only 8 (7.5%) were positive for cocaine metabolites. We conclude that meconium is a better sample than urine for determining cocaine exposure in utero.(ABSTRACT TRUNCATED AT 250 WORDS)</t>
  </si>
  <si>
    <t>J2: J Forensic Sci; Browne, S Moore, C Negrusz, A Tebbett, I Covert, R Dusick, A; ID: 631</t>
  </si>
  <si>
    <t>0022-1198</t>
  </si>
  <si>
    <t>Browne,S. Department of Pharmaceutics and Pharmacodynamics, College of Pharmacy, University of Illinois at Chicago.</t>
  </si>
  <si>
    <t>http://ovidsp.ovid.com/ovidweb.cgi?T=JS&amp;CSC=Y&amp;NEWS=N&amp;PAGE=fulltext&amp;D=med3&amp;AN=7815031</t>
  </si>
  <si>
    <t>MEDLINE; Ovid Technologies; Detection of cocaine, norcocaine, and cocaethylene in the meconium of premature neonates</t>
  </si>
  <si>
    <t>Bruera,E.;Paice,J. A.</t>
  </si>
  <si>
    <t>Cancer pain management: safe and effective use of opioids</t>
  </si>
  <si>
    <t>American Society of Clinical Oncology Educational Book</t>
  </si>
  <si>
    <t>e593</t>
  </si>
  <si>
    <t>Analgesics, Opioid/ad Administration &amp; Dosage];Analgesics, Opioid/ae Adverse Effects];Analgesics, Opioid/tu Therapeutic Use];Drug Overdose;Humans;*Neoplasms/co Complications];Opioid-Related Disorders;Pain/dt Drug Therapy];*Pain/et Etiology];Pain Management/mt Methods];*Pain Management;Prescription Drug Misuse;Treatment Outcome;0 (Analgesics, Opioid)</t>
  </si>
  <si>
    <t>Pain remains a serious consequence of cancer and its treatment. Although significant advances have been made in providing effective cancer pain control, barriers persist. Lack of knowledge, limited time, financial restrictions, and diminished availability of necessary medications serve as significant obstacles. Safe and effective opioid use in a patient with cancer requires skill to overcome these challenges. Understanding the mechanism of action, along with the pharmacokinetics and pharmacodynamics, of opioids will lead to appropriate selection, dosing, and titration of these agents. Rotation from one opioid or route to another is an essential proficiency for oncologists. As opioid-related adverse effects often occur, the oncology team must be expert in preventing and managing constipation, nausea, sedation, and neurotoxicities. An emerging concern is overtreatment-the excessive and prolonged use of opioids in patients when these agents may produce more harm than benefit. This can occur when opioids are used inappropriately to treat comorbid psychologic issues such as anxiety and depression. Recognizing risk factors for overuse along with key components of universal precautions will promote safe use of these medications, supporting adherence and preventing diversion, thereby protecting the patient, the prescriber, and the community. Because substance use disorders are not rare in the oncology setting, attention must be given to the balance of providing analgesia while limiting harm. Caring for patients with substance misuse requires compassionate, multidisciplinary care, with input from supportive oncology/palliative care as well as addiction specialists.</t>
  </si>
  <si>
    <t>J2: Am; Bruera, Eduardo Paice, Judith A; ID: 7</t>
  </si>
  <si>
    <t>1548-8756</t>
  </si>
  <si>
    <t>Bruera,Eduardo. From the The University of Texas MD Anderson Cancer Center, Houston, TX; Feinberg School of Medicine, Northwestern University, Chicago, IL; Feinberg School of Medicine, Robert H. Lurie Comprehensive Cancer Center, Chicago, IL. Paice,Judith A. From the The University of Texas MD Anderson Cancer Center, Houston, TX; Feinberg School of Medicine, Northwestern University, Chicago, IL; Feinberg School of Medicine, Robert H. Lurie Comprehensive Cancer Center, Chicago, IL.</t>
  </si>
  <si>
    <t>http://ovidsp.ovid.com/ovidweb.cgi?T=JS&amp;CSC=Y&amp;NEWS=N&amp;PAGE=fulltext&amp;D=medl&amp;AN=25993228</t>
  </si>
  <si>
    <t>http://dx.doi.org/10.14694/EdBook_AM.2015.35.e593</t>
  </si>
  <si>
    <t>MEDLINE; Ovid Technologies; Cancer pain management: safe and effective use of opioids</t>
  </si>
  <si>
    <t>Brunette,M. F.;Dzebisashvili,N.;Xie,H.;Akerman,S.;Ferron,J. C.;Bartels,S.</t>
  </si>
  <si>
    <t>PMC4580544 Available on 08/01/16]; Expanding Cessation Pharmacotherapy Via Videoconference Educational Outreach to Prescribers</t>
  </si>
  <si>
    <t>Nicotine &amp; Tobacco Research</t>
  </si>
  <si>
    <t>Nicotine Tobacco Res.</t>
  </si>
  <si>
    <t>Adult;Community Mental Health Services/mt Methods];Community Mental Health Services/td Trends];Female;Humans;Male;Medicaid/td Trends];Mental Disorders/dt Drug Therapy];Mental Disorders/ep Epidemiology];Mental Disorders/px Psychology];Middle Aged;*Prescriptions;*Psychiatry/ed Education];Psychiatry/td Trends];*Smoking/dt Drug Therapy];Smoking/ep Epidemiology];Smoking/px Psychology];*Smoking Cessation/mt Methods];Tobacco Use Disorder/dt Drug Therapy];Tobacco Use Disorder/ep Epidemiology];Tobacco Use Disorder/px Psychology];United States;Varenicline/tu Therapeutic Use];*Videoconferencing;W6HS99O8ZO (Varenicline)</t>
  </si>
  <si>
    <t>INTRODUCTION: Smoking cessation pharmacotherapy is underutilized by people with mental illnesses, who smoke at high rates and die prematurely of smoking-related diseases. Educational outreach can improve prescribing, but distances impede widespread use of this practice. Little research has assessed whether videoconference can effectively deliver educational outreach. We conducted a randomized, controlled trial of in-person versus videoconference educational outreach for smoking cessation pharmacotherapy across a state mental health system. METHODS: We randomly assigned clinics to receive in-person or videoconference educational outreach with audit and feedback for cessation pharmacotherapy. Prescribers completed brief questionnaires before and after the intervention. With segmented regression analysis of interrupted time series, we evaluated prescribing trends in Medicaid pharmacy claims for nicotine replacement therapy (NRT) and varenicline, with interaction terms for the effect of intervention type (in-person vs. videoconference). RESULTS: With interaction terms in the model, filled NRT prescriptions increased after the intervention compared to before (p &lt; .01). The pattern of fills after the intervention were different at centers receiving in-person compared to videoconference educational outreach (p &lt; .02) without clearly favoring one over the other. Additionally, filled varenicline prescriptions increased after the intervention compared to before (p = .04), but type of intervention delivery did not influence varenicline fills. Prescriber satisfaction with the educational intervention was high and prescriber attitudes became more positive in both groups. CONCLUSION: This study suggests that single session educational outreach with audit and feedback can increase cessation pharmacotherapy utilization, and that videoconference delivery could be an effective, scalable approach to improve workforce capacity in systems serving mentally ill smokers.Copyright ‚î¨‚åê The Author 2015. Published by Oxford University Press on behalf of the Society for Research on Nicotine and Tobacco. All rights reserved. For permissions, please e-mail: journals.permissions@oup.com.</t>
  </si>
  <si>
    <t>J2: Nicotine Tob Res; Brunette, Mary F Dzebisashvili, Nino Xie, Haiyi Akerman, Sarah Ferron, Joelle C Bartels, Stephen R01 MH 089811 (United States NIMH NIH HHS); ID: 10</t>
  </si>
  <si>
    <t>1469-994X</t>
  </si>
  <si>
    <t>Brunette,Mary F. Department of Psychiatry, Geisel School of Medicine at Dartmouth, Lebanon, NH; Department of Health and Human Services, Bureau of Behavioral Health, Concord, NH Mary.f.brunette@dartmouth.edu. Dzebisashvili,Nino. Department of Psychiatry, Geisel School of Medicine at Dartmouth, Lebanon, NH; Xie,Haiyi. Department of Psychiatry, Geisel School of Medicine at Dartmouth, Lebanon, NH; Akerman,Sarah. Department of Psychiatry, Geisel School of Medicine at Dartmouth, Lebanon, NH; Ferron,Joelle C. Department of Psychiatry, Geisel School of Medicine at Dartmouth, Lebanon, NH; Bartels,Stephen. Department of Psychiatry, Geisel School of Medicine at Dartmouth, Lebanon, NH;</t>
  </si>
  <si>
    <t>http://ovidsp.ovid.com/ovidweb.cgi?T=JS&amp;CSC=Y&amp;NEWS=N&amp;PAGE=fulltext&amp;D=medl&amp;AN=26180220</t>
  </si>
  <si>
    <t>http://dx.doi.org/10.1093/ntr/ntv006</t>
  </si>
  <si>
    <t>MEDLINE; Ovid Technologies; Expanding Cessation Pharmacotherapy Via Videoconference Educational Outreach to Prescribers</t>
  </si>
  <si>
    <t>Bruppacher,R.;Author,Addresses;Inst. for,Social;Prev M, University of,Basel Basel;Switzerland;Potsdam Inst for P, University of,Potsdam Potsdam;Germany;Dept. of,Epidemiol;B,McGill University Montreal;Que,Canada;Alleeweg,C. H. R.;Correspondence,Address;Rheinfelden Switzerland,R. Bruppacher, Alleeweg C.H.</t>
  </si>
  <si>
    <t>Drug administration research - The contribution of pharmacoepidemiology to pharmaceutical monitoring</t>
  </si>
  <si>
    <t>Pharmaceutica acta Helvetiae</t>
  </si>
  <si>
    <t>Pharm.Acta Helv.</t>
  </si>
  <si>
    <t>pharmaceutical care;conference paper;drug abuse;education;feedback system;human;patient compliance;pharmacist;prescription;self medication;Public Health, Social Medicine and Epidemiology (17)</t>
  </si>
  <si>
    <t>Providing pharmaceutical care for minor health problems in the self medication area and guaranteeing the proper execution of pharmacotherapy in the area of prescribed medicines is an evolving tasks of community pharmacists in modern health care. It requires knowledge on how drugs are taken by the patients and on what governs their behaviour. Physicians can rely on the feedback by their patient and their own objective measurements of the success of therapy, such feedback is very insecure for a pharmacist. He has to anticipate what will happen to drugs handed out. He should know the difficulties his clients will encounter in actually going through with prescribed therapies and recognise indicators of proper use or abuse. The lack of personal feedback has to be compensated by a good general knowledge of the situation and the problems in the patient's population. This requires continuous research activities to which community pharmacists could in turn contribute already during their curriculum at the schools of pharmacy.</t>
  </si>
  <si>
    <t>(Bruppacher R.); ID: 1686</t>
  </si>
  <si>
    <t>0031-6865</t>
  </si>
  <si>
    <t>1996367613 FULL TEXT LINK http://dx.doi.org/10.1016/S0031-6865(96)00033-7</t>
  </si>
  <si>
    <t>Bryant,J.;Treloar,C.</t>
  </si>
  <si>
    <t>Risk practices and other characteristics of injecting drug users who obtain injecting equipment from pharmacies and personal networks</t>
  </si>
  <si>
    <t>International Journal of Drug Policy</t>
  </si>
  <si>
    <t>424 7p</t>
  </si>
  <si>
    <t>Risk Factors;Substance Abuse;Australia;Chi Square Test;Data Analysis Software;Funding Source;Harm Reduction;Logistic Regression;Odds Ratio;Pharmacy, Retail;Sex Factors;Human</t>
  </si>
  <si>
    <t>Most of what is known about injecting drug users in Australia is based on those who attend formal harm reduction services. Little is known about those who primarily use other sources to obtain injecting equipment. This paper examines key characteristics and risk practices amongst two groups of Australian injectors: (1) those that obtain sterile equipment primarily through pharmacies; and (2) the more 'hidden' group of those that obtain equipment from their personal networks. A convenience sample of 227 recent injectors who identified either pharmacies (n = 167) or personal networks (n = 60) as their regular source of sterile needles and syringes completed an interviewer-administered structured questionnaire. Results show that respondents who obtained equipment from their personal networks reported similar rates of reusing needles and syringes as pharmacy attenders (30.5% and 31.3%, respectively). Comparisons of demographic profile and drug use patterns show that respondents who obtained equipment from personal networks were more likely to identify as gay, lesbian or bisexual (28% versus 16%, Chi square] = 4.18, 1 d.f., p = 0.04) and live in unstable housing (22% versus 8%, Chi square] = 8.03, 1 d.f., p &lt; 0.01) compared to those who obtained equipment from pharmacies. The finding that respondents who obtained sterile needles and syringes from personal networks were no more likely to reuse needles and syringes may suggest that there is informal 'outreach' of primary harm reduction services through 'network nannies' or, possibly, a hidden needle syringe economy. The findings also suggest the possibility for greater harm reduction efforts in pharmacy distribution programs and in more extensively resourced peer education initiatives.</t>
  </si>
  <si>
    <t>Entry Date: 20080530. Revision Date: 20150711. Publication Type: Journal Article; research; tables/charts. Journal Subset: Biomedical; Europe; Peer Reviewed; UK &amp; Ireland. Special Interest: Public Health. Grant Information: NSW HIV/AIDS Health Promotion Demonstration Project Grant (NSW Health). NLM UID: 9014759.; ID: 2022</t>
  </si>
  <si>
    <t>0955-3959</t>
  </si>
  <si>
    <t>National Centre in HIV Social Research, Level 2, Robert Webster Building, The University of New South Wales, Sydney, NSW 2052, Australia; j.bryant@unsw.edu.au</t>
  </si>
  <si>
    <t>http://proxy.lib.umich.edu/login?url=http://search.ebscohost.com/login.aspx?direct=true&amp;db=ccm&amp;AN=105727331&amp;site=ehost-live&amp;scope=site</t>
  </si>
  <si>
    <t>ccm; EBSCOhost; Risk practices and other characteristics of injecting drug users who obtain injecting equipment from pharmacies and personal networks</t>
  </si>
  <si>
    <t>Buch,S. J.</t>
  </si>
  <si>
    <t>Neuroimmune pharmacology as an emerging curriculum for pre-medical students</t>
  </si>
  <si>
    <t>Journal Of Neuroimmune Pharmacology: The Official Journal Of The Society On NeuroImmune Pharmacology</t>
  </si>
  <si>
    <t>*Allergy and Immunology/ed Education];Curriculum;*Education, Premedical/mt Methods];Humans;*Neurosciences/ed Education];*Pharmacology/ed Education];Students, Premedical</t>
  </si>
  <si>
    <t>As science continues to evolve and expand some major areas of interest are now crossing boundaries to become multi-disciplinary in nature closely reflecting the biological processes of the organism as a whole. The fields of neuroscience, immunology, and pharmacology are good examples of one such emerging inter-disciplinary area. This article is focused on developing a curriculum for undergraduate pre-medical students in the area of neuroimmune pharmacology (NIP) to empower them with the knowledge of neuroscience and its interaction with immune responses and drug interactions. This course is intended to amalgamate and put into perspective a large body of knowledge including: (1) brain function in health and disease, (2) cross talk between neural and immune responses, and (3) the pharmacology of drugs of abuse in the context of neurodegenerative diseases. The goal of this course is to expose pre-medical students to the field of NIP so that they are equipped with a solid foundation in these multidisciplinary fields for future clinical/academic careers.</t>
  </si>
  <si>
    <t>J2: J Neuroimmune Pharmacol; Buch, Shilpa J DA020392 (United States NIDA NIH HHS) DA023397 (United States NIDA NIH HHS) DA024442 (United States NIDA NIH HHS) DA027729 (United States NIDA NIH HHS) MH-068212 (United States NIMH NIH HHS) R01 DA020392 (United States NIDA NIH HHS) R01 DA024442 (United States NIDA NIH HHS) R01 DA027729 (United States NIDA NIH HHS) R01 MH068212 (United States NIMH NIH HHS) R21 DA023397 (United States NIDA NIH HHS); ID: 265</t>
  </si>
  <si>
    <t>1557-1904</t>
  </si>
  <si>
    <t>Buch,Shilpa J. Department of Pharmacology and Experimental Neuroscience, University of Nebraska Medical Center, Omaha, NE 68198-5880, USA. sbuch@unmc.edu</t>
  </si>
  <si>
    <t>http://ovidsp.ovid.com/ovidweb.cgi?T=JS&amp;CSC=Y&amp;NEWS=N&amp;PAGE=fulltext&amp;D=medl&amp;AN=20607431</t>
  </si>
  <si>
    <t>http://dx.doi.org/10.1007/s11481-010-9229-4</t>
  </si>
  <si>
    <t>MEDLINE; Ovid Technologies; Neuroimmune pharmacology as an emerging curriculum for pre-medical students</t>
  </si>
  <si>
    <t>Buck,M. L.;Connor,J. J.;Snipes,C. J.;Hopper,J. E.</t>
  </si>
  <si>
    <t>Comprehensive pharmaceutical services for pediatric patients</t>
  </si>
  <si>
    <t>Child, Preschool;Forms and Records Control;Hospital Bed Capacity, 500 and over;Hospital Design and Construction;Hospitals, University/og Organization &amp; Administration];Humans;Infant;Medication Systems, Hospital;*Patient Care Team;*Pediatrics/og Organization &amp; Administration];Pharmacists;*Pharmacy Service, Hospital/og Organization &amp; Administration];Virginia</t>
  </si>
  <si>
    <t>The development of comprehensive pharmaceutical services for pediatric patients at a tertiary-care teaching hospital is described. A team of three staff pharmacists, a clinical specialist, and supportive personnel was formed. A pediatric pharmacy, operating from 0800 to 2100 daily, was created in a separate area of the central pharmacy to focus on potential problems with pediatric dosage calculations and drug administration. The team staffs the pediatric pharmacy for 75% of its day and evening shifts. The pharmacy prepares the 24-hour unit dose supply for each nursing unit, processes new orders, and provides drug information and problem-solving services. Clinical services are provided by the decentralized pharmacist, a rotating member of the team who makes rounds each day to the pediatric nursing units to review patient charts, provide medication information, and answer questions. The pediatric clinical specialist conducts educational programs, provides consultations, maintains reference materials, monitors pharmacokinetic evaluations, reviews medication communication forms, and assists in developing medication administration procedures. The creation of a pediatric pharmacy and a pediatric pharmacy team that coordinates both dispensing and clinical functions has made it possible to provide comprehensive pharmaceutical services to pediatric patients.</t>
  </si>
  <si>
    <t>J2: Am J Hosp Pharm; Buck, M L Connor, J J Snipes, C J Hopper, J E; ID: 652</t>
  </si>
  <si>
    <t>Buck,M L. Department of Pharmacy Services, University of Virginia Health Sciences Center, Charlottesville 22908.</t>
  </si>
  <si>
    <t>http://ovidsp.ovid.com/ovidweb.cgi?T=JS&amp;CSC=Y&amp;NEWS=N&amp;PAGE=fulltext&amp;D=med3&amp;AN=8427284</t>
  </si>
  <si>
    <t>MEDLINE; Ovid Technologies; Comprehensive pharmaceutical services for pediatric patients</t>
  </si>
  <si>
    <t>Buckhalt,Joseph A.</t>
  </si>
  <si>
    <t>Rural Drug Abuse Prevention: Establishing Needs and Implementing Programs</t>
  </si>
  <si>
    <t>Alcohol Abuse;Crisis Intervention;Drug Abuse;Early Intervention;Prevention;School Surveys;Secondary Education;Smoking;(Major): Drug Education;Drug Use;Rural Education;Student Participation;Substance Abuse;Identifier: Alabama</t>
  </si>
  <si>
    <t>Designed as a handout for a poster presentation, this paper describes a drug prevalence survey used in Alabama, and methods of establishing drug abuse prevention programs. All students in grade 7, 9, and 11 in the state (N=140,000+) completed a 466-variable drug prevalence survey. The survey identified rates of use for 14 substances, including alcohol and tobacco products, illicit drugs, and steroids. It also measured student involvement in school, family, and community activities. The results, as a supplement to other sources of needs assessment, gave the 129 Alabama school districts a dataset for planning prevention and education programs at the community level. One prominent result was that greater involvement in various school or community activities related to lower drug use. The risk factors for drug abuse appear similar to the risk factors for school failure. In a training project funded by USOE (STRIPE--Strategic Training for Rural Intervention, Prevention, and Education), community-school teams from 12 communities in rural areas were trained to develop programs for their communities. Two features of the training are components on how to teach adolescents peer-pressure resistance skills that are generalizable beyond specific drug use situations and how to teach critical thinking and decision-making skills. Team training was conducted by a multidisciplinary faculty, including pharmacologists, health educators, social workers, counselors, and psychologists. The Alabama Drug Prevalence Survey is included in the document. (Author/KS)</t>
  </si>
  <si>
    <t>Connect to the Mirlyn catalog at the University of Michigan Presented at the Annual Meeting of the American Ps Level: 1; RP: Connect to the Mirlyn catalog at the University of Michigan Presented at the Annual Meeting of the American Ps Level: 1; ID: 2075</t>
  </si>
  <si>
    <t>ED329406</t>
  </si>
  <si>
    <t>ERIC Rural Drug Abuse Prevention: Establishing Needs and Implementing Programs. Joseph A Buckhalt 1990 English Document (ED) 15 Designed as a handout for a poster presentation, this paper describes a drug prevalence survey used in Alabama, and m(TRUNCATED)</t>
  </si>
  <si>
    <t>Bugeja,A.;Serracino-Inglott,A.;Azzopardi,L.;Author,Addresses;Pharmacy,University of;Malta,Msida Malta;Correspondence,Address;Bugeja, Pharmacy University of Malta Msida Malta,A.</t>
  </si>
  <si>
    <t>Pharmacist Intervention in a Psychiatric Setting</t>
  </si>
  <si>
    <t>clinical pharmacy;human;patient safety;pharmacist;alcoholic beverage;annoyance;data analysis software;drug dose regimen;drug therapy;empowerment;hospital;medication compliance;mental disease;mental hospital;mental patient;odor;patient;pill;questionnaire;side effect</t>
  </si>
  <si>
    <t>Background and objective: Around 12 % of people suffering from global disease account for psychiatric disorders. It has been identified that these patients are amongst the most challenging to manage.1 This study aimed to introduce and evaluate a pharmacist intervention when dealing directly with psychiatric patients and their family members. Setting and method: This study took place at Mount Carmel Hospital, the main local psychiatric hospital. A group of 20 psychiatric patients who selfadminister their medication and a group consisting of another 20 family members in charge of their ill relatives were interviewed using a validated medication adherence questionnaire before and after the distribution and explanation of a personalised medication chart. The 'Medication Chart Evaluation Form' was also completed post-intervention. Data was analysed using SPSS version 21. Main outcome measures: Medication adherence, patient/family member knowledge pre- and post- intervention Results: The mean percentage score for 'knowledge of the dosage regimen' after the intervention (97.97 %) exceeded the score before the intervention (88.95 %) (p = 0.001). The mean percentage score for 'knowledge of the medicine indication' after the intervention (89.31 %) exceeded the score before the intervention (59.19 %) (p approx. = 0) Apart from forgetfulness (10/20), 12 patients revealed that their lack of adherence was due to: the annoyance of having to take medication (mentioned twice), the wish for an alcoholic drink (mentioned once), side effects (mentioned 4 times), out-of-stock medicines (mentioned twice), not seeing beneficial outcomes (mentioned once), feeling that there was no more need of certain medications(mentioned once), a nasty pill's scent (mentioned once). Conclusions: This study highlights the importance of the pharmacist's role as an educator. The distribution and explanation of the medication chart acted as an empowerment tool to improve medication awareness and knowledge which was found to be an important factor needed to increase medication adherence.</t>
  </si>
  <si>
    <t>(Bugeja A.; Serracino-Inglott A.; Azzopardi L.) 43rd ESCP International Symposium on Clinical Pharmacy Patient Safety: Bridging the Gaps Copenhagen, Denmark 2014-10-22 to 2014-10-24 Kluwer Academic Publishers; ID: 847</t>
  </si>
  <si>
    <t>Bugnon,O.;Hugentobler-Hampai,D.;Berger,J.;Schneider,M. P.</t>
  </si>
  <si>
    <t>New roles for community pharmacists in modern health care systems: a challenge for pharmacy education and research</t>
  </si>
  <si>
    <t>Chimia</t>
  </si>
  <si>
    <t>*Delivery of Health Care/td Trends];*Education, Pharmacy/td Trends];Humans;Management Quality Circles;Medication Adherence;Nursing Homes;Pharmaceutical Services;*Pharmacies/td Trends];*Pharmacists;Physicians;Primary Health Care;Research;Risk Assessment;Substance-Related Disorders/pc Prevention &amp; Control];Substance-Related Disorders/rh Rehabilitation];Switzerland</t>
  </si>
  <si>
    <t>The academic activities led by the Unit of Community Pharmacy can be classified as translational. Our group is interested in person-centered pharmaceutical services aimed at a more responsible use of drugs (effectiveness, safety, efficiency) in collaboration with physicians and other health care professionals in a primary care setting. The following domains of education and research are high priorities for our group: medication therapy management, medication adherence, integrated care, individualization of therapies, care management for the elderly and e-health.</t>
  </si>
  <si>
    <t>J2: Chimia (Aarau); Bugnon, Olivier Hugentobler-Hampai, Denise Berger, Jerome Schneider, Marie Paule; ID: 202</t>
  </si>
  <si>
    <t>Bugnon,Olivier. School of pharmaceutical sciences Community Pharmacy Unit University of Geneva, University of Lausanne, Switzerland. olivier.bugnon@hospvd.ch</t>
  </si>
  <si>
    <t>http://ovidsp.ovid.com/ovidweb.cgi?T=JS&amp;CSC=Y&amp;NEWS=N&amp;PAGE=fulltext&amp;D=medl&amp;AN=22867541</t>
  </si>
  <si>
    <t>http://dx.doi.org/10.2533/chimia.2012.304</t>
  </si>
  <si>
    <t>MEDLINE; Ovid Technologies; New roles for community pharmacists in modern health care systems: a challenge for pharmacy education and research</t>
  </si>
  <si>
    <t>Bulatova,N. R.;Aburuz,S.;Yousef,A. M.</t>
  </si>
  <si>
    <t>An innovative pharmaceutical care practical course</t>
  </si>
  <si>
    <t>Advances in Health Sciences Education</t>
  </si>
  <si>
    <t>*Clinical Competence;Curriculum;*Education, Pharmacy/mt Methods];Educational Measurement;Humans;Patient Education as Topic;Pharmacy Service, Hospital;*Students, Pharmacy</t>
  </si>
  <si>
    <t>The innovative practical course was developed to improve the students' ability to acquire pharmaceutical care skills. The primary components of the course were in-school training using small group discussions and hospital experience including identification, analysis, prevention and resolution of drug-therapy problems, patient counseling on their medications and diseases, and interaction with medical team. Specific objectives of the research were to (1) compare students' performance before and after the course, (2) measure students' perceptions of their pharmaceutical care skills before and after the course, (3) determine students' perception of the value of the course. Statistical comparison of pre-test and post-test grades indicated both a retention and acquiring pharmaceutical care skills. A pre-course and post-course survey instrument was designed to measure students' perception of their pharmaceutical care skills. Perception of most of the items of the survey was significantly improved at the end of the course. Overall, the majority of students were highly satisfied with the course. In conclusion, the present study demonstrates that the innovative pharmaceutical care practical course was successfully introduced.</t>
  </si>
  <si>
    <t>J2: Adv Health Sci Educ Theory Pract; Bulatova, N R Aburuz, S Yousef, A M; ID: 397</t>
  </si>
  <si>
    <t>1382-4996</t>
  </si>
  <si>
    <t>Bulatova,N R. Department of Biopharmaceutics &amp; Clinical Pharmacy, Faculty of Pharmacy, University of Jordan, Queen Rania Street, 11942, Amman, Jordan.</t>
  </si>
  <si>
    <t>http://ovidsp.ovid.com/ovidweb.cgi?T=JS&amp;CSC=Y&amp;NEWS=N&amp;PAGE=fulltext&amp;D=med5&amp;AN=17041786</t>
  </si>
  <si>
    <t>MEDLINE; Ovid Technologies; An innovative pharmaceutical care practical course</t>
  </si>
  <si>
    <t>Bullock,K.</t>
  </si>
  <si>
    <t>Dental care of patients with substance abuse</t>
  </si>
  <si>
    <t>Dental clinics of North America</t>
  </si>
  <si>
    <t>Dent.Clin.North Am.</t>
  </si>
  <si>
    <t>526 14p</t>
  </si>
  <si>
    <t>Dental Care;Substance Abusers;Alcohol Abuse;Substance Abuse;Questionnaires;Psychological Tests;Alcohols;Cocaine;Narcotics;Hypnotics and Sedatives;Cannabis;Dentists</t>
  </si>
  <si>
    <t>Patients who abuse alcohol, crack, heroin or prescription drugs, are likely to interact with the dental professional. The dentist should therefore be able to identify problems of abuse and provide informed care and referral. Substance abuse should be a consideration in all patients who present with dental trauma and those who present with frequent vague complaints, multiple pain medication allergies, and regimens with multiple narcotic medications. Polydrug use, either prescription or illicit, is also a possibility, and effective treatment requires prompt recognition. Dentists should be alert to drug-seeking behavior within the context of pain management, and because pain severity is an objective experience, each patient must be treated carefully and sensitively. Unrelieved or unremitting pain can be a relapse trigger and therefore adequate pain control is a necessity in the recovering chemically dependent patient. New modalities, such as coanalgesia with low-dose ketamine in the opioid addicted have been shown to work effectively. In the post-dental surgical patient with chemical dependency, agents with less psychoactive activity than their drugs of abuse, such as extended-release morphine (MS Contin) have been tried with variable success. An informed treatment plan includes recognition of substance abuse, appropriate intervention, and referral. This plan may include universal screening, followed by brief interventional therapy for positive patients and in some cases, pharmacological pain control. On discharge from the office, instructions concerning referral to a substance abuse program or, in the case of the patient who may require more immediate treatment, to the emergency department are important. Copyright (c) 1999 by W.B. Saunders Company</t>
  </si>
  <si>
    <t>Entry Date: 19991201. Revision Date: 20150711. Publication Type: Journal Article; questionnaire/scale. Journal Subset: Biomedical; Peer Reviewed; USA. Instrumentation: CAGE Questions Adapted to Include Drugs (CAGEAID); CAGE Questionnaire. NLM UID: 0217440. PMID: 10516924.; ID: 1863</t>
  </si>
  <si>
    <t>Assistant Chairperson, Providence Hospital Emergency Department, 1150 Varnum St NE, Washington, DC 20017</t>
  </si>
  <si>
    <t>http://proxy.lib.umich.edu/login?url=http://search.ebscohost.com/login.aspx?direct=true&amp;db=ccm&amp;AN=107231058&amp;site=ehost-live&amp;scope=site</t>
  </si>
  <si>
    <t>ccm; EBSCOhost; Dental care of patients with substance abuse</t>
  </si>
  <si>
    <t>Buoen,C.;Bjerrum,O. J.;Thomsen,M. S.;Author,Addresses;Department of Pharmacology, Danish,University of;Pharmaceutical Sciences,Copenhagen Denmark;Prosidion Ltd,Oxford,United Kingdom;Danish University of,Pharmaceutical Sciences;Pharmacology,Universitetsparken Copenhagen Denmark;Correspondence,Address;Buoen, Danish University of Pharmaceutical Sciences Department of,C.;Pharmacology,Universitetsparken Copenhagen Denmark</t>
  </si>
  <si>
    <t>16172177; How first-time-in-human studies are being performed: A survey of phase I dose-escalation trials in healthy volunteers published between 1995 and 2004</t>
  </si>
  <si>
    <t>(MAJOR FOCUS);antacid agent (clinical trial, drug dose);antidiabetic agent (clinical trial, drug dose);antiemetic agent (clinical trial, drug dose);analgesic agent (clinical trial, drug dose);anthelmintic agent (clinical trial, drug dose);antianemic agent (clinical trial, drug dose);anticoagulant agent (clinical trial, drug dose);anticonvulsive agent (clinical trial, drug dose);antihistaminic agent (clinical trial, drug dose);antihypertensive agent (clinical trial, drug dose);antiinflammatory agent (clinical trial, drug dose);antiparasitic agent (clinical trial, drug dose);antivirus agent (clinical trial, drug dose);cardiac agent (clinical trial, drug dose);hypophysis hormone (clinical trial, drug dose);hypothalamus hormone (clinical trial, drug dose);immunosuppressive agent (clinical trial, drug dose);psychotropic agent (clinical trial, drug dose);respiratory tract agent (clinical trial, drug dose);sex hormone (clinical trial, drug dose);urinary tract agent (clinical trial, drug dose);clinical research;health survey;phase 1 clinical trial;clinical trial;controlled clinical trial;controlled study;crossover procedure;dose response;double blind procedure;drug safety;drug tolerability;evaluation study;human;human experiment;medical literature;meta analysis;multiple drug abuse;normal human;process optimization;randomized controlled trial;review;single drug dose;statistical analysis;systematic review;volunteer;DRUG MANUFACTURERS;Aventis;Bayer;DuPont Merck;Hamamatsu;Hoechst Marion Roussel;Hoffmann La Roche;Johnson and Johnson;Merck;Novo Nordisk;Orion;Pfizer;Pharmos;Rhone Poulenc Rorer;Vertex;Wyeth;Yamanouchi;Yoshitomi;Zeneca;Zeria;hypophysis hormone (85883-81-4);Clinical and Experimental Pharmacology (30);Drug Literature Index (37)</t>
  </si>
  <si>
    <t>First-time-in-human studies are small, time-lagged dose-escalation studies including volunteer subjects evaluating safety and tolerability. There is little consensus in the design of a first-time-in-human study, and it is difficult to get an overview of studies performed. One hundred five studies comprising 3323 healthy volunteers published in the 5 major clinical pharmacology journals since 1995 were analyzed. The average trial was placebo controlled, double blind including 32 subjects at 5 dose levels but with great variation in cohort size and dose-escalation method. The parallel single-dose design was the most common design, with the crossover designs being more frequent in the early publications. Despite discussions on the optimization of phase I trials, little seems to be happening. The development of study designs and evaluation methods for cancer trials is extensive, but formal statistically based methods and more scientific study designs are unusual in phase I dose-escalation trials in healthy volunteers. ‚î¨‚åê2005 the American College of Clinical Pharmacology.</t>
  </si>
  <si>
    <t>(Buoen C.; Bjerrum O.J.) (Thomsen M.S.) (Buoen C.) SAGE Publications Inc., 2455 Teller Road, Thousand Oaks, United States.; ID: 1541</t>
  </si>
  <si>
    <t>http://www.ncbi.nlm.nih.gov/pubmed/16172177</t>
  </si>
  <si>
    <t>How first-time-in-human studies are being performed: A survey of phase I dose-escalation trials in healthy volunteers published between 1995 and 2004</t>
  </si>
  <si>
    <t>Buonpane,E. A.;Brown,R. O.;Author,Addresses;Department of,Clinical Pharmacy;Pharmacy,University of Tennessee Memphis T.N.;Correspondence,Address;Department of Clinical Pharmacy, College of Pharmacy,University of;Tennessee,Memphis T. N.</t>
  </si>
  <si>
    <t>3691003; Therapy consultation</t>
  </si>
  <si>
    <t>Clinical pharmacy</t>
  </si>
  <si>
    <t>Clin.Pharm.</t>
  </si>
  <si>
    <t>consultation;drug information;human;priority journal;short survey;theoretical study;therapy;Chest Diseases, Thoracic Surgery and Tuberculosis (15)</t>
  </si>
  <si>
    <t>The Therapy Consultation section provides brief advice, in question-and-answer format, on how to handle specific drug-therapy problems. Readers are invited to submit questions, which will be referred to a consultant for an answer. The problems should not be highly specialized or unusual, nor should they be mundane. Questions are answered briefly, based largely on the judgment and personal experience of the consultant, although selected references may be cited to substantiate the consultant's advice. Assistance in identifying Therapy Consultation topics is provided by the drug information centers at the following institutions; Albert B. Chandler Medical Center and College of Pharmacy, University of Kentucky, Lexington; Arizona Health Sciences Center, Tucson; Medical College of Virginia Hospitals, Richmond; University of California Medical Center, San Diego; and University of Michigan Medical Center, Ann Arbor.</t>
  </si>
  <si>
    <t>(Buonpane E.A.; Brown R.O.); ID: 1741</t>
  </si>
  <si>
    <t>0278-2677</t>
  </si>
  <si>
    <t>http://www.ncbi.nlm.nih.gov/pubmed/3691003</t>
  </si>
  <si>
    <t>Therapy consultation</t>
  </si>
  <si>
    <t>Buri,C.;Moggi,F.;Giovanoli,A.;Strik,W.</t>
  </si>
  <si>
    <t>Prescription procedures in medication for relapse prevention after inpatient treatment for alcohol use disorders in Switzerland</t>
  </si>
  <si>
    <t>Adult;Age Factors;*Alcohol Deterrents/tu Therapeutic Use];*Alcoholism/dt Drug Therapy];Alcoholism/ep Epidemiology];Alcoholism/px Psychology];*Disulfiram/tu Therapeutic Use];*Drug Prescriptions/sn Statistics &amp; Numerical Data];Female;Follow-Up Studies;Humans;Inpatients;Male;Mental Disorders/co Complications];Mental Disorders/px Psychology];Middle Aged;*Naltrexone/tu Therapeutic Use];*Narcotic Antagonists/tu Therapeutic Use];Psychological Tests;Secondary Prevention;Substance-Related Disorders/dt Drug Therapy];Switzerland/ep Epidemiology];*Taurine/aa Analogs &amp; Derivatives];Taurine/tu Therapeutic Use];Treatment Outcome;0 (Alcohol Deterrents);0 (Narcotic Antagonists);1EQV5MLY3D (Taurine);5S6W795CQM (Naltrexone);N4K14YGM3J (acamprosate);TR3MLJ1UAI (Disulfiram)</t>
  </si>
  <si>
    <t>AIMS: In randomized controlled trials with high internal validity, pharmacotherapy using acamprosate, naltrexone, and, to a somewhat lesser extent, disulfiram has proved effective in preventing relapse in patients with alcohol use disorders (AUD). There remains, however, a paucity of studies with sufficient external validity in which the effectiveness of pharmacotherapy in clinical practice is investigated. This study aimed to make a contribution to close this gap in research. METHODS: In this naturalistic, prospective study, a comparison on indices of substance use, psychiatric symptoms, and treatment service utilization was carried out using samples of 92 patients who received pharmacotherapy and 323 patients who did not receive pharmacotherapy following discharge from 12 residential AUD programmes (index stay). RESULTS: Patients that received pharmacotherapy were more likely to use alcohol during the index stay and at the 1-year follow-up. Moreover, this patient group more readily utilized treatment services during a 2-year period prior to and a 1-year period following index stay than patients who were not given pharmacotherapy. Nevertheless, when pharmacotherapy was prescribed before first post-treatment alcohol use, it was associated with delay of alcohol use, fewer relapses, and a reduced need for inpatient treatment. In many cases, however, medication was not prescribed until alcohol use and relapse had occurred. The length of time to first alcohol use was longer, and the cumulative abstinence rate higher, for disulfiram than for acamprosate, the latter being generally prescribed for more severely alcohol-dependent patients. CONCLUSIONS: There is a need for further studies to probe the reasons why medication for relapse prevention is not prescribed upon discharge from residential treatment and for less severely alcohol-dependent patients.</t>
  </si>
  <si>
    <t>J2: Alcohol Alcohol; Buri, Caroline Moggi, Franz Giovanoli, Anna Strik, Werner; ID: 379</t>
  </si>
  <si>
    <t>Buri,Caroline. University Hospital of Psychiatry Bern, Bolligenstrasse 111, 3000 Bern 60, Switzerland.</t>
  </si>
  <si>
    <t>http://ovidsp.ovid.com/ovidweb.cgi?T=JS&amp;CSC=Y&amp;NEWS=N&amp;PAGE=fulltext&amp;D=med5&amp;AN=17517820</t>
  </si>
  <si>
    <t>MEDLINE; Ovid Technologies; Prescription procedures in medication for relapse prevention after inpatient treatment for alcohol use disorders in Switzerland</t>
  </si>
  <si>
    <t>Burns,B.;Stallard,T.;Snell,J.;Morgan,D.;Author,Addresses;University,of Oklahoma;of Community Medicine, Tulsa,United States;Texas,A.;Science,M. H.;Center,Scott;White Memorial Hospital, Temple,T.X.Temple United;States;Correspondence,Address;Burns, University of Oklahoma School of Community Medicine Tulsa,B.;United,States</t>
  </si>
  <si>
    <t>Do emergency physicians know street drug slang?</t>
  </si>
  <si>
    <t>Annals of Emergency Medicine</t>
  </si>
  <si>
    <t>Ann.Emerg.Med.</t>
  </si>
  <si>
    <t>S215</t>
  </si>
  <si>
    <t>S216</t>
  </si>
  <si>
    <t>(MAJOR FOCUS);street drug;college;emergency physician;human;emergency care;emergency medicine;emergency ward;health care personnel;interpersonal communication;language;medical education;medical school;medical student;nurse;patient;pharmacist;physician;population;rank sum test;substance abuse;treatment failure</t>
  </si>
  <si>
    <t>Introduction: People with illicit substance abuse problems are frequent patients in emergency departments. Generally, these patients are only familiar with the Œì√á¬£street slangŒì√á¬• terms of abused substances. This terminology is usually not familiar to many emergency department (ED) professionals resulting in significant communication and treatment failures. However, knowledge of street slang by physician specialtyhas not been studied and the actual educational needs in this area are not known. Study Objective: To measure and compare knowledge of street drug terminology among groups of health care providers. Methods: A 25-question test on street drug slang given to attending physicians, residents, and medical students. The residents were in 2 emergency medicine residency programs in contiguous states. As controls, the test was also given to non-emergency medicine attending physicians, non-EM residents, fourth-year medical students at 2 medical schools, emergency medicine attending staff at the 2 programs, pharmacists, and ED nurses. The emergency medicine attendings were compared to the other groups using 95% confidence limits and the Mann-Whitney rank sum test. Results: There were 65 attending physicians (17 emergency medicine and 48 non-EM physicians), 67 residents (34 emergency medicine residents and 31 non-EM residents), 24 medical students, 7 pharmacists, and 17 nurses who participated. Each group had a mean score of less than 10 correct answers (40% correct) with a range from 1 to 19 correct. emergency medicine attending physicians had a mean score of 9.9 (SD = 3.8), emergency medicine residents scored 8.8 (Standard Deviation =3.9), non-EM physicians scored 5.4 (SD= 3.2), non-EM residents with 5.1 (SD = 2.2), nurses with 4.8 (SD = 2.3), medical students with 6.63 (SD= 2.7) and the pharmacists scored 8.0 (SD = 4.7). When compared to the other groups, the emergency medicine residents had a difference with emergency medicine attending of -1.2 (95% CI: -3.5 to 1.2), pharmacists 0.8 (95% CI: -2.8 to 4.4), medical students 2.1 (95% CI: 0.3 to 4.0), non-EM residents 3.6 (95% CI: 2.0 to 5.2), and ED nurses 4.0 (95% CI: 1.9 to 6.0). Only the comparison to medical students (p = .033), non-EM residents (p&lt;.001), and nurses (p&lt;.001) were statistically significant. Conclusions: All groups performed poorly on the test. Although the emergency medicine attendings performed better than all groups, there are major knowledge deficiencies in this area which may be significant barriers to excellent Emergency care. Emergency medicine residencies and continuing medical education activities need to focus on this potential language and knowledge gap between health care providers and the population they treat.</t>
  </si>
  <si>
    <t>(Burns B.; Stallard T.; Snell J.; Morgan D.) American College of Emergency Physicians, ACEP 2011 Research Forum San Francisco, CA, United States 2011-10-15 to 2011-10-16 Mosby Inc.; ID: 1230</t>
  </si>
  <si>
    <t>0196-0644</t>
  </si>
  <si>
    <t>Burris,S.;Vernick,J. S.;Ditzler,A.;Strathdee,S.</t>
  </si>
  <si>
    <t>The legality of selling or giving syringes to injection drug users</t>
  </si>
  <si>
    <t>S13</t>
  </si>
  <si>
    <t>Humans;*Legislation, Medical/td Trends];Needle-Exchange Programs;Pharmacists;*Substance Abuse, Intravenous;*Syringes/sd Supply &amp; Distribution];United States</t>
  </si>
  <si>
    <t>OBJECTIVES: Laws limiting access to sterile syringes impede the public health goal that injection drug users (IDUs) use a new, sterile syringe for every injection to reduce blood-borne disease transmission. We sought to determine the legality of selling or giving syringes to IDUs to prevent disease. DESIGN: We used standard legal research methods to identify and analyze laws and regulations influencing the distribution of syringes in the 50 states, the District of Columbia, Puerto Rico, and the Virgin Islands. RESULTS: A total of 51 jurisdictions had drug paraphernalia laws; 14 had syringe prescription laws or regulations; 11 required purchasers to show identification; 13 had legislation authorizing syringe exchange programs (SEPs). Since the beginning of the human immunodeficiency virus epidemic, 11 states have fully or partially deregulated syringe sales. Nonprescription retail syringe sales to IDUs for disease prevention purposes are clearly legal in 20 states, and have a reasonable claim to legality in 22 more. Sales to IDUs with a prescription are clearly illegal in only 3 jurisdictions. SEPs can operate legally in at least 21 states. CONCLUSION: Syringe access laws in most states may reasonably be interpreted to allow pharmacists to sell syringes to IDUs to prevent disease. In practice, however, unclear laws and pharmacist uncertainty as to their interpretation may constitute continuing barriers to syringe access for IDUs. A comprehensive public policy of ensuring syringe access for IDUs requires eliminating legal barriers to the sale, possession, and disposal of syringes, and educating pharmacists and law enforcement officials about the legality and public health importance of sterile syringe access.</t>
  </si>
  <si>
    <t>J2: J Am Pharm Assoc (Wash); Burris, Scott Vernick, Jon S Ditzler, Alyssa Strathdee, Steffanie; ID: 512</t>
  </si>
  <si>
    <t>Burris,Scott. Temple University Beasley School of Law, Philadelphia, PA 19122, USA. scott.burris@temple.edu</t>
  </si>
  <si>
    <t>http://ovidsp.ovid.com/ovidweb.cgi?T=JS&amp;CSC=Y&amp;NEWS=N&amp;PAGE=fulltext&amp;D=med4&amp;AN=12489604</t>
  </si>
  <si>
    <t>MEDLINE; Ovid Technologies; The legality of selling or giving syringes to injection drug users</t>
  </si>
  <si>
    <t>Burstein,A. H.;Fullerton,T.;Clark,D. J.;Faessel,H. M.;Author,Addresses;Department,of;Medical;Developmental Sciences,Groton,C.T.United States;Department,of Clinical;Pharmacodynamics;Pfizer Global,Research;Development,Groton C. T. United States;Pfizer Global,R.;D,Groton New London Labs M.S.;Eastern Point Road, Groton,C.T.United States;Correspondence,Address;AH Burstein,Pfizer,Global R.;D,Groton New London Labs M.S.;Eastern Point Road, Groton,C.T.United States</t>
  </si>
  <si>
    <t>17050788; Pharmacokinetics, safety, and tolerability after single and multiple oral doses of varenicline in elderly smokers</t>
  </si>
  <si>
    <t>(MAJOR FOCUS);varenicline (adverse drug reaction, clinical trial, drug dose, drug therapy);alpha4beta2 nicotinic acetylcholine receptor;alpha4beta2 nicotinic acetylcholine receptor partial agonist (adverse drug;reaction, clinical trial, drug dose, drug therapy);creatinine (endogenous compound);nicotinic agent (adverse drug reaction, clinical trial, drug dose, drug;therapy);nicotinic receptor (endogenous compound);partial agonist (adverse drug reaction, clinical trial, drug dose, drug;placebo;unclassified drug;smoking;smoking cessation;tobacco dependence (drug therapy);aged;area under the curve;article;asthenia (side effect);backache (side effect);chill (side effect);clinical article;clinical trial;constipation (side effect);controlled clinical trial;controlled study;creatinine clearance;disease severity;dizziness (side effect);double blind procedure;drug blood level;drug clearance;drug dose regimen;drug exposure;drug half life;drug safety;drug tolerability;dyspepsia (side effect);female;headache (side effect);human;male;multiple drug dose;nausea (side effect);pain (side effect);randomized controlled trial;renal clearance;single drug dose;somnolence (side effect);taste disorder (side effect);tremor (side effect);United States;vomiting (side effect);xerostomia (side effect);creatinine (19230-81-0, 60-27-5);varenicline (249296-44-4, 375815-87-5);Clinical and Experimental Pharmacology (30);Drug Literature Index (37);Adverse Reactions Titles (38)</t>
  </si>
  <si>
    <t>Varenicline is a novel selective ‚ï¨‚ñí4‚ï¨‚ñì2 nicotinic acetylcholine partial agonist developed for smoking cessation. This study investigated the single- and multiple-dose pharmacokinetics, safety, and tolerability of varenicline in elderly (Œì√´√ë65 years) smokers. Twenty-four elderly smokers with normal renal function for their age (estimated creatinine clearance Œì√´√ë 70 mL/min) received varenicline 1 mg once daily (n = 8) or placebo (n = 4) for 7 days, or 1 mg twice daily (n = 8) or placebo (n = 4) for 6 days with a single dose on day 7 in a double-blind, parallel group and placebo-controlled design. There was no evidence of concentration- or time-dependent changes in varenicline pharmacokinetics upon repeat dosing. Once- and twice-daily dosing was associated with an approximate 2-fold and 3-fold increase, respectively, in systemic exposure to varenicline. Varenicline was well tolerated; all adverse events reported were mild to moderate in intensity. Thus, no dose adjustment is necessary based on age alone. ‚î¨‚åê2006 the American College of Clinical Pharmacology.</t>
  </si>
  <si>
    <t>(Burstein A.H.; Fullerton T.; Clark D.J.; Faessel H.M.) (Faessel H.M.) (Burstein A.H.) SAGE Publications Inc., 2455 Teller Road, Thousand Oaks, United States.; ID: 1509</t>
  </si>
  <si>
    <t>http://www.ncbi.nlm.nih.gov/pubmed/17050788</t>
  </si>
  <si>
    <t>Pharmacokinetics, safety, and tolerability after single and multiple oral doses of varenicline in elderly smokers</t>
  </si>
  <si>
    <t>Bursztyn Goldberg,P.;Roberts,J.;Author,Addresses;Dep Pharmacol,Med,Coll Pennsylvania;Philadelphia,P. A.;Correspondence,Address;Dep Pharmacol, Med Coll Pennsylvania,Philadelphia P.</t>
  </si>
  <si>
    <t>6338318; Pharmacologic basis for developing rational drug regimens for elderly patients</t>
  </si>
  <si>
    <t>(MAJOR FOCUS);acetazolamide;amobarbital;carbenoxolone;carisoprodol;chlordiazepoxide;chlorpromazine;chlortalidone;diazepam;digitalis;digoxin;flurazepam;heparin;lidocaine;meprobamate;morphine;pethidine;phenobarbital;phenylbutazone;propranolol;quinidine;strychnine;sulfadiazine;tetracycline;tolbutamide;warfarin;aged;bioavailability;drug elimination;drug half life;drug therapy;heart failure;pharmacokinetics;pharmacology;cardiovascular system;central nervous system;heart;human;short survey;therapy;acetazolamide (1424-27-7, 59-66-5);amobarbital (57-43-2, 64-43-7);carbenoxolone (5697-56-3, 7421-40-1);carisoprodol (78-44-4);chlordiazepoxide (438-41-5, 58-25-3);chlorpromazine (50-53-3, 69-09-0);chlortalidone (77-36-1);diazepam (439-14-5);digitalis (8031-42-3, 8053-83-6);digoxin (20830-75-5, 57285-89-9);flurazepam (1172-18-5, 17617-23-1);heparin (37187-54-5, 8057-48-5, 8065-01-8, 9005-48-5);lidocaine (137-58-6, 24847-67-4, 56934-02-2, 73-78-9);meprobamate (57-53-4);morphine (52-26-6, 57-27-2);pethidine (28097-96-3, 50-13-5, 57-42-1);phenobarbital (50-06-6, 57-30-7, 8028-68-0);phenylbutazone (129-18-0, 50-33-9, 8054-70-4);propranolol (13013-17-7, 318-98-9, 3506-09-0, 4199-09-1, 525-66-6);quinidine (56-54-2);strychnine (1421-86-9, 57-24-9);sulfadiazine (547-32-0, 68-35-9);tetracycline (23843-90-5, 60-54-8, 64-75-5);tolbutamide (473-41-6, 64-77-7);warfarin (129-06-6, 2610-86-8, 3324-63-8, 5543-58-8, 81-81-2);Gerontology and Geriatrics (20);Drug Literature Index (37);Internal Medicine (6);Clinical and Experimental Pharmacology (30)</t>
  </si>
  <si>
    <t>Changes in responsiveness with age have been observed for autonomic drugs (agonists as well as antagonists, analgesics, anticonvulsants, bronchodilators, hypoglycemics, corticosteroids, and virtually every other group of drugs). This review is not meant to present an exhaustive treatment of the area, but rather to focus attention on the factors that contribute to alterations in sensitivity. As a secondary aim, the review serves to focus attention on the problem of adverse drug reactions, particularly those related to the practice of polypharmacy, which compounds the problem through drug interactions. As indicated in the introduction, adverse drug reactions (undesired or unwanted effects of drugs) occur more frequently in the older patient than in the young one. In the elderly, this relates to increased use of drugs, polypharmacy, diminution in the function of organs which play a role in drug distribution and elimination, and poor patient compliance. Drugs which most often result in adverse reactions in the elderly have been listed. It is of significance that this list includes many drugs that are obtainable over the counter without prescription, such as aspirin and antacids. Because of the widespread practice of polypharmacy in the elderly, there is an increased potential for drug interactions. Examples of drugs and the mechanisms whereby interactions occur, which are of particular significance in geriatric therapeutics, are provided. Since monographs summarizing drug interactions have been available for a number of years, it is somewhat surprising that the magnitude of the problem is still so great. It appears clear that the more we understand about the basic changes that occur in the physiology, biochemistry, and structure of an organism as it ages, and the more we learn about basic pharmacologic principles, the better we can combine the knowledge toward the development of rational therapeutic drug regimens for the geriatric patient. A summary of the major principles in prescribing drugs for the elderly is provided.</t>
  </si>
  <si>
    <t>(Bursztyn Goldberg P.; Roberts J.); ID: 1758</t>
  </si>
  <si>
    <t>0025-7125</t>
  </si>
  <si>
    <t>http://www.ncbi.nlm.nih.gov/pubmed/6338318</t>
  </si>
  <si>
    <t>Pharmacologic basis for developing rational drug regimens for elderly patients</t>
  </si>
  <si>
    <t>Bussing,R.;Koro-Ljungberg,M.;Noguchi,K.;Mason,D.;Mayerson,G.;Garvan,C. W.</t>
  </si>
  <si>
    <t>NIHMS342173 PMC3253014; Willingness to use ADHD treatments: a mixed methods study of perceptions by adolescents, parents, health professionals and teachers</t>
  </si>
  <si>
    <t>Social science &amp; medicine</t>
  </si>
  <si>
    <t>Soc.Sci.Med.</t>
  </si>
  <si>
    <t>Adolescent;Adult;*Attention Deficit Disorder with Hyperactivity/dt Drug Therapy];*Attitude to Health;*Faculty;Female;*Health Knowledge, Attitudes, Practice;*Health Personnel/px Psychology];Humans;Interviews as Topic;Male;Middle Aged;*Parents/px Psychology];*Patient Acceptance of Health Care;Regression Analysis;Surveys and Questionnaires;United States;Young Adult</t>
  </si>
  <si>
    <t>Little is known about factors that influence willingness to engage in treatment for attention deficit/hyperactivity disorder (ADHD). From 2007 to 2008, in the context of a longitudinal study assessing ADHD detection and service use in the United States, we simultaneously elicited ADHD treatment perceptions from four stakeholder groups: adolescents, parents, health care professionals and teachers. We assessed their willingness to use ADHD interventions and views of potential undesirable effects of two pharmacological (short- and long-acting ADHD medications) and three psychosocial (ADHD education, behavior therapy, and counseling) treatments. In multiple regression analysis, willingness was found to be significantly related to respondent type (lower for adolescents than adults), feeling knowledgeable, and considering treatments acceptable and helpful, but not significantly associated with stigma/embarrassment, respondent race, gender and socioeconomic status. Because conceptual models of undesirable effects are underdeveloped, we used grounded theory method to analyze open-ended survey responses to the question: "What other undesirable effects are you concerned about?" We identified general negative treatment perceptions (dislike, burden, perceived ineffectiveness) and specific undesirable effect expectations (physiological and psychological side effects, stigma and future dependence on drugs or therapies) for pharmacological and psychosocial treatments. In summary, findings indicate significant discrepancies between teens' and adults' willingness to use common ADHD interventions, with low teen willingness for any treatments. Results highlight the need to develop better treatment engagement practices for adolescents with ADHD.Copyright ‚î¨‚åê 2011 Elsevier Ltd. All rights reserved.</t>
  </si>
  <si>
    <t>J2: Soc Sci Med; Bussing, Regina Koro-Ljungberg, Mirka Noguchi, Kenji Mason, Dana Mayerson, Gillian Garvan, Cynthia W R01 MH057399 (United States NIMH NIH HHS) R01 MH057399-05A1 (United States NIMH NIH HHS) R01 MH057399-06 (United States NIMH NIH HHS) R01 MH057399-07 (United States NIMH NIH HHS) R01 MH057399-08 (United States NIMH NIH HHS) R01 MH057399-09 (United States NIMH NIH HHS) R01MH57399 (United States NIMH NIH HHS) UL1 TR000064 (United States NCATS NIH HHS); ID: 219</t>
  </si>
  <si>
    <t>1873-5347</t>
  </si>
  <si>
    <t>Bussing,Regina. Department of Psychiatry, University of Florida, Gainesville, FL 32610, United States. rbussing@ufl.edu</t>
  </si>
  <si>
    <t>http://ovidsp.ovid.com/ovidweb.cgi?T=JS&amp;CSC=Y&amp;NEWS=N&amp;PAGE=fulltext&amp;D=medl&amp;AN=22133584</t>
  </si>
  <si>
    <t>http://dx.doi.org/10.1016/j.socscimed.2011.10.009</t>
  </si>
  <si>
    <t>MEDLINE; Ovid Technologies; Willingness to use ADHD treatments: a mixed methods study of perceptions by adolescents, parents, health professionals and teachers</t>
  </si>
  <si>
    <t>Busto,Usoa</t>
  </si>
  <si>
    <t>A Problem-Based Learning Course for Pharmacy Students on Alcohol and Psychoactive Substance Abuse Disorders</t>
  </si>
  <si>
    <t>Classroom Techniques;Course Content;Course Descriptions;Health Promotion;Higher Education;Identification;Intervention;Peer Evaluation;Professional Education;Self Evaluation (Individuals);Student Evaluation;Substance Abuse;(Major): Alcohol Abuse;Case Studies;Drug Abuse;Pharmaceutical Education;Problem Based Learning;Identifier: University of Toronto (Canada)</t>
  </si>
  <si>
    <t>A University of Toronto (Canada) fourth-year pharmacy course on drug abuse and dependence focuses on pharmacists' role in detection and prevention and on student knowledge of assessment and treatment. The course is case or problem based and uses a combination of self, peer, and instructor evaluation on aspects of student performance. (MSE)</t>
  </si>
  <si>
    <t>FirstSearch indicates your institution subscribes to this publication. Libraries worldwide that own item: 1082 University of Michigan Library INDEPENDENT U-M LIBRARIES Search the Mirlyn catalog at the University of MichiganLocal Holdings Information: 1998-Local Holdings Information: 1-66,68-70,72-76; 1937-2012; 1994- Article (EJ); ID: 2084</t>
  </si>
  <si>
    <t>EJ481693</t>
  </si>
  <si>
    <t>ERIC; OCLC; A Problem-Based Learning Course for Pharmacy Students on Alcohol and Psychoactive Substance Abuse Disorders</t>
  </si>
  <si>
    <t>Bustos,G.;Renard,G. M.;Noriega,V.;Sotomayor-Z‚îú√≠rate,R.;Author,Addresses;Sociedad de Farmacolog‚îú¬°a,de Chile;Independencia,Santiago de Chile Chile;Instituto,de Fisiolog;Ciencias,Universidad de Valpara‚îú¬°so Chile;Facultad de Medicina, Escuela de Qu‚îú¬°mica,y Farmacia;Universidad Andr‚îú‚åês Bello,Chile;Correspondence,Address;Bustos, Sociedad de Farmacolog‚îú¬°a de Chile Av Independencia,G.;Independencia,Santiago de Chile Chile</t>
  </si>
  <si>
    <t>How and when Chilean Pharmacology started to be experimental and became a science</t>
  </si>
  <si>
    <t>Pharmacological Research</t>
  </si>
  <si>
    <t>pharmacological science;academic achievement;article;Chile;concept formation;drug abuse;drug interaction;drug research;education program;experimental model;human;marketing;medical society;nonhuman;priority journal;psychopharmacology;Public Health, Social Medicine and Epidemiology (17)</t>
  </si>
  <si>
    <t>Pharmacology in Chile has about 75 years of history and from its beginning until today has grown exponentially. Today, pharmacology is taught in the biomedical careers of the main Chilean universities and research centers in pharmacology are in the north, central and south of Chile. This editorial offers an overview of the main milestones that have led to the consolidation of Chilean pharmacology in Latin America and the world.</t>
  </si>
  <si>
    <t>(Bustos G., gbustos@bio.puc.cl; Renard G.M.; Noriega V.; Sotomayor-Z‚îú√≠rate R.) (Renard G.M.; Sotomayor-Z‚îú√≠rate R.) (Noriega V.) Academic Press; ID: 802</t>
  </si>
  <si>
    <t>1096-1186 (electronic) 1043-6618</t>
  </si>
  <si>
    <t>2015218365 FULL TEXT LINK http://dx.doi.org/10.1016/j.phrs.2015.07.007</t>
  </si>
  <si>
    <t>Bywood,P. T.;Lunnay,B.;Roche,A. M.</t>
  </si>
  <si>
    <t>Strategies for facilitating change in alcohol and other drugs (AOD) professional practice: a systematic review of the effectiveness of reminders and feedback</t>
  </si>
  <si>
    <t>Drug &amp; Alcohol Review</t>
  </si>
  <si>
    <t>*Feedback, Psychological;Health Personnel/st Standards];Health Services Research;Humans;Medical Audit;*Outcome Assessment (Health Care);*Practice Patterns, Physicians'/st Standards];*Professional Practice/st Standards];*Substance-Related Disorders</t>
  </si>
  <si>
    <t>In all areas of health research, including the alcohol and other drugs (AOD) field, funds are committed to developing and evaluating research and resources, yet little is invested into helping potential resource users understand, adopt and implement innovations. This study evaluated the effectiveness of two professional practice change interventions (reminders and feedback) that are designed to bridge the 'research-practice gap' by increasing knowledge and changing behaviour of health-care professionals and specialist AOD workers. We conducted a systematic review of general health, AOD and mental health literature (1966 to March 2005). Fourteen existing systematic reviews and 15 primary studies were assessed. Because few studies evaluated the effectiveness of reminders and feedback in the AOD context, evidence is drawn largely from the general health-care literature. Use of reminders and feedback is supported for a range of health behaviours. AOD-specific clinical behaviours that are most likely to be improved with the use of reminders or feedback include pharmacotherapy prescribing, AOD education, screening and counselling and monitoring/management of AOD treatment and/or related problems (e.g. depression). Reminders and feedback are effective strategies to facilitate professional practice change and have potential in the AOD field. However, further well-designed empirical studies are needed to assess fully the effectiveness of these professional practice change strategies in AOD-specific contexts. References: 56]</t>
  </si>
  <si>
    <t>J2: Drug Alcohol Rev; Bywood, Petra T Lunnay, Belinda Roche, Ann M; ID: 354</t>
  </si>
  <si>
    <t>1465-3362</t>
  </si>
  <si>
    <t>Bywood,Petra T. National Centre for Education and Training on Addiction, Flinders University, South Australia, Australia. petra.bywood@flinders.edu.au</t>
  </si>
  <si>
    <t>http://ovidsp.ovid.com/ovidweb.cgi?T=JS&amp;CSC=Y&amp;NEWS=N&amp;PAGE=fulltext&amp;D=med5&amp;AN=18696301</t>
  </si>
  <si>
    <t>http://dx.doi.org/10.1080/09595230802245535</t>
  </si>
  <si>
    <t>MEDLINE; Ovid Technologies; Strategies for facilitating change in alcohol and other drugs (AOD) professional practice: a systematic review of the effectiveness of reminders and feedback</t>
  </si>
  <si>
    <t>Cabral,G. A.</t>
  </si>
  <si>
    <t>Neuroimmune pharmacology as a sub-discipline of immunology in the medical school curriculum</t>
  </si>
  <si>
    <t>*Allergy and Immunology/ed Education];*Education, Medical, Undergraduate/mt Methods];Humans;Neurosciences/ed Education];Pharmacology/ed Education]</t>
  </si>
  <si>
    <t>This article provides a description of a proposed sub-module and attendant syllabus for inclusion of neuroimmune pharmacology as a sub-discipline of an immunology course that is offered to medical students during the first year of medical school. Neuroimmune pharmacology is an area of study that integrates fundamental concepts in pharmacology, immunology, neuroscience, and infectious disease. This convergent disciplinary area is of increasing importance to the foundational training of medical students, especially in view of the recognition that a variety of neuropathological processes such as demyelinating disease, drug abuse, and viral encephalitis has an immunological component. A lecture sub-module that addresses this convergent topic is proposed for inclusion as a sub-discipline of an immunology course offered as a component of a Scientific Foundations curriculum that takes place during the first 6 months of medical school. It is proposed to revisit the neuroimmune pharmacology topic area in a more clinical setting during the subsequent 14 months of study when medical students would be presented with an organ system-based curriculum. In this instructional model, basic science teaching faculty would interface with clinical faculty in presenting the topical block material in the context of different organ systems. Discussion of clinical cases related to neuroimmune pharmacology would be integrated into the organ system-based curriculum in order to highlight a translational relevance to medical practice.</t>
  </si>
  <si>
    <t>J2: J Neuroimmune Pharmacol; Cabral, Guy A DA005832 (United States NIDA NIH HHS); ID: 267</t>
  </si>
  <si>
    <t>Cabral,Guy A. Department of Microbiology and Immunology, Virginia Commonwealth University, School of Medicine, Richmond, VA 23298-0678, USA. gacabral@vcu.edu</t>
  </si>
  <si>
    <t>http://ovidsp.ovid.com/ovidweb.cgi?T=JS&amp;CSC=Y&amp;NEWS=N&amp;PAGE=fulltext&amp;D=med5&amp;AN=20607430</t>
  </si>
  <si>
    <t>http://dx.doi.org/10.1007/s11481-010-9230-y</t>
  </si>
  <si>
    <t>MEDLINE; Ovid Technologies; Neuroimmune pharmacology as a sub-discipline of immunology in the medical school curriculum</t>
  </si>
  <si>
    <t>Cacabelos,R.;Martinez-Bouza,R.;Carril,J. C.;Fernandez-Novoa,L.;Lombardi,V.;Carrera,I.;Corzo,L.;McKay,A.</t>
  </si>
  <si>
    <t>Genomics and pharmacogenomics of brain disorders</t>
  </si>
  <si>
    <t>Current Pharmaceutical Biotechnology</t>
  </si>
  <si>
    <t>Curr.Pharm.Biotechnol.</t>
  </si>
  <si>
    <t>*Brain Diseases/dt Drug Therapy];*Brain Diseases/ge Genetics];Brain Diseases/me Metabolism];*Genomics;Humans;Metabolomics;*Pharmacogenetics;Proteomics</t>
  </si>
  <si>
    <t>CNS disorders are the third major problem of health in developed countries, with approximately 10% of direct costs associated with a pharmacological treatment of doubtful cost-effectiveness. There is an alarming abuse of psychotropic drugs worldwide and only 20-30% of patients with CNS disorders appropriately respond to conventional drugs. The pathogenesis of most CNS disorders is the result of the interplay of genetic and epigenetic factors with environmental factors leading to post-transcriptional changes and proteomic and metabolomic dysfunctions. It is estimated that genetics accounts for 20% to 95% of variability in drug disposition and pharmacodynamics, and about 25-60% of the Western population is defective in genes responsible for drug metabolism. In the European population only 25% of subjects are pure extensive metabolizers for the trigenic cluster integrated by the CYP2D6, CYP2C19 and CYP2C9 genes. About 50% of adverse drug events in CNS disorders might be attributed to pharmacogenomic factors. The rationale for practical pharmacogenomics and personalized therapeutics based on individual genomic profiles implies the management of different types of genes and their products including (i) genes associated with the mechanism of action of psychotropic drugs (neurotransmitters, receptors, transporters), (ii) genes encoding enzymes responsible for drug metabolism (phase I, phase II reactions), (iii) disease-specific genes associated with a particular pathogenic cascade, and (iv) pleiotropic genes with multilocative effects in metabolomic networks. The incorporation of genomic medicine procedures and pharmacogenomics into clinical practice, together with educational programs for the correct use of medication, must help to optimize therapeutics in CNS disorders.</t>
  </si>
  <si>
    <t>J2: Curr Pharm Biotechnol; Cacabelos, Ramon Martinez-Bouza, Rocio Carril, Juan Carlos Fernandez-Novoa, Lucia Lombardi, Valter Carrera, Ivan Corzo, Lola McKay, Adam; ID: 201</t>
  </si>
  <si>
    <t>1873-4316</t>
  </si>
  <si>
    <t>Cacabelos,Ramon. EuroEspes Biomedical Research Center, Institute for CNS Disorders and Genomic Medicine, EuroEspes Chair of Biotechnology and Genomics, Camilo Jose Cela University, Bergondo, Corunna, Spain. rcacabelos@euroespes.com</t>
  </si>
  <si>
    <t>http://ovidsp.ovid.com/ovidweb.cgi?T=JS&amp;CSC=Y&amp;NEWS=N&amp;PAGE=fulltext&amp;D=medl&amp;AN=22122480</t>
  </si>
  <si>
    <t>MEDLINE; Ovid Technologies; Genomics and pharmacogenomics of brain disorders</t>
  </si>
  <si>
    <t>Cain,R. M.;Kahn,J. S.</t>
  </si>
  <si>
    <t>PMC1530150; The pharmacist as a member of the health team</t>
  </si>
  <si>
    <t>American Journal of Public Health</t>
  </si>
  <si>
    <t>Am.J.Public Health</t>
  </si>
  <si>
    <t>Allied Health Personnel/ed Education];Attitude of Health Personnel;Community Health Services/ma Manpower];Drug Prescriptions;Education, Pharmacy;Health Education;Health Manpower/ut Utilization];Humans;Inservice Training;Interprofessional Relations;Medical Records;*Patient Care Team;*Pharmacists/ut Utilization];Pharmacy and Therapeutics Committee;Substance-Related Disorders;United States;United States Office of Economic Opportunity</t>
  </si>
  <si>
    <t>J2: Am J Public Health; Cain, R M Kahn, J S; ID: 740</t>
  </si>
  <si>
    <t>0090-0036</t>
  </si>
  <si>
    <t>http://ovidsp.ovid.com/ovidweb.cgi?T=JS&amp;CSC=Y&amp;NEWS=N&amp;PAGE=fulltext&amp;D=med1&amp;AN=5112968</t>
  </si>
  <si>
    <t>MEDLINE; Ovid Technologies; The pharmacist as a member of the health team</t>
  </si>
  <si>
    <t>Cairns,C.;Author,Addresses</t>
  </si>
  <si>
    <t>Equipping pharmacy undergraduates to deal with life on the jubilee line !</t>
  </si>
  <si>
    <t>paramedical education;pharmacy;professional practice;public health service;career;community care;conference paper;continuing education;cultural anthropology;drug industry;drug misuse;education program;financial management;health care quality;health promotion;job performance;learning style;medical ethics;medical society;patient care;personal experience;pharmaceutical care;pharmacist;pharmacy student;problem solving;professional competence;professional development;professional standard;professionalism;quality of life;registration;sexual education;skill;smoking cessation program;student attitude;United Kingdom;workplace;Public Health, Social Medicine and Epidemiology (17)</t>
  </si>
  <si>
    <t>(Cairns C.) Pharmaceutical Press, 1 Lambeth High Street, London, United Kingdom.; ID: 1453</t>
  </si>
  <si>
    <t>Calabrese,A. T.;Cholka,K.;Lenhart,S. E.;McCarty,B.;Zewe,G.;Sunseri,D.;Roberts,M.;Kapoor,W.</t>
  </si>
  <si>
    <t>Pharmacist involvement in a multidisciplinary inpatient medication education program</t>
  </si>
  <si>
    <t>Administration, Oral;Humans;*Inpatients/ed Education];*Patient Care Team;Patient Compliance;*Patient Education as Topic/og Organization &amp; Administration];*Pharmacists;*Pharmacy Service, Hospital/og Organization &amp; Administration];Program Evaluation;*Self Administration;United States</t>
  </si>
  <si>
    <t>The development of a multidisciplinary inpatient medication education program is described. A multidisciplinary group designed and implemented a medication education program with defined roles for both nurses and pharmacists. Nurses provided medication education to patients during each medication administration using specially designed assessment and teaching tools. The nursing staff submitted requests for pharmacist consultations for patients with complex medication regimens, who were admitted because of a drug-related problem or who required additional teaching as determined through the medication education assessment form. A complex medication regimen was defined as the administration of oral medication more than five different times per day, the start of at least 5 new medications that would be continued at discharge, or the prescribing of at least 10 medications to be taken daily that would be continued at discharge. Pharmacists provided education for 19% of admitted patients during a six-month period. As a result of pharmacists' interactions with prescribers and nurses, the number of medications was reduced in 12% of these patients, and the number of medication administrations each day was reduced in 19% of patients. In addition, for 33% of patients, pharmacists contacted the prescriber to make recommendations beyond the scope of the medication education program that optimized and simplified the patient's drug regimen. The development of a structured medication education program allowed patients to receive medication education throughout their hospitalization from both nurses and pharmacists. Pharmacists provided education for patients at highest risk for noncompliance or poor outcomes. Full implementation of a medication education program involving staff pharmacists is planned.</t>
  </si>
  <si>
    <t>J2: Am J Health-Syst Pharm; Calabrese, Amy T Cholka, Kerry Lenhart, Susan E McCarty, Beth Zewe, Gretchen Sunseri, Diane Roberts, Mark Kapoor, Wishwa; ID: 499</t>
  </si>
  <si>
    <t>Calabrese,Amy T. University of Pittsburgh (UP), University of Pittsburgh Medical Center-Presbyterian (UPMC-Presbyterian), Pittsburgh, PA, USA.</t>
  </si>
  <si>
    <t>http://ovidsp.ovid.com/ovidweb.cgi?T=JS&amp;CSC=Y&amp;NEWS=N&amp;PAGE=fulltext&amp;D=med4&amp;AN=12789872</t>
  </si>
  <si>
    <t>MEDLINE; Ovid Technologies; Pharmacist involvement in a multidisciplinary inpatient medication education program</t>
  </si>
  <si>
    <t>Calderon,R.;Copenhaver,D.</t>
  </si>
  <si>
    <t>Buprenorphine for chronic pain</t>
  </si>
  <si>
    <t>Journal of Pain &amp; Palliative Care Pharmacotherapy</t>
  </si>
  <si>
    <t>*Analgesics, Opioid/ad Administration &amp; Dosage];Analgesics, Opioid/ae Adverse Effects];Analgesics, Opioid/tu Therapeutic Use];*Buprenorphine/ad Administration &amp; Dosage];Buprenorphine/ae Adverse Effects];Buprenorphine/tu Therapeutic Use];*Chronic Pain/dt Drug Therapy];Humans;Opiate Substitution Treatment/mt Methods];Opioid-Related Disorders/dt Drug Therapy];Transdermal Patch;0 (Analgesics, Opioid);40D3SCR4GZ (Buprenorphine)</t>
  </si>
  <si>
    <t>Questions from patients about pain conditions, analgesic pharmacotherapy and responses from authors are presented to help educate patients and make them more effective self-advocates. The use of transdermal buprenorphine for chronic pain management is discussed. A brief history of the medication is provided. The use of the medication in opioid maintenance, and withdrawal and other concerns are discussed. Possible side effects are described.</t>
  </si>
  <si>
    <t>J2: J Pain Pall Care Pharmacother; Calderon, Raul Copenhaver, David; ID: 91</t>
  </si>
  <si>
    <t>1536-0539</t>
  </si>
  <si>
    <t>http://ovidsp.ovid.com/ovidweb.cgi?T=JS&amp;CSC=Y&amp;NEWS=N&amp;PAGE=fulltext&amp;D=medl&amp;AN=24245573</t>
  </si>
  <si>
    <t>http://dx.doi.org/10.3109/15360288.2013.847522</t>
  </si>
  <si>
    <t>MEDLINE; Ovid Technologies; Buprenorphine for chronic pain</t>
  </si>
  <si>
    <t>Calis,K. A.;Hutchison,L. C.;Elliott,M. E.;Ives,T. J.;Zillich,A. J.;Poirier,T.;Townsend,K. A.;Woodall,B.;Feldman,S.;Raebel,M. A.;Author,Addresses;Amer College,of Clinical;Broadway,Kansas City M. O. United States;Correspondence,Address;KA Calis, Amer College of Clinical Pharmacy Broadway,Kansas City</t>
  </si>
  <si>
    <t>15460187; Healthy people 2010: Challenges, opportunities, and a call to action for America's pharmacists</t>
  </si>
  <si>
    <t>alteplase (drug therapy, pharmacoeconomics);analgesic agent (drug therapy, pharmacoeconomics);antiasthmatic agent (drug therapy, inhalational drug administration);anticoagulant agent (drug therapy, pharmacoeconomics);antidepressant agent (drug therapy);antilipemic agent (drug dose, drug therapy);antiretrovirus agent (drug therapy);beta 2 adrenergic receptor stimulating agent (drug therapy, inhalational;drug administration);beta adrenergic receptor blocking agent (drug therapy);corticosteroid (drug therapy, inhalational drug administration);dipeptidyl carboxypeptidase inhibitor (drug therapy);fibrinolytic agent (drug therapy, pharmacoeconomics);immunosuppressive agent (drug therapy);insulin (drug therapy);neuroleptic agent (drug therapy);nicotine (drug therapy, transdermal drug administration);nonsteroid antiinflammatory agent (drug therapy, pharmacoeconomics);recombinant erythropoietin (drug therapy, pharmacoeconomics);vasodilator agent (drug therapy);health promotion;pharmacist;ambulatory care;anemia (complication, disease management, drug therapy);arthritis (disease management, drug therapy);asthma (drug therapy);backache (disease management, drug therapy);behavior modification;breast cancer (diagnosis, disease management, epidemiology);cancer risk;cardiovascular disease (complication, disease management, drug therapy,;epidemiology, prevention);cerebrovascular accident (complication, disease management, drug therapy,;chronic kidney disease (therapy);chronic obstructive lung disease (drug therapy);chronic pain (disease management, drug therapy);depression (drug therapy);diabetes control;diabetes mellitus (disease management, drug therapy);dialysis;drug safety;emergency treatment;family planning;graft rejection (complication, disease management, prevention);health care access;health care personnel;health care quality;health education;human;Human immunodeficiency virus infection (drug therapy, epidemiology,;prevention);hyperlipidemia (drug therapy);immunization;insulin treatment;kidney function;kidney transplantation;long term care;mental disease (drug therapy);metered dose inhaler;nephrotoxicity (etiology, prevention);oropharynx carcinoma (disease management);osteoporosis (diagnosis, disease management);patient care;patient counseling;pharmacy;preventive health service;primary medical care;prostate cancer (disease management);respiratory tract disease (drug therapy);review;risk assessment;skin cancer (disease management, epidemiology, prevention);sleep disordered breathing;smoking;smoking cessation;tobacco dependence (drug therapy, therapy);alteplase (105857-23-6);insulin (9004-10-8);nicotine (54-11-5);recombinant erythropoietin (113427-24-0, 122312-54-3, 130455-76-4);Internal Medicine (6);Public Health, Social Medicine and Epidemiology (17);Health Policy, Economics and Management (36);Drug Literature Index (37);Pharmacy (39)</t>
  </si>
  <si>
    <t>(Calis K.A., accp@accp.com) (Hutchison L.C.; Elliott M.E.; Ives T.J.; Zillich A.J.; Poirier T.; Townsend K.A.; Woodall B.; Feldman S.; Raebel M.A.) Pharmacotherapy Publications Inc., 750 Washington Street, Boston, United States.; ID: 1561</t>
  </si>
  <si>
    <t>http://www.ncbi.nlm.nih.gov/pubmed/15460187</t>
  </si>
  <si>
    <t>Healthy people 2010: Challenges, opportunities, and a call to action for America's pharmacists</t>
  </si>
  <si>
    <t>Camaggi,C. M.;Strocchi,E.;Martoni,A.;Angelelli,B.;Comparsi,R.;Pannuti,F.</t>
  </si>
  <si>
    <t>Epirubicin plasma and blood pharmacokinetics after single i.v. bolus in advanced cancer patients</t>
  </si>
  <si>
    <t>Drugs Under Experimental &amp; Clinical Research</t>
  </si>
  <si>
    <t>Bile/an Analysis];*Doxorubicin/bl Blood];Doxorubicin/me Metabolism];Doxorubicin/tu Therapeutic Use];Epirubicin;Half-Life;Humans;Kidney Diseases/et Etiology];Kinetics;Liver Neoplasms/me Metabolism];Liver Neoplasms/sc Secondary];Mathematics;*Neoplasms/bl Blood];Neoplasms/co Complications];Neoplasms/dt Drug Therapy];3Z8479ZZ5X (Epirubicin);80168379AG (Doxorubicin)</t>
  </si>
  <si>
    <t>Plasma and whole blood pharmacokinetics of epirubicin (4'-epidoxorubicin, epiDX), a new doxorubicin (DX) analogue with an improved spectrum of activity and lower toxicity, were investigated in advanced cancer patients after i.v. bolus administration. Drug decay is triphasic, with a long terminal half-life. Plasma and blood levels of the C-13 reduced epiDX metabolite, epirubicinol (epiDXol), are lower than those of the parent compound. Glucuronides of epiDX and epiDXol are also present in plasma, bile and urine; similar compounds are not described in the literature among the metabolites of DX. EpiDX plasma clearance is consistently higher and mean residence time lower than the corresponding DX parameters, thus indicating a more efficient disposition of the new drug. This behaviour is also reflected in a faster elimination of epiDXol with respect to the corresponding Dx metabolite, doxorubicinol. After an initial induction period, epiDX concentration is higher in whole blood than in plasma. Blood clearance is lower than plasma clearance; volume of distribution at steady state Vss is lower if blood concentration data are used in the pharmacokinetic analysis. Mean Residence Time is similar in plasma and blood. A statistically significant reduction of clearance parameters is observed in patients with liver metastases, even in the absence of altered bilirubin levels. Drug clearance problems induced by renal dysfunction become relevant only in severe renal failure.</t>
  </si>
  <si>
    <t>J2: Drugs Exp Clin Res; Camaggi, C M Strocchi, E Martoni, A Angelelli, B Comparsi, R Pannuti, F; ID: 699</t>
  </si>
  <si>
    <t>0378-6501</t>
  </si>
  <si>
    <t>http://ovidsp.ovid.com/ovidweb.cgi?T=JS&amp;CSC=Y&amp;NEWS=N&amp;PAGE=fulltext&amp;D=med2&amp;AN=3869807</t>
  </si>
  <si>
    <t>MEDLINE; Ovid Technologies; Epirubicin plasma and blood pharmacokinetics after single i.v. bolus in advanced cancer patients</t>
  </si>
  <si>
    <t>Cameron,I.;Matheson,C. I.;Bond,C.;Author,Addresses;Dip Applied,Psychometrics;Department,of General;Primary Care,University of;Aberdeen,Aberdeen United Kingdom;Department,of General;Primary,Care;Foresterhill Health Centre, Westburn Road,Aberdeen A.;Kingdom;Correspondence,Address;CI Matheson, Department of,General Practice;Primary Care,Foresterhill;Health Centre, Westburn Road Aberdeen,A.B.A.Y.United Kingdom</t>
  </si>
  <si>
    <t>A survey of community pharmacists' training needs in the management of opioid dependent clients in Grampian, Scotland</t>
  </si>
  <si>
    <t>methadone (drug therapy);opiate;opiate addiction (drug therapy);pharmacist;staff training;article;controlled study;drug misuse;feasibility study;health care delivery;human;interview;motivation;national health service;pharmacist attitude;pharmacy;postal mail;questionnaire;United Kingdom;validation process;methadone (1095-90-5, 125-56-4, 23142-53-2, 297-88-1, 76-99-3);opiate (53663-61-9, 8002-76-4, 8008-60-4);Public Health, Social Medicine and Epidemiology (17);Drug Literature Index (37);Drug Dependence, Alcohol Abuse and Alcoholism (40)</t>
  </si>
  <si>
    <t>Aims: To explore community pharmacists' training needs for the provision of services to drug misusers. Design: Cross-sectional survey. Subjects and setting: Pharmacy managers of all registered community pharmacies in NHS Grampian, Scotland (n=120). Method: Administration of a self-completed postal questionnaire based on a previously validated measure. Two reminders were sent out. Questions included previous training in drug misuse, attitudes to developing motivational interviewing skills and perceived training needs. Results: 99 pharmacists (82.5%) completed the questionnaire, 79 (80.6%) had experience of dispensing methadone. Interest in learning motivational interviewing skills was indicated by 67 pharmacists (67.7%). 53 pharmacists (53.5%) had received previous professional training on the management of drug misuse; 70 (73.7%) wanted further professional training on drug misuse. Conclusions: Pharmacists' interest in learning motivational interviewing techniques indicated that the feasibility of such training should be explored. Despite a high proportion of respondents dispensing methadone, almost half had not received professional training on the management of drug misuse. Community pharmacists are interested in receiving more training on this topic and local provision of specialist training should be considered.</t>
  </si>
  <si>
    <t>(Cameron I.) (Bond C.) (Matheson C.I.); ID: 1524</t>
  </si>
  <si>
    <t>Campbell,A.;Anderson,K.;Author,Addresses;Center for,Behavioral Medicine;Kansas City Va,Medical Center;Correspondence,Address;Campbell, Center for Behavioral Medicine United States,A.</t>
  </si>
  <si>
    <t>Varenicline and mental health stability in patients with post-traumatic stress disorder: A retrospective cohort study of 78 patients at a single veterans affairs medical center</t>
  </si>
  <si>
    <t>(MAJOR FOCUS);varenicline;nicotinic receptor;partial agonist;cohort analysis;college;mental health;patient;pharmacist;posttraumatic stress disorder;veteran;data analysis;diagnosis;drug therapy;population;prescription;side effect;smoking cessation;tobacco dependence</t>
  </si>
  <si>
    <t>Abstract Type: Original Research. Background: Varenicline is a partial agonist of the alpha4beta2 nicotinic acetylcholine receptor used in the treatment of tobacco dependence. While proven an effective treatment option in the general population, there are growing reports of neuropsychiatric side effects linked to the medication. At present, no studies have investigated varenicline's use in patients with PTSD. Objective: To determine the effects of varenicline on mental health (MH) stability in a veteran population suffering from PTSD. Methods: This is a retrospective cohort study conducted at a single Veterans Affairs Medical Center. Data regarding MH encounters were collected on all patients with a diagnosis of PTSD who received a prescription for varenicline between May 2006 and July 2008. Data extracted for comparison was divided into three time periods: 1) six-month pre-varenicline period to establish baseline encounter needs, 2) period patient was actively taking varenicline, 3) three-month post-varenicline treatment period. The primary outcome measure of this study is the average number of MH encounters per month while taking varenicline. Results:A total of 78 patientswere included in the final data analysis. Comparison of the three time periods indicated a 28.6% increase in MH encounters during the varenicline treatment period (P=0.005). Nosignificant difference was seen between the baseline and post-varenicline treatment periods. Patients with concomitant Axis I disorders (n = 43) required significantlymoreMHencounters for all three time periods as compared to patients with PTSD only (n = 35) (P = 0.017, 0.034, and 0.018 respectively). Varenicline was also associated with a greater than expected prolonged smoking cessation rate (31%). Conclusions: The findings of this study suggest varenicline may potentiate decompensations of MH stability in patients with PTSD. Further prospective investigation of these results is warranted.</t>
  </si>
  <si>
    <t>(Campbell A.) (Anderson K.) 13th Annual Meeting of the College of Psychiatric and Neurologic Pharmacists, CPNP 2010 San Antonio, TX, United States 2010-04-18 to 2010-04-21 SAGE Publications Inc.; ID: 1373</t>
  </si>
  <si>
    <t>Campbell-Heider,N.;Finnell,D. S.;Feigenbaum,J. C.;Feeley,T. H.;Rejman,K. S.;Austin-Ketch,T.;Zulawski,C.;Schmitt,A.;Author,Addresses;University,at Buffalo;Correspondence,Address;Email nheider buffalo edu,N.Campbell-Heider, University at Buffalo U.S.A.</t>
  </si>
  <si>
    <t>19222396; Survey on addictions: toward curricular change for family nurse practitioners</t>
  </si>
  <si>
    <t>International journal of nursing education scholarship</t>
  </si>
  <si>
    <t>Article4</t>
  </si>
  <si>
    <t>addiction (diagnosis, therapy);general practice;nurse attitude;nurse practitioner;nursing education;curriculum;education;epidemiology;female;health care quality;health personnel attitude;human;male;methodology;nurse;nursing;nursing evaluation research;professional competence;review;United States</t>
  </si>
  <si>
    <t>The purpose of this paper is to describe the results of a survey of advanced practice nurses (APNs) to determine the activities they perform related to caring for patients with addictions and or co-occurring mental health disorders, the amount of addictions education in their graduate programs, and their perceptions of the value of addictions education for their role. Data were obtained from 233 APNs in New York State using a tool adapted from a previous job analysis survey. APNs reported the greatest amount of experience in history taking for various types of addictions and co-occurring mental health disorders and least amount of experience in performing objective exams, using standardized screening tools, ordering related diagnostic tests, prescribing pharmacological treatments, and making referrals for addiction treatment. Respondents reported a mean of less than three hours addictions education in their graduate programs in contrast to their high perceived importance of this clinical area.</t>
  </si>
  <si>
    <t>(Campbell-Heider N.; Finnell D.S.; Feigenbaum J.C.; Feeley T.H.; Rejman K.S.; Austin-Ketch T.; Zulawski C.; Schmitt A.); ID: 1437</t>
  </si>
  <si>
    <t>1548-923X (electronic)</t>
  </si>
  <si>
    <t>http://www.ncbi.nlm.nih.gov/pubmed/19222396</t>
  </si>
  <si>
    <t>Survey on addictions: toward curricular change for family nurse practitioners</t>
  </si>
  <si>
    <t>Cantarero-Ar‚îú‚åêvalo,Lourdes;Kassem,Dumoue;Traulsen,Janine Marie</t>
  </si>
  <si>
    <t>A culturally competent education program to increase understanding about medicines among ethnic minorities</t>
  </si>
  <si>
    <t>932 11p</t>
  </si>
  <si>
    <t>Background: It has been previously suggested that the risk of medicine-related problems-i.e., negative clinical outcomes, adverse drug reactions or adverse drug events resulting from the use (or lack of use) of medicines, and human error including that caused by healthcare personnel-is higher among specific ethnic minority groups compared to the majority population.Objective: The focus of this study was on reducing medicine-related problems among Arabic-speaking ethnic minorities living in Denmark. The aim was twofold: (1) to explore the perceptions, barriers and needs of Arabic-speaking ethnic minorities regarding medicine use, and (2) to use an education program to enhance the knowledge and competencies of the ethnic minorities about the appropriate use of medicines.Settings: Healthcare in Denmark is a tax-financed public service that provides free access to hospitals and general practitioners. In contrast to the USA or the UK, serving ethnically diverse populations is still a relatively new phenomenon for the Danish healthcare system. Ethnic minorities with a non-Western background comprised a total of 6.9 % of the Danish population.Methods: Data were collected through qualitative research. Four focus group interviews were conducted before and four after the education program. Thirty Arabic-speaking participants were recruited from language and job centers in Copenhagen. Participants received teaching sessions in Arabic on appropriate medicine use. The education program was evaluated by two methods: a written quiz for knowledge evaluation and focus group interviews for process evaluation. It took place during the first semenester of 2012. Results The majority of the participants were dissatisfied with the knowledge about medicines inherited from their parents. They also expressed their frustrations due to communication problems with Danish doctors. According to the impressions and quiz results of participants, the program was relevant, rich in information and effective. The program helped bridge the gap between participants and doctors. The commonality of the culture, language and gender shared by the researcher pharmacist and participants enhanced the success of the program.Conclusion: The education program may potentially reduce medicine-related problems by providing participants with knowledge and competencies about appropriate medicine use. We recommend implementing education programs for ethnic minorities using the cultural competence approach to the appropriate use of medicines. Ideally, programs should be implemented in places that are frequented by ethnic minorities, and taught by health professionals with the same ethnic background as participants.</t>
  </si>
  <si>
    <t>Entry Date: 20150605. Revision Date: 20151001. Publication Type: journal article. Journal Subset: Biomedical; Continental Europe; Europe. NLM UID: 101554912. PMID: 25193266.; ID: 1792</t>
  </si>
  <si>
    <t>http://proxy.lib.umich.edu/login?url=http://search.ebscohost.com/login.aspx?direct=true&amp;db=ccm&amp;AN=109680863&amp;site=ehost-live&amp;scope=site</t>
  </si>
  <si>
    <t>10.1007/s11096-014-0009-8</t>
  </si>
  <si>
    <t>ccm; EBSCOhost; A culturally competent education program to increase understanding about medicines among ethnic minorities</t>
  </si>
  <si>
    <t>Cantor,S. B.;Deshmukh,A. A.;Luca,N. S.;Nogueras-Gonz‚îú√≠lez,G. M.;Rajan,T.;Prokhorov,A. V.;Author,Addresses;Department;of Health Services Research, The University of Texas,M.D.Anderson Cancer;Center,Houston United States;Office of Research, Texas Woman's University,Houston United;States;Department of Biostatistics, The,University of;Anderson,Texas Md;Department of Behavioral Science, The University,of Texas</t>
  </si>
  <si>
    <t>25644592; Cost-effectiveness analysis of smoking-cessation counseling training for physicians and pharmacists</t>
  </si>
  <si>
    <t>Addictive Behaviors</t>
  </si>
  <si>
    <t>Addict.Behav.</t>
  </si>
  <si>
    <t>cost effectiveness analysis;health care cost;medical education;patient counseling;pharmacist;physician;smoking cessation;adult;article;controlled study;female;human;life expectancy;male;medical decision making;middle aged;outcome assessment;quality adjusted life year;smoking cessation program;tobacco dependence (disease management, therapy);Health Policy, Economics and Management (36);Drug Dependence, Alcohol Abuse and Alcoholism (40)</t>
  </si>
  <si>
    <t>Background: Although smoking-cessation interventions typically focus directly on patients, this paper conducts an economic evaluation of a novel smoking-cessation intervention focused on training physicians and/or pharmacists to use counseling techniques that would decrease smoking rates at a reasonable cost. Purpose: To evaluate the cost-effectiveness of interventions that train physicians and/or pharmacists to counsel their patients on smoking-cessation techniques. Methods: Using decision-analytic modeling, we compared four strategies for smoking-cessation counseling education: training only physicians, training only pharmacists, training both physicians and pharmacists (synergy strategy), and training neither physicians nor pharmacists (i.e., no specialized training, which is the usual practice). Short-term outcomes were based on results from a clinical trial conducted in 16 communities across the Houston area; long-term outcomes were calculated from epidemiological data. Short-term outcomes were measured using the cost per quit, and long-term outcomes were measured using the cost per quality-adjusted life-year (QALY). Cost data were taken from institutional sources; both costs and QALYs were discounted at 3%. Results: Training both physicians and pharmacists added 0.09 QALY for 45-year-old men. However, for 45-year-old women, the discounted quality-adjusted life expectancy only increased by 0.01 QALY when comparing the synergy strategy to no intervention. The incremental cost-effectiveness ratio (ICER) of the synergy strategy with respect to the non-intervention strategy was US$868/QALY for 45-year-old men and US$8953/QALY for 45-year-old women. The results were highly sensitive to the quit rates and community size. Conclusion: Synergistic educational training for physicians and pharmacists could be a cost-effective method for smoking cessation in the community.</t>
  </si>
  <si>
    <t>(Cantor S.B., sbcantor@mdanderson.org; Deshmukh A.A.; Rajan T.) (Luca N.S.) (Nogueras-Gonz‚îú√≠lez G.M.) (Prokhorov A.V.) Elsevier Ltd; ID: 819</t>
  </si>
  <si>
    <t>1873-6327 (electronic) 0306-4603</t>
  </si>
  <si>
    <t>http://www.ncbi.nlm.nih.gov/pubmed/25644592</t>
  </si>
  <si>
    <t>Cost-effectiveness analysis of smoking-cessation counseling training for physicians and pharmacists</t>
  </si>
  <si>
    <t>Capehart,K. D.;O'Neil,M.;Bottorff,M.;Author,Addresses;University,of Charleston;Pharmacy,Charleston United States;Correspondence,Address;KD Capehart, University of Charleston School of,Pharmacy Charleston;United,States</t>
  </si>
  <si>
    <t>Collaborative health risk assessment and management program between the university pharmacy clinic and city employees</t>
  </si>
  <si>
    <t>390e</t>
  </si>
  <si>
    <t>cholesterol;city;clinical pharmacy;college;employee;health hazard;hospital;human;pharmacy;risk assessment;university;analgesia;asthma;chronic disease;diabetes mellitus;disease management;health;health care;health center;heart failure;hypertension;medication therapy management;patient;patient care;physician assistant;prevention;productivity;risk management;satisfaction;smoking cessation;substance abuse;United States</t>
  </si>
  <si>
    <t>PURPOSE: The purpose of the collaboration is to provide medication therapy management services to Charleston, West Virginia city employees in conjunction with the City's Employee Health Risk Management Program. METHODS: All city employees and dependents were required to complete a comprehensive health risk assessment (HRA) in the fall of 2010. The collaborative program with the City was created based on the HRA results. Patients may self-refer to the pharmacy clinic or be referred by the City's free physician assistant-run health clinic. Services provided include medication therapy management, chronic disease management for diabetes, cholesterol, hypertension, heart failure, asthma, COPD, smoking cessation, pain management, and substance abuse prevention. The City will reimburse the PharmUC Patient Care Clinic on a fee-for-service basis. The services are free to the employee and dependents and can be utilized while at work without taking paid or unpaid time off. Adherent participants to the Health Risk Management Program receive a discount on their health premiums. RESULTS: An agreement was reached with the City of Charleston for the PharmUC Patient Care Clinic to be a part of the City's Employee Health Risk Management Program. Utilizing the appropriate national Guidelines and/or quality indicators for each condition will be examined at six and twelve months. Also, work productivity indicators and overall healthcare savings will be evaluated. Employee satisfaction with the health plan before and after Program implementation will be assessed. CONCLUSIONS: Opportunities exist for pharmacy-based clinics to contract with insurers, particularly self-insured companies, to facilitate improvement in the management of health risks. The City of Charleston is taking a proactive step to improve the health of its employees and beneficiaries by recognizing the benefits that clinical pharmacy can offer and incorporating these services into their health plan.</t>
  </si>
  <si>
    <t>(Capehart K.D.; O'Neil M.; Bottorff M.) 2011 Annual Meeting of the American College of Clinical Pharmacy Pittsburgh, PA, United States 2011-10-16 to 2011-10-19 Pharmacotherapy Publications Inc.; ID: 1223</t>
  </si>
  <si>
    <t>Capomacchia,Anthony C.</t>
  </si>
  <si>
    <t>Drug Bioavailability Data: (Un)Available</t>
  </si>
  <si>
    <t>Government Role;Higher Education;Information Needs;(Major): Drug Therapy;Information Dissemination;Manufacturing Industry;Pharmaceutical Education</t>
  </si>
  <si>
    <t>The obtainability of drug bioavailability data from both brand-name and generic-drug manufacturers was studied to document the relative change in availability to pharmacy students of drug bioavailability data between 1978 and 1976 for drugs exhibiting bioavailability problems. The results indicate no major change. (JMD)</t>
  </si>
  <si>
    <t>Connect to the Mirlyn catalog at the University of Michigan Article (EJ); ID: 2090</t>
  </si>
  <si>
    <t>EJ214565</t>
  </si>
  <si>
    <t>ERIC; OCLC; Drug Bioavailability Data: (Un)Available</t>
  </si>
  <si>
    <t>Cardinal Ldos,S.;Matos,V. T.;Resende,G. M.;Toffoli-Kadri,M.</t>
  </si>
  <si>
    <t>Characterization of drug prescriptions in an adult intensive care unit</t>
  </si>
  <si>
    <t>Revista Brasileira de Terapia Intensiva</t>
  </si>
  <si>
    <t>OBJECTIVE: To characterize drug prescriptions in a university hospital adult intensive care unit. METHODS: Single-center, observational, descriptive, cross-sectional study conducted at an adult general intensive care unit. The study population included all of the unit's inpatients from January to March 2011. The following characteristics for all prescriptions recorded during this period were examined: drug name (generic, brand name or abbreviation), dosage strength, pharmaceutical form, dose, route of administration, patient name, patient registration in the institution, clinic and hospital bed as well as the name, board license number, signature of the prescriber and date of the prescription. It was quantified the percentage of prescribed drugs included in the National List of Essential Drugs, the World Health Organization Model List of Essential Medicines and the University Hospital Center Pharmacotherapy Guide. The prescribed drugs were classified based on the Anatomical Therapeutic Chemical classification system (levels 1 and 2). RESULTS: Eight hundred forty-four prescriptions were reviewed from 72 patients (mean age: 59.04 +/- 21.80), 54.92% of whom were female. The mean number of prescriptions per patient was 11.72 +/- 11.68. The total number of drugs prescribed was 12,052 and 9,571 (79.41%) of the drugs were prescribed using the generic name. The most frequent absent information in the drug description was the pharmaceutical form of the drug (8,829/73.26%). The dosage strength was indicated in 7,231 (60%) of the prescriptions, and the prescriber and patient information were indicated in over 96% of the prescriptions. The prescribed drugs were classified in 13 therapeutic groups and 55 subgroups. Systemic antibacterials represented one of the most frequently prescribed subgroups. CONCLUSION: Most of the reviewed information was present in the prescriptions. However, the dosage strength and pharmaceutical form were absent in many prescriptions. The characterization of prescriptions at different hospital units is essential for the development of strategies that reduce drug utilization problems.</t>
  </si>
  <si>
    <t>J2: Rev; Cardinal, Leandro Dos Santos Maciel Matos, Vanessa Terezinha Gubert de Resende, Glenda Mara Sousa Toffoli-Kadri, Monica Cristina S0103-507X2012000200009; OP: Caracterizacao das prescricoes medicamentosas em unidade de terapia intensiva adulto; ID: 27</t>
  </si>
  <si>
    <t>1982-4335</t>
  </si>
  <si>
    <t>English Portuguese</t>
  </si>
  <si>
    <t>http://ovidsp.ovid.com/ovidweb.cgi?T=JS&amp;CSC=Y&amp;NEWS=N&amp;PAGE=fulltext&amp;D=prem&amp;AN=23917762</t>
  </si>
  <si>
    <t>MEDLINE; Ovid Technologies; Characterization of drug prescriptions in an adult intensive care unit</t>
  </si>
  <si>
    <t>Carnelio,S.;Khan,S. A.;Rodrigues,G.;Author,Addresses;Department of,Oral;Maxillofacial Pathology,Manipal;College of,Dental Sciences;Department of,Pharmacy Practice;Department of Surgery, Kasturba Medical,College Manipal;India;Correspondence,Address;Carnelio,Department of Oral,S.;Maxillofacial Pathology,Manipal College;of,Dental Sciences</t>
  </si>
  <si>
    <t>21613036; Pharmacovigilance in clinical dentistry: Overlooked or axiomatic?</t>
  </si>
  <si>
    <t>General dentistry</t>
  </si>
  <si>
    <t>Gen.Dent.</t>
  </si>
  <si>
    <t>January-February</t>
  </si>
  <si>
    <t>biomedical and dental materials (adverse drug reaction);bisphosphonic acid derivative (adverse drug reaction);bone density conservation agent (adverse drug reaction);drug (adverse drug reaction);dentist;drug surveillance program;drug therapy (adverse drug reaction);article;dental education;drug interaction;health care quality;human;methodology;organization and management;pharmacist;postmarketing surveillance;public relations;safety;standard</t>
  </si>
  <si>
    <t>During the transition from dental school to dental clinic, it is important for dentists to make a subtle shift from emphasizing pharmacokinetics to appreciating pharmacodynamics. The authors believe that this change in philosophy will occur only when the clinicians of tomorrow are motivated in dental school to adopt pharmacovigilance in their clinical practices. Dentists must understand how reporting ADRs benefits the practice of dentistry as a whole. Early and more thorough reporting of ADRs will directly influence the speed with which problematic drugs can be withdrawn from the market. directly affecting the lives of patients who otherwise would have used these drugs.</t>
  </si>
  <si>
    <t>(Carnelio S.) (Khan S.A.) (Rodrigues G.) Academy of General Dentistry., 211 E Chicago Ave, Ste 900, Chicago, United States.; ID: 1323</t>
  </si>
  <si>
    <t>0363-6771</t>
  </si>
  <si>
    <t>http://www.ncbi.nlm.nih.gov/pubmed/21613036</t>
  </si>
  <si>
    <t>Pharmacovigilance in clinical dentistry: Overlooked or axiomatic?</t>
  </si>
  <si>
    <t>Caro,R. R. A.;Author,Addresses;Quimica Farmaceutica,Especialista;en Epidemiologia General Ms,Atencion Farmaceutica;de la Fundaci‚îú‚îÇn Santa Fe,de Bogot;Correspondence,Address;RA Caro R, Quimica Farmaceutica Especialista en,Epidemiologia General;Ms Atencion Farmaceutica, Hospital Universitario de la Fundaci‚îú‚îÇn Santa,Fe de;Bogot‚îú√≠, Calle N ‚ï¶√ú Bogot‚îú√≠ Colombia Email angela caro fsfb,org co</t>
  </si>
  <si>
    <t>Design and validation of a pharmacovigilance method to detect drug-related problems in hospital setting ORIGINAL (NON-ENGLISH) TITLE Dise‚îú‚ñío y validaci‚îú‚îÇn de una metodolog‚îú¬°a de farmacovigilancia activa para detectar problemas relacionados con medicamentos en el ambito hospitalario</t>
  </si>
  <si>
    <t>S89</t>
  </si>
  <si>
    <t>S90</t>
  </si>
  <si>
    <t>antibiotic agent;heparin;insulin;morphine;opiate;adverse drug reaction;drug surveillance program;hospital;study design;Colombia;constipation;human;infusion rate;medication error;methodology;monitoring;nausea;patient;pharmacist;pharmacy student;population;procedures;storage;therapy</t>
  </si>
  <si>
    <t>Rationale: In Colombia, active pharmacovigilance is restricted to isolated efforts of pharmacists. They are focused on monitoring appropriate use of drugs and adverse drug reactions (ADR). Aim: To design and validate a method to detect process (Drug-related problems, DRP) and result (ADR) problems by using an epidemiological method. Methods: The design was based on a bibliographic review and a collectively created method with the Pharmacy students from the Universidad Nacional. Validating required projects based on the methodology to detect DRP and ADR of heparin, insulin, morphine, antibiotics, oncologic drugs, oral antidiabetes and drugs newly included on the therapy form. Results: The design methodology included the following characteristics: 1) type of study: descriptive, observational, ambispective (prospective: Determining the DRP in pharmaceutical processes in contrast to the defined standards. And retrospective: by using a marking drug, produce a search for non-compliance dispensing or administration, medication error and ADR onset). 2) Study population: patients under treatment with the selected drugs, assessed during short periods of time. 3) Scope: DRP identification according to the pharmaceutical procedures (storage, distribution, dispensing and administration) and ADR, according to the drug and the onset time. For validation, the defined drugs are assessed according to their strengths: standardized and timely storage, distribution and dispensing procedures. DRPs were detected as incoherence in an administration record and two cases showed a lower than suggested infusion rate. ADRs, such as nausea and constipation, were detected with opiate administration. The methodology was not useful for newly included drugs due to the limited sample under treatment during the chosen time period. Conclusion: The presented methodology might be used to generate systematic, replicable and useful studies to assess DRPs and ADRs and the advantages of the procedures.</t>
  </si>
  <si>
    <t>(Caro R. R.A., angela.caro@fsfb.org.co) 1st Congreso Colombiano de Atencion Farmaceutica Medellin, Colombia 2011-09-08 to 2011-09-10 Universidad de Antioquia; ID: 1309</t>
  </si>
  <si>
    <t>Design and validation of a pharmacovigilance method to detect drug-related problems in hospital setting ORIGINAL (NON-ENGLISH) TITLE Dise‚îú‚ñío y validaci‚îú‚îÇn de una metodolog‚îú¬°a de farmacovigilancia activa para detectar problemas relacio(TRUNCATED)</t>
  </si>
  <si>
    <t>Carter,L. P.;Griffiths,R. R.</t>
  </si>
  <si>
    <t>NIHMS111668 PMC2763984; Principles of laboratory assessment of drug abuse liability and implications for clinical development</t>
  </si>
  <si>
    <t>105 Suppl 1</t>
  </si>
  <si>
    <t>S14</t>
  </si>
  <si>
    <t>Animals;*Behavioral Research/mt Methods];*Clinical Trials, Phase I as Topic/mt Methods];*Clinical Trials, Phase II as Topic/mt Methods];*Clinical Trials, Phase III as Topic/mt Methods];*Drug Evaluation, Preclinical/mt Methods];Humans;Risk Assessment/mt Methods];*Substance-Related Disorders/pc Prevention &amp; Control]</t>
  </si>
  <si>
    <t>Abuse liability testing plays an important role in informing drug development, regulatory processes, and clinical practice. This paper describes the current "gold standard" methodologies that are used for laboratory assessments of abuse liability in non-human and human subjects. Particular emphasis is given to procedures such as non-human drug discrimination, self-administration, and physical dependence testing, and human dose-effect abuse liability studies that are commonly used in regulatory submissions to governmental agencies. The potential benefits and risks associated with the inclusion of measures of abuse liability in industry-sponsored clinical trials is discussed. Lastly, it is noted that many factors contribute to patterns of drug abuse and dependence outside of the laboratory setting and positive or negative signals in abuse liability studies do not always translate to high or low levels of actual abuse or dependence. Well-designed patient and physician education, pharmacovigilance, and postmarketing surveillance can reduce the diversion and misuse of drugs with abuse liability and can effectively foster the protection and promotion of public health. References: 106]</t>
  </si>
  <si>
    <t>J2: Drug Alcohol Depend; Carter, Lawrence P Griffiths, Roland R R01 DA003889 (United States NIDA NIH HHS) R01 DA003889-25 (United States NIDA NIH HHS) R01 DA03889 (United States NIDA NIH HHS) R01 DA03890 (United States NIDA NIH HHS); ID: 315</t>
  </si>
  <si>
    <t>1879-0046</t>
  </si>
  <si>
    <t>Carter,Lawrence P. Department of Psychiatry, University of Arkansas for Medical Sciences, Psychiatric Research Institute-Center for Addiction Research, Little Rock, AR 72205, United States.</t>
  </si>
  <si>
    <t>http://ovidsp.ovid.com/ovidweb.cgi?T=JS&amp;CSC=Y&amp;NEWS=N&amp;PAGE=fulltext&amp;D=med5&amp;AN=19443137</t>
  </si>
  <si>
    <t>http://dx.doi.org/10.1016/j.drugalcdep.2009.04.003</t>
  </si>
  <si>
    <t>MEDLINE; Ovid Technologies; Principles of laboratory assessment of drug abuse liability and implications for clinical development</t>
  </si>
  <si>
    <t>Case,P.;Beckett,G. A.;Jones,T. S.</t>
  </si>
  <si>
    <t>Access to sterile syringes in Maine: pharmacy practice after the 1993 repeal of the syringe prescription law</t>
  </si>
  <si>
    <t>Journal of Acquired Immune Deficiency Syndromes &amp; Human Retrovirology</t>
  </si>
  <si>
    <t>18 Suppl 1</t>
  </si>
  <si>
    <t>S94</t>
  </si>
  <si>
    <t>Adult;*Attitude of Health Personnel;Female;HIV Infections/ep Epidemiology];*HIV Infections/pc Prevention &amp; Control];HIV Infections/tm Transmission];Humans;*Legislation, Pharmacy;Maine;Male;*Pharmacists;Prescriptions;*Substance Abuse, Intravenous;*Syringes</t>
  </si>
  <si>
    <t>In October 1993, the Maine legislature repealed the prescription law regulating the sale of syringes. The new law allowed but did not require licensed pharmacists to dispense syringes without a prescription to anyone 18 years of age or older. From November 1995 to January 1996, we conducted a telephone survey of 208 Maine pharmacists to evaluate the sale of syringes with and without a prescription and to assess pharmacists' willingness to sell syringes without a prescription. We found that 94% of pharmacists were willing, in all cases or at the discretion of the pharmacist, to sell syringes without a prescription. However, when asked specifically about willingness to sell syringes without a prescription to suspected injection drug users (IDUs) &gt; or =18 years of age, 47% were willing, 40% were not willing, and 13% did not know or declined to answer. Pharmacists reported other requirements for the purchase of syringes without a prescription, such as the requirement for the customer to provide a reasonable justification for the purchase. In all, there were 31 (15%) pharmacists in the sample willing to sell syringes to without a prescription with no additional requirements for purchase to suspected IDUs as permitted by law. There were few negative incidents reported involving IDUs and the sale of syringes without a prescription since amendment of the law. Although sales of syringes without a prescription were reported, the numbers sold fell short of the estimated number of syringes required for IDUs in Maine to use a new syringe for every injection. Despite the change in the prescription law intended to increase access to syringes, the data suggest barriers such as drug paraphernalia laws and pharmacy policies may prevent IDUs from purchasing syringes and contribute to ongoing transmission of HIV. Amendment of the drug paraphernalia and syringe possession laws, clarification of the legitimate medical purpose of access to sterile syringes for IDUs, and offering pharmacists continuing education on the prevention of blood-borne disease appear to be necessary steps in the effort to decrease the transmission of HIV among IDUs in Maine.</t>
  </si>
  <si>
    <t>J2: J Acquir Immune Defic Syndr Hum Retrovirol; Case, P Beckett, G A Jones, T S; ID: 590</t>
  </si>
  <si>
    <t>1077-9450</t>
  </si>
  <si>
    <t>Case,P. Department of Social Medicine, Harvard Medical School, Boston, Massachusetts 02115, USA. pcase@hsph.harvard.edu</t>
  </si>
  <si>
    <t>http://ovidsp.ovid.com/ovidweb.cgi?T=JS&amp;CSC=Y&amp;NEWS=N&amp;PAGE=fulltext&amp;D=med4&amp;AN=9663631</t>
  </si>
  <si>
    <t>MEDLINE; Ovid Technologies; Access to sterile syringes in Maine: pharmacy practice after the 1993 repeal of the syringe prescription law</t>
  </si>
  <si>
    <t>Cassini,C.;Linden,R.;Author,Addresses;Instituto de Ci‚îú¬¨ncias da Sa‚îú‚ïëde, Universidade,Feevale Novo;Hamburgo,Rio Grande do Sul Brazil;Instituto,de Ci;Universidade Feevale, Rodovia R S Novo,Hamburgo R.;Correspondence,Address;S.,R.Linden, Instituto de Ci‚îú¬¨ncias da Sa‚îú‚ïëde Universidade Feevale Rodovia R.;br,Novo Hamburgo R.S.Brazil Email rafael linden feevale</t>
  </si>
  <si>
    <t>Prenatal exposure to ethanol: Toxicity, biomarkers and detection methods ORIGINAL (NON-ENGLISH) TITLE Exposi‚îú¬∫‚îú√∫o pr‚îú‚åê-natal ao etanol: Toxicidade, biomarcadores e m‚îú‚åêtodos de detec‚îú¬∫‚îú√∫o</t>
  </si>
  <si>
    <t>Revista de Psiquiatria Clinica</t>
  </si>
  <si>
    <t>(MAJOR FOCUS);alcohol (drug toxicity);biological marker (endogenous compound);ethyl glucuronide;ethyl sulfate;fatty acid ester;sulfate;unclassified drug;alcohol intoxication (diagnosis);prenatal exposure;central nervous system disease;early diagnosis;fetus development;hair;human;laboratory test;meconium;newborn;review;alcohol (64-17-5);ethyl glucuronide (17685-04-0);ethyl sulfate (540-82-9);sulfate (14808-79-8);Pediatrics and Pediatric Surgery (7);Developmental Biology and Teratology (21);Toxicology (52)</t>
  </si>
  <si>
    <t>Background: Prenatal exposure to ethanol can produce a complex set of effects on fetal development, which is denominated fetal alcohol spectrum disorder (FASD). Early detection of ethanol exposure can allow the prevention of some relevant adverse effects associated to FASD. Objectives: The aim of this work was to review the main toxic effects of ethanol on the neonate and the available biomarkers of prenatal alcohol exposure. Methods: A bibliographic search was performed in PubMed employing the terms "effects maternal ethanol exposure" and "biomarkers ethanol prenatal exposure" and cross references. Results: Many adverse effects on fetal development were described, especially deficits in the central nervous system. The biomarkers of ethanol exposure more widely described were fatty acid ethyl esters (FAEEs), ethyl glucuronide (EtG) and ethyl sulphate (EtS), being meconium and hair the most common biological matrices for laboratorial evaluation. Discussion: The early detection of alcohol exposure in intra-uterine life is useful to prevent the secondary effects of FASD through pharmacologic and educational intervention in affected children.</t>
  </si>
  <si>
    <t>(Cassini C.) (Linden R., rafael.linden@feevale.br) Lemos Editorial e Graficos Ltda, Rua Rui Barbosa 70, Bela Vista, Sao Paulo SP, Brazil.; ID: 1250</t>
  </si>
  <si>
    <t>0101-6083 1806-938X (electronic)</t>
  </si>
  <si>
    <t>2011387180 FULL TEXT LINK http://dx.doi.org/10.1590/S0101-60832011000300006</t>
  </si>
  <si>
    <t>Castaneda-Hernandez,G.;Granados-Soto,V.</t>
  </si>
  <si>
    <t>Considerations on pharmacodynamics and pharmacokinetics: can everything be explained by the extent of drug binding to its receptor?</t>
  </si>
  <si>
    <t>Canadian Journal of Physiology &amp; Pharmacology</t>
  </si>
  <si>
    <t>Animals;Drug Tolerance;Furosemide/pk Pharmacokinetics];Furosemide/pd Pharmacology];Homeostasis;Humans;Opioid-Related Disorders;*Pharmacokinetics;*Pharmacology;*Receptors, Drug/me Metabolism];0 (Receptors, Drug);7LXU5N7ZO5 (Furosemide)</t>
  </si>
  <si>
    <t>It is frequently assumed that pharmacological responses depend solely on the extent of drug binding to its receptor according to the occupational theory. It is therefore presumed that the intensity of the effect is determined by drug concentration at its receptor site, yielding a unique concentration-effect relationship. However, when dependence, abstinence, and tolerance phenomena occur, as well as for pharmacological responses in vivo that are modulated by homeostatic mechanisms, the rate of drug input shifts the concentration-effect relationship. Hence, such responses cannot be explained on the sole basis of the extent of drug binding to its receptor. Information on the cellular and molecular processes involved in the generation of abstinence, dependence, and tolerance will undoubtedly result in the development of pharmacodynamic models allowing a satisfactory explanation of drug effects modulated by these phenomena. Notwithstanding, integrative physiology concepts are required to develop pharmacokinetic-pharmacodynamic models allowing the description of drug effects in an intact organism. It is therefore important to emphasize that integrative physiology cannot be neglected in pharmacology teaching and research, but should be considered as an equally valuable tool as molecular biology and other biomedical disciplines for the understanding of pharmacological effects. References: 60]</t>
  </si>
  <si>
    <t>J2: Can J Physiol Pharmacol; Castaneda-Hernandez, G Granados-Soto, V; ID: 555</t>
  </si>
  <si>
    <t>Castaneda-Hernandez,G. Departamento de Farmacologia y Toxicologia, Centro de Investigacion y de Estudios Avanzados del Instituto Politecnico Nacional, Mexico, D.F. Mexico. gilcas@infoabc.com</t>
  </si>
  <si>
    <t>http://ovidsp.ovid.com/ovidweb.cgi?T=JS&amp;CSC=Y&amp;NEWS=N&amp;PAGE=fulltext&amp;D=med4&amp;AN=10721811</t>
  </si>
  <si>
    <t>MEDLINE; Ovid Technologies; Considerations on pharmacodynamics and pharmacokinetics: can everything be explained by the extent of drug binding to its receptor?</t>
  </si>
  <si>
    <t>Castillo,S.;Begley,K.;Malesker,M.;Steinshouer,C.;Author,Addresses;Creighton;University,School of Pharmacy;Health Professions,Brandeis Lab;California Plaza,Omaha,United States;University of Kansas, School of Medicine,Kansas City;United,States;Correspondence,Address;Castillo, Creighton University School of Pharmacy,S.;Health;Professions,Brandeis Lab California Plaza Omaha United States</t>
  </si>
  <si>
    <t>Sodium oxybate: A primer for pharmacists in the treatment off narcolepsy</t>
  </si>
  <si>
    <t>(MAJOR FOCUS);oxybate sodium (adverse drug reaction, drug administration, drug dose, drug;therapy, oral drug administration, pharmaceutics, pharmacology);acetylsalicylic acid (oral drug administration);benazepril (oral drug administration);fenofibric acid (oral drug administration);gabapentin (drug therapy, oral drug administration);insulin glargine (subcutaneous drug administration);metformin (oral drug administration);oxycodone (drug therapy, oral drug administration);paracetamol (drug therapy, oral drug administration);pioglitazone (oral drug administration);rosuvastatin (oral drug administration);tamsulosin (oral drug administration);narcolepsy (drug therapy, drug therapy);pharmacist;abnormal behavior (side effect);adult;anxiety disorder (side effect);article;bedtime dosage;case report;cataplexy;chronic pain (drug therapy);confusion (side effect);daytime somnolence;disease association;dizziness (side effect);drug abuse;drug dependence;drug efficacy;drug induced headache (side effect);drug labeling;drug mechanism;drug safety;human;insomnia (side effect);male;middle aged;myalgia (drug therapy);nausea (side effect);off label drug use;pain (drug therapy);somnolence (side effect);tremor (side effect);vomiting (side effect);acetylsalicylic acid (493-53-8, 50-78-2, 53663-74-4, 53664-49-6, 63781-77-1);benazepril (86541-75-5);fenofibric acid (26129-32-8, 42017-89-0);gabapentin (60142-96-3);insulin glargine (160337-95-1);metformin (1115-70-4, 657-24-9);oxybate sodium (502-85-2);oxycodone (124-90-3, 76-42-6);paracetamol (103-90-2);pioglitazone (105355-27-9, 111025-46-8);rosuvastatin (147098-18-8, 147098-20-2);tamsulosin (106133-20-4, 106138-88-9, 106463-17-6, 80223-99-0, 94666-07-6);Clinical and Experimental Pharmacology (30);Drug Literature Index (37);Adverse Reactions Titles (38);Pharmacy (39);Neurology and Neurosurgery (8)</t>
  </si>
  <si>
    <t>OBJECTIVE: The purpose of this report is to describe a 57-year-old man who was admitted to a nursing facility for physical therapy. His home medication list included sodium oxybate. This article will provide the pharmacist with a therapeutic overview of sodium oxybate as well as review the unique processes involved with drug acquisition, dosing, patient education, and monitoring. SETTING: Community pharmacy, nursing facility pharmacy, consultant pharmacy practice. PRACTICE CONSIDERATIONS: Sodium oxybate is the only medication in the United States that has approval for both treatment of cataplexy in narcolepsy and treatment of excessive daytime sleepiness in narcolepsy. Sodium oxybate has many unique properties that cause it to differ from past therapies for cataplexy and excessive daytime sleepiness associated with narcolepsy. CONCLUSION: It is important for pharmacists to understand the therapeutic uses of sodium oxybate and to review the processes for acquisition, dosing, and administration to better assist physicians and patients and improve therapeutic outcomes.</t>
  </si>
  <si>
    <t>(Castillo S., shanacastillo@creighton.edu; Begley K.; Malesker M.) (Steinshouer C.) American Society of Consultant Pharmacists, 1321 Duke Street, Alexandria, United States.; ID: 932</t>
  </si>
  <si>
    <t>2015968011 FULL TEXT LINK http://dx.doi.org/10.4140/TCP.n.2014.547</t>
  </si>
  <si>
    <t>Casty,F. E.;Wieman,M. S.;Shusterman,N.</t>
  </si>
  <si>
    <t>Current topics in opioid therapy for pain management: addressing the problem of abuse</t>
  </si>
  <si>
    <t>Clinical Drug Investigation</t>
  </si>
  <si>
    <t>Drug Monitoring;Humans;*Opioid-Related Disorders/et Etiology];Opioid-Related Disorders/rh Rehabilitation];*Pain Management/ae Adverse Effects]</t>
  </si>
  <si>
    <t>Opioids are an established therapy for cancer pain and have become an accepted therapy for chronic noncancer pain. However, increased prescribing of opioids in recent years has been accompanied by an increase in prescription opioid abuse. All opioids have inherent potential for abuse, but gaps in healthcare provider understanding of or adherence to best prescribing practices may facilitate the misdirection of opioids for abuse. To address these concerns, the US Food and Drug Administration has required pharmaceutical manufacturers to develop Risk Evaluation and Mitigation Strategies (REMS) for prescribers of extended-release/long-acting (ER/LA) opioids and has encouraged research to develop opioid formulations that are less easily abused or less attractive for abuse. The ER/LA opioid REMS require a partnership between the pharmaceutical industry, regulators, and healthcare providers to develop educational materials for physicians and patients that are not promotional. This article addresses challenges associated with improving the quality of pain care through support of prescriber education, developing formulations that combine efficacy with tamper-resistant properties, and encouraging collaborative efforts by regulatory bodies, legislators, healthcare providers, and patient advocacy groups to achieve these ends.</t>
  </si>
  <si>
    <t>J2: Clin Drug Invest; Casty, Frank E Wieman, Matthew S Shusterman, Neil; ID: 121</t>
  </si>
  <si>
    <t>1179-1918</t>
  </si>
  <si>
    <t>Casty,Frank E. Clinical Development and Medical Science, Endo Pharmaceuticals Inc., 1400 Atwater Drive, Malvern, PA 19355, USA.</t>
  </si>
  <si>
    <t>http://ovidsp.ovid.com/ovidweb.cgi?T=JS&amp;CSC=Y&amp;NEWS=N&amp;PAGE=fulltext&amp;D=medl&amp;AN=23740336</t>
  </si>
  <si>
    <t>http://dx.doi.org/10.1007/s40261-013-0087-8</t>
  </si>
  <si>
    <t>MEDLINE; Ovid Technologies; Current topics in opioid therapy for pain management: addressing the problem of abuse</t>
  </si>
  <si>
    <t>Cates,M. E.;Hogue,M.;Woolley,T.;Author,Addresses;Samford University, McWhorter School,of Pharmacy;Birmingham,United States;Samford University,Birmingham,United States;Correspondence,Address;ME Cates, Samford University McWhorter School of,Pharmacy Birmingham;United,States</t>
  </si>
  <si>
    <t>Does participation in actual drug testing influence the attitudes of first-year pharmacy students toward mandatory drug testing?</t>
  </si>
  <si>
    <t>e195</t>
  </si>
  <si>
    <t>American;clinical pharmacy;college;drug screening;human;pharmacy student;pharmacist;rank sum test;school;screening;student;Student t test;substance use;urine</t>
  </si>
  <si>
    <t>PURPOSE: This study examined the changes in attitudes of firstyear pharmacy students toward a mandatory, random urine drug screening program as the result of participation in actual drug testing. METHODS: The study was an anonymous, voluntary survey that was composed of 30 pretested Likert-type questions relating to knowledge, concerns, and beliefs about drug testing. The survey was administered during orientation week (pre-testing) and then again at the end of the academic year after all students had participated in drug testing at least once (post-testing). Two-independent samples t-test results were corroborated by Wilcoxon- Mann-Whitney tests. RESULTS: The survey was completed by 129 (100%) students in the pre-testing phase and 91 (71%) students in the post-testing phase. Of the 30-items, only nine items showed statistically significant changes from pre- to post-testing. Students' responses revealed greater agreement that they had an extensive knowledge about random urine drug screening (p=0.03), but greater disagreement that they understood the reasons behind the school's random drug screening program (p=0.005). There was greater agreement with various concerns about drug testing, including cost of testing (p&lt;0.05), being called for testing when busy with other matters (p&lt;0.001), accidentally missing drug testing (p&lt;0.001), consequences of missing drug testing (p&lt;0.001), and being in situations in which showing up for drug testing would be difficult to impossible (p&lt;0.001). Students' responses revealed greater disagreement that drug screening had the potential to decrease illegal substance use among students (p=0.05) and that it was important to detect a substance use problem in a pharmacist (p=0.03). CONCLUSION: Pharmacy students' attitudes toward drug testing were relatively unaffected by their participation in actual drug testing. Some concerns about drug testing were heightened, probably as the result of how busy the students' lives had become during pharmacy school. However, changes in two of the belief questions were rather disconcerting.</t>
  </si>
  <si>
    <t>(Cates M.E.; Hogue M.) (Woolley T.) 2013 Annual Meeting of the American College of Clinical Pharmacy, ACCP 2013 Albuquerque, NM, United States 2013-10-13 to 2013-10-16 Pharmacotherapy Publications Inc.; ID: 977</t>
  </si>
  <si>
    <t>Cates,M. E.;Hogue,M. D.</t>
  </si>
  <si>
    <t>Experience with a drug screening program at a school of pharmacy</t>
  </si>
  <si>
    <t>Journal of American College Health</t>
  </si>
  <si>
    <t>Data Collection;Humans;Professional Impairment;*Program Development/mt Methods];Program Evaluation;*Schools, Pharmacy;*Street Drugs;*Students, Pharmacy;*Substance Abuse Detection;*Substance-Related Disorders/di Diagnosis];0 (Street Drugs)</t>
  </si>
  <si>
    <t>Substance use and abuse among pharmacy students is a concern of pharmacy schools, boards of pharmacy, and training sites alike. Pharmacy students must complete approximately 30% of their academic coursework in experiential settings such as community pharmacies, hospitals, and other health systems as part of any accredited pharmacy school's curriculum, and these training sites are starting to require drug testing of pharmacy students as part of their contractual agreements with schools of pharmacy. The authors describe the implementation of a mandatory random urine drug screening program at their school as well as the changes that occurred owing to assessment of the program. The authors report the basic results to date of the drug screening program. The authors also speculate on secondary benefits of the drug screening program. Finally, the authors describe current and future evaluations that they are undertaking regarding this program.</t>
  </si>
  <si>
    <t>J2: J Am Coll Health; Cates, Marshall E Hogue, Michael D; ID: 180</t>
  </si>
  <si>
    <t>1940-3208</t>
  </si>
  <si>
    <t>Cates,Marshall E. Department of Pharmacy Practice, McWhorter School of Pharmacy, Samford University, Birmingham, Alabama 35229, USA. mecates@samford.edu</t>
  </si>
  <si>
    <t>http://ovidsp.ovid.com/ovidweb.cgi?T=JS&amp;CSC=Y&amp;NEWS=N&amp;PAGE=fulltext&amp;D=medl&amp;AN=22857140</t>
  </si>
  <si>
    <t>http://dx.doi.org/10.1080/07448481.2012.688780</t>
  </si>
  <si>
    <t>MEDLINE; Ovid Technologies; Experience with a drug screening program at a school of pharmacy</t>
  </si>
  <si>
    <t>Cates,M. E.;Hogue,M. D.;Woolley,T. W.;Author,Addresses;McWhorter,School of;Samford University,Birmingham,United States;Brock School of Business, Samford,University Birmingham;United,States;Correspondence,Address;ME Cates, Fashp McWhorter School of Pharmacy,Samford University;Lakeshore Drive,Birmingham,United States</t>
  </si>
  <si>
    <t>Effects of actual participation in drug testing on the attitudes of first-year pharmacy students toward a mandatory drug testing program</t>
  </si>
  <si>
    <t>illicit drug;drug screening;mandatory program;pharmacy student;student attitude;article;drug abuse;health survey;human;priority journal;substance use;Public Health, Social Medicine and Epidemiology (17);Pharmacy (39)</t>
  </si>
  <si>
    <t>Previous research revealed that matriculating first-year pharmacy students held generally favorable opinions about mandatory drug testing despite expressing definite concerns regarding practical issues. The objective of this study was to examine the changes in their attitudes toward drug testing as the result of actual participation in drug testing. Methods: The study was an anonymous, voluntary survey that was composed of 30 pretested Likert-type questions relating to knowledge, concerns, and beliefs about drug testing. The survey was administered during orientation week (pre-testing) and then again at the end of the academic year (post-testing). Results: The survey was completed by 129 (100%) students in the pre-testing phase and 91 (71%) students in the post-testing phase. Nine items showed statistically significant changes from pre- to post-testing. Interestingly, there was greater agreement with various concerns about drug testing, including cost of testing, being called for testing when busy with other matters, accidentally missing drug testing, consequences of missing drug testing, and being in situations in which showing up for drug testing would be difficult to impossible. Students' responses revealed less agreement that drug screening had the potential to decrease illegal substance use among students and that it was important to detect a substance use problem in a pharmacist. Conclusion: First-year pharmacy students' attitudes toward drug testing remained generally positive and were relatively unaffected by their actual participation in drug testing during the academic year; however, some concerns about drug testing were heightened, and changes in two of the belief questions were rather disconcerting.</t>
  </si>
  <si>
    <t>(Cates M.E., mecates@samford.edu; Hogue M.D.) (Woolley T.W.) Elsevier Inc., usjcs@elsevier.com; ID: 861</t>
  </si>
  <si>
    <t>2015658304 FULL TEXT LINK http://dx.doi.org/10.1016/j.cptl.2014.11.006</t>
  </si>
  <si>
    <t>Catolico,K.;Torres,D.;Quilala,P.;Author,Addresses;University of,Santo Tomas;Correspondence,Address;Catolico, University of Santo Tomas Philippines Email,K.;kylacatolico@yahoo.com.ph</t>
  </si>
  <si>
    <t>Geriatrics care clinic: Medication profiling and outcomes amongthe elderly in a rural community-philippine model</t>
  </si>
  <si>
    <t>non prescription drug;aged;drug therapy;geriatrics;hospital;human;model;rural population;bladder;community;counseling;disease management;drug use;echography;electrocardiography;experiential learning;follow up;health;health auxiliary;herbal medicine;interview;kidney;lifestyle modification;medicine;monitoring;patient;pharmacist;pharmacy;population;prescription;professional practice;program sustainability;radiography;reinforcement;student;thorax radiography;ultrasound</t>
  </si>
  <si>
    <t>Objective: (1) For target population to benefit from intervention of the pharmacy team, (2) for student pharmacists to acquire competency in elderly medication counseling, (3) for pharmacy faculty to instruct experiential learning to student pharmacists, and (4) to evaluate the efficiency of program and pharmacist participation through QOL surveys performed by a pharmacy team. Methods: Inclusion: elderly individuals at least 60 years of age from an unserved rural community. Phase 1: medication profiling, general health assessment, QOL-SF36 evaluation, adherence monitoring (Morisky Scale) conducted on-site. Phase 2: electrocardiography, radiography, sonography through mobile clinic to rationalize patients' drug usages. Medication brought on-site. Phase 3: reassessment of medication use through house-to-house medication profiling which deployed teams. Student pharmacists obtained medication related data, performed initial counseling. An academic pharmacist supervised student interview and augmented medication counseling. A Community Health Worker, knowledgeable of the community and constituents, will be trained through reinforcement strategies for program sustainability. Results: Total: 38 clients (mean age 72). Medication profile: 57% not taking prescription medications however indicated, 23% one prescription medication, 22% two or more prescription medications, 41% herbal medicine, 58% OTC drugs. Electrocardiography: 59% NSR, 38% needs treatment, 23% no medication. Chest radiography: 4% normal findings, 39% needs treatment, 28% no medication. Kidney ultrasound: 60% normal kidneys, urinary bladder, 40% abnormal results without medication. General health is fair to very good which changed from somewhat worse to fair health. Conclusion: Detection of medication use-related problems: drug-herbal interactions, expired medication use, omitted medications, is more efficient during house calls. Observed diverse medication use patterns. Clients subsequently educated on appropriate drug handling and use. Data from mobile clinic augmented and individually tailored medication counseling to clients. Follow-up data on adherence, lifestyle modifications, disease management counseling, and baseline QOL revealed need for subsequent visitations to community and creation of collaborative partnership through referral system to medical specialties.</t>
  </si>
  <si>
    <t>(Catolico K., kyla1113catolico@yahoo.com.ph; Torres D.; Quilala P.) APhA2012 New Orleans, LA, United States 2012-03-09 to 2012-03-12 American Pharmacists Association; ID: 1182</t>
  </si>
  <si>
    <t>Celebi,N.;Kirchhoff,K.;Lammerding-Koppel,M.;Riessen,R.;Weyrich,P.</t>
  </si>
  <si>
    <t>Medical clerkships do not reduce common prescription errors among medical students</t>
  </si>
  <si>
    <t>Naunyn-Schmiedebergs Archives of Pharmacology</t>
  </si>
  <si>
    <t>Naunyn-Schmiedeberg's Arch.Pharmacol.</t>
  </si>
  <si>
    <t>*Clinical Clerkship/mt Methods];Clinical Clerkship/st Standards];Clinical Competence/st Standards];Curriculum;*Drug Prescriptions/st Standards];Germany;Health Knowledge, Attitudes, Practice;*Medication Errors/pc Prevention &amp; Control];Medication Errors/sn Statistics &amp; Numerical Data];*Problem-Based Learning/mt Methods];Problem-Based Learning/st Standards];*Students, Medical</t>
  </si>
  <si>
    <t>Prescribing correctly represents one of the most essential skills of a doctor when it comes to patient safety. Unfortunately, prescribing errors still account for a large proportion of avoidable drug-related problems (DRP). Despite this shortcoming, many medical schools do not provide specific prescribing training and assume that students acquire sufficient prescribing skills during regular medical clerkships. We therefore investigated whether there is an association between the individual time spent by students in internal-medicine clerkships and the number of prescription errors committed in a standardized prescribing test for common drug-related problems in a medical inpatient setting. Seventy-four fifth-year medical students (25 +/- 3 yrs, 24 m, 50 f) who had completed their formal pharmacology training filled in prescription charts for two standardized patient paper cases. The charts were rated by two blinded consultants from the field of internal medicine using a checklist for common prescription errors. Students were divided into three groups according to the number of weeks previously spent in internal-medicine clerkships. Group differences in the number of prescription errors made were subsequently examined. Students committed 69% +/- 12% of all possible prescription mistakes. There was no significant difference between the group without clerkships in internal medicine (G1) (71 +/- 9%), the group with one to four weeks (G2) (67 +/- 15%), and the group with more than five weeks of clerkships (G3) (71 +/- 10%), p = .76. Medical students do not seem to acquire the necessary skills to avoid common prescription errors during regular clerkships in internal medicine. This study provides evidence to suggest that specific prescription training within medical education is warranted in order to prevent DRP.</t>
  </si>
  <si>
    <t>J2: Naunyn Schmiedebergs Arch Pharmacol; Celebi, N Kirchhoff, K Lammerding-Koppel, M Riessen, R Weyrich, Peter; ID: 278</t>
  </si>
  <si>
    <t>1432-1912</t>
  </si>
  <si>
    <t>Celebi,N. Department of Internal Medicine, Division of Diabetes, Endocrinology, Angiology, Nephrology and Clinical Chemistry, University Hospital of Tubingen, Otfried-Mueller-Str. 10, 72076, Tubingen, Germany.</t>
  </si>
  <si>
    <t>http://ovidsp.ovid.com/ovidweb.cgi?T=JS&amp;CSC=Y&amp;NEWS=N&amp;PAGE=fulltext&amp;D=med5&amp;AN=20535451</t>
  </si>
  <si>
    <t>http://dx.doi.org/10.1007/s00210-010-0530-9</t>
  </si>
  <si>
    <t>MEDLINE; Ovid Technologies; Medical clerkships do not reduce common prescription errors among medical students</t>
  </si>
  <si>
    <t>Cerulli,J.;Malone,M.</t>
  </si>
  <si>
    <t>Assessment of drug-related problems in clinical nutrition patients</t>
  </si>
  <si>
    <t>Jpen: Journal of Parenteral &amp; Enteral Nutrition</t>
  </si>
  <si>
    <t>Anti-Bacterial Agents/ae Adverse Effects];Dietary Supplements/ae Adverse Effects];Drug Interactions;*Drug-Related Side Effects and Adverse Reactions;Enteral Nutrition;Gastrointestinal Agents/ae Adverse Effects];Humans;*Nutritional Support;Parenteral Nutrition;Patient Care Team;Pharmacy Service, Hospital;0 (Anti-Bacterial Agents);0 (Gastrointestinal Agents)</t>
  </si>
  <si>
    <t>BACKGROUND: Medication use in clinical nutrition patients is affected by concomitant disease states and alterations in medication administration and delivery. The purpose of this evaluation was to document the number and type of drug-related problems that occurred and to evaluate the effect pharmacists had on the care of nutrition patients. METHODS: Patients were evaluated by a pharmacist who was part of the clinical nutrition team. Drug-related problems were identified and recommendations were made to resolve them. Acceptance of the recommendations and patient outcomes were documented. RESULTS: After the evaluation of 440 patients, 220 pharmacist interventions were made. Interventions included 35 drug information requests and 185 recommendations made to solve identified drug-related problems in 126 patients. The most frequent drug-related problems were drug interactions (33/185) and untreated indications (24/185). Of 185 recommendations, 166 were accepted, and 19 were accepted with a modification. A total of 132 of 155 recommendations that were accepted or accepted with modification had a positive outcome: 45 patients responded, and 87 patients developed no complications. Six patients did not respond to the recommendation, and in 17 patients the outcome was unknown. Fifty-eight recommendations avoided potential adverse drug events. CONCLUSIONS: Pharmacist intervention identified drug-related problems in almost 30% of clinical nutrition patients. The identification and resolution of the problems had a positive effect on patient care, as indicated by patient outcome and the avoidance of adverse drug events. The drug-related problem approach identified areas in which pharmacists can educate the health care team and ensure proper medication use in this patient population.</t>
  </si>
  <si>
    <t>J2: JPEN J Parenter Enteral Nutr; Cerulli, J Malone, M; ID: 566</t>
  </si>
  <si>
    <t>0148-6071</t>
  </si>
  <si>
    <t>Cerulli,J. Division of Pharmacy Practice, Albany College of Pharmacy, New York 12208-3492, USA.</t>
  </si>
  <si>
    <t>http://ovidsp.ovid.com/ovidweb.cgi?T=JS&amp;CSC=Y&amp;NEWS=N&amp;PAGE=fulltext&amp;D=med4&amp;AN=10421391</t>
  </si>
  <si>
    <t>MEDLINE; Ovid Technologies; Assessment of drug-related problems in clinical nutrition patients</t>
  </si>
  <si>
    <t>Chambers,A.;Kleyman,S.;Snyder,M.;Author,Addresses;Dr,Aziz Pharmacy;Purdue University,United States;Correspondence,Address;Chambers, Dr Aziz Pharmacy France Email ashley drazizrx com,A.</t>
  </si>
  <si>
    <t>Effect of a pilot care coordination program on compliance with naltrexone extended release suspension for injection</t>
  </si>
  <si>
    <t>e245</t>
  </si>
  <si>
    <t>(MAJOR FOCUS);naltrexone;alcohol;opiate;injection;addiction;counseling;drug therapy;electronic medical record;employment;follow up;human;information processing;medical assistant;medical record review;nonparametric test;outpatient;patient;patient compliance;pharmacist;pharmacy;policy;prevention;procedures;relapse;side effect;social support;substance abuse;support group;telephone;withdrawal syndrome</t>
  </si>
  <si>
    <t>Objective: To evaluate the impact of a care coordination pilot program on patient adherence to naltrexone injection for the prevention of opioid and/or ethanol addiction relapse. Methods: This retrospective, nonblinded, pre- and post-intervention observational chart review will test the impact of a care coordination pilot program on outpatient adherence to extended release naltrexone injection for the treatment of opioid and/or ethanol addiction within a community pharmacy setting. The care coordination program will incorporate transition of care as well as substance abuse, emotional, and social support resources. These resources will be provided to the patient at the community pharmacy during their monthly injection as a brochure containing contact information for local support groups, outpatient and counseling programs, employment resources, and substance abuse crisis hotlines. Follow up phone calls, which will assess cravings, potential medication side effects, and support needs will be provided to patients approximately 2 weeks post injection by medical assistants and pharmacists. These medical assistants will receive training on the program's policies and procedures, available resources, and call script by the pharmacy resident. In addition, patients will receive reminder calls prior to scheduled injections and patients who miss their scheduled appointment will receive follow up calls for rescheduling. The study protocol will be submitted to the Investigational Review Board in May 2015. Data collection will commence upon project approval and will occur via chart review of electronic medical records. Demographic data, injection administration dates, proportion of days covered, self-reported opiate/alcohol use, and number of follow up calls will be collected and analyzed using parametric or nonparametric tests as appropriate. The comparison group will be a cohort 6 months prior to the intervention. The pilot program aims to achieve a 15% increase in proportion of days covered.</t>
  </si>
  <si>
    <t>(Chambers A., ashley@drazizrx.com) (Kleyman S.; Snyder M.) APhA2015 San Diego, CA, United States 2015-03-27 to 2015-03-30 American Pharmacists Association; ID: 835</t>
  </si>
  <si>
    <t>Chambers,R. A.</t>
  </si>
  <si>
    <t>NIHMS434539 PMC3640791; Adult hippocampal neurogenesis in the pathogenesis of addiction and dual diagnosis disorders</t>
  </si>
  <si>
    <t>Adult;Age Factors;Animals;*Behavior, Addictive/di Diagnosis];Behavior, Addictive/ep Epidemiology];Diagnosis, Dual (Psychiatry);*Hippocampus/pa Pathology];Humans;*Mental Disorders/di Diagnosis];Mental Disorders/ep Epidemiology];Neurogenesis/ph Physiology];*Neurogenesis;Neuronal Plasticity/ph Physiology];*Substance-Related Disorders/di Diagnosis];Substance-Related Disorders/ep Epidemiology]</t>
  </si>
  <si>
    <t>BACKGROUND: As knowledge deepens about how new neurons are born, differentiate, and wire into the adult mammalian brain, growing evidence depicts hippocampal neurogenesis as a special form of neuroplasticity that may be impaired across psychiatric disorders. This review provides an integrated-evidence based framework describing a neurogenic basis for addictions and addiction vulnerability in mental illness. METHODS: Basic studies conducted over the last decade examining the effects of addictive drugs on adult neurogenesis and the impact of neurogenic activity on addictive behavior were compiled and integrated with relevant neurocomputational and human studies. RESULTS: While suppression of hippocampal neurogenic proliferation appears to be a universal property of addictive drugs, the pathophysiology of addictions involves neuroadaptative processes within frontal-cortical-striatal motivation circuits that the neurogenic hippocampus regulates via direct projections. States of suppressed neurogenic activity may simultaneously underlie psychiatric and cognitive symptoms, but also confer or signify hippocampal dysfunction that heightens addiction vulnerability in mental illness as a basis for dual diagnosis disorders. CONCLUSIONS: Research on pharmacological, behavioral and experiential strategies that enhance adaptive regulation of hippocampal neurogenesis holds potential in advancing preventative and integrative treatment strategies for addictions and dual diagnosis disorders.Copyright ‚î¨‚åê 2013 Elsevier Ireland Ltd. All rights reserved.</t>
  </si>
  <si>
    <t>J2: Drug Alcohol Depend; Chambers, R Andrew S0376-8716(12)00481-4 K08 DA-019850 (United States NIDA NIH HHS) K08 DA019850 (United States NIDA NIH HHS) R01 AA020396 (United States NIAAA NIH HHS) R01-AA020396 (United States NIAAA NIH HHS) RC2 AA019366 (United States NIAAA NIH HHS) RC2-AA019366 (United States NIAAA NIH HHS); ID: 120</t>
  </si>
  <si>
    <t>Chambers,R Andrew. Laboratory for Translational Neuroscience of Dual Diagnosis &amp; Development, Department of Psychiatry, Indiana University School of Medicine, 791 Union Drive, Indianapolis, IN 46202, United States. robchamb@iupui.edu</t>
  </si>
  <si>
    <t>http://ovidsp.ovid.com/ovidweb.cgi?T=JS&amp;CSC=Y&amp;NEWS=N&amp;PAGE=fulltext&amp;D=medl&amp;AN=23279925</t>
  </si>
  <si>
    <t>http://dx.doi.org/10.1016/j.drugalcdep.2012.12.005</t>
  </si>
  <si>
    <t>MEDLINE; Ovid Technologies; Adult hippocampal neurogenesis in the pathogenesis of addiction and dual diagnosis disorders</t>
  </si>
  <si>
    <t>Chan,H. V.;Pervanas,H. C.;Author,Addresses;McPhs University,Manchester,United States;Pharmacy Practice Department, Mcphs,University Manchester;United,States;Correspondence,Address;HV Chan, Mcphs University Manchester,United States</t>
  </si>
  <si>
    <t>Evaluation of student pharmacists' participation in an interactive event to educate teens about substance abuse</t>
  </si>
  <si>
    <t>prescription drug;American;clinical pharmacy;college;human;pharmacist;student;substance abuse;adolescent;alcohol abuse;boy;female;girl;institutional review;learning;male;pharmacy;physician;university;videorecording</t>
  </si>
  <si>
    <t>PURPOSE: Substance abuse is one of many challenges among teenagers. Student pharmacists can play an active role to increase awareness of substance abuse. An interactive event presented by student pharmacists at the Boys and Girls Club was done to raise awareness of prescription drug and alcohol abuse among teenagers. METHODS: Student pharmacists enrolled in the accelerated Doctor of Pharmacy program at MCPHS University implemented an interactive event that involved the creation of a video recorded skit depicting a substance abuse scenario, a breakout discussion session, and the use of interactive learning materials. Following the event an anonymous, online 9 questions survey was sent to students electronically. The survey was used to assess the perceptions of student pharmacists with regards to effectiveness of the event and materials used, the engagement of teens and appropriate training prior to the event. This project was approved by the MCPHS University Institutional Review Board. RESULTS: A total of 24 student pharmacists participated in the event and 54% completed the online survey. The majority of the students were female (69%) and were in their first year of the pharmacy program (54%). When asked whether this activity raised awareness of substance abuse among teens, 62% responded agreed or strongly agreed. With regards to the training session, 23% of the students strongly agreed that the session well prepared them for the event and 38% responded neutrally. Sixty-two percent of participants strongly agreed that teenagers were engaged in the breakout sessions. CONCLUSION: Student pharmacists reported that the teens were engaged during the session and that they felt that the use of the skit and breakout sessions allowed the teens to be engaged and understand the message. For future events additional training may be required so that all student pharmacists are comfortable with the information.</t>
  </si>
  <si>
    <t>(Chan H.V.) (Pervanas H.C.) 2014 Annual Meeting of the American College of Clinical Pharmacy, ACCP 2014 Austin, TX, United States 2014-10-12 to 2014-10-15 Pharmacotherapy Publications Inc.; ID: 877</t>
  </si>
  <si>
    <t>Chan,S.;Tullis,E.;Cortes,D.;Author,Addresses;Pharmacy Department, St Michael's,Hospital Toronto;Canada;Division,of Respirology;Michael's Hospital,Toronto Canada;Correspondence,Address;Chan, Pharmacy Department St Michael's Hospital Toronto Canada,S.</t>
  </si>
  <si>
    <t>The added value of a pharmacist in identifying drug-related needs of cystic fibrosis patients in a large adult clinic</t>
  </si>
  <si>
    <t>Pediatric pulmonology</t>
  </si>
  <si>
    <t>Pediatr.Pulmonol.</t>
  </si>
  <si>
    <t>48 SUPPL. 36</t>
  </si>
  <si>
    <t>adult;cystic fibrosis;hospital;human;patient;pharmacist;classification;controlled study;drug therapy;health care quality;hospital department;medication therapy management;nurse practitioner;patient care;statistical analysis;statistics;teaching</t>
  </si>
  <si>
    <t>Aim: To compare the number, types, and clinical significance of drug therapy problems (DTPs) identified between the pharmacist and current standard of care, as well as describe the recommendations and patient care services provided by the pharmacist. Method: We performed a prospective, controlled study in the adult ambulatory CF clinic at St. Michael's Hospital. Patients with CF received independent assessments by both the pharmacist and standard of care (respirologists or nurse practitioner). Both groups classified and rated the clinical significance of the DTPs identified using predetermined classification criteria. The pharmacist recorded pharmacy services provided during clinic visit. Statistical analysis for the number of DTPs per patient and clinical significance of DTPs identified by both groups was performed using inferential and descriptive statistics. Results: Twenty patients were enrolled over 10 clinic days. The pharmacist identified 4.0 ‚î¨‚ñí 2.38 (mean‚î¨‚ñíSD) DTPs per patient versus 1.7 ‚î¨‚ñí 1.87 DTPs per patient identified by standard of care (p = 0.002). When duplicate DTPs identified by both groups were excluded, the pharmacist identified 3.05 ‚î¨‚ñí 1.9 DTPs per patient versus 0.75 ‚î¨‚ñí 1.5 DTPs per patient identified by standard of care (p = 0.0001). The most common type of DTP identified by both groups involved Œì√á¬£additional drug therapy requiredŒì√á¬• (31% versus 47% by RPh and SOC, respectively). There was no significant association between intervention groups and DTPs of Œì√á¬£minorŒì√á¬•, Œì√á¬£moderateŒì√á¬•, and Œì√á¬£majorŒì√á¬• clinical significance (‚ïß√ß(2)=1.19, df=2, p&gt;0.05). The pharmacist made 57 recommendations with a 79% acceptance rate. The most common types of patient care services provided by the pharmacist included patient teaching (35%) and medication reconciliation (32%). Conclusion: This study demonstrates that a pharmacist adds value in a large adult ambulatory</t>
  </si>
  <si>
    <t>(Chan S.; Cortes D.) (Tullis E.; Cortes D.) 27th Annual North American Cystic Fibrosis Conference Salt Lake City, UT, United States 2013-10-17 to 2013-10-19 Wiley-Liss Inc.; ID: 992</t>
  </si>
  <si>
    <t>8755-6863</t>
  </si>
  <si>
    <t>Chan,S. S.;Sarna,L.;Danao,L. L.</t>
  </si>
  <si>
    <t>Are nurses prepared to curb the tobacco epidemic in China? A questionnaire survey of schools of nursing</t>
  </si>
  <si>
    <t>International journal of nursing studies</t>
  </si>
  <si>
    <t>Int.J.Nurs.Stud.</t>
  </si>
  <si>
    <t>China;Clinical Competence;Cross-Sectional Studies;*Curriculum;*Education, Nursing, Baccalaureate/og Organization &amp; Administration];*Faculty, Nursing/sn Statistics &amp; Numerical Data];Health Knowledge, Attitudes, Practice;Health Surveys;Hong Kong;Humans;Needs Assessment;Nurse's Role;Nursing Education Research;Organizational Policy;Population Surveillance;Prevalence;Schools, Nursing/og Organization &amp; Administration];Smoking/ae Adverse Effects];Smoking/ep Epidemiology];Smoking/pc Prevention &amp; Control];*Smoking;Smoking Cessation/mt Methods];Students, Nursing/px Psychology];*Students, Nursing/sn Statistics &amp; Numerical Data];Surveys and Questionnaires</t>
  </si>
  <si>
    <t>BACKGROUND: Smoking prevalence among Chinese males is the highest in the world and its morbidity and mortality is growing. Previous studies suggested nurses are inadequately prepared to treat tobacco use and dependence. OBJECTIVES: To examine the inclusion and organization of tobacco control content in the undergraduate nursing curriculum of Hong Kong and Mainland China; and the smoking status of faculty and students. DESIGN: Cross-sectional survey. METHODS: Deans of 32 nursing schools in Hong Kong and China with an undergraduate programme (representing over 12000 students) completed a self-administered questionnaire. RESULTS: Most schools included the health hazards of tobacco (56.3-100%), but few covered tobacco cessation theory (31.3-62.5%), or behavioural (9.4-56.3%) and pharmacological (3.1-34.4%) interventions in the curriculum. Most curricula covered less than 1h of tobacco content per year of study. Nearly all schools (93.1%) reported smoking among faculty but only half reported access to smoking cessation programmes. CONCLUSIONS: This is the first known study to examine the extent of tobacco control education in the nursing curriculum in China. Results suggested deficiencies in the coverage and clinical practice in smoking and smoking cessation, and recommendations were made to strengthen the curriculum.</t>
  </si>
  <si>
    <t>J2: Int J Nurs Stud; Chan, Sophia Siu-Chee Sarna, Linda Danao, Leda L; ID: 356</t>
  </si>
  <si>
    <t>0020-7489</t>
  </si>
  <si>
    <t>Chan,Sophia Siu-Chee. Department of Nursing Studies, The University of Hong Kong, Hong Kong SAR, China. nssophia@hkucc.hku.hk</t>
  </si>
  <si>
    <t>http://ovidsp.ovid.com/ovidweb.cgi?T=JS&amp;CSC=Y&amp;NEWS=N&amp;PAGE=fulltext&amp;D=med5&amp;AN=17336307</t>
  </si>
  <si>
    <t>MEDLINE; Ovid Technologies; Are nurses prepared to curb the tobacco epidemic in China? A questionnaire survey of schools of nursing</t>
  </si>
  <si>
    <t>Chan,T.;Sproule,B.;Author,Addresses;Centre for,Addiction;Mental Health,Toronto;Canada;Faculty of Pharmacy, University of,Toronto Canada;Dept of Psychiatry, University of,Toronto Canada;Correspondence,Address;Chan,Centre for Addiction,T.;Mental Health,Toronto Canada</t>
  </si>
  <si>
    <t>Pharmacist-enhanced medication reconciliation services at an outpatient addiction medicine clinic</t>
  </si>
  <si>
    <t>addiction;college;hospital;medication therapy management;outpatient;pharmacist;adverse drug reaction;Canada;deterioration;documentation;drug dose;drug interaction;drug therapy;health;mental health;nurse;patient;patient safety;physician;risk;substance abuse</t>
  </si>
  <si>
    <t>Abstract Type: Innovative Practices. Background: Patients in treatment for substance dependence who are taking multiple medications from multiple providers are at risk for drug therapy problems. Medication reconciliation, the process of obtaining a complete and accurate list of a patient's current home medications, may enhance patient safety. Although there are no published studies on medication reconciliation in an outpatient addictions setting, opportunities exist for pharmacists to provide services in this setting. Description of Innovative Service: This project took place at the Centre for Addiction and Mental Health's outpatient Addiction Medicine Clinic in Toronto, Canada. A pharmacist was embedded in the clinic for one month to conduct medication histories with patients, identify drug therapy problems, and report findings to the clinic team. The pharmacist and clinic team targeted patients who would likely benefit from the service and patients must have been currently taking a medication prescribed at the clinic to be included. A retrospective review of the patient health record for medication documentation in the past 6 months was also completed. Discrepancies were defined as any omissions or errors in documentation of drug, dose, or frequency when comparing the medication list the pharmacist obtained to the medication list on the patient health record (if present). Four independent clinicians (physician, nurse and 2 pharmacists) assessed the potential impact of the discrepancies identified. Impact on Practice: Thirty-two patients were interviewed by the pharmacist. These patients were taking a mean of 7 + 4 medications in addition to their clinic-prescribed medications. The pharmacist identified 34 discrepancy-related drug therapy problems in 21 patients. The drug therapy problems were either actual or potential drug interactions (73%) or adverse drug reactions (24%). Clinicians classified the drug therapy problems as causing minimal (28.6%), moderate (38.1%), or severe (33.3%) patient discomfort or clinical deterioration. Conclusion: Patients attending specialty clinics are at risk of drug therapy problems related to medication record discrepancies. From the experience of this project, it has been identified that a formal medication reconciliation process is needed in this specialty ambulatory setting, a potentially valuable role for psychiatric pharmacists.</t>
  </si>
  <si>
    <t>(Chan T.; Sproule B.) (Sproule B.) 13th Annual Meeting of the College of Psychiatric and Neurologic Pharmacists, CPNP 2010 San Antonio, TX, United States 2010-04-18 to 2010-04-21 SAGE Publications Inc.; ID: 1353</t>
  </si>
  <si>
    <t>Chandler,C.;Barriuso,P.;Rozenberg-Ben-Dror,K.;Schmitt,B.</t>
  </si>
  <si>
    <t>Pharmacists on a primary care team at a Veterans Affairs medical center</t>
  </si>
  <si>
    <t>1287 8p</t>
  </si>
  <si>
    <t>Family Practice;Multidisciplinary Care Team -- Administration;Pharmacists;Female;Illinois;Interprofessional Relations;Male;Pharmacy Service;Quality of Health Care;Role;United States Department of Veterans Affairs;United States</t>
  </si>
  <si>
    <t>The role of pharmacists on a primary care team in the VA Chicago Health Care System--Lakeside Division is described. In 1990 the Veterans Affairs Lakeside Medical Center (now called the VA Chicago Health Care System--Lakeside Division) implemented the 'Firm' system to improve the quality of patient care. This system split the original primary care clinics into three identical but smaller groups, or Firms. Each Firm provides three types of care: longitudinal care (ongoing care with a primary care physician), interim care (frequent care and close patient monitoring between primary physician visits), and un-scheduled care (acute care for complaints that may require immediate attention). Each Firm has a care team composed of physicians, a pharmacist, nurses, and other health care personnel. The pharmacist assists with interim care and, in conjunction with Firm physicians, is involved in follow-up and monitoring of drug therapy and identification of new problems. Originally it was expected that pharmacists would care for 30-40% of interim care patients, but Firm pharmacists have assisted in providing care to over 50% of these patients (plus 4% of un-scheduled care patients). The pharmacists have received high ratings from the internal medicine resident staff. Pharmacists on multidisciplinary care teams provided primary care to more than half of outpatient veterans in need of health care between regularly scheduled appointments.</t>
  </si>
  <si>
    <t>Entry Date: 20080307. Revision Date: 20150711. Publication Type: Journal Article. Journal Subset: Biomedical; Blind Peer Reviewed; Peer Reviewed; USA. NLM UID: 9503023. PMID: 9179348.; ID: 1980</t>
  </si>
  <si>
    <t>http://proxy.lib.umich.edu/login?url=http://search.ebscohost.com/login.aspx?direct=true&amp;db=ccm&amp;AN=105819499&amp;site=ehost-live&amp;scope=site</t>
  </si>
  <si>
    <t>ccm; EBSCOhost; Pharmacists on a primary care team at a Veterans Affairs medical center</t>
  </si>
  <si>
    <t>Chandler,H. E.;Zhong,Q.;Botts,S.;Author,Addresses;University,of Kentucky;Pharmacy,United States;Correspondence,Address;HE Chandler, University of Kentucky College of Pharmacy,United States</t>
  </si>
  <si>
    <t>Antidepressant use in depressed kentucky medicaid youths</t>
  </si>
  <si>
    <t>(MAJOR FOCUS);antidepressant agent;college;juvenile;medicaid;pharmacist;United States;adolescent;adult;child;data base;depression;diagnosis;drug therapy;explanatory variable;follow up;gender;groups by age;male;mental health;population;prescription;risk;substance abuse;suicidal ideation;therapy</t>
  </si>
  <si>
    <t>Abstract Type: Original Research. Purpose: To examine the extent of acute and continuation antidepressant therapy for depression in youth and young adults and identify variables associated with receipt of therapy. Methods: Retrospective evaluation using a large administrative claims database. Subjects include Kentucky Medicaid enrollees, less than 25 years of age, with a new (index) episode of depression and 12months of continuous eligibility during the time period of January 2000-December 2008. Subjects were excluded if they received an antidepressant prescription in the 6 months prior to the index diagnosis. Acute antidepressant therapy was defined as receipt of an antidepressant within the first 84 days following a diagnosis of depression. Continuation treatment was defined as a medication possession ratio 3/4 80% during first 6 months. Explanatory variables included; subject demographics, care setting and location, service visits; comorbid substance abuse, multiple depressive episodes, rural index, and Appalachian county designation. Results: Of the 21,758 depression episodes identified, 37% occurred in children (0-12 yrs), 44% in adolescent (13-18 yrs) and 19% in young adults (19-24 yrs). Twenty-one percent of the subjects received acute antidepressant therapy and 10% of this group had adequate continuation treatment. Follow-up visits increased the odds of receiving both acute and continuation antidepressant treatment (OR 3.02, P &lt; 0.001; OR 2.41, P &lt; 0.001). Male gender (OR 0.91, P &lt; 0.001), a previous episode of depression (OR 0.61, P &lt; 0.001), and receiving care from a mental health provider (OR 0.54, P &lt; 0.001) were associated with decreased odds of receiving antidepressant therapy. Conclusion: Approximately one in five Kentucky Medicaid youths receive antidepressant therapy for depression. This low rate of treatment might reflect the risk of suicidal ideation associated with antidepressant use in this age group. Interestingly, those receiving care from a mental health provider were less likely to receive medication. Further studies are planned to evaluate the role of nonpharmacological interventions in this population.</t>
  </si>
  <si>
    <t>(Chandler H.E.; Zhong Q.; Botts S.) 13th Annual Meeting of the College of Psychiatric and Neurologic Pharmacists, CPNP 2010 San Antonio, TX, United States 2010-04-18 to 2010-04-21 SAGE Publications Inc.; ID: 1369</t>
  </si>
  <si>
    <t>Chandrasena,A. N.;Mukherjee,R. A. S.;Turk,J.;Author,Addresses;Academic,Child;Adolescent Mental,Health;Clinical Developmental Sciences, St George's University of,London Cranmer;Terrace,London S. W. R. E. United Kingdom;Surrey;Borders Partnership, N. H. S.;Trust,Bracketts Resource Centre Station Road East Oxted R.H.Q.A.;United,Kingdom;Correspondence,Address;R.A.S. Mukherjee,Surrey;Borders Partnership,Nhs Trust;Resource Centre, Station Road East Oxted,R.H.Q.A.United Kingdom;Email,rmukherj sgul ac uk</t>
  </si>
  <si>
    <t>Fetal alcohol spectrum disorders: An overview of interventions for affected individuals</t>
  </si>
  <si>
    <t>Child and Adolescent Mental Health</t>
  </si>
  <si>
    <t>choline;dexamphetamine (drug comparison, drug therapy);methylphenidate (drug comparison, drug therapy);neuroleptic agent (drug comparison, drug therapy);psychostimulant agent (drug comparison, drug therapy);fetal alcohol syndrome (drug therapy, diagnosis, drug therapy, therapy);attention deficit disorder (complication, drug therapy, therapy);autism (complication, therapy);behavior therapy;clinical examination;clinical feature;developmental disorder;diet supplementation;diet therapy;evidence based medicine;health education;human;learning disorder;medical literature;mental health care;nonhuman;physiotherapy;prenatal exposure;priority journal;psychosocial care;review;treatment planning;choline (123-41-1, 13232-47-8, 1927-06-6, 4858-96-2, 62-49-7, 67-48-1);dexamphetamine (1462-73-3, 51-63-8, 51-64-9);methylphenidate (113-45-1, 298-59-9);Pediatrics and Pediatric Surgery (7);Neurology and Neurosurgery (8);Obstetrics and Gynecology (10);Drug Literature Index (37)</t>
  </si>
  <si>
    <t>Whilst much has been written about understanding the diagnostic and underlying pathological processes related to prenatal alcohol exposure, far less has been directed at the management of affected individuals. We undertake a review of the literature focusing on a range of interventions including psychological, social, educational, pharmacological as well recent advances and directions. This paper is designed to give an overview on the management of this complex disorder. ‚î¨‚åê 2008 Association for Child and Adolescent Mental Health.</t>
  </si>
  <si>
    <t>(Chandrasena A.N.; Turk J.) (Mukherjee R.A.S., rmukherj@sgul.ac.uk) Blackwell Publishing Ltd, 9600 Garsington Road, Oxford, United Kingdom.; ID: 1408</t>
  </si>
  <si>
    <t>1475-357X 1475-3588 (electronic)</t>
  </si>
  <si>
    <t>2009547555 FULL TEXT LINK http://dx.doi.org/10.1111/j.1475-3588.2008.00504.x</t>
  </si>
  <si>
    <t>Chang,F. H.;Xu,L.;Alkana,R. L.;Davies,D. L.;Asatryan,L.;Author,Addresses;School,of;Pharmacy,University of Southern California Los Angeles United States;Zonal,Ave;Psc,Los Angeles United States;Correspondence,Address;FH Chang, School of Pharmacy University of Southern,California Los;Angeles,United States</t>
  </si>
  <si>
    <t>Lipopolysaccharide directly inhibits human peptide transporter1 (hPepT1) function</t>
  </si>
  <si>
    <t>25A</t>
  </si>
  <si>
    <t>(MAJOR FOCUS);lipopolysaccharide;peptide;alcohol;endotoxin;glycylsarcosine;peptide transporter 1;peptidomimetic agent;trichloroethylene;alcoholism;human;society;United States;absorption;alcohol consumption;assay;bacterial overgrowth;CACO 2 cell line;cell line;hypothesis;immune deficiency;model;nutrient;oocyte;pharmacy;school;small intestine;Xenopus</t>
  </si>
  <si>
    <t>Chronic alcohol consumption frequently leads to disturbances in the absorption of nutrients and induces bacterial overgrowth in the small intestine. The human peptide transporter 1 (hPepT1), in the small intestine, mediates the transport of di-and tri-peptides as well as several orally administered peptidomimetic drugs. We recently demonstrated that ethanol can directly inhibit the function of hPepT1 expressed in Xenopus oocytes. However, ethanol may also affect di-peptide uptake indirectly via the bacterial endotoxin lipopolysaccharide (LPS). To test this hypothesis, the current study utilized two cell models, the Caco-2 cell line that endogenously expresses the transporter activity, and hPepT1-transfected HEK293 cells. We measured the cellular uptake of labeled glycylsarcosine (3H]GlySar - a nonhydrolysable PepT1 substrate) in the cells pretreated with LPS (0.1 ‚ï¨‚ïùg/ml-2 ‚ï¨‚ïùg/ml). We found that LPS inhibited hPepT1 function in a concentration dependent manner after 30min incubation in both cell lines. LPS (4 ‚ï¨‚ïùg/ml) treated cells had a 60% reduction in GlySar uptake compared to non-treated cells with comparable IC(50) values for day 4 Caco-2 and HEK293 cells (IC(50) of 2.5 ‚ï¨‚ïùg/ml for Caco-2 and 2.1 ‚ï¨‚ïùg/ml for HEK293 cells). We found that the degree of inhibition by LPS was reduced to 46 ‚î¨‚ñí 2.6% from the control uptake level on day 21 Caco-2 cells (IC(50) of 4.6 ‚ï¨‚ïùg/ml). We also observed time-dependent changes in (3)H]GlySar uptake that showed inhibition of GlySar uptake at 30min and 1hr after the treatment of Caco-2 cells with 0.5 ‚ï¨‚ïùg/ml LPS. The inhibitory effect recovered at 2 hrs. Remarkably, we also found that inhibition of GlySar uptake in hPepT1 was significantly greater when LPS was present during the di-peptide uptake phase compared to the assays when LPS was omitted from the uptake medium. Overall, the results suggest that, despite a cellular component in the action of LPS, the short-term inhibition of peptide uptake in hPepT1 may be primarily due to the direct action of LPS on hPepT1 activity. Direct action on hPepT1 represents a new mechanism that may explain the underlying dietary and immunological deficiencies that many alcoholics experience. We will use electrophysiological techniques to further study the mechanism of the inhibitory action of LPS on the hPepT1 activity. Support: NIAAA/NIH KO-1 AA017243, AA013922, AA03972, and USC School of Pharmacy.</t>
  </si>
  <si>
    <t>(Chang F.H.; Xu L.; Alkana R.L.; Davies D.L.; Asatryan L.) Texas Research Society On Alcoholism - 19th Annual Scientific Meeting San Antonio, TX, United States 2009-02-20 to 2009-02-20 Blackwell Publishing Ltd; ID: 1428</t>
  </si>
  <si>
    <t>Chang,J. C.;Lee,Y. Y.;Kuo,L. N.;Hsiao,P. Y.;Chen,H. Y.;Author,Addresses;School of Pharmacy, Taipei Medical,University Taipei;Taiwan;Department;of Pharmacy, Taipei Medical University Wan Fang Medical,Center Taipei;Taiwan;Correspondence,Address;H-Y Chen, School of Pharmacy Taipei Medical,University Wu;Street,Taipei Taiwan Email shawn tmu edu tw</t>
  </si>
  <si>
    <t>Knowledge, Attitudes, and Behavior Toward Smoking Cessation among Hospital Pharmacists in Taiwan</t>
  </si>
  <si>
    <t>Journal of Experimental and Clinical Medicine</t>
  </si>
  <si>
    <t>hospital pharmacist;pharmacist;pharmacist attitude;smoking cessation;adult;article;clinical practice;female;health care survey;human;male;paramedical education;patient care;patient education;priority journal;smoking;structured questionnaire;Taiwan;tobacco dependence;Public Health, Social Medicine and Epidemiology (17)</t>
  </si>
  <si>
    <t>Purpose: Prior studies on pharmacists and smoking cessation have focused on community-based professionals. The purpose of this study was to survey the knowledge, attitude, and practice of smoking cessation of hospital-based pharmacists in Taiwan. Methods: Pharmacists of 23 hospitals in Taiwan were sampled using stratified randomization. A questionnaire included 10 multiple-choice questions that measured knowledge about smoking cessation, 10 questions on attitude using a five-point scale, and 10 questions on practice using a five-point scale. Results: A total of 769 participants completed the survey questionnaire. The valid response rate was 70.88%, among which 688 participants (89.5%) had never smoked, 50 (6.5%) were former smokers, and 31 (4.0%) current smokers. Only 211 pharmacists (28.74%) received education, at least once, on assisting patients with smoking cessation. The mean score on the knowledge section of the questionnaire was 5.12 ‚î¨‚ñí 2.36. Nonsmoking pharmacists had a more positive attitude toward their role in smoking cessation than current smokers (38.98 ‚î¨‚ñí 4.64 vs. 36.58 ‚î¨‚ñí 5.54, p &lt; 0.05). Approximately 10% of the pharmacists actively assessed a patient's smoking status, provided information, or assisted patients in smoking cessation prior to the survey time. Conclusion: The smoking rate among hospital pharmacists in Taiwan was 4%, which was significantly lower than that of 20% of the general population. Future efforts should include education and training, encouraging pharmacists who are current smokers to stop smoking, and actively assisting patients in smoking cessation. Addressing tobacco dependence should be part of the standard of care for pharmacists as well as education on smoking cessation. ‚î¨‚åê 2012.</t>
  </si>
  <si>
    <t>(Chang J.-C.; Lee Y.-Y.; Kuo L.-N.; Hsiao P.-Y.; Chen H.-Y., shawn@tmu.edu.tw) (Chang J.-C.; Lee Y.-Y.; Kuo L.-N.; Chen H.-Y., shawn@tmu.edu.tw) Elsevier Taiwan LLC, 96 Chung Shan North Road, Section 2, Taipei, Taiwan.; ID: 1124</t>
  </si>
  <si>
    <t>1878-3317 1878-3325 (electronic)</t>
  </si>
  <si>
    <t>2012523212 FULL TEXT LINK http://dx.doi.org/10.1016/j.jecm.2012.06.003</t>
  </si>
  <si>
    <t>Charap,A. D.;Author,Addresses;Dept Surg, Mount Sinai Sch Med City Univ New,York N.;Correspondence,Address;Dept Surg, Mount Sinai Sch Med City Univ New,York N.</t>
  </si>
  <si>
    <t>81466; The knowledge, attitudes, and experience of medical personnel treating pain in the terminally ill</t>
  </si>
  <si>
    <t>Mount Sinai Journal of Medicine</t>
  </si>
  <si>
    <t>chronic pain;neoplasm;terminal care;therapy;Gerontology and Geriatrics (20);Anesthesiology (24)</t>
  </si>
  <si>
    <t>A multiple choice, true/false survey was conducted to assess the knowledge, attitudes, and experience of medical personnel engaged in the care of the terminally ill. The questionnaire focused on the management of pain by narcotic analgesics, especially the use of newer modalities of pharmacotherapy. Surgical residents, Fellows in Neoplastic Disease and Senior Clinical Nurses made up the sample population. The results indicated a lack of knowledge of not only the newer methods of pain management, but also of the fundamental principles governing analgesic therapy. Physicians and nurses overestimated the risks and dangers of physical dependence and addiction. They, however, assessed themselves as having sufficient knowledge, with the assistance of senior staff, to deal with most problems of terminal care. Surgical residents and nurses, in response to 'attitude' questions, indicated that they believed that most patients are over- rather than under-medicated. Although their aim in pain management was to provide complete or near complete analgesia and they recognised the role of anxiety in pain, their approach to analgesic therapy indicated a lack of knowledge of strategies to minimize anxiety, thus preventing them from providing optimal pain relief.</t>
  </si>
  <si>
    <t>(Charap A.D.); ID: 1780</t>
  </si>
  <si>
    <t>0027-2507</t>
  </si>
  <si>
    <t>http://www.ncbi.nlm.nih.gov/pubmed/81466</t>
  </si>
  <si>
    <t>The knowledge, attitudes, and experience of medical personnel treating pain in the terminally ill</t>
  </si>
  <si>
    <t>Charpiat,B.;Bedouch,P.;Rose,F. X.;Juste,M.;Roubille,R.;Conort,O.;Allenet,B.</t>
  </si>
  <si>
    <t>Overdosed paracetamol (acetaminophen) prescriptions and subsequent pharmacist interventions in French hospitals</t>
  </si>
  <si>
    <t>Acetaminophen/ad Administration &amp; Dosage];*Acetaminophen/po Poisoning];Analgesics, Non-Narcotic/ad Administration &amp; Dosage];*Analgesics, Non-Narcotic/po Poisoning];Body Weight;*Drug Overdose/ep Epidemiology];*Drug Overdose/pc Prevention &amp; Control];France/ep Epidemiology];Humans;Medication Errors;Pharmacists;Pharmacy Service, Hospital;Prescription Drugs;0 (Analgesics, Non-Narcotic);0 (Prescription Drugs);362O9ITL9D (Acetaminophen)</t>
  </si>
  <si>
    <t>INTRODUCTION: Little is known about the manner in which hospital pharmacists intervene for overdosed paracetamol prescriptions. The aim of this retrospective study was to describe the number and nature of pharmacists' interventions (PIs) for overdosed paracetamol adult prescriptions in hospitals. METHODS: We studied PIs that had been documented by pharmacists on the French Society of Clinical Pharmacy website tool between 2007 and 2010. We identified PIs that were related to paracetamol-containing prescriptions of one brand name only (type 1) particularly for patients with body weight &lt; 50 kg who were prescribed 4 g/day, and PIs that concerned the co-prescription of two paracetamol-containing products (type 2). RESULTS: Among 60 hospitals, seven did not report any paracetamol overdose-related PIs. Of the 53 hospitals that had at least one PI, 16 did not report any type 1 PIs. Bodyweight, liver disease, cirrhosis and chronic alcoholism were absent recorded criterion by most of the hospitals included in this study. DISCUSSION: Previously published studies have highlighted that the most frequent PIs are type 1, especially for patients whose body weight is &lt; 50 kg. We observed a broad variability in the number or type of PI that were related to overdosed paracetamol prescriptions compared with the total of all recorded types of PI. These data suggest that a significant number of hospital pharmacists are unaware of the risks that adult patients with low body weight are exposed to when receiving four grams paracetamol/day over several days. CONCLUSION: Pharmacist educational programs are needed.Copyright ‚î¨‚åê 2013. Published by Elsevier Masson SAS.</t>
  </si>
  <si>
    <t>J2: Ann Pharm Fr; Charpiat, B Bedouch, P Rose, F X Juste, M Roubille, R Conort, O Allenet, B S0003-4509(13)00108-9; ID: 81</t>
  </si>
  <si>
    <t>Charpiat,B. CNRS, TIMC-IMAG UMR 5525, Themas, Joseph-Fourier University, Grenoble 1, Domaine de la Merci, 38706 La Tronche cedex, France; Department of Clinical Pharmacy, Croix-Rousse Hospital, Hospices Civils de Lyon, 103, Grande-rue-de-la-Croix-Rousse, 69317 Lyon cedex 04, France. Electronic address: bruno.charpiat@chu-lyon.fr.</t>
  </si>
  <si>
    <t>http://ovidsp.ovid.com/ovidweb.cgi?T=JS&amp;CSC=Y&amp;NEWS=N&amp;PAGE=fulltext&amp;D=medl&amp;AN=24206593</t>
  </si>
  <si>
    <t>http://dx.doi.org/10.1016/j.pharma.2013.08.010</t>
  </si>
  <si>
    <t>MEDLINE; Ovid Technologies; Overdosed paracetamol (acetaminophen) prescriptions and subsequent pharmacist interventions in French hospitals</t>
  </si>
  <si>
    <t>Charpiat,B.;Henry,A.;Leboucher,G.;Tod,M.;Allenet,B.</t>
  </si>
  <si>
    <t>Overdosed prescription of paracetamol (acetaminophen) in a teaching hospital</t>
  </si>
  <si>
    <t>Acetaminophen/ad Administration &amp; Dosage];*Acetaminophen/ae Adverse Effects];Adult;Aged;Analgesics, Non-Narcotic/ad Administration &amp; Dosage];*Analgesics, Non-Narcotic/ae Adverse Effects];Databases, Factual;Drug Overdose;Drug Prescriptions;Drug Utilization;Female;Hospitals, Teaching;Humans;Male;Medication Errors;Middle Aged;Pharmacy Service, Hospital;0 (Analgesics, Non-Narcotic);362O9ITL9D (Acetaminophen)</t>
  </si>
  <si>
    <t>INTRODUCTION: Paracetamol is the most commonly used analgesic and antipyretic. Reviews of hospital use of paracetamol are scarce. Little is known about the appropriateness of the dose of paracetamol prescribed for hospitalized adults. The aim of this study was to report on the nature and the frequency of the overdosed prescription of paracetamol observed in adult patients over a 4.5-year period in a teaching hospital. METHODS: Prescription analysis by pharmacists was performed once a week in six medical and three surgical departments and daily in a post-emergency unit. In cases of prescription error, the pharmacist notified the physician through an electronic alert when a computerized prescription order entry system was available or otherwise by face-to-face discussion. For each drug-related problem detected, the pharmacists recorded relevant details in a database. RESULTS: From October 2006 to April 2011, 44,404 prescriptions were reviewed and 480 alerts related to the overdosed prescription of paracetamol were made (1% of analyzed prescriptions). The extent of errors of dosage was within the intervals 90-120 mg/kg/d] and greater than 120 mg/kg/d for 87 and 11 patients respectively, who were prescribed a single non-combination paracetamol containing product. Sixty alerts concerned co-prescription of at least two paracetamol containing products with similar frequency for computerized (1.4/1000) or handwritten (1.2/1000) prescriptions. DISCUSSION: Prescriptions of paracetamol for hospitalized adults frequently exceed the recommended dosage. CONCLUSION: These results highlight the need for increased awareness of unintentional paracetamol overdose and support the initiation of an educational program aimed at physicians and nurses.Copyright ‚î¨‚åê 2012. Published by Elsevier Masson SAS.</t>
  </si>
  <si>
    <t>J2: Ann Pharm Fr; Charpiat, B Henry, A Leboucher, G Tod, M Allenet, B; ID: 185</t>
  </si>
  <si>
    <t>Charpiat,B. Joseph-Fourier University-Grenoble 1, CNRS, TIMC-IMAG UMR 5525, Themas, Domaine de la Merci, 38706 La Tronche cedex, France. bruno.charpiat@chu-lyon.fr</t>
  </si>
  <si>
    <t>http://ovidsp.ovid.com/ovidweb.cgi?T=JS&amp;CSC=Y&amp;NEWS=N&amp;PAGE=fulltext&amp;D=medl&amp;AN=22818263</t>
  </si>
  <si>
    <t>http://dx.doi.org/10.1016/j.pharma.2012.05.002</t>
  </si>
  <si>
    <t>MEDLINE; Ovid Technologies; Overdosed prescription of paracetamol (acetaminophen) in a teaching hospital</t>
  </si>
  <si>
    <t>Chasse,A. N.;Armor,B. L.;Author,Addresses;University of Oklahoma, College,of Pharmacy;Oklahoma City,United States;Correspondence,Address;AN Chasse, University of Oklahoma College of Pharmacy,Oklahoma City;United,States</t>
  </si>
  <si>
    <t>Implementation of a medication reconciliation service in a primary care clinic</t>
  </si>
  <si>
    <t>e281</t>
  </si>
  <si>
    <t>potassium;clinical pharmacy;college;hospital;medication therapy management;primary medical care;adverse drug reaction;blood pressure;data base;drug therapy;education;follow up;glucose blood level;health care;hospital readmission;human;interview;learning;medical record;outpatient;patient;pharmacist;physician;prescription;skill;student;thyroid gland</t>
  </si>
  <si>
    <t>PURPOSE: To evaluate the potential role of pharmacists and student pharmacists in conducting medication reconciliation services in a primary care clinic. The requirement for health systems to conduct medication reconciliation provides both an educational and service opportunity for pharmacists. This service is part of an existing learning experience for students and residents designed to improve patient interview skills, identify medication discrepancies, identify and resolve drug related problems. METHODS: Clinic staff identified recently discharged patients and contacted them to participate in a onetime medication reconciliation visit with a pharmacist. Patients were scheduled prior to the hospital follow-up visit with the physician. Medication discrepancies and recommendations for resolving drug related problems were communicated with the physician. RESULTS: Thirty seven patients were seen between September 2011 and May 2012. Interventions were categorized into twelve actions that could be performed to prevent adverse drug events and unwanted outcomes. The most common interventions were non adherence/underuse (8), order lab (10) and identifying untreated medical problems (8). The most common actions taken were to discontinue a prescription (8), new prescription (6), order tests (8) and education (12). The types of lab tests that were ordered included blood pressure, blood glucose, thyroid levels, potassium and CBC. CONCLUSIONS: Primary care based pharmacists and student pharmacists can identify and resolve drug related problems during the transition between hospital and home. At least one intervention was detected for each patient. Having access to medical records in outpatient and hospital databases and having the drug knowledge necessary to address interventions allowed us to evaluate the drug therapy needs of patients in this transition. Future plans include tracking outcomes of the service, particularly for reduced readmission rates.</t>
  </si>
  <si>
    <t>(Chasse A.N.; Armor B.L.) 2012 Annual Meeting of the American College of Clinical Pharmacy, ACCP 2012 Hollywood, FL, United States 2012-10-21 to 2012-10-24 Pharmacotherapy Publications Inc.; ID: 1112</t>
  </si>
  <si>
    <t>Chaudhari,A. D.;Patel,P. R.;Leuva,P. A.;Author,Addresses;Shri,Sarvajanik Pharmacy;Mehsana,Mehsana India;Correspondence,Address;AD Chaudhari, Shri Sarvajanik Pharmacy College Mehsana,Mehsana India</t>
  </si>
  <si>
    <t>A study on potential role of pharmacists in home health drug related problem management in India</t>
  </si>
  <si>
    <t>e285</t>
  </si>
  <si>
    <t>clinical pharmacy;college;health;human;India;pharmacist;adult;drug therapy;environment;female;home care;Indian;language;male;patient;pharmaceutical care;pharmacy;population;reading;room temperature;rural population</t>
  </si>
  <si>
    <t>PURPOSE: Provision of pharmaceutical care at home is more suitable environment, getting to know the patient and assessing the level of support required in medication use is an expanding role for pharmacist. METHODS: To assess the scenario of medication use at home, a survey was designed to assess medicine literacy, medication knowledge and willingness of clients at home for receiving home care pharmaceutical services. A set of questions in local language was drafted to collect adult literacy in medicine using REALMR. The medication knowledge assessment form was provided to 200 randomly selected subjects in rural community. RESULTS: Among the 200 participants, 120 (60%) were males and 80 (40%) were females. The mean age of the respondents was 42.5 years. Forty-eight (24%) were illiterate, 92 (46%) were higher secondary. Medicine literacy assessed using REALM-R mean score was found to be 6.24 out of 11 words. In medication knowledge assessment mean number of medications per patient was 1.88. Among the basic medication knowledge, they were able to answer correctly at the average of 4.1. As many as 91.4% of the medications were stored in room temperature. Willingness to know more about medication usage amounted to mean score was found to be 8.82 out of 10. CONCLUSION: From the data gathered it can be deduced that medication knowledge and adult medicine literacy among Indian population is less and needs pharmacist to take adequate measure to educate clients on medication use and one such way is through home pharmaceutical care. This also provides an opportunity for identify roles and rapport with patient for provision of effective care.</t>
  </si>
  <si>
    <t>(Chaudhari A.D.; Patel P.R.; Leuva P.A.) 2012 Annual Meeting of the American College of Clinical Pharmacy, ACCP 2012 Hollywood, FL, United States 2012-10-21 to 2012-10-24 Pharmacotherapy Publications Inc.; ID: 1107</t>
  </si>
  <si>
    <t>Chavez,M. L.;Chavez,P. I.</t>
  </si>
  <si>
    <t>Use of psychoactive drugs for nontherapeutic reasons by pharmacy students in Puerto Rico</t>
  </si>
  <si>
    <t>Adult;Alcohol Drinking;Female;Humans;Male;Professional Impairment;*Psychotropic Drugs;Puerto Rico/ep Epidemiology];Smoking/ep Epidemiology];*Students, Pharmacy/sn Statistics &amp; Numerical Data];*Substance-Related Disorders/ep Epidemiology];0 (Psychotropic Drugs)</t>
  </si>
  <si>
    <t>J2: Am J Hosp Pharm; Chavez, M L Chavez, P I; ID: 675</t>
  </si>
  <si>
    <t>Chavez,M L. Department of Pharmacy Practice, University of Puerto Rico, San Juan 00936.</t>
  </si>
  <si>
    <t>http://ovidsp.ovid.com/ovidweb.cgi?T=JS&amp;CSC=Y&amp;NEWS=N&amp;PAGE=fulltext&amp;D=med3&amp;AN=2278266</t>
  </si>
  <si>
    <t>MEDLINE; Ovid Technologies; Use of psychoactive drugs for nontherapeutic reasons by pharmacy students in Puerto Rico</t>
  </si>
  <si>
    <t>Chemello,C.;de Souza,F.;Patricio,E. S.;Farias,M. R.;Author,Addresses;Department,of;Pharmaceutical Sciences, Center for Health Sciences Federal,University of;Santa Catarina,Florianopolis Brazil;University Hospital of Federal University,of Santa;Professor Polydoro Ernani de,Sao Thiago;Biochemistry Department, University of S‚îú√∫o,Paulo Brazil;Correspondence,Address;Chemello, Department of Pharmaceutical Sciences Center for Health,C.;Sciences,Federal University of Santa Catarina Flori-anopolis Campus;Trindade,Florian‚îú‚îÇpolis S. C. Brazil Email;clachemello@yahoo.com.br</t>
  </si>
  <si>
    <t>Pharmaceutical care as a strategy to improve the safety and effectiveness of patients' pharmacotherapy at a pharmacy school: A practical proposal</t>
  </si>
  <si>
    <t>Brazilian Journal of Pharmaceutical Sciences</t>
  </si>
  <si>
    <t>antiparkinson agent (drug therapy);benserazide plus levodopa (adverse drug reaction, drug therapy);carbidopa plus levodopa (adverse drug reaction, drug therapy);pharmaceutical care;aged;article;case study;clinical evaluation;clinical pharmacy;clinical protocol;constipation (side effect);drug efficacy;female;follow up;hallucination (side effect);human;major clinical study;male;Parkinson disease (disease management, drug therapy);patient care;patient compliance;patient safety;pharmacist attitude;process model;public health service;quality of life;treatment refusal;benserazide plus levodopa (37270-69-2);carbidopa plus levodopa (57308-51-7);Public Health, Social Medicine and Epidemiology (17);Drug Literature Index (37);Adverse Reactions Titles (38);Neurology and Neurosurgery (8)</t>
  </si>
  <si>
    <t>Several patients experience at least one drug-related problem and Pharmaceutical Care can change this reality. This work describes a model for structuring the pharmaceutical care service at a pharmacy training unit of the Brazilian Public Health System based on pharmacotherapy follow-up program of Parkinson's disease patients' results. From the follow-up results (phase 1), a Therapy Management Scheme was designed (phase 2). Of the 57 patients followed-up, 30 presented at least one drug-related problem and 42% were non-adherent to treatment, which supported the need of pharmacotherapy management. The Pharmacotherapy Management Scheme was proposed as a pharmaceutical care service model, which presents 6 steps: first, the pharmacist fills out the dispensing form and assesses patient‚ï†√ºs pharmacotherapy, if there is a suspect problem, he is invited to the follow-up (steps 1 and 2) and they agree the first appointment. After that, pharmacist studies the patient's case (study phase, steps 3 and 4). At the second meeting, the pharmacist proposes the intervention needed, and at the third, assesses the intervention results and new problems (steps 5 and 6, respectively). The process ends when all therapeutics outcomes are reached. This practical model can significantly contributed to the development and organization of pharmaceutical care services.</t>
  </si>
  <si>
    <t>(Chemello C., clachemello@yahoo.com.br; Farias M.R.) (de Souza F.) (Patricio E.S.) Faculdade de Ciencias Farmaceuticas (Biblioteca), bjps@usp.br; ID: 963</t>
  </si>
  <si>
    <t>2175-9790 (electronic) 1984-8250</t>
  </si>
  <si>
    <t>2014331769 FULL TEXT LINK http://dx.doi.org/10.1590/S1984-82502011000100019</t>
  </si>
  <si>
    <t>Chen,J.;Lu,X. Y.;Wang,W. J.;Shen,B.;Ye,Y.;Jiang,H.;Wang,Q. S.;Cheng,B.</t>
  </si>
  <si>
    <t>Impact of a clinical pharmacist-led guidance team on cancer pain therapy in China: a prospective multicenter cohort study</t>
  </si>
  <si>
    <t>Journal of Pain &amp; Symptom Management</t>
  </si>
  <si>
    <t>*Analgesics, Opioid/tu Therapeutic Use];Causality;China/ep Epidemiology];Cohort Studies;Comorbidity;Female;Humans;Male;*Neoplasms/ep Epidemiology];Neoplasms/nu Nursing];*Opioid-Related Disorders/ep Epidemiology];Opioid-Related Disorders/pc Prevention &amp; Control];Pain/di Diagnosis];*Pain/dt Drug Therapy];*Pain/ep Epidemiology];Pain Measurement/sn Statistics &amp; Numerical Data];Palliative Care/sn Statistics &amp; Numerical Data];Patient Care Team/og Organization &amp; Administration];*Patient Care Team/sn Statistics &amp; Numerical Data];Pharmacists/og Organization &amp; Administration];*Pharmacists/sn Statistics &amp; Numerical Data];Prevalence;Prospective Studies;Treatment Outcome;0 (Analgesics, Opioid)</t>
  </si>
  <si>
    <t>CONTEXT: Cancer treatment capacity in China is severely limited relative to the enormous size of the population; and many aspects of treatment, such as opioid protocols for pain control, are not standardized. To improve the quality of drug treatment, clinical pharmacists are taking a more active role in patient care. OBJECTIVES: This study compared the effectiveness of opioid treatment between cancer patients receiving interventions from Clinical Pharmacist-Led Guidance Teams (CPGTs) and a comparable control group. METHODS: This was a prospective, multicenter, double-arm, controlled study conducted in China. Multidisciplinary guidance teams were established and led by clinical pharmacists with expertise in cancer pain therapy. The CPGTs provided pre-therapy consultation and drug education to physicians, monitored prescriptions during treatment, and conducted patient follow-up. The process and outcome parameters of therapy were collected and analyzed with overall statistics and logistic regression. RESULTS: A total of 542 patients were enrolled, 269 in the CPGT intervention group (CPGT group) and 273 controls. Standardization of opioid administration was improved significantly in the CPGT group, including more frequent pain evaluation (P&lt;0.001), more standardized dosing titration (P&lt;0.001), and less frequent meperidine prescriptions (P&lt;0.001). The pain scores in the CPGT group were significantly improved compared with the control group (P&lt;0.05). The incidences of gastrointestinal adverse events were significantly lower in the CPGT group (constipation: P=0.041; nausea: P=0.028; vomiting: P=0.035), and overall quality of life was improved (P=0.032). No opioid addiction was encountered in the CPGT group. Risk analysis revealed that patient follow-up by pharmacists and the controlled dosing of opioids were the major factors in improving treatment efficacy. CONCLUSION: The CPGTs significantly improved standardization, efficiency, and efficacy of cancer pain therapy in China. In a country where clinical pharmacy is still developing, this is a valuable service model that may enhance cancer treatment capacity and efficacy while promoting recognition of the clinical pharmacy profession.Copyright ‚î¨‚åê 2014 American Academy of Hospice and Palliative Medicine. Published by Elsevier Inc. All rights reserved.</t>
  </si>
  <si>
    <t>J2: J Pain Symptom Manage; Chen, Jian Lu, Xiao-yang Wang, Wei-jia Shen, Bin Ye, Yun Jiang, Hong Wang, Qi-sheng Cheng, Bin Comment in: J Pain Symptom Manage. 2014 Oct;48(4):497-8; PMID: 24997446 S0885-3924(14)00039-6; ID: 38</t>
  </si>
  <si>
    <t>1873-6513</t>
  </si>
  <si>
    <t>Chen,Jian. Department of Pharmacy, The First Affiliated Hospital, College of Medicine, Zhejiang University, People's Republic of China. Lu,Xiao-yang. Department of Pharmacy, The First Affiliated Hospital, College of Medicine, Zhejiang University, People's Republic of China. Electronic address: luxiaoyangzju@126.com. Wang,Wei-jia. Department of Pharmacy, Hangzhou Cancer Hospital, Hangzhou, People's Republic of China. Shen,Bin. Department of Pharmacy, The First Hospital of Jiaxing, Jiaxing, People's Republic of China. Ye,Yun. Department of Pharmacy, Beilun People's Hospital, Ningbo, People's Republic of China. Jiang,Hong. Department of Pharmacy, Shangyu People's Hospital, People's Republic of China. Wang,Qi-sheng. Department of Pharmacy, People's Hospital of Xinchang County, Shaoxing, People's Republic of China. Cheng,Bin. Department of Pharmacy, Zhengjiang Cancer Hospital, Hangzhou, Zhejiang, People's Republic of China.</t>
  </si>
  <si>
    <t>http://ovidsp.ovid.com/ovidweb.cgi?T=JS&amp;CSC=Y&amp;NEWS=N&amp;PAGE=fulltext&amp;D=medl&amp;AN=24726204</t>
  </si>
  <si>
    <t>http://dx.doi.org/10.1016/j.jpainsymman.2013.10.015</t>
  </si>
  <si>
    <t>MEDLINE; Ovid Technologies; Impact of a clinical pharmacist-led guidance team on cancer pain therapy in China: a prospective multicenter cohort study</t>
  </si>
  <si>
    <t>Chen,J. H.;Ou,H. T.;Lin,T. C.;Lai,E. C. C.;Yang Kao,Y. H.;Author,Addresses;Department of Pharmacy, Nantou Hospital Ministry of,Health and;Welfare,Nantou City Taiwan;Isotope Application Division, Institute of,Nuclear Energy;Research,Atomic Energy Council Executive Yuan Taipei City Taiwan;Institute,of Clinical;Pharmaceutical;Sciences,College of Medicine National Cheng Kung University No;University Road,Tainan,City Taiwan;Correspondence,Address;Y-H Yang Kao, Institute of,Clinical Pharmacy;Pharmaceutical,Sciences;College of Medicine, National Cheng Kung University No,University Road;Tainan City, Taiwan Email yhkao mail ncku,edu tw</t>
  </si>
  <si>
    <t>Pharmaceutical care of elderly patients with poorly controlled type 2 diabetes mellitus: a randomized controlled trial</t>
  </si>
  <si>
    <t>hemoglobin A1c (endogenous compound);non insulin dependent diabetes mellitus (disease management);pharmaceutical care;aged;article;consultation;controlled study;cost effectiveness analysis;diabetes educator;elderly care;female;glycemic control;health care cost;hemoglobin blood level;human;major clinical study;male;outcome assessment;pharmacist;priority journal;randomized controlled trial;Taiwan;treatment duration;hemoglobin A1c (62572-11-6);Public Health, Social Medicine and Epidemiology (17);Endocrinology (3);Health Policy, Economics and Management (36);CLINICAL TRIAL NUMBERS;ClinicalTrials.gov (NCT01455727)</t>
  </si>
  <si>
    <t>Background Care of the elderly with diabetes is more complicated than that for other age groups. The elderly and/or those with multiple comorbidities are often excluded from randomized controlled trials of treatments for diabetes. The heterogeneity of health status of the elderly also increases the difficulty in diabetes care; therefore, diabetes care for the elderly should be individualized. Motivated patients educated about diabetes benefit the most from collaborating with a multidisciplinary patient-care team. A pharmacist is an important team member by serving as an educator, coach, healthcare manager, and pharmaceutical care provider. Objective To evaluate the effects of pharmaceutical care on glycemic control of ambulatory elderly patients with type 2 diabetes. Setting A 421-bed district hospital in Nantou City, Taiwan. Method We conducted a randomized controlled clinical trial involving 100 patients with type 2 diabetes with poor glycemic control (HbA1c levels of Œì√´√ë9.0‚î¨√°%) aged Œì√´√ë65‚î¨√°years over 6‚î¨√°months. Participants were randomly assigned to a standard-care (control, n‚î¨√°=‚î¨√°50) or pharmaceutical-care (intervention, n‚î¨√°=‚î¨√°50) group. Pharmaceutical care was provided by a certified diabetes-educator pharmacist who identified and resolved drug-related problems and established a procedure for consultations pertaining to medication. The MannŒì√á√¥Whitney test was used to evaluate nonparametric quantitative data. Statistical significance was defined as P‚î¨√°&lt;‚î¨√°0.05. Main outcome measure The change in the mean HbA1c level from the baseline to the next level within 6‚î¨√°months after recruiting. Results Nonparametric data (MannŒì√á√¥Whitney test) showed that the mean HbA1c level significantly decreased (0.83‚î¨√°%) after 6‚î¨√°months for the intervention group compared with an increase of 0.43‚î¨√°% for the control group (P‚î¨√°Œì√´√±‚î¨√°0.001). Medical expenses between groups did not significantly differ (Œì√™√Ü624.06 vs. Œì√™√Ü418.7, P‚î¨√°=‚î¨√°0.767). There was no significant difference in hospitalization rates between groups. Conclusion The pharmacist intervention program provided pharmaceutical services that improved long-term, safe control of blood sugar levels for ambulatory elderly patients with diabetes and did not increase medical expenses.</t>
  </si>
  <si>
    <t>(Chen J.-H.) (Chen J.-H.; Ou H.-T.; Lin T.-C.; Lai E.C.-C.; Yang Kao Y.-H., yhkao@mail.ncku.edu.tw) Springer Netherlands; ID: 779</t>
  </si>
  <si>
    <t>2210-7711 (electronic) 2210-7703</t>
  </si>
  <si>
    <t>2015471650 FULL TEXT LINK http://dx.doi.org/10.1007/s11096-015-0210-4</t>
  </si>
  <si>
    <t>Chen,L. C.;Chou,M. H.;Lin,M. F.;Yang,L. L.</t>
  </si>
  <si>
    <t>Lack of pharmacokinetic interaction between valproic acid and a traditional Chinese medicine, Paeoniae Radix, in healthy volunteers</t>
  </si>
  <si>
    <t>Journal of Clinical Pharmacy &amp; Therapeutics</t>
  </si>
  <si>
    <t>459 7p</t>
  </si>
  <si>
    <t>Drug Interactions;Medicine, Chinese Traditional -- Adverse Effects;Valproic Acid -- Pharmacokinetics;Adult;Biological Availability;Clinical Trials;Crossover Design;Descriptive Statistics;Epilepsy -- Blood;Epilepsy -- Drug Therapy;Epilepsy -- Urine;Female;Immunoassay;Linear Regression;Male;Paired T-Tests;Random Assignment;Taiwan;Valproic Acid -- Blood;Funding Source;Human</t>
  </si>
  <si>
    <t>BACKGROUND AND OBJECTIVE: In addition to the standard antiepileptic drugs, traditional Chinese medicines (TCMs) are used for the treatment of epilepsy in oriental countries. The interactions between antiepileptic drugs and TCMs represent a potential problem in clinical application. Because valproic acid (VPA), one of the most widely prescribed antiepileptic drugs, may be administered concomitantly with Paeoniae Radix (PR), one of the famous TCMs, in some epileptic patients, the present study was conducted to evaluate the influences of PR on the pharmacokinetics of VPA. METHOD: The pharmacokinetics of VPA were investigated in a randomized, open-label, two-way crossover study. Six healthy volunteers received the following treatments in a crossover design: (i) 1.2 g extract powder of Paeoniae Radix once daily for 7 days and one 200 mg VPA gastro-resistant tablet on day 7 and (ii) one 200 mg VPA gastro-resistant tablet alone on day 7. Serial plasma samples were obtained on day 7. Total and free (unbound) VPA plasma concentrations were determined by fluorescence polarization immunoassay (FPIA). Safety measures included laboratory tests (haematology, serum chemistry and urinalysis) and adverse event monitoring. Statistical comparisons of pharmacokinetic parameters were performed with the Student paired t-test. RESULTS: Overall clinical safety was satisfactory. The mean maximum plasma concentration of VPA was attained at within 6 h after oral administration of VPA alone and 3-4 h after oral administration of VPA in combination with PR. The plasma level of VPA declined with a half-life of 11.71 and 11.91 h, respectively. No statistically significant difference was obtained in any of the pharmacokinetic parameters (Tmax, Cmax, AUC, t1/2, MRT, CL/F and Vd/F) of VPA between the two treatments. Also, there was no significant difference in the protein binding rates of VPA. CONCLUSION: PR did not significantly affect the absorption, distribution, metabolism and elimination of VPA in healthy volunteers.</t>
  </si>
  <si>
    <t>Entry Date: 20070101. Revision Date: 20150711. Publication Type: Journal Article; clinical trial; research; tables/charts. Journal Subset: Biomedical; Europe; Peer Reviewed; UK &amp; Ireland. Grant Information: Supported by research grant VGH88-238 from Veterans General Hospital-Taipei. NLM UID: 8704308. PMID: 11123499.; ID: 1934</t>
  </si>
  <si>
    <t>0269-4727</t>
  </si>
  <si>
    <t>Department of Pharmacognosy, Graduate Institute of Pharmaceutical Sciences, Taipei Medical College</t>
  </si>
  <si>
    <t>http://proxy.lib.umich.edu/login?url=http://search.ebscohost.com/login.aspx?direct=true&amp;db=ccm&amp;AN=106842001&amp;site=ehost-live&amp;scope=site</t>
  </si>
  <si>
    <t>ccm; EBSCOhost; Lack of pharmacokinetic interaction between valproic acid and a traditional Chinese medicine, Paeoniae Radix, in healthy volunteers</t>
  </si>
  <si>
    <t>Chen,T.;Zhong,F. J.;Hong,Y. M.;Su,W. J.;Zhuang,L. L.;Qiu,L. X.;Author,Addresses;School of Life Sciences, Longyan,University Longyan;China;Fujian Key,Laboratory of;Veterinary,Medicine;Biotechnology,Longyan China;Correspondence,Address;L-X Qiu, School of Life Sciences Longyan,University Longyan;China Email,qlongxin,tom com</t>
  </si>
  <si>
    <t>24702805; Effect of Trifolium pratense extract on methionine-choline-deficient diet-induced steatohepatitis in C57BL/6 mice</t>
  </si>
  <si>
    <t>(MAJOR FOCUS);choline;methionine;red clover extract (drug therapy, oral drug administration);acetyl coenzyme A (endogenous compound);carnitine palmitoyltransferase I (endogenous compound);cholesterol (endogenous compound);eosin;fatty acid binding protein (endogenous compound);hematoxylin;lipid (endogenous compound);peroxisome proliferator activated receptor alpha (endogenous compound);triacylglycerol (endogenous compound);nonalcoholic fatty liver (drug therapy, drug therapy);animal experiment;animal model;animal tissue;article;cholesterol blood level;controlled study;diet;fatty liver;feeding;gene expression;hepatitis;histopathology;lipid liver level;male;mouse;nonhuman;quantitative analysis;real time polymerase chain reaction;staining;treatment duration;triacylglycerol blood level;DRUG MANUFACTURERS;(China)rimian;acetyl coenzyme A (72-89-9);cholesterol (57-88-5);choline (123-41-1, 13232-47-8, 1927-06-6, 4858-96-2, 62-49-7, 67-48-1);eosin (17372-87-1, 51395-88-1, 548-26-5);hematoxylin (517-28-2);lipid (66455-18-3);methionine (59-51-8, 63-68-3, 7005-18-7);peroxisome proliferator activated receptor alpha (147258-70-6);Clinical and Experimental Biochemistry (29);Drug Literature Index (37);Gastroenterology (48)</t>
  </si>
  <si>
    <t>Aim: The potential of Trifolium pratense (red clover) extract in the prevention of lipid disorder has attracted increasing attention in recent years. In this study, the aim was to determine whether and how red clover extract affected the development of murine diet-induced non-alcoholic steatohepatitis. Methods: Non-alcoholic steatohepatitis was induced in C57BL/6 mice by feeding mice with a methionine-choline-deficient (MCD) diet. Hematoxylin and eosin staining was used for histological analyses. Real-time PCR was used to analyze the mRNA expression levels. Results: Hepatic steatosis and necroinflammation was observed in MCD diet-fed mice, and this diet-induced steatosis was significantly attenuated, whereas liver inflammation was not significantly attenuated, by red clover extract treatment. Consistent with the results of H&amp;E staining, the MCD diet-induced increase of liver triglycerides and cholesterol levels were significantly reduced by red clover extract treatment. However, with the improvement in hepatic steatosis, mRNA levels of acetyl CoA oxidase, carnitine palmitoyl transferase-1, and liver fatty acid-binding protein, three genes regulated by peroxisome proliferator-activated receptor (PPAR) ‚ï¨‚ñí, were unaffected. Conclusion: Red clover extract alleviated MCD diet-induced hepatic steatosis, but did not ameliorate liver inflammation in C57BL/6 mice, and the improvement in hepatic steatosis was not through activating PPAR‚ï¨‚ñí. ‚î¨‚åê 2014 China Pharmaceutical University.</t>
  </si>
  <si>
    <t>(Chen T.; Zhong F.-J.; Hong Y.-M.; Su W.-J.; Zhuang L.-L.; Qiu L.-X., qlongxin@tom.com) (Chen T.; Qiu L.-X., qlongxin@tom.com) Chinese Journal of Natural Medicines Editorial Board, zgtryw@sohu.com; ID: 942</t>
  </si>
  <si>
    <t>1875-5364 (electronic)</t>
  </si>
  <si>
    <t>http://www.ncbi.nlm.nih.gov/pubmed/24702805</t>
  </si>
  <si>
    <t>Effect of Trifolium pratense extract on methionine-choline-deficient diet-induced steatohepatitis in C57BL/6 mice</t>
  </si>
  <si>
    <t>Chen,T. F.</t>
  </si>
  <si>
    <t>Pharmacist-Led Home Medicines Review and Residential Medication Management Review: The Australian Model</t>
  </si>
  <si>
    <t>Drugs &amp; aging</t>
  </si>
  <si>
    <t>Drugs Aging</t>
  </si>
  <si>
    <t>Older people are often prescribed multiple medicines and have a high prevalence of polypharmacy. Polypharmacy is associated with an increased risk of inappropriate use of medicines and drug-related problems. As experts in pharmacotherapy, pharmacists are well placed to review complex medication regimens and identify causes of drug-related problems and recommend solutions to prevent or resolve them. Involvement in medication review services represents a major philosophical shift and paradigm change in the way pharmacists practice, in that the focus is shifted away from the dispensing of prescription medicines to the provision of a professional service for a patient, in collaboration with their general practitioner (GP). In Australia, there are two established medication review programs: Home Medicines Review (HMR) and Residential Medication Management Review (RMMR). The objectives of this article were to describe the process of government-funded medication review services in Australia and to evaluate the contribution of pharmacists to HMR and RMMR, using evidence-based measures, such as the Drug Burden Index (DBI) and the Medication Appropriateness Index (MAI). This review found that there is good evidence to support the role of pharmacists in delivering medication review services across different settings. Although the positive impact of such services has been demonstrated using a variety of validated measures (DBI, MAI), there remains a need to also evaluate actual clinical outcomes and/or patient-reported outcomes.</t>
  </si>
  <si>
    <t>J2: Drugs Aging; Chen, Timothy F; ID: 750</t>
  </si>
  <si>
    <t>1179-1969</t>
  </si>
  <si>
    <t>Chen,Timothy F. Faculty of Pharmacy, The University of Sydney, Sydney, NSW, Australia. timothy.chen@sydney.edu.au.</t>
  </si>
  <si>
    <t>http://ovidsp.ovid.com/ovidweb.cgi?T=JS&amp;CSC=Y&amp;NEWS=N&amp;PAGE=fulltext&amp;D=prem&amp;AN=26961696</t>
  </si>
  <si>
    <t>http://dx.doi.org/10.1007/s40266-016-0357-2</t>
  </si>
  <si>
    <t>MEDLINE; Ovid Technologies; Pharmacist-Led Home Medicines Review and Residential Medication Management Review: The Australian Model</t>
  </si>
  <si>
    <t>Chen,Y. F.</t>
  </si>
  <si>
    <t>Neuroimmune pharmacology as a component of pharmacology in medical school curriculum</t>
  </si>
  <si>
    <t>Allergy and Immunology/ed Education];Curriculum;*Education, Medical, Undergraduate/mt Methods];Humans;Neurosciences/ed Education];*Pharmacology/ed Education]</t>
  </si>
  <si>
    <t>An introduction to the discipline of pharmacology is a standard part of the scientific foundation of medical school curricula. Neuroimmune pharmacology is a new subtopic that integrates fundamental concepts of neuroscience, immunology, infectious disease, and pharmacology. The integration of these areas is important to medical training in view of the growing concern over neurodegenerative diseases and cognitive disorders. This article introduces a submodule and concomitant syllabus for inclusion of neuroimmune pharmacology as a component of a pharmacology curriculum. The introductory lectures of neuroimmune pharmacology will concentrate on the role of the immune system in (1) schizophrenia and major depression; (2) neurodegenerative disorders; and (3) drug addiction. Emphasis will be placed on the competencies of critical thinking, problem solving, learning interest, and effectiveness of medical students. Problem-based learning and case study discussions will also be applied.</t>
  </si>
  <si>
    <t>J2: J Neuroimmune Pharmacol; Chen, Yuh F; ID: 266</t>
  </si>
  <si>
    <t>Chen,Yuh F. Department of Pharmacology, School of Medicine, China Medical University, Taichung, Taiwan. yfchen@mail.cmu.edu.tw</t>
  </si>
  <si>
    <t>http://ovidsp.ovid.com/ovidweb.cgi?T=JS&amp;CSC=Y&amp;NEWS=N&amp;PAGE=fulltext&amp;D=med5&amp;AN=21107746</t>
  </si>
  <si>
    <t>http://dx.doi.org/10.1007/s11481-010-9252-5</t>
  </si>
  <si>
    <t>MEDLINE; Ovid Technologies; Neuroimmune pharmacology as a component of pharmacology in medical school curriculum</t>
  </si>
  <si>
    <t>Cheng,G. M. Y.;Wong,L. K. M.;Mak,T. C. Y.;Yiu,H. H. Y.;Law,K. K. M.;Leung,W. Y. S.;Author,Addresses;Department;of Pharmacy, Queen Elizabeth Hospital Hong Kong,Hong Kong;Department of Clinical Oncology, Queen Elizabeth,Hospital Hong;Kong,Hong Kong;Correspondence,Address;GMY Cheng, Department of Pharmacy Queen Elizabeth Hospital,Hong Kong;Hong,Kong</t>
  </si>
  <si>
    <t>Pharmacist-run medication compliance clinic in oncology patients</t>
  </si>
  <si>
    <t>e252</t>
  </si>
  <si>
    <t>e253</t>
  </si>
  <si>
    <t>capecitabine;protein tyrosine kinase inhibitor;American;clinical pharmacy;college;hospital;human;medication compliance;oncology;patient;pharmacist;classification;counseling;data base;drug interaction;drug therapy;education;Europe;hospital patient;meal;medical audit;outpatient;pharmaceutical care;safety;side effect;stomach acid;swallowing;therapy</t>
  </si>
  <si>
    <t>PURPOSE: As the oncology treatment paradigm shifts from inpatient to out-patient setting, patients have to be well trained to be responsible for managing their medications at home. Pharmacist- run medication compliance clinic was established to improve quality and safety of drug management in patients started on oral anticancer therapy.This audit aims to evaluate the number and type of drug-related problems (DRPs) identified. METHODS: Patients who were newly prescribed oral anticancer medications in Queen Elizabeth Hospital were referred to the pharmacist medication compliance clinic. Interventions made by oncology pharmacist in 2013 were documented in this prospective audit. Details of interventions were recorded into an electronic database. These interventions were then classified according to the nature of problem, cause, type of intervention and outcome using Pharmaceutical Care Network Europe (PCNE) Classification scheme for DRPs. RESULTS: A total of 379 patients attended the clinic in 2013, with 185 interventions recorded. Majority of DRPs were related to patients failing to use drug properly, and 95% could be solved by the pharmacist at patient level. Top three causes were inappropriate timing of administration and/or dosing intervals (43%), followed by drug under administered/not administered at all (21%) and patient unable to use drug or form as directed (5.9%). Capecitabine was generally failed to be taken after meals or every twelve hours. Drug interactions between tyrosine-kinase inhibitors and gastric acid inhibitors were also identified. 84% of the DRPs were rated as significant or above in which three of them were regarded as serious. Safe handling education was provided to five patients with swallowing difficulties. Request for additional supportive care medications were made by 31 patients. CONCLUSION: With pharmacist counselling, patients can be better educated to be responsible for managing their oral anticancer therapy in terms of administration, side effect management and drug interaction management. Supportive care medication prescribing can be a potential area for future development.</t>
  </si>
  <si>
    <t>(Cheng G.M.Y.; Wong L.K.M.; Mak T.C.Y.; Law K.K.M.; Leung W.Y.S.) (Yiu H.H.Y.) 2015 Annual Meeting of the American College of Clinical Pharmacy, ACCP 2015 San Francisco, CA, United States 2015-10-17 to 2015-10-21 Pharmacotherapy Publications Inc.; ID: 794</t>
  </si>
  <si>
    <t>Chernushkin,Kseniya;Loewen,Peter;de Lemos,Jane;Aulakh,Amneet;Jung,Joanne;Dahri,Karen</t>
  </si>
  <si>
    <t>Evolution in Pharmacy Education: Developing Effective Patient Care Practitioners</t>
  </si>
  <si>
    <t>264 7p</t>
  </si>
  <si>
    <t>Pharmacy and Pharmacology;Medical Practice;Pharmacists;Serial Publications</t>
  </si>
  <si>
    <t>Background: Hospital pharmacists participate in activities that may be considered diagnostic. Two reasoning approaches to diagnosis have been described: non-analytic and analytic. Of the 6 analytic traditions, the probabilistic tradition has been shown to improve diagnostic accuracy and reduce unnecessary testing. To the authors' knowledge, pharmacists' attitudes toward having a diagnostic role and their diagnostic knowledge and skills have never been studied. Objectives: To describe pharmacists' attitudes toward the role of diagnosis in pharmacotherapeutic problem-solving and to characterize the extent of pharmacists' knowledge and skills related to diagnostic literacy. Methods: Pharmacists working within Lower Mainland Pharmacy Services (British Columbia) who spent at least 33% of their time in direct patient care were invited to participate in a prospective observational survey. The survey sought information about demographic characteristics and attitudes toward diagnosis. Diagnostic knowledge and skills were tested by means of 3 case scenarios. The analysis included simple descriptive statistics and inferential statistics to evaluate relationships between responses and experience and training. Results: Of 266 pharmacists invited to participate, 94 responded. The attitudes section of the survey was completed by 90 pharmacists; of these, 80 (89%) agreed with the definition of 'diagnosis' proposed in the survey, and 83 (92%) agreed that it is important for pharmacists to have diagnosis-related skills. Respondents preferred an analytic to a nonanalytic approach to diagnostic decision-making. The probabilistic tradition was not the preferred method in any of the 3 cases. In evaluating 5 clinical scenarios that might require diagnostic skills, on average 84% of respondents agreed that they should be involved in assessing such problems. Respondents' knowledge of and ability to apply probabilistic diagnostic tools were highest for test sensitivity (average of 61% of respondents with the correct answers) and lower for test specificity (average of 48% with correct answers) and likelihood ratios (average of 39% with correct answers). Conclusions: Respondents to this survey strongly believed that diagnostic skills were important for solving drug related problems, but they demonstrated low levels of knowledge and ability to apply concepts of probabilistic diagnostic reasoning. Opportunities to expand pharmacists' knowledge of diagnostic reasoning exist, and the findings reported here indicate that pharmacists would consider such professional development valuable.</t>
  </si>
  <si>
    <t>Entry Date: 20121214. Revision Date: 20150712. Publication Type: Journal Article; editorial. Journal Subset: Biomedical; Canada. NLM UID: 0215645. PMID: 22919101.; ID: 1892</t>
  </si>
  <si>
    <t>http://proxy.lib.umich.edu/login?url=http://search.ebscohost.com/login.aspx?direct=true&amp;db=ccm&amp;AN=108105435&amp;site=ehost-live&amp;scope=site</t>
  </si>
  <si>
    <t>ccm; EBSCOhost; Evolution in Pharmacy Education: Developing Effective Patient Care Practitioners</t>
  </si>
  <si>
    <t>Cheung,K.;Chan,C. C.;Yim,T. K.;Author,Addresses;Department of Pharmacy, United,Christian Hospital;Hong Kong,Hong Kong;Department of,Medicine;Geriatrics,United Christian Hospital;Hong Kong,Hong Kong;Correspondence,Address;Cheung, Department of Pharmacy United Christian Hospital Hong Kong,K.;Hong,Kong</t>
  </si>
  <si>
    <t>Pharmacist-led medication review for elderly with fall-related admissions in Hong Kong</t>
  </si>
  <si>
    <t>e246</t>
  </si>
  <si>
    <t>e247</t>
  </si>
  <si>
    <t>cholinergic receptor blocking agent;psychotropic agent;aged;American;clinical pharmacy;college;drug therapy;Hong Kong;human;pharmacist;adverse drug reaction;fall risk;geriatric patient;geriatrician;hip fracture;hospital;interview;medication therapy management;patient;physician;polypharmacy;prevention</t>
  </si>
  <si>
    <t>PURPOSE: Certain medications, e.g. psychoactive drugs, and polypharmacy have been shown to increase fall risk in the elderly. This paper aims at describing the development, delivery, and preliminary outcomes of pharmacist-led medication review as part of a multidisciplinary fall assessment and prevention program for elderly in an acute hospital in Hong Kong. METHODS: Two clinical pharmacists have become members of a multidisciplinary fall assessment team since October 2014. A list of fall-risk increasing drugs (FRID) was compiled based on literature review. A pharmacist fall assessment form was then developed to address four medication-related fall risks, namely, (1) use of FRID, (2) anticholinergic burden, (3) polypharmacy and (4) medication nonadherence. A senior geriatrician referred elderly patients admitted for falls with or without hip fracture to clinical pharmacists for medication review. Clinical pharmacists then provided bedside patient interview for medication reconciliation, assessment of patients' medication-related fall risks, and identification of adverse drug reactions and other drug-related problems. When appropriate, clinical pharmacists provided recommendations on optimizing patients' drug regimen directly to physicians. RESULTS: Between October and December 2014, clinical pharmacists interviewed 133 patients and made 36 interventions that were all accepted by physicians. Nature of these interventions and their relative frequencies were summarized as below: (Table presented) CONCLUSION: Pharmacists can play an important role in minimizing medication-related fall risks and managing various drugrelated problems through comprehensive medication review for geriatric patients admitted for falls.</t>
  </si>
  <si>
    <t>(Cheung K.; Chan C.C.) (Yim T.K.) 2015 Annual Meeting of the American College of Clinical Pharmacy, ACCP 2015 San Francisco, CA, United States 2015-10-17 to 2015-10-21 Pharmacotherapy Publications Inc.; ID: 797</t>
  </si>
  <si>
    <t>Chi,J.;Author,Addresses</t>
  </si>
  <si>
    <t>Here's help for pharmacists who are making community presentations</t>
  </si>
  <si>
    <t>consumer;pharmacist;teaching;community program;drug misuse;drug safety;public speaking;short survey;social work;Public Health, Social Medicine and Epidemiology (17);Health Policy, Economics and Management (36)</t>
  </si>
  <si>
    <t>(Chi J.) Advanstar Communications, One Park Avenue, New York, United States.; ID: 1468</t>
  </si>
  <si>
    <t>Child,D.</t>
  </si>
  <si>
    <t>Professional issues. Hospital nurses' perceptions of pharmacist prescribing</t>
  </si>
  <si>
    <t>British Journal of Nursing</t>
  </si>
  <si>
    <t>54 7p</t>
  </si>
  <si>
    <t>Nurse Attitudes;Pharmacists;Prescriptive Authority;Questionnaires;Mail;Pilot Studies;Descriptive Statistics;Academic Medical Centers;Qualitative Studies;United Kingdom;Human</t>
  </si>
  <si>
    <t>The final report from the Crown review team was published in March 1999. It proposed that new groups of healthcare professionals should be permitted to prescribe medicines. Most of the recent progress has centred on the extension of community nurse prescribing. However, changes have also been proposed to prescribing practices within the hospital setting to include nurses, pharmacists, and other healthcare professionals. This study is an initial piece of work examining hospital nurses' perceptions of pharmacist prescribing to identify if there are issues that warrant further investigation. Postal questionnaires, seeking responses to statements describing pharmacists writing prescriptions for drug treatment, were sent to 200 nurses at five NHS teaching hospitals in Birmingham. Completed questionnaires were received from 115 nurses (a response rate of 57.5%). Fifty-four respondents added comments to the questionnaire, giving some insight into their responses to the statements on pharmacist prescription-writing and prescribing. These comments indicated five key issues that may warrant further investigation: (1) pharmacists' knowledge of the patient (2) doctors losing the opportunity to review drug treatment (3) potential communication problems (4) pharmacists' workload, and (5) legal and professional accountability.</t>
  </si>
  <si>
    <t>Entry Date: 20010921. Revision Date: 20150820. Publication Type: Journal Article; research; tables/charts. Journal Subset: Core Nursing; Double Blind Peer Reviewed; Editorial Board Reviewed; Europe; Expert Peer Reviewed; Nursing; Peer Reviewed; UK &amp; Ireland. NLM UID: 9212059. PMID: 12170485.; ID: 2008</t>
  </si>
  <si>
    <t>0966-0461</t>
  </si>
  <si>
    <t>Principal Pharmacist, Clinical Services, South Manchester University Hospitals NHS Trust</t>
  </si>
  <si>
    <t>http://proxy.lib.umich.edu/login?url=http://search.ebscohost.com/login.aspx?direct=true&amp;db=ccm&amp;AN=107052771&amp;site=ehost-live&amp;scope=site</t>
  </si>
  <si>
    <t>ccm; EBSCOhost; Professional issues. Hospital nurses' perceptions of pharmacist prescribing</t>
  </si>
  <si>
    <t>Hospital nurses' perceptions of pharmacist prescribing</t>
  </si>
  <si>
    <t>Jan 11-24</t>
  </si>
  <si>
    <t>*Attitude of Health Personnel;*Drug Prescriptions/st Standards];England;Hospitals, Teaching;Humans;Nurse's Role;*Nursing Staff, Hospital/px Psychology];Patient Care Team/og Organization &amp; Administration];Pharmacists/lj Legislation &amp; Jurisprudence];*Pharmacists/st Standards];Pharmacy Service, Hospital;Professional Autonomy;Professional Competence/st Standards];*Professional Role;State Medicine;Surveys and Questionnaires</t>
  </si>
  <si>
    <t>J2: Br J Nurs; Child, D; ID: 523</t>
  </si>
  <si>
    <t>Child,D. Clinical Services, South Manchester University Hospitals NHS Trust, School of Pharmacy and Pharmaceutical Sciences, University of Manchester.</t>
  </si>
  <si>
    <t>http://ovidsp.ovid.com/ovidweb.cgi?T=JS&amp;CSC=Y&amp;NEWS=N&amp;PAGE=fulltext&amp;D=med4&amp;AN=12170485</t>
  </si>
  <si>
    <t>MEDLINE; Ovid Technologies; Hospital nurses' perceptions of pharmacist prescribing</t>
  </si>
  <si>
    <t>Chopra,S.;Krishnaswamy,S.;Saeed,M.;Donnelly,K.;Hyatt,J.;Author,Addresses;Department,of;Vetarans Affairs, Western New York Health Care System,Buffalo United;States;Correspondence,Address;Chopra, Department of Vetarans Affairs Western New York Health Care,S.;System,Buffalo United States</t>
  </si>
  <si>
    <t>Evaluation of cognitive function in Operation Enduring Freedom (OEF) and Operation Iraqi Freedom (OIF) veterans prior to and following treatment for Post Traumatic Stress Disorder (PTSD)</t>
  </si>
  <si>
    <t>cognition;college;human;pharmacist;posttraumatic stress disorder;veteran;alcohol consumption;alcohol use disorder;analysis of variance;anxiety;army;Beck Depression Inventory;bipolar disorder;checklist;cognitive defect;correlation coefficient;diagnosis;drug therapy;function test;headache;independent variable;injury;Kruskal Wallis test;learning;memory;methodology;migraine;mood change;neurologic disease;nightmare;patient;schizophrenia;startle reflex;traumatic brain injury</t>
  </si>
  <si>
    <t>Background: PTSD symptoms include isolation, avoidance, exaggerated startle response, flashbacks, nightmares, and cognitive impairment: poor memory, attention and learning. Incidence of PTSD in OEF/OIF Veterans ranges from 9-25%. Traumatic brain injury (TBI), where cognitive dysfunction is also seen, has been called the Œì√á¬£signature injuryŒì√á¬•of OEF/OIF Veterans, and PTSD is commonly seen in Veterans with mild TBI (MTBI). While symptoms of MTBI usually dissipate within a few months, cognitive impairment can persist. Since MTBI should resolve on its own, it follows that in patients with both diagnoses, persistent symptoms of cognitive dysfunction may improve when PTSD symptoms improve negating the need for additional treatment for cognitive symptoms. Objectives: 1.Determine whether there is a correlation between changes in PTSD symptoms and changes in cognitive function. 2.Compare performance on cognitive tests in Veterans with PTSD (group A) verses Veterans with PTSD and MTBI (group B) when treated for symptoms of PTSD Methodology: This study will include 50 OEF/OIF Veterans between 18 and 30 years of age with baseline scores below the normal range on at least one cognitive function test. Exclusion criteria include: previous treatment for PTSD, moderate to severe TBI, comorbid diagnoses of schizophrenia, bipolar disorder, or neurologic disorder other than migraine headache, colorblindness and use of medications that may alter cognitive function. Subjects will be evaluated at baseline and 3 months for: PTSD symptoms using the PTSD Checklist-Military version (PCL-M), cognitive function using 7 cognitive function tests, mood changes using Beck Depression Inventory-2 (BDI-2) and Beck Anxiety Index (BAI), and alcohol consumption using the Alcohol Use Disorders Identification Test. Medications used to treat PTSD will be assessed (by class). Spearman Correlation Coefficient will be used to evaluate the relationship between changes in PTSD symptoms scores and cognitive function test scores. Kruskal-Wallis test will be used to determine differences in changes in cognitive function between the two groups. Significance will be accepted at p &lt; 0.05. ANOVA will be used to evaluate nominal data for other independent variables associated with changes in cognitive scores including percent change from baseline in PCL-M, BDI-2, BAI, alcohol use, and medications used to treat PTSD.</t>
  </si>
  <si>
    <t>(Chopra S.; Krishnaswamy S.; Saeed M.; Donnelly K.; Hyatt J.) 15th Annual Meeting of the College of Psychiatric and Neurologic Pharmacists, CPNP 2012 Tampa, FL, United States 2012-04-29 to 2012-05-02 SAGE Publications Inc.; ID: 1168</t>
  </si>
  <si>
    <t>Christensen,D. B.;Hansen,R. W.</t>
  </si>
  <si>
    <t>Characteristics of pharmacies and pharmacists associated with the provision of cognitive services in the community setting</t>
  </si>
  <si>
    <t>Medicaid;*Patient Education as Topic/sn Statistics &amp; Numerical Data];*Pharmacies/sn Statistics &amp; Numerical Data];*Pharmacists/sn Statistics &amp; Numerical Data];United States;Washington</t>
  </si>
  <si>
    <t>OBJECTIVE: To determine the influence of payment, pharmacy setting characteristics, pharmacist demographics, practice setting, and attitudinal characteristics on whether cognitive services (CS) were performed by pharmacists, and the volume of CS performed. DESIGN: Prospective randomized trial. Community pharmacies were randomized to a documentation-and-payment group (study group) and a documentation-only group (control). Participating pharmacies and pharmacists were surveyed by mail, and responses were linked to a documented CS database. SETTING: Community pharmacies serving ambulatory Medicaid patients in the state of Washington, excluding health maintenance organization pharmacies and pharmacies predominantly serving long-term care residents. PARTICIPANTS: 200 community pharmacies and their pharmacists (110 study, 90 control) participating in the Washington State Cognitive Activities and Reimbursement Effectiveness (CARE) Project. INTERVENTION: Payment for CS. All participants documented CS. Study group pharmacies billed Medicaid for services performed in identifying and resolving drug therapy-related problems. MAIN OUTCOME MEASURE: Documentation of CS. RESULTS: Documentation of CS was more likely if the pharmacist was an owner or manager, if documentation was not perceived as burdensome, and if the pharmacy had a low ratio of prescription to total sales. Higher documentation rates were associated with study group status, lower pharmacy prescription volume as a percentage of total sales, and a higher percentage of prescriptions billed to Medicaid. Among pharmacists, two setting variables--medical center location and rural location--were associated with higher documentation rates. CONCLUSION: Performance of CS was strongly affected by payment and other situational factors, including practice setting and volume of prescriptions dispensed. Pharmacies and pharmacists were also more likely to perform CS if the target patient population represented a relatively large percentage of that pharmacy's patient clientele.</t>
  </si>
  <si>
    <t>J2: J Am Pharm Assoc (Wash); Christensen, D B Hansen, R W; ID: 561</t>
  </si>
  <si>
    <t>Christensen,D B. Division of Pharmaceutical Policy and Evaluative Sciences, School of Pharmacy, University of North Carolina, Chapel Hill 27599-7360, USA. dale_christensen@unc.edu</t>
  </si>
  <si>
    <t>http://ovidsp.ovid.com/ovidweb.cgi?T=JS&amp;CSC=Y&amp;NEWS=N&amp;PAGE=fulltext&amp;D=med4&amp;AN=10533345</t>
  </si>
  <si>
    <t>MEDLINE; Ovid Technologies; Characteristics of pharmacies and pharmacists associated with the provision of cognitive services in the community setting</t>
  </si>
  <si>
    <t>Christensen,D. B.;Holmes,G.;Fassett,W. E.;Neil,N.;Andrilla,C. H.;Smith,D. H.;Andrews,A.;Bell,E. J.;Hansen,R. W.;Shafer,R.;Stergachis,A.</t>
  </si>
  <si>
    <t>Influence of a financial incentive on cognitive services: CARE project design/implementation</t>
  </si>
  <si>
    <t>Double-Blind Method;Humans;*Medicaid/ec Economics];*Patient Education as Topic/ec Economics];Pharmacies;Prospective Studies;*Reimbursement, Incentive/ec Economics];United States;Washington</t>
  </si>
  <si>
    <t>OBJECTIVE: To describe the design and methods of the Washington State Cognitive Activities and Reimbursement Effectiveness (CARE) Project, a demonstration project in which community pharmacies were paid for cognitive services (CS) provided to Medicaid patients, its evaluation objectives, and the extent to which implementation objectives were achieved. DESIGN: Prospective randomized trial. Community pharmacies were allocated to a documentation-and-payment group, documentation-only group, and "silent" control group. CS were reported using a problem-intervention-result classification system embedded within a pseudo-National Drug Code format. Management strategies included use of area coordinators. SETTING: Pharmacies serving ambulatory Medicaid patients in the state of Washington, excluding staff-model health maintenance organization pharmacies and pharmacies predominantly serving long-term-care residents. PARTICIPANTS: 200 community pharmacies (110 treatment; 90 control), with another 100 randomly selected pharmacies as a silent control group. INTERVENTIONS: A modest monthly stipend. The treatment group billed Medicaid for each documented CS associated with a drug therapy-related problem. All participants received training in documentation methods. A unique coding scheme allowed documentation of CS within the constraints of the Medicaid program. Data edit checks and feedback were used to ensure data quality and completeness. Area coordinators were used to facilitate training, compliance with study procedures, and participation. MAIN OUTCOME MEASURES: Participation rates, documentation rates, coding scheme revision, data quality and completeness rates, and effectiveness of area coordinators. RESULTS: Pharmacists documented more than 20,240 CS records. Approximately 89% of records passed edit checks, and 94% did so after modification. Nearly 83% could be linked to a paid drug or CS claim. The coding system was sufficient, with minor modifications, to account for all interventions documented. Area coordinators did not function as expected. CONCLUSION: A system for documentation and payment of pharmacists' CS to Medicaid recipients was implemented successfully and relatively easily in community pharmacies.</t>
  </si>
  <si>
    <t>J2: J Am Pharm Assoc (Wash); Christensen, D B Holmes, G Fassett, W E Neil, N Andrilla, C H Smith, D H Andrews, A Bell, E J Hansen, R W Shafer, R Stergachis, A; ID: 562</t>
  </si>
  <si>
    <t>Christensen,D B. Department of Pharmacy, School of Pharmacy, University of Washington, Seattle, USA. dale_christensen@unc.edu</t>
  </si>
  <si>
    <t>http://ovidsp.ovid.com/ovidweb.cgi?T=JS&amp;CSC=Y&amp;NEWS=N&amp;PAGE=fulltext&amp;D=med4&amp;AN=10533344</t>
  </si>
  <si>
    <t>MEDLINE; Ovid Technologies; Influence of a financial incentive on cognitive services: CARE project design/implementation</t>
  </si>
  <si>
    <t>Christensen,D. B.;Roth,M.;Trygstad,T.;Byrd,J.</t>
  </si>
  <si>
    <t>Evaluation of a pilot medication therapy management project within the North Carolina State Health Plan</t>
  </si>
  <si>
    <t>Adult;Aged;Community Pharmacy Services/ec Economics];*Community Pharmacy Services;Disease Management;Drug-Related Side Effects and Adverse Reactions;Humans;Medicare/lj Legislation &amp; Jurisprudence];Middle Aged;North Carolina;Patient Satisfaction;Pharmacies;Pharmacists;Pilot Projects;Professional Role;Research Design;*State Health Plans;United States</t>
  </si>
  <si>
    <t>OBJECTIVE: To assess the feasibility of a pharmacist-based medication therapy management (MTM) service for North Carolina State Health Plan enrollees. DESIGN: Before/after design with two control groups. SETTING: Community pharmacies and an ambulatory care clinic in North Carolina serving patients from October 2004 to March 2005. PARTICIPANTS: 67 patients who used a large number of prescription drugs, 10 community/ambulatory care pharmacists, and more than 600 participants from two control groups. INTERVENTIONS: Pharmacist-conducted MTM reviews for volunteering patients. MAIN OUTCOME MEASURES: Process measures (type and frequency of drug therapy problems detected and services performed), economic measures (number and cost of medications dispensed), and humanistic measures (patient satisfaction with services). RESULTS: Pharmacists identified an average of 3.6 potential drug therapy problems (PDTPs) per patient at the first visit. The most common PDTP categories were "potential underuse" and "more cost-effective drug available." Pharmacist actions were divided nearly equally between activities that would result in increased and decreased drug use. Pharmacists recommended a drug therapy change in about 50% of patients and contacted the prescriber more than 85% of the time. About 50% of patients with PDTPs had a change in drug therapy. Prescription use during the postintervention period decreased in both the study and control groups but was statistically significant only among the control groups. No significant differences were observed in patient co-payment or insurer prescription costs. Pharmacists provided the following educational services: medication use (90%), disease management (88%), adherence, and self-care (60%). Survey results indicated that patients highly valued the service. CONCLUSION: A voluntary MTM program targeted at ambulatory patients using a large number of medications reduced the number of PDTPs but did not necessarily result in reductions in prescription drug use or cost. Nearly all patients received some form of medication adherence or disease education associated with problem detection and resolution. Patient satisfaction levels with the service were very high.</t>
  </si>
  <si>
    <t>J2: J Am Pharm Assoc (2003); Christensen, Dale B Roth, Mary Trygstad, Troy Byrd, John; ID: 388</t>
  </si>
  <si>
    <t>Christensen,Dale B. Division of Pharmaceutical Outcomes and Policy, School of Pharmacy, University of North Carolina, Chapel Hill, NC 27599-7360, USA. dalechristensen@whidbey.com</t>
  </si>
  <si>
    <t>http://ovidsp.ovid.com/ovidweb.cgi?T=JS&amp;CSC=Y&amp;NEWS=N&amp;PAGE=fulltext&amp;D=med5&amp;AN=17616493</t>
  </si>
  <si>
    <t>MEDLINE; Ovid Technologies; Evaluation of a pilot medication therapy management project within the North Carolina State Health Plan</t>
  </si>
  <si>
    <t>Christensen,J. M.;Smith,B. B.;Murdane,S. B.;Hollingshead,N.</t>
  </si>
  <si>
    <t>The disposition of five therapeutically important antimicrobial agents in llamas</t>
  </si>
  <si>
    <t>Journal of Veterinary Pharmacology &amp; Therapeutics</t>
  </si>
  <si>
    <t>Ampicillin/ad Administration &amp; Dosage];Ampicillin/bl Blood];Ampicillin/me Metabolism];Ampicillin/pk Pharmacokinetics];Animals;Anti-Bacterial Agents/ad Administration &amp; Dosage];Anti-Bacterial Agents/bl Blood];Anti-Bacterial Agents/me Metabolism];*Anti-Bacterial Agents/pk Pharmacokinetics];Anti-Infective Agents/ad Administration &amp; Dosage];Anti-Infective Agents/bl Blood];Anti-Infective Agents/me Metabolism];*Anti-Infective Agents/pk Pharmacokinetics];Biological Availability;Camelids, New World;Cephalosporins/ad Administration &amp; Dosage];Cephalosporins/bl Blood];Cephalosporins/me Metabolism];Cephalosporins/pk Pharmacokinetics];Chromatography, High Pressure Liquid/ve Veterinary];Dose-Response Relationship, Drug;Drug Overdose;Drug Residues/me Metabolism];*Drug Residues/pk Pharmacokinetics];*Fluoroquinolones;Half-Life;Injections, Intravenous/ve Veterinary];Male;Penicillins/ad Administration &amp; Dosage];Penicillins/bl Blood];Penicillins/me Metabolism];*Penicillins/pk Pharmacokinetics];Quinolones/ad Administration &amp; Dosage];Quinolones/bl Blood];Quinolones/me Metabolism];Quinolones/pk Pharmacokinetics];Software;Sulfamethoxazole/ad Administration &amp; Dosage];Sulfamethoxazole/bl Blood];Sulfamethoxazole/me Metabolism];Sulfamethoxazole/pk Pharmacokinetics];Tissue Distribution;Tobramycin/ad Administration &amp; Dosage];Tobramycin/bl Blood];Tobramycin/me Metabolism];Tobramycin/pk Pharmacokinetics];Trimethoprim/ad Administration &amp; Dosage];Trimethoprim/bl Blood];Trimethoprim/me Metabolism];Trimethoprim/pk Pharmacokinetics];0 (Anti-Bacterial Agents);0 (Anti-Infective Agents);0 (Cephalosporins);0 (Fluoroquinolones);0 (Penicillins);0 (Quinolones);3DX3XEK1BN (enrofloxacin);7C782967RD (Ampicillin);83JL932I1C (ceftiofur);AN164J8Y0X (Trimethoprim);JE42381TNV (Sulfamethoxazole);VZ8RRZ51VK (Tobramycin)</t>
  </si>
  <si>
    <t>The disposition of five therapeutic antimicrobial agents was studied in llamas (Lama glama) following intravenous bolus administration. Six llamas were each given ampicillin, tobramycin, trimethoprim, sulfamethoxazole, enrofloxacin and ceftiofur at a dose of 12 mg/kg, 1 mg/kg, 3 mg/kg, 15 mg/kg, 5 mg/kg, and 2.2 mg/kg of body weight, respectively, with a wash out period of at least 3 days between treatments. Plasma concentrations of these antimicrobial agents over 12 h following i.v. bolus dosing were determined by reverse phase HPLC. Disposition of the five antimicrobial agents was described by a two compartment open model with elimination from the central compartment, and also by non-compartmental methods. From compartmental analysis, the elimination rate constant, half-life, and apparent volume of distribution in the central compartment were determined. Statistical moment theory was used to determine noncompartmental pharmacokinetic parameters of mean residence time, clearance, and volume of distribution at steady state. Based on the disposition parameters determined, and stated assumptions of likely effective minimum inhibitory concentrations (MIC) a dose and dosing interval for each of five antimicrobial agents were suggested as 6 mg/kg every 12 h for ampicillin; 4 mg/kg once a day or 0.75 mg/kg every 8 h for tobramycin; 3.0 mg/kg/15 mg/kg every 12 h for trimethoprim/sulfamethoxazole; 5 mg/kg every 12 h for enrofloxacin; and 2.2 mg/kg every 12 h for ceftiofur sodium for llamas. Steady-state peak and trough plasma concentrations were also predicted for the drugs in this study for llamas.</t>
  </si>
  <si>
    <t>J2: J Vet Pharmacol Ther; Christensen, J M Smith, B B Murdane, S B Hollingshead, N; ID: 613</t>
  </si>
  <si>
    <t>0140-7783</t>
  </si>
  <si>
    <t>Christensen,J M. College of Pharmacy, Oregon State University, Corvallis 97331-3507, USA.</t>
  </si>
  <si>
    <t>http://ovidsp.ovid.com/ovidweb.cgi?T=JS&amp;CSC=Y&amp;NEWS=N&amp;PAGE=fulltext&amp;D=med4&amp;AN=8971671</t>
  </si>
  <si>
    <t>MEDLINE; Ovid Technologies; The disposition of five therapeutically important antimicrobial agents in llamas</t>
  </si>
  <si>
    <t>Christensen,S. T.;Bjerrum,O. J.;Author,Addresses;Department,of Pharmacology;Pharmacotherapy,Faculty of Pharmaceutical Sciences University of;Copenhagen,Denmark;Correspondence,Address;ST Christensen,Department,of Pharmacology;Pharmacotherapy,Faculty of;Pharmaceutical Sciences, University of,Copenhagen Denmark</t>
  </si>
  <si>
    <t>Fast detection of adverse drug reactions of new drugs by community pharmacists</t>
  </si>
  <si>
    <t>Drug Safety</t>
  </si>
  <si>
    <t>(MAJOR FOCUS);new drug;liraglutide;adverse drug reaction;community;drug surveillance program;pharmacist;society;cohort analysis;custodial care;decreased appetite;Denmark;diabetes mellitus;diarrhea;dizziness;documentation;feasibility study;hypothesis;monitoring;nausea;occupation;patient;pharmacy;pharmacy student;prescription;public health;safety;semi structured interview;skill;student;vein</t>
  </si>
  <si>
    <t>Introduction: Pharmacists have been recognised as having an important role in pharmacovigilance.1] In that vein pharmacists in several countries are encouraged to submit spontaneous reports of suspected adverse drug reactions (ADR) to national health authorities. Likewise community pharmacists i.e. have participated in prescription event monitoring studies as intermediates.2] The pro-active role of community pharmacists in pharmacovigilance based on face-to-face questioning of medicine users is yet a source for safety data and it has not developed into its' full potential. Being a profession increasingly engaged in customer centred care - i.e. detection, management and documentation of drug related problems - community pharmacists are in a unique position for detecting user experienced ADR. A feasibility study conducted in Denmark in 2009 revealed that the face-to-face questioning of medicine users about ADR in relation to drug dispensing constitutes a valid approach in detection of ADR.(3]) Objective: The study reports from an ongoing study of the newly launched anti-diabetic drug Victoza‚î¨¬´ and seeks to document ADR experienced by recurrent ordinary users through face-to-face questioning upon drug dispensing. Methods: Pharmacy students undertaking regular internship at a community pharmacy - 8(th) semester - were approached as proxies for community pharmacists. On top of course work on patient centred drug management students attended a training seminar focusing on questioning medicine users in order to elucidate and achieve precise descriptions of experienced ADR. Recurrent users of Victoza‚î¨¬´ are asked about any experienced ADR. ADR are detected and reported through a semi-structured interview guide/algorithm. Results: Within 2months 14 students have approached 38 users of which 22 reported possible experienced ADR linked to Victoza‚î¨¬´. 17 reports contain information on users initially experiencing nausea and generally reported to disappear within the first couple of weeks of treatment. Further diarrhoea, decreased appetite and dizziness have been reported. Discussion: The collected ADR are all described in the summary product characteristics of Victoza‚î¨¬´.(4]) The results support the hypothesis that community pharmacists' may prove a valuable contribution in the process of signal generation of new drugs. Community pharmacy based pharmacovigilance is a low cost tool relying on existing skills among pharmacists. Due to the frequent contact with medicine users the approach has a wide range reaching possibly all users in the society. With educated pharmacists the approach may prove useful in all types of community pharmacy settings and may take the form as regular cohort studies or as part of intensive monitoring.</t>
  </si>
  <si>
    <t>(Christensen S.T.; Bjerrum O.J.) 10th Annual Meeting of the International Society of Pharmacovigilance, ISoP 'Pharmacovigilance in the Global Village' Accra, Ghana 2010-11-03 to 2010-11-06 Adis International Ltd; ID: 1334</t>
  </si>
  <si>
    <t>Chu,H. E.;Jeong,C. R.;Kim,M. G.;Kim,J. H.;Han,N. Y.;Oh,J. M.;Author,Addresses;College,of Pharmacy;University,Seoul South Korea;Department of Pharmacy, Asan Medical Center,Seoul South;Korea;Clinical Pharmacy, College of Pharmacy,Seoul National;University,Seoul South Korea;Correspondence,Address;HE Chu, College of Pharmacy Seoul National University,Seoul South;Korea</t>
  </si>
  <si>
    <t>Significance of clinical pharmacists' drug-related interventions for patients with hematologic malignancies</t>
  </si>
  <si>
    <t>e284</t>
  </si>
  <si>
    <t>analgesic agent;antiemetic agent;antifungal agent;antineoplastic agent;antivirus agent;American;clinical pharmacy;college;hematologic malignancy;human;patient;pharmacist;classification;constipation;drug therapy;Europe;pharmaceutical care;risk;safety;therapy</t>
  </si>
  <si>
    <t>BACKGROUND: Patients with hematologic malignancies are given intricate medication therapy, resulting increase the risk of drug-related problems (DRPs). For this reason, pharmacists have implemented drug-related intervention (DRI) services to resolve DRPs. However, no study has been performed about the significance of DRI by clinical pharmacists. PURPOSE: The purpose of this study was to evaluate the number of DRI service performed by clinical pharmacist and clinical significance of DRIs was presented to evaluate the value of service for patients with hematologic malignancies. METHODS: DRIs, performed by clinical pharmacists since May 2008 until August 2013, were classified according to Pharamceutical Care Network Europe classification, and the frequencies were analyzed using the WHO/ATC codes as follows: antineoplastic agents and supportive care agents including antiemetics, constipation medicines, antibacterials, antifungals, antivirals, and analgesics. Clinical significance of DRI was evaluated by 3 pharmacists using six-point scale and proportion of reflection was classified by medication class. RESULTS: Among 1159 DRIs performed during the study period, 91(6.5%) was related to antineoplastic agents and 823 (59.2%) to for supportive care medications. The Œì√á¬£Treatment effectivenessŒì√á¬• was the most part (53.2%) and the most frequent problem/cause category was Œì√á¬£Effect of drug treatment not optimalŒì√á¬•/Œì√á¬£ Inappropriate timing of administration and/or dosing intervalŒì√á¬•. Most interventions were shown to be significant (79.4%) and 31.9% of antineoplastic agents DRIs were very significant. Therefore, overall acceptance rate of DRI was 84.5% and proportion of reflection in all medication classes was generally higher. CONCLUSION: Clinical pharmacists implemented various DRIs concerning effectiveness, safety and costs, highly related to medications for supportive care. It is demonstrated the possibility of clinical pharmacists' interventions to improve clinical and economic outcomes. The result of this study can contribute to improve quality and process of pharmaceutical care services for patients with hematologic malignancies.</t>
  </si>
  <si>
    <t>(Chu H.E.; Kim M.G.; Kim J.H.) (Jeong C.R.) (Han N.Y.; Oh J.M.) 2014 Annual Meeting of the American College of Clinical Pharmacy, ACCP 2014 Austin, TX, United States 2014-10-12 to 2014-10-15 Pharmacotherapy Publications Inc.; ID: 885</t>
  </si>
  <si>
    <t>Chu,L. L.;Lin,H. C.;Huang,H. Y.;Chan,A. L.;Author,Addresses;Chimei,Medical Center;Chi Mei,Medical Center;Correspondence,Address;LL Chu, Chimei Medical Center,Tainan Taiwan</t>
  </si>
  <si>
    <t>Outcome of pharmacist intervention in education of patients on duplicate prescriping hypnotic-sedatives</t>
  </si>
  <si>
    <t>Value in Health</t>
  </si>
  <si>
    <t>A560</t>
  </si>
  <si>
    <t>(MAJOR FOCUS);hypnotic sedative agent;alprazolam;brotizolam;fludiazepam;flunitrazepam;hypnotic agent;sedative agent;zolpidem;Asia;education;human;patient;pharmacist;adult;anxiety;cohort analysis;data base;drug abuse;drug cost;female;hospital;insomnia;lifestyle;physician;prescription;questionnaire;tablet;Taiwan</t>
  </si>
  <si>
    <t>OBJECTIVES: The inappropriate uses of hypnotic-sedatives will likely cause drug abuse. It has been known that patients visit different hospitals back and forth to get a duplicate prescription of hypnotic-sedatives. The purpose of this study is to explore the decrease of refill frequency of prescribing sedative-hypnotics and drug cost. METHODS: This is a cohort study. Adult patients, who were prescribed two or more than two sedative-hypnotics with same pharmacological mechanism over a week by different physicians, will be retrieved from the claim database of a medical center in southern Taiwan. The retrieved patients were received a questionnaire to evaluate their knowledge about the appropriate use of hypnotic-sedatives before clinical pharmacists provided patients with education for appropriate use of hypnotic-sedatives. The primary outcome was the reduction of total consumption on hypnotic-sedatives and drug cost before and after pharmacist education. RESULTS: A total of 100 patients were included in this study. The results showed that about 62.8% of patients with duplicate use of hypnotic-sedatives were female and 59.1% of patients aged (3)50 years. Their chief complains was insomnia and/or anxiety which cannot be relieved by taking only one hypnotic-sedatives. The most frequently prescribed drugs in their duplicate prescription were zolpidem (30.45%), Fludiazepam (22.34%), Alprazolam (14.9%), Flunitrazepam (8.45%), and Brotizolam (7.93%). The average total consumption on hypnotic-sedatives per day for each patient was decreased from 1.68 to 1.33 tablets. The monthly hypnotic-sedatives costs were reduced form NT$ 21,000 to NT $ 15,600. CONCLUSIONS: Pharmacist education on the appropriate use of hypnotic-sedatives and lifestyle management is likely to reduce the total consumption on hypnotic-sedatives and save drug costs.</t>
  </si>
  <si>
    <t>(Chu L.L.; Lin H.C.; Huang H.Y.) (Chan A.L.) ISPOR 4th Asia-Pacific Conference Phuket, Thailand 2010-09-05 to 2010-09-07 Elsevier Ltd; ID: 1325</t>
  </si>
  <si>
    <t>1098-3015</t>
  </si>
  <si>
    <t>Ciraulo,D. A.;Hitzemann,R. J.;Somoza,E.;Knapp,C. M.;Rotrosen,J.;Sarid-Segal,O.;Ciraulo,A. M.;Greenblatt,D. J.;Chiang,C. N.;Author,Addresses;Division,of Psychiatry;University School of Medicine, Boston,M.A.United States;Boston Veterans,Affairs Healthcare;Boston,M. A. U.;Department of,Behavioral Neuroscience;Sciences University,Portland,O.R.United States;Cincinnati Addiction Research Center, University,of Cincinnati;Medical,Cincinnati Va;Department of Psychiatry, New York University,School of;Medicine,V. A. N.;Department of,Pharmacology;Experimental,Therapeutics;Tufts University School of Medicine, Boston,M.A.United States;National Institute on Drug Abuse, Bethesda,M.A.United States;Boston University School,of Medicine;Building,Harrison Avenue Boston M.A.United States;Correspondence,Address;DA Ciraulo, Boston University School of Medicine Doctors,Office Building;Harrison Avenue,Boston,M.A.United States</t>
  </si>
  <si>
    <t>16432270; Pharmacokinetics and pharmacodynamics of multiple sublingual buprenorphine tablets in dose-escalation trials</t>
  </si>
  <si>
    <t>(MAJOR FOCUS);buprenorphine (drug administration, drug combination, drug comparison, drug;concentration, drug dose, pharmaceutics, pharmacokinetics, pharmacology,;sublingual drug administration);buprenorphine plus naloxone (adverse drug reaction, drug administration,;drug combination, drug concentration, drug dose, pharmaceutics,;pharmacokinetics, pharmacology, sublingual drug administration);diamorphine;mu opiate receptor agonist (drug administration, drug combination, drug;comparison, drug concentration, drug dose, pharmaceutics, pharmacokinetics,;pharmacology, sublingual drug administration);opiate;oxybutynin;drug dependence treatment;drug metabolism;heroin dependence;adult;area under the curve;article;blood pressure;blood sampling;bradycardia (side effect);breathing rate;dose response;drug blood level;drug formulation;drug safety;female;headache (side effect);heart rate;human;liquid chromatography;male;mass spectrometry;miosis (side effect);nausea (side effect);normal human;open study;opiate addiction;opioid induced emesis (side effect);pharmacodynamics;pupil;rating scale;respiration depression (side effect);single drug dose;tablet formulation;vomiting (side effect);DRUG TRADE NAMES;suboxone;subutex;buprenorphine (52485-79-7, 53152-21-9);diamorphine (1502-95-0, 561-27-3);opiate (53663-61-9, 8002-76-4, 8008-60-4);oxybutynin (1508-65-2, 5633-20-5);Clinical and Experimental Pharmacology (30);Psychiatry (32);Drug Literature Index (37);Adverse Reactions Titles (38);Pharmacy (39)</t>
  </si>
  <si>
    <t>In this investigation, the pharmacokinetic and pharmacodynamic properties were determined of multiple doses of sublingual tablets containing either buprenorphine alone or buprenorphine and naloxone. Subjects were experienced opiate users who received escalating doses (4-24 mg) of buprenorphine either alone or in combination with naloxone. Peak concentration (Cmax) and area under the concentration-time curves (AUCs) increased for both buprenorphine and naloxone with escalating doses. Significant differences were found across the range of doses administered for dose-adjusted Cmax for both tablet formulations and for the dose-adjusted AUCs for the buprenorphine-naloxone tablets. For both formulations, the maximal buprenorphine-induced decreases in respiratory rate and pupil diameter did not vary significantly across doses. Several of the subjective effects of buprenorphine did not increase as the dose of buprenorphine administered was increased. These findings are consistent with the ceiling effect associated with the partial agonist actions of buprenorphine. They also indicate a lack of dose proportionality for buprenorphine sublingual tablets, at least during the times at which levels of this agent are highest. ‚î¨‚åê2006 the American College of Clinical Pharmacology.</t>
  </si>
  <si>
    <t>(Ciraulo D.A.; Knapp C.M.; Ciraulo A.M.) (Ciraulo D.A.; Sarid-Segal O.) (Hitzemann R.J.) (Somoza E.) (Rotrosen J.) (Greenblatt D.J.) (Chiang C.N.) (Ciraulo D.A.) SAGE Publications Inc., 2455 Teller Road, Thousand Oaks, United States.; ID: 1532</t>
  </si>
  <si>
    <t>http://www.ncbi.nlm.nih.gov/pubmed/16432270</t>
  </si>
  <si>
    <t>Pharmacokinetics and pharmacodynamics of multiple sublingual buprenorphine tablets in dose-escalation trials</t>
  </si>
  <si>
    <t>Clark,D. B.</t>
  </si>
  <si>
    <t>Pharmacotherapy for adolescent alcohol use disorder</t>
  </si>
  <si>
    <t>CNS Drugs</t>
  </si>
  <si>
    <t>Adolescent;*Alcohol-Related Disorders/dt Drug Therapy];Antidepressive Agents/tu Therapeutic Use];Attention Deficit Disorder with Hyperactivity/dt Drug Therapy];Benzodiazepines/tu Therapeutic Use];Central Nervous System Stimulants/tu Therapeutic Use];Comorbidity;Diagnostic and Statistical Manual of Mental Disorders;Disulfiram/tu Therapeutic Use];Humans;Naltrexone/tu Therapeutic Use];*Substance Withdrawal Syndrome/dt Drug Therapy];Substance-Related Disorders/dt Drug Therapy];Taurine/aa Analogs &amp; Derivatives];Taurine/tu Therapeutic Use];0 (Antidepressive Agents);0 (Central Nervous System Stimulants);12794-10-4 (Benzodiazepines);1EQV5MLY3D (Taurine);5S6W795CQM (Naltrexone);N4K14YGM3J (acamprosate);TR3MLJ1UAI (Disulfiram)</t>
  </si>
  <si>
    <t>Alcohol use disorder (AUD) occurs in few young adolescents, but is as common as in adults by the late teens. To address problems with the current American Psychiatric Association DSM-IV criteria, the anticipated DSM-V will eliminate the distinction between substance abuse and dependence in favour of a single category. For adolescents, pharmacotherapy for AUD may target alcohol withdrawal symptoms, alcohol consumption reinforcement properties, craving or co-morbid mental disorders. While uncommon among adolescents, severe alcohol withdrawal may require the closely monitored application of benzodiazepines. Disulfiram alters alcohol metabolism and has been shown to increase abstinence in adolescents with AUD, but sufficient motivation to maintain abstinence is needed for this approach to be appropriate. Medications to reduce alcohol craving, including naltrexone and acamprosate, may also assist some adolescents in maintaining abstinence. Adolescents with AUD typically also have co-morbid mental disorders and problems with other substances. Co-morbid mental disorders, such as major depressive disorder and attention-deficit hyperactivity disorder, may be addressed by pharmacotherapy. The potential for interactions between prescribed medications and alcohol or illicit substances necessitates patient education and monitoring. While there is a paucity of empirical information on the applicability of these pharmacotherapy approaches in adolescents, cautious application of these medications in selected cases in the context of systematic psychosocial interventions is warranted to promote abstinence and address associated problems.</t>
  </si>
  <si>
    <t>J2: CNS Drugs; Clark, Duncan B P50DA05605 (United States NIDA NIH HHS) R01AA016482 (United States NIAAA NIH HHS); ID: 192</t>
  </si>
  <si>
    <t>1172-7047</t>
  </si>
  <si>
    <t>Clark,Duncan B. Department of Psychiatry, University of Pittsburgh Medical Center, PA, USA. clarkdb@upmc.edu</t>
  </si>
  <si>
    <t>http://ovidsp.ovid.com/ovidweb.cgi?T=JS&amp;CSC=Y&amp;NEWS=N&amp;PAGE=fulltext&amp;D=medl&amp;AN=22676261</t>
  </si>
  <si>
    <t>http://dx.doi.org/10.2165/11634330-000000000-00000</t>
  </si>
  <si>
    <t>MEDLINE; Ovid Technologies; Pharmacotherapy for adolescent alcohol use disorder</t>
  </si>
  <si>
    <t>Clemetson,R. K.;Rey,J. A.;Reitman,D.;Author,Addresses;College,of Pharmacy;Fort Lauderdale,United States;Center for Psychological Studies, Nova,Southeastern University;Fort Lauderdale,United States;Correspondence,Address;RK Clemetson, College of Pharmacy Southeastern,University Fort;Lauderdale,United States</t>
  </si>
  <si>
    <t>A pilot study on the side effect burden of ADD/ADHD treatment. Child vs. parent perspective</t>
  </si>
  <si>
    <t>central stimulant agent;child;college;parent;pharmacist;pilot study;side effect;addiction;adult;attention deficit disorder;boy;childhood;coping behavior;demography;drug therapy;education;gender;girl;hospital;patient;population;questionnaire;school;statistical analysis;statistics;Student t test;treatment duration;university</t>
  </si>
  <si>
    <t>Abstract Type: Work in Progress. Background: Attention deficit disorder/ attention deficit hyperactivity disorder (ADD/ADHD) occur in approximately 3%-7% of the childhood population and approximately 2%-5% of the adult population in the US. Among children the gender ratio is approximately 3:1, with boys more likely to have the disorder than girls. Medications for ADD/ADHD help many children focus and be more successful at school, home, and play. Addressing side effects may actually help prevent negative future outcomes (e.g., addictions and other emotional problems later in life.) Parents often make the decisions regarding their child's treatment. This is based on their observations/experiences with the stimulant medication and possibly what the children report. The issue is how to strike a balance. This pilot study will explore the impact of the side effect burden of medications used to treat ADD/ADHD and what methods are used to address this issue. Objectives: 1) Identify the differences in perceived side effects of ADD/ADHD treatment. 2) Consolidate coping strategies that parents and children use to overcome these side effects. 3) Assess if this assessment tool can be implemented and utilized in a larger population. Methods: Subjects will be recruited from patients attending clinic for evaluation and or treatment from the specialty clinics at the Center for Psychological Studies, Nova Southeastern University. Subject pairs will be chosen from patients who are diagnosed and treated for ADD/ADHD. Questionnaires will capture demographics, side effects and severity, and strategies, if any, for overcoming the side effect burden. The results will be summarized and subjected to statistical analysis. Central tendency statistics and t-test will be used to assess significance of the data. Outcomes: Investigators will report the side effect burden as it is perceived by both parties and compare this to the demographic characteristics, education level, and length of therapy.</t>
  </si>
  <si>
    <t>(Clemetson R.K.; Rey J.A.) (Reitman D.) 13th Annual Meeting of the College of Psychiatric and Neurologic Pharmacists, CPNP 2010 San Antonio, TX, United States 2010-04-18 to 2010-04-21 SAGE Publications Inc.; ID: 1358</t>
  </si>
  <si>
    <t>Cleva,R. M.;Gass,J. T.;Widholm,J. J.;Olive,M. F.</t>
  </si>
  <si>
    <t>PMC3080595; Glutamatergic targets for enhancing extinction learning in drug addiction</t>
  </si>
  <si>
    <t>Current Neuropharmacology</t>
  </si>
  <si>
    <t>The persistence of the motivational salience of drug-related environmental cues and contexts is one of the most problematic obstacles to successful treatment of drug addiction. Behavioral approaches to extinguishing the salience of drug-associated cues, such as cue exposure therapy, have generally produced disappointing results which have been attributed to, among other things, the context specificity of extinction and inadequate consolidation of extinction learning. Extinction of any behavior or conditioned response is a process of new and active learning, and increasing evidence suggests that glutamatergic neurotransmission, a key component of the neural plasticity that underlies normal learning and memory, is also involved in extinction learning. This review will summarize findings from both animal and human studies that suggest that pharmacological enhancement of glutamatergic neurotransmission facilitates extinction learning in the context of drug addiction. Pharmacological agents that have shown potential efficacy include NMDA partial agonists, mGluR5 receptor positive allosteric modulators, inhibitors of the GlyT1 glycine transporter, AMPA receptor potentiators, and activators of the cystine-glutamate exchanger. These classes of cognition-enhancing compounds could potentially serve as novel pharmacological adjuncts to cue exposure therapy to increase success rates in attenuating cue-induced drug craving and relapse.</t>
  </si>
  <si>
    <t>J2: Curr Neuropharmacol; Cleva, R M Gass, J T Widholm, J J Olive, M F; ID: 252</t>
  </si>
  <si>
    <t>1875-6190</t>
  </si>
  <si>
    <t>Cleva,R M. Center for Drug and Alcohol Programs, Department of Psychiatry and Behavioral Sciences, Medical University of South Carolina, Charleston, South Carolina, 29425, USA.</t>
  </si>
  <si>
    <t>http://ovidsp.ovid.com/ovidweb.cgi?T=JS&amp;CSC=Y&amp;NEWS=N&amp;PAGE=fulltext&amp;D=prem&amp;AN=21629446</t>
  </si>
  <si>
    <t>http://dx.doi.org/10.2174/157015910793358169</t>
  </si>
  <si>
    <t>MEDLINE; Ovid Technologies; Glutamatergic targets for enhancing extinction learning in drug addiction</t>
  </si>
  <si>
    <t>Cleva,R. M.;Hicks,M. P.;Gass,J. T.;Wischerath,K. C.;Plasters,E. T.;Widholm,J. J.;Olive,M. F.</t>
  </si>
  <si>
    <t>NIHMS262446 PMC3073132; mGluR5 positive allosteric modulation enhances extinction learning following cocaine self-administration</t>
  </si>
  <si>
    <t>Behavioral neuroscience</t>
  </si>
  <si>
    <t>Behav.Neurosci.</t>
  </si>
  <si>
    <t>Allosteric Regulation;Animals;Behavior, Addictive/dt Drug Therapy];Behavior, Addictive/pp Physiopathology];*Behavior, Addictive/px Psychology];Benzamides/pd Pharmacology];Benzamides/tu Therapeutic Use];*Cocaine/ad Administration &amp; Dosage];Extinction, Psychological/de Drug Effects];*Extinction, Psychological/ph Physiology];Male;Motor Activity/de Drug Effects];Motor Activity/ph Physiology];Pyrazoles/pd Pharmacology];Pyrazoles/tu Therapeutic Use];Rats;Rats, Sprague-Dawley;Receptor, Metabotropic Glutamate 5;Receptors, Metabotropic Glutamate/ag Agonists];*Receptors, Metabotropic Glutamate/bi Biosynthesis];Receptors, Metabotropic Glutamate/ph Physiology];Self Administration;0 (3-cyano-N-(1,3-diphenyl-1H-pyrazol-5-yl)benzamide);0 (Benzamides);0 (Grm5 protein, rat);0 (Pyrazoles);0 (Receptor, Metabotropic Glutamate 5);0 (Receptors, Metabotropic Glutamate);I5Y540LHVR (Cocaine)</t>
  </si>
  <si>
    <t>Extinction of classically and instrumentally conditioned behaviors, such as conditioned fear and drug-seeking behavior, is a process of active learning, and recent studies indicate that potentiation of glutamatergic transmission facilitates extinction learning. In this study, the authors investigated the effects of the Type-5 metabotropic glutamate receptors (mGluR5) positive allosteric modulator 3-cyano-N-(1,3-diphenyl-1H-pyrazol-5-yl)benzamide (CDPPB) on the extinction of cocaine-seeking behavior in rats with a history of intravenous cocaine self-administration. To assess its effects on acquisition and consolidation of extinction learning, CDPPB (60 mg/kg) or vehicle was administered either 20 min prior to, or immediately following, each of 10 extinction sessions, respectively. When administered prior to each extinction session, CDPPB produced a significant reduction in the number of active lever presses on all 10 days of extinction training as compared to vehicle-treated animals. When administered following each extinction session, a significant reduction in the number of active lever presses was observed on the 2nd through 10th day of extinction. Both treatment regimens also reduced the number of extinction-training sessions required to meet extinction criteria. Pre- or postextinction-training administration of CDPPB did not alter responding on the inactive lever and had no effects on open field locomotor activity. These data indicate that positive allosteric modulation of mGluR5 receptors facilitates the acquisition and consolidation of extinction learning following cocaine self-administration and may provide a novel pharmacological approach to enhancing extinction learning when combined with cue exposure therapy for the treatment of cocaine addiction.Copyright (PsycINFO Database Record (c) 2011 APA, all rights reserved).</t>
  </si>
  <si>
    <t>J2: Behav Neurosci; Cleva, Richard M Hicks, Megan P Gass, Justin T Wischerath, Kelly C Plasters, Elizabeth T Widholm, John J Olive, M Foster DA024355 (United States NIDA NIH HHS) R01 DA024355 (United States NIDA NIH HHS) R01 DA024355-01 (United States NIDA NIH HHS); ID: 237</t>
  </si>
  <si>
    <t>1939-0084</t>
  </si>
  <si>
    <t>Cleva,Richard M. Center for Drug and Alcohol Programs, Department of Psychiatry and Behavioral Sciences, Medical University of South Carolina, SC, USA.</t>
  </si>
  <si>
    <t>http://ovidsp.ovid.com/ovidweb.cgi?T=JS&amp;CSC=Y&amp;NEWS=N&amp;PAGE=fulltext&amp;D=med5&amp;AN=21319882</t>
  </si>
  <si>
    <t>http://dx.doi.org/10.1037/a0022339</t>
  </si>
  <si>
    <t>MEDLINE; Ovid Technologies; mGluR5 positive allosteric modulation enhances extinction learning following cocaine self-administration</t>
  </si>
  <si>
    <t>Cobaugh,D. J.;Gainor,C.;Gaston,C. L.;Kwong,T. C.;Magnani,B.;McPherson,M. L.;Painter,J. T.;Krenzelok,E. P.</t>
  </si>
  <si>
    <t>The opioid abuse and misuse epidemic: implications for pharmacists in hospitals and health systems</t>
  </si>
  <si>
    <t>*Analgesics, Opioid/ae Adverse Effects];Analgesics, Opioid/tu Therapeutic Use];Analgesics, Opioid/ur Urine];*Community Health Services;Drug Monitoring;*Drug Overdose/ep Epidemiology];Humans;*Opioid-Related Disorders/ep Epidemiology];Pain Management;*Pharmacy Service, Hospital;*Prescription Drug Misuse/lj Legislation &amp; Jurisprudence];*Prescription Drug Misuse/sn Statistics &amp; Numerical Data];Professional Role;Substance Abuse Detection;United States/ep Epidemiology];0 (Analgesics, Opioid)</t>
  </si>
  <si>
    <t>PURPOSE: The current epidemic of prescription opioid abuse and misuse in the United States is discussed, with an emphasis on the pharmacist's role in ensuring safe and effective opioid use. SUMMARY: U.S. sales of prescription opioids increased fourfold from 1999 to 2010, with an alarming rise in deaths and emergency department visits associated with the use of fentanyl, hydrocodone, oxycodone, and other opioid medications. Signs and symptoms of opioid toxicity may include altered mental status, hypoventilation, decreased bowel motility, central nervous system and respiratory depression, peripheral vasodilation, pulmonary edema, hypotension, bradycardia, and seizures. In patients receiving long-term opioid therapy for chronic pain, urine drug testing is an important tool for monitoring and assessment of therapy; knowledge of opioid metabolic pathways and assay limitations is essential for appropriate use and interpretation of screening and confirmatory tests. In recent years, there has been an increase in federal enforcement actions against pharmacies and prescription drug wholesalers involved in improper opioid distribution, as well as increased reliance on state-level prescription drug monitoring programs to track patterns of opioid use and improper sales. Pharmacies are urged to implement or promote appropriate guidelines on opioid therapy, including the use of pain management agreement plans; policies to ensure adequate oversight of opioid prescribing, dispensing, and waste disposal; and educational initiatives targeting patients as well as hospital and pharmacy staff. CONCLUSION: Pharmacists in hospitals and health systems can play a key role in recognizing the various forms of opioid toxicity and in preventing inappropriate prescribing and diversion of opioids.Copyright ‚î¨‚åê 2014 by the American Society of Health-System Pharmacists, Inc. All rights reserved.</t>
  </si>
  <si>
    <t>J2: Am J Health-Syst Pharm; Cobaugh, Daniel J Gainor, Carl Gaston, Cynthia L Kwong, Tai C Magnani, Barbarajean McPherson, Mary Lynn Painter, Jacob T Krenzelok, Edward P Comment in: Am J Health Syst Pharm. 2014 Sep 15;71(18):1537; PMID: 25174014; ID: 18</t>
  </si>
  <si>
    <t>Cobaugh,Daniel J. Daniel J. Cobaugh, Pharm.D., DABAT, FAACT, is Vice President, ASHP Research and Education Foundation, Bethesda, MD. Carl Gainor, J.D., Ph.D., is Clinical Assistant Professor of Pharmaceutical Sciences, School of Pharmacy, University of Pittsburgh, Pittsburgh, PA. Cynthia L. Gaston, Pharm.D., BCPS, is Medication Use Policy Analyst, UW Health, Madison, WI. Tai C. Kwong, Ph.D., is Professor of Pathology and Laboratory Medicine, University of Rochester School of Medicine and Dentistry, and Director, Hematology and Chemistry Labs, Strong Memorial Hospital, University of Rochester Medical Center, Rochester, NY. Barbarajean Magnani, Ph.D., M.D., is Chair and Pathologist-in-Chief, Department of Pathology and Laboratory Medicine, Tufts Medical Center, and Professor and Chair, Department of Anatomic and Clinical Pathology, Tufts University School of Medicine, Boston, MA. Mary Lynn McPherson, Pharm.D., BCPS, CPE, is Professor and Vice Chair, Department of Pharmacy Practice and Science, University of Maryland School of Pharmacy, Baltimore. Jacob T. Painter, Pharm.D., M.B.A., Ph.D., is Assistant Professor of Pharmaceutical Evaluation and Policy, University of Arkansas for Medical Sciences, Little Rock. Edward P. Krenzelok, Pharm.D., FAACT, FEAPCCT, DABAT, is Professor Emeritus, School of Pharmacy, University of Pittsburgh. dcobaugh@ashp.org. Gainor,Carl. Daniel J. Cobaugh, Pharm.D., DABAT, FAACT, is Vice President, ASHP Research and Education Foundation, Bethesda, MD. Carl Gainor, J.D., Ph.D., is Clinical Assistant Professor of Pharmaceutical Sciences, School of Pharmacy, University of Pittsburgh, Pittsburgh, PA. Cynthia L. Gaston, Pharm.D., BCPS, is Medication Use Policy Analyst, UW Health, Madison, WI. Tai C. Kwong, Ph.D., is Professor of Pathology and Laboratory Medicine, University of Rochester School of Medicine and Dentistry, and Director, Hematology and Chemistry Labs, Strong Memorial Hospital, University of Rochester Medical Center, Rochester(TRUNCATED)</t>
  </si>
  <si>
    <t>http://ovidsp.ovid.com/ovidweb.cgi?T=JS&amp;CSC=Y&amp;NEWS=N&amp;PAGE=fulltext&amp;D=medl&amp;AN=25174015</t>
  </si>
  <si>
    <t>http://dx.doi.org/10.2146/ajhp140157</t>
  </si>
  <si>
    <t>MEDLINE; Ovid Technologies; The opioid abuse and misuse epidemic: implications for pharmacists in hospitals and health systems</t>
  </si>
  <si>
    <t>Cobble,N. D.;Bontke,C. F.;Brandstater,M. E.;Horn,L. J.</t>
  </si>
  <si>
    <t>Rehabilitation in brain disorders. Intervention strategies... part 3</t>
  </si>
  <si>
    <t>Archives of Physical Medicine &amp; Rehabilitation</t>
  </si>
  <si>
    <t>4-</t>
  </si>
  <si>
    <t>S324</t>
  </si>
  <si>
    <t>31 1p</t>
  </si>
  <si>
    <t>Brain Diseases -- Rehabilitation</t>
  </si>
  <si>
    <t>This self-directed learning module highlights advances in the principles of management of brain disorders. It is part of the chapter on rehabilitation in brain disorders for the Self-Directed Medical Knowledge Program Study Guide for practitioners and trainees in physical medicine and rehabilitation. The chapter is composed of four articles, and each builds on principles established in the others. This article covers rehabilitation philosophy, management of cognitive remediation, and behavioral management, with attention to communication disorders, social factors, vocational/educational/avocational issues, treatment of motor deficits, dysphagia, sensory dysfunction, sexual dysfunction, and substance abuse. Advances that are covered in this section include pharmacologic and rehabilitative interventions for acute, chronic, and progressive brain injuries and diseases. The learner is directed to articles 1, 2, and 4 in this chapter for supporting information.</t>
  </si>
  <si>
    <t>Entry Date: 19910701. Revision Date: 20150712. Publication Type: Journal Article; teaching materials. Supplement Title: 1991 Mar Study Guide Issue. Journal Subset: Allied Health; Double Blind Peer Reviewed; Editorial Board Reviewed; Expert Peer Reviewed; Peer Reviewed; USA. NLM UID: 2985158R. PMID: 2003765.; ID: 2017</t>
  </si>
  <si>
    <t>http://proxy.lib.umich.edu/login?url=http://search.ebscohost.com/login.aspx?direct=true&amp;db=ccm&amp;AN=107503292&amp;site=ehost-live&amp;scope=site</t>
  </si>
  <si>
    <t>ccm; EBSCOhost; Rehabilitation in brain disorders. Intervention strategies... part 3</t>
  </si>
  <si>
    <t>Coffin,P. O.;Linas,B. P.;Factor,S. H.;Vlahov,D.;Author,Addresses;New,York Academy;Medicine,Fifth Avenue New York N.Y.United States;Correspondence,Address;PO Coffin, New York Academy of Medicine Fifth Avenue New,York N.;org,United States Email Pcoffin nyam</t>
  </si>
  <si>
    <t>11194317; New York City pharmacists' attitudes toward sale of needles/syringes to injection drug users before implementation of law expanding syringe access</t>
  </si>
  <si>
    <t>Human immunodeficiency virus infection (prevention);intravenous drug abuse;adult;article;attitude;continuing education;controlled study;female;health program;human;infection prevention;law;male;normal human;pharmacist;priority journal;syringe;Public Health, Social Medicine and Epidemiology (17);Health Policy, Economics and Management (36)</t>
  </si>
  <si>
    <t>In May 2000, New York State passed legislation permitting the sale, purchase, and possession of up to 10 needles and syringes (hereafter "syringes") without a prescription, intended to reduce blood-borne pathogen transmission among injection drug users (IDUs). To obtain baseline data on pharmacists' attitudes and practices related to human immunodeficiency virus (HIV) prevention and IDUs, a telephone survey was administered to 130 pharmacists systematically selected in New York City. Less than half of pharmacists were aware of the new law; 49.6% were willing to or supported providing nonprescription sales of syringes to IDUs. Pharmacists in support tended to be less likely to consider customer appearance "very important." Managing and supervising pharmacists were more likely than staff pharmacists to support syringe sales to IDUs. Managing and supervising pharmacists who stocked packs of 10 syringes and personal sharps disposal containers, pharmacists who supported syringe exchange in the pharmacy, and pharmacists who were willing to sell syringes to diabetics without a prescription were more likely to support syringe sales to IDUs. Syringe disposal was a prominent concern among all pharmacists. Those not in support of syringe sales to IDUs tended to be more likely to believe the practice would increase drug use. These data suggest the need for initiatives to address concerns about syringe disposal and tailored continuing education classes for pharmacists on HIV and viral hepatitis prevention among IDUs.</t>
  </si>
  <si>
    <t>(Coffin P.O.; Linas B.P.; Factor S.H.; Vlahov D.) Springer Science and Business Media Deutschland GmbH, Heidelberger Platz 3, Berlin, Germany.; ID: 1632</t>
  </si>
  <si>
    <t>1099-3460</t>
  </si>
  <si>
    <t>http://www.ncbi.nlm.nih.gov/pubmed/11194317</t>
  </si>
  <si>
    <t>New York City pharmacists' attitudes toward sale of needles/syringes to injection drug users before implementation of law expanding syringe access</t>
  </si>
  <si>
    <t>Coleman,E. A.;Honeycutt,G.;Ogden,B.;McMillan,D. E.;O'Sullivan,P. S.;Light,K.;Wingfield,W.</t>
  </si>
  <si>
    <t>Assessing substance abuse among health care students and the efficacy of educational interventions</t>
  </si>
  <si>
    <t>Journal of Professional Nursing</t>
  </si>
  <si>
    <t>Jan-Feb</t>
  </si>
  <si>
    <t>Alcohol Drinking/ep Epidemiology];*Alcohol Drinking/pc Prevention &amp; Control];Arkansas/ep Epidemiology];Curriculum;Databases, Factual;*Health Education/mt Methods];Health Knowledge, Attitudes, Practice;Humans;*Nursing Education Research/mt Methods];Program Evaluation/mt Methods];Research Design;*Students, Nursing;Substance-Related Disorders/ep Epidemiology];*Substance-Related Disorders/pc Prevention &amp; Control]</t>
  </si>
  <si>
    <t>Approximately 10 per cent of nurses are chemically dependent, and, for many, substance abuse begins while attending nursing school. Faculty must be able to assess the extent of the problem, understand the contributing factors, recognize signs and symptoms, and use educational interventions in identifying and preventing chemical dependency in nurses. Beginning in 1989, the authors sampled all entering students in four colleges on a health science campus using the Standardized Substance Abuse Attitude Survey and obtained resurvey data from two of the colleges' 1989 entering classes in fall 1991. Each college developed educational interventions. Some clear differences between nursing and pharmacy students emerged and indicated that a greater emphasis on drug and alcohol education can pay dividends. Establishing a data base over a period of more than 2 years provides a foundation to evaluate further interventions.</t>
  </si>
  <si>
    <t>J2: J Prof Nurs; Coleman, E A Honeycutt, G Ogden, B McMillan, D E O'Sullivan, P S Light, K Wingfield, W; ID: 607</t>
  </si>
  <si>
    <t>8755-7223</t>
  </si>
  <si>
    <t>Coleman,E A. College of Nursing, University of Arkansas for Medical Sciences, Little Rock 77205, USA.</t>
  </si>
  <si>
    <t>http://ovidsp.ovid.com/ovidweb.cgi?T=JS&amp;CSC=Y&amp;NEWS=N&amp;PAGE=fulltext&amp;D=med4&amp;AN=9183110</t>
  </si>
  <si>
    <t>MEDLINE; Ovid Technologies; Assessing substance abuse among health care students and the efficacy of educational interventions</t>
  </si>
  <si>
    <t>Colombet,I.;Sabatier,B.;Gillaizeau,F.;Prognon,P.;Begue,D.;Durieux,P.</t>
  </si>
  <si>
    <t>Long-term effects of a multifaceted intervention to encourage the choice of the oral route for proton pump inhibitors: an interrupted time-series analysis</t>
  </si>
  <si>
    <t>Quality &amp; Safety in Health Care</t>
  </si>
  <si>
    <t>Administration, Oral;France;Guideline Adherence;Humans;Infusions, Intravenous;*Practice Patterns, Physicians'/sn Statistics &amp; Numerical Data];*Proton Pump Inhibitors/ad Administration &amp; Dosage];Reminder Systems;0 (Proton Pump Inhibitors)</t>
  </si>
  <si>
    <t>PROBLEM: Drugs are often given intravenously even when the patient is able to swallow and when an oral form would be more cost-effective. DESIGN: Evaluation of the impact of a multifaceted intervention on the early switch from intravenous to oral administration of proton pump inhibitors (PPI) in a hospital setting. The interrupted time series of intravenous PPI consumption was analysed. BACKGROUND AND SETTING: At a French University Hospital, the Drug Committee, composed of multidisciplinary pharmacy and medical staff, addressed the issue of increasing consumption of intravenous PPI drugs (May 2003). STRATEGY FOR CHANGE: Letters to department heads, academic analyses from members of the Drug Committee, paper reminders at the point of care and audit-feedbacks by pharmacists. Monitoring of consumption and repeated reminder letters were planned. EFFECT OF CHANGE: The consumption of PPI was stable before the first intervention (mean level: 954 units/month). An immediate decrease occurred after the first Drug Committee letter (30% relative reduction, 95% CI -16% to -46%; p&lt;0.001) with a significant trend change during the first multifaceted intervention (-24 units/month, 95% CI -42 to -7; p = 0.007). After the end of the outreach visits (July 2004), the consumptions increased (+32 units/month, 95% CI: 14 to 50, p&lt;0.001). The second intervention had no significant impact. LESSONS LEARNT: A complex intervention (audit, feedbacks, outreach visits) had an effect on practice. It was not sustained even after a less resource-intensive intervention. Other types of interventions are needed that could be continuously implemented to improve ordering practices long term.</t>
  </si>
  <si>
    <t>J2: Qual Saf Health Care; Colombet, I Sabatier, B Gillaizeau, F Prognon, P Begue, D Durieux, P; ID: 328</t>
  </si>
  <si>
    <t>1475-3901</t>
  </si>
  <si>
    <t>Colombet,I. INSERM, UMR_S 872, Paris, France. isabelle.colombet@egp.aphp.fr</t>
  </si>
  <si>
    <t>http://ovidsp.ovid.com/ovidweb.cgi?T=JS&amp;CSC=Y&amp;NEWS=N&amp;PAGE=fulltext&amp;D=med5&amp;AN=19468008</t>
  </si>
  <si>
    <t>http://dx.doi.org/10.1136/qshc.2007.023887</t>
  </si>
  <si>
    <t>MEDLINE; Ovid Technologies; Long-term effects of a multifaceted intervention to encourage the choice of the oral route for proton pump inhibitors: an interrupted time-series analysis</t>
  </si>
  <si>
    <t>Colombo,J.</t>
  </si>
  <si>
    <t>Establishing pharmaceutical care services in an HIV clinic</t>
  </si>
  <si>
    <t>NS37</t>
  </si>
  <si>
    <t>92; quiz 593-4</t>
  </si>
  <si>
    <t>Adult;Continuity of Patient Care;Female;HIV Infections/di Diagnosis];*HIV Infections/dt Drug Therapy];Health Services Needs and Demand;Hospitals, University;Humans;Male;*Outpatient Clinics, Hospital/og Organization &amp; Administration];Patient Care Team;Patient Compliance;Patient Education as Topic;*Pharmacists;*Pharmacy Service, Hospital/og Organization &amp; Administration];Reagent Kits, Diagnostic;0 (Reagent Kits, Diagnostic)</t>
  </si>
  <si>
    <t>OBJECTIVE: To present a brief overview of human immunodeficiency virus (HIV) infection and to describe the implementation of pharmaceutical care services for adult patients with HIV infection. SETTING: University hospital clinic. PRACTICE DESCRIPTION: A pharmacist joined a multidisciplinary team serving HIV-infected patients in January 1994. PRACTICE INNOVATION: Current pharmacy services include taking medication histories, educating patients, counseling patients on compliance, monitoring response to therapy, identifying drug-related problems, documenting all interventions, and making therapeutic decisions and formulary choices. The pharmacist also participates in research. INTERVENTIONS: The pharmacist sees patients immediately after their physician appointments. Patients with one or more of the following characteristics are targeted to receive pharmaceutical care: multiple drugs, history of noncompliance, initiation of new drug therapy, recently discharged from hospital or emergency department, identification of potential adverse effects, identification of potential drug-drug interactions, and presence of drug toxicities. CONCLUSION: Pharmacists are uniquely qualified to provide a wide range of pharmaceutical care services to HIV-positive patients. Pharmacy interventions should lead to improved outcomes and decreased costs for a chronic and very expensive disease.</t>
  </si>
  <si>
    <t>J2: J Am Pharm Assoc (Wash); Colombo, J; ID: 594</t>
  </si>
  <si>
    <t>Colombo,J. Department of Pharmacy Practice, University of Illinois at Chicago College of Pharmacy 60612-7230, USA. colombo@uic.edu</t>
  </si>
  <si>
    <t>http://ovidsp.ovid.com/ovidweb.cgi?T=JS&amp;CSC=Y&amp;NEWS=N&amp;PAGE=fulltext&amp;D=med4&amp;AN=9479411</t>
  </si>
  <si>
    <t>MEDLINE; Ovid Technologies; Establishing pharmaceutical care services in an HIV clinic</t>
  </si>
  <si>
    <t>Colon-Emeric,C.;Lyles,K. W.;Levine,D. A.;House,P.;Schenck,A.;Gorospe,J.;Fermazin,M.;Oliver,K.;Alison,J.;Weisman,N.;Xie,A.;Curtis,J. R.;Saag,K.</t>
  </si>
  <si>
    <t>NIHMS19340 PMC1839837; Prevalence and predictors of osteoporosis treatment in nursing home residents with known osteoporosis or recent fracture</t>
  </si>
  <si>
    <t>Osteoporosis International</t>
  </si>
  <si>
    <t>Osteoporosis Int.</t>
  </si>
  <si>
    <t>Aged;Aged, 80 and over;Arizona/ep Epidemiology];Bone Density Conservation Agents/tu Therapeutic Use];Calcitonin/tu Therapeutic Use];Calcium, Dietary/ad Administration &amp; Dosage];California/ep Epidemiology];Diphosphonates/tu Therapeutic Use];Female;*Fractures, Bone/ep Epidemiology];Fractures, Bone/pc Prevention &amp; Control];Hip;Humans;Male;Middle Aged;*Nursing Homes;Osteoporosis/dt Drug Therapy];Osteoporosis/ep Epidemiology];*Osteoporosis/th Therapy];Osteoporosis, Postmenopausal/dt Drug Therapy];Osteoporosis, Postmenopausal/th Therapy];Prevalence;Protective Devices;Quality of Health Care;Treatment Outcome;Vitamin D/ad Administration &amp; Dosage];0 (Bone Density Conservation Agents);0 (Calcium, Dietary);0 (Diphosphonates);1406-16-2 (Vitamin D);9007-12-9 (Calcitonin)</t>
  </si>
  <si>
    <t>SUMMARY: We studied nursing home residents with osteoporosis or recent fracture to determine the frequency and predictors of osteoporosis treatment. There was wide variation in performance, and both clinical and systems variables predicted use. This study shows that improvement in osteoporosis care is possible and important for many nursing homes. INTRODUCTION: We determined the prevalence and predictors of osteoporosis evaluation and treatment in high-risk nursing home residents. METHODS: We identified 67 nursing facilities in North Carolina and Arizona with &gt; 10 residents with osteoporosis or recent hip fracture. Medical records (n=895) were abstracted for osteoporosis evaluation dual-energy X-ray absorptiometry (DXA), vitamin D level, serum calcium), treatment (calcium, vitamin D, osteoporosis medication, hip protectors), clinical, and systems covariates. Data were analyzed at the facility level using mixed models to account for the complex nesting of residents within providers and nursing facilities. RESULTS: Calcium and vitamin D was prescribed for 69% of residents, bisphosphonates for 19%, calcitonin for 14%, other pharmacologic therapies for 6%, and hip protectors for 2%. Overall, 36% received any bone protection (medication or hip protectors), with wide variation among facilities (0-85%). Factors significantly associated with any bone protection included female gender odds ratio (OR) 2.4, (1.5-3.7)] and nonurban/suburban location 1.5, (1.1-2.2)]. Residents with esophagitis, peptic ulcer disease (PUD), or dysphagia 0.6, (0.4-0.9)] and alcohol abuse 0.2, (0.0-0.9)] were less likely to receive treatment. CONCLUSIONS: There is substantial variation in the quality of osteoporosis treatment across nursing homes. Interventions that improve osteoporosis quality of care are needed.</t>
  </si>
  <si>
    <t>J2: Osteoporos Int; Colon-Emeric, C Lyles, K W Levine, D A House, P Schenck, A Gorospe, J Fermazin, M Oliver, K Alison, J Weisman, N Xie, A Curtis, J R Saag, K 500-02-AZ0020 (United States PHS HHS) K23 AG024787 (United States NIA NIH HHS); ID: 393</t>
  </si>
  <si>
    <t>0937-941X</t>
  </si>
  <si>
    <t>Colon-Emeric,C. Duke University Center for Aging and Human Development, and the Durham VA GRECC, Erwin Rd, Durham, NC 27710, USA. colon001@mc.duke.edu</t>
  </si>
  <si>
    <t>http://ovidsp.ovid.com/ovidweb.cgi?T=JS&amp;CSC=Y&amp;NEWS=N&amp;PAGE=fulltext&amp;D=med5&amp;AN=17120179</t>
  </si>
  <si>
    <t>MEDLINE; Ovid Technologies; Prevalence and predictors of osteoporosis treatment in nursing home residents with known osteoporosis or recent fracture</t>
  </si>
  <si>
    <t>Conde-Estevez,D.;De Antonio,J. M.;Grau,S.;Mar‚îú¬°n-Casino,M.;Ferr‚îú√≠ndez,O.;Fern‚îú√≠ndez-Morato,J.;Urbina,O.;Luque,S.;Berenguer,N.;Salas,E.;Author,Addresses;Hospital;del Mar,Imas,Barcelona Spain;Correspondence,Address;Conde-Estevez, Hospital del Mar Imas Barcelona Spain,D.</t>
  </si>
  <si>
    <t>Pharmacist interventions on onco-hematological inpatients prescription through a computer program</t>
  </si>
  <si>
    <t>computer program;hospital patient;oncology;pharmacist;pharmacy;physician;prescription;society;analytical parameters;cancer chemotherapy;cardiovascular system;computerized provider order entry;digestive system;drug therapy;hematology;intoxication;male;metabolism;monitoring;observational study;patient;university hospital;ward</t>
  </si>
  <si>
    <t>Objectives: This study was to assess the CPOE utility and to describe the results of the 10 first months. Methods: Prospective observational study of interventions performed among all inpatients of oncology and hematology wards from February to November 2009 (10 months) admitted in a 450-bed university hospital. Pharmacists assessed alerts from the computer program and make interventions to optimize drug therapy in oncology and hematology inpatients. Anti-cancer chemotherapy drugs were excluded. Results: Patients with intervention: 210. Total interventions: 308 (1.5 interventions/patient). Demographics: male 115 (54.8%). Age: 63.4 ‚î¨‚ñí14.4. Medical ward: oncology 248 (80.5%); hematology 60 (19.5%). Accepted interventions: 243 (78.9%). Main type of alerts: 46 (14.9%) dosage adjustment in impaired analytical parameter values; 28 (9.1%) infradose; 21 (6.8%) overdose. Main therapeutic groups of the implicated drug: J: anti-infectives 127 (41.2%); A: alimentary tract and metabolism 45 (14.6%) and C: cardiovascular system 36 (11.7%). Conclusion: The application allowed to perform a high number of interventions most of them being accepted. The most common detections were alerts related to dosage adjustment in impaired analytical parameter values. The computer program showed as a useful tool for monitoring potential drug related problems that allows to optimize the quality of drug prescription among onco-hematological inpatients.</t>
  </si>
  <si>
    <t>(Conde-Estevez D.; De Antonio J.M.; Grau S.; Mar‚îú¬°n-Casino M.; Ferr‚îú√≠ndez O.; Fern‚îú√≠ndez-Morato J.; Urbina O.; Luque S.; Berenguer N.; Salas E.) 12th Symposium of the International Society of Oncology Pharmacy Practitioners Prague, Czech Republic 2010-05-05 to 2010-05-08 SAGE Publications Ltd; ID: 1347</t>
  </si>
  <si>
    <t>Connell,R.;Zeier,K.;Resch,B.;Thomas,C.;Hanson,T.;Author,Addresses;Chillicothe,Veterans;Affairs,Medical Center;Correspondence,Address;Connell, Chillicothe Veterans Affairs Medical Center United States,R.</t>
  </si>
  <si>
    <t>Quality analysis of the alcohol withdrawal protocol at the chillicothe VAMC</t>
  </si>
  <si>
    <t>alcohol;benzodiazepine;benzodiazepine derivative;caffeine;nicotine;alcohol withdrawal;college;human;pharmacist;alcoholism;cohort analysis;coma;death;delirium tremens;disorientation;drinking;general hospital;length of stay;nausea;patient;risk;seizure;tremor;veteran;vomiting</t>
  </si>
  <si>
    <t>Background: Alcohol is the most frequently abused substance after nicotine and caffeine. One in four patients admitted to general hospital meet the criteria for alcohol dependence. When these patients stop drinking, they are at risk for alcohol withdrawal. The severity of alcohol withdrawal can range from mild and asymptomatic to severe episodes causing nausea, vomiting, tremors, and disorientation. Patients with a recurrent history of alcohol dependence and withdrawal may be at risk for delirium tremens, seizures, coma, and even death during alcohol withdrawal. The severity of alcohol withdrawal a patient will experience is difficult to predict making proper management of alcohol withdrawal also difficult. Objectives: The Chillicothe Veterans Affairs Medical Center (VAMC) is in the process of implementing the Chillicothe VAMC Alcohol Withdrawal Protocol. The purpose of this study is to perform a quality analysis to see if there has been a positive or negative effect on patient outcomes as a result of this new protocol. Methods: This study will be completed as a retrospective cohort analysis. Group 1 will be patients admitted to the SCU for alcohol withdrawal prior to the staff using the Chillicothe VAMC alcohol withdrawal protocol. Group 2 will be patients admitted to the specialty care unit (SCU) for alcohol withdrawal after the protocol has been initiated. All patient's charts are solely from the Chillicothe VAMC, with a goal of obtaining n = 100 eligible for inclusion into the study. Inclusion criteria: any patient at least age 18 who was treated between the dates of June 1, 1998 and June 30, 2012 for alcohol withdrawal. Outcomes: To compare the following criteria before and after initiation of the protocol: 1. Length of stay on medical floors, 2. Total amounts of benzodiazepines used during alcohol withdrawal, 3. Time from administration of first benzodiazepine to last and 4. Reports of adverse events related to alcohol withdrawal.</t>
  </si>
  <si>
    <t>(Connell R.; Zeier K.; Resch B.; Thomas C.; Hanson T.) 15th Annual Meeting of the College of Psychiatric and Neurologic Pharmacists, CPNP 2012 Tampa, FL, United States 2012-04-29 to 2012-05-02 SAGE Publications Inc.; ID: 1163</t>
  </si>
  <si>
    <t>Conway,S.;Dunican,K.;Abel,C.;Seed,S.;Lynch,A.;Author,Addresses;Massachusetts College of Pharmacy, Health Sciences,University United;States;Correspondence,Address;Conway, Massachusetts College of Pharmacy Health Sciences University,S.;United,States</t>
  </si>
  <si>
    <t>Student pharmacists' perceptions of the qualifications and responsibilities of community pharmacy technicians</t>
  </si>
  <si>
    <t>e180</t>
  </si>
  <si>
    <t>human;pharmacist;pharmacy;pharmacy technician;responsibility;student;continuing education;examination;institutional review;licensing;physician;technology;university</t>
  </si>
  <si>
    <t>Objective: The purpose of this study is to evaluate student pharmacists' perception of the qualifications, responsibilities, and importance of community pharmacy technicians. Methods: An anonymous survey was administered to student pharmacists at the conclusion of their first professional (P1) year in an accelerated doctor of pharmacy program via Turningpoint technology. Survey questions assessed students' knowledge of the qualifications and responsibilities of certified pharmacy technicians (CPhTs) in community pharmacy and the perceived value of community pharmacy technicians to the community pharmacy team. Completion of the survey was voluntary and approved by the university's institutional review board. Data were evaluated using descriptive analyses. Results: Of the 298 surveys administered, 282 surveys were completed (94.6% response rate). The majority of the P1 students were aware that CPhTs are required to pass a licensure examination (78.4%) but only 37.2% were aware that CPhTs are required to complete continuing education. Less than 10% of students felt that CPhTs were qualified to contact prescribers regarding complex drug-related problems (DRP) and 41.5% of students felt that CPhTs were not qualified to communicate with prescribers for any DRP. The majority of students (92.2%) believed that pharmacy technicians are very important to a community pharmacy team; less than 1% felt that technicians were not important to a community pharmacy team. In comparison, only 61.7% of students thought that pharmacy interns were very important to the community pharmacy team and 8.5% felt that interns were not important to the pharmacy team. Conclusion: Student pharmacists' view CPhTs as more important to the pharmacy team than pharmacy interns. Student pharmacists are not aware of many of the technicians' qualifications and their ability to assist with DRPs. CPhTs play a critical role in community pharmacies, and student pharmacists should be educated about the technicians' qualifications.</t>
  </si>
  <si>
    <t>(Conway S.; Dunican K., kaelen.dunican@mcphs.edu; Abel C.; Seed S.; Lynch A.) APhA2014 Orlando, FL, United States 2014-03-28 to 2014-03-31 American Pharmacists Association; ID: 913</t>
  </si>
  <si>
    <t>Conway,S. E.;Smith,W. J.;Truong,T. H.;Shadid,J.;Author,Addresses;Dr Conway is Associate Professor, Department of Pharmacy,Clinical and;Administrative Sciences, University of Oklahoma College of,Pharmacy Dr;Sciences,University of Oklahoma College of Pharmacy;Correspondence,Address;SE Conway, Email susan-conway,ouhsc edu</t>
  </si>
  <si>
    <t>25179928; Interprofessional pharmacy observation activity for third-year dental students</t>
  </si>
  <si>
    <t>dental education;dental student;education;article;cooperation;dental pharmacology;drug control;drug dosage form;feedback system;human;interprofessional education;interprofessional learning;medication error (prevention);medicinal chemistry;methodology;pharmacist;pharmacy;Prescribing;prescription;prescription drug diversion (prevention);public relations;teaching</t>
  </si>
  <si>
    <t>Interprofessional learning is a key component of today's health sciences education. Within a two-course series in dental pharmacology and therapeutics, a dental curriculum was revised to provide an interprofessional activity to expose dental students to a community pharmacy setting. The objectives of this activity were to augment students' learning about drug laws and prescription writing, as well as to foster interprofessional relationships and collaboration between pharmacists and dentists. Dental students were scheduled for one-hour observations at community pharmacies on campus. Learning objectives to guide this activity focused on demonstrating community pharmacy operating procedures, identifying ways to minimize prescribing and dosing errors, and understanding how pharmacists can assist dentists in prescribing. Following the observation, students were required to submit a written assignment, which accounted for 14 percent of their course grade. All 119 dental students (100 percent) enrolled in the course for the summers of 2012 and 2013 completed the activity. The average grade on the written assignment was 96.2 out of 100. At the end of the course, students were asked to participate in an online course evaluation survey, for which response rates were 37 percent and 43 percent for 2012 and 2013, respectively. The students rated the pharmacy observation activity favorably on this course evaluation. The pharmacy observation activity provided a successful interprofessional component to the didactic pharmacy course and was well received by the dental students as well as the community pharmacists.</t>
  </si>
  <si>
    <t>(Conway S.E., susan-conway@ouhsc.edu; Smith W.J.; Truong T.H.; Shadid J.); ID: 938</t>
  </si>
  <si>
    <t>1930-7837 (electronic)</t>
  </si>
  <si>
    <t>http://www.ncbi.nlm.nih.gov/pubmed/25179928</t>
  </si>
  <si>
    <t>Interprofessional pharmacy observation activity for third-year dental students</t>
  </si>
  <si>
    <t>Cooper,E. N.;Dodson,C.;Stopka,T. J.;Riley,E. D.;Garfein,R. S.;Bluthenthal,R. N.</t>
  </si>
  <si>
    <t>PMC2900565; Pharmacy participation in non-prescription syringe sales in Los Angeles and San Francisco counties, 2007</t>
  </si>
  <si>
    <t>*Attitude of Health Personnel;*Community Pharmacy Services/sn Statistics &amp; Numerical Data];HIV Infections/pc Prevention &amp; Control];Health Care Surveys;Hepatitis C/pc Prevention &amp; Control];Humans;Los Angeles;*Needle-Exchange Programs/sn Statistics &amp; Numerical Data];San Francisco;*Substance Abuse, Intravenous</t>
  </si>
  <si>
    <t>Increasing sterile syringe access for injection drug users (IDUs) is one way to prevent HIV and hepatitis C virus (HCV) transmission in this population. In 2005, California Senate Bill 1159 allowed counties to adopt the Disease Prevention Demonstration Project (DPDP). Where enacted, the DPDP allows pharmacies that register with the county to sell up to ten syringes to adults without a prescription. In the current study, we describe pharmacy participation in nonprescription syringe sales (NPSS) in two counties in California and examine factors associated with NPSS. Telephone and in-person interviews were conducted in Los Angeles (LA) and San Francisco (SF) with 238 pharmacies in 2007 (n = 67 in SF; n = 171 in LA). Quantitative survey items captured pharmacy registration with the county, pharmacy policies/practices, episodes and conditions of NPSS and refusals to sell, potential negative consequences of NPSS, and staff attitudes regarding HIV and HCV prevention for IDUs. Overall, 42% of pharmacies reported NPSS (28% in LA and 81% in SF), although only 34% had registered with the county (17% in LA and 76% in SF). Many pharmacies required proof of a medical condition (80% in LA and 30% in SF) and refused NPSS if the customer was a suspected IDU (74% in LA, 33% in SF). Few negative consequences of NPSS were reported. In multivariate logistic regression analysis, we found that the odds of NPSS were significantly higher among pharmacists who thought syringe access was important for preventing HIV among IDUs adjusted odds ratio (AOR) = 2.95; 95% confidence interval (CI) = 1.10-7.92], were chain pharmacies (AOR = 12.5; 95% CI = 4.55-33.33), and were located in SF (AOR = 4.88; 95% CI = 1.94-12.28). These results suggest that NPSS were influenced by pharmacists' perception. NPSS might be increased through greater educational efforts directed at pharmacists, particularly those in non-chain pharmacies.</t>
  </si>
  <si>
    <t>J2: J Urban Health; Cooper, Erin N Dodson, Chaka Stopka, Thomas J Riley, Elise D Garfein, Richard S Bluthenthal, Ricky N; ID: 284</t>
  </si>
  <si>
    <t>Cooper,Erin N. Urban Community Research Center, Sociology Department, California State University Dominguez Hills, 1000 East Victoria Street, Carson, CA 90747, USA.</t>
  </si>
  <si>
    <t>http://ovidsp.ovid.com/ovidweb.cgi?T=JS&amp;CSC=Y&amp;NEWS=N&amp;PAGE=fulltext&amp;D=med5&amp;AN=20549568</t>
  </si>
  <si>
    <t>http://dx.doi.org/10.1007/s11524-010-9483-z</t>
  </si>
  <si>
    <t>MEDLINE; Ovid Technologies; Pharmacy participation in non-prescription syringe sales in Los Angeles and San Francisco counties, 2007</t>
  </si>
  <si>
    <t>Cooper,H. L.;Bossak,B. H.;Tempalski,B.;Friedman,S. R.;Des Jarlais,D. C.</t>
  </si>
  <si>
    <t>PMC2791821; Temporal trends in spatial access to pharmacies that sell over-the-counter syringes in New York City health districts: relationship to local racial/ethnic composition and need</t>
  </si>
  <si>
    <t>Acquired Immunodeficiency Syndrome/ep Epidemiology];Acquired Immunodeficiency Syndrome/pc Prevention &amp; Control];*Continental Population Groups/sn Statistics &amp; Numerical Data];*Ethnic Groups/sn Statistics &amp; Numerical Data];*Health Services Accessibility/sn Statistics &amp; Numerical Data];Health Services Needs and Demand/sn Statistics &amp; Numerical Data];Humans;New York City;*Pharmacies/sn Statistics &amp; Numerical Data];Pharmacies/sd Supply &amp; Distribution];Substance Abuse, Intravenous/ep Epidemiology];*Syringes/sd Supply &amp; Distribution];Time Factors</t>
  </si>
  <si>
    <t>Pharmacies that sell over-the-counter (OTC) syringes are a major source of sterile syringes for injection drug users in cities and states where such sales are legal. In these cities and states, however, black injectors are markedly less likely to acquire syringes from pharmacies than white injectors. The present analysis documents spatial and temporal trends in OTC pharmacy access in New York City health districts over time (2001-2006) and investigates whether these trends are related to district racial/ethnic composition and to local need for OTC pharmacies. For each year of the study period, we used kernel density estimation methods to characterize spatial access to OTC pharmacies within each health district. Higher values on this measure indicate better access to these pharmacies. "Need" was operationalized using two different measures: the number of newly diagnosed injection-related AIDS cases per 10,000 residents (averaged across 1999-2001), and the number of drug-related hospital discharges per 10,000 residents (averaged across 1999-2001). District sociodemographic characteristics were assessed using 2000 US decennial census data. We used hierarchical linear models (HLM) for descriptive and inferential analyses and investigated whether the relationship between need and temporal trajectories in the Expanded Syringe Access Demonstration Program access varied by district racial/ethnic composition, controlling for district poverty rates. HLM analyses indicate that the mean spatial access to OTC pharmacies across New York City health districts was 12.71 in 2001 and increased linearly by 1.32 units annually thereafter. Temporal trajectories in spatial access to OTC pharmacies depended on both need and racial/ethnic composition. Within high-need districts, OTC pharmacy access was twice as high in 2001 and increased three times faster annually, in districts with higher proportions of non-Hispanic white residents than in districts with low proportions of these residents. In low-need districts, "whiter" districts had substantially greater baseline access to OTC pharmacies than districts with low proportions of non-Hispanic white residents. Access remained stable thereafter in low-need districts, regardless of racial/ethnic composition. Conclusions were consistent across both measures of "need" and persisted after controlling for local poverty rates. In both high- and low-need districts, spatial access to OTC pharmacies was greater in "Whiter" districts in 2001; in high-need districts, access also increased more rapidly over time in "whiter" districts. Ensuring equitable spatial access to OTC pharmacies may reduce injection-related HIV transmission overall and reduce racial/ethnic disparities in HIV incidence among injectors.</t>
  </si>
  <si>
    <t>J2: J Urban Health; Cooper, Hannah L F Bossak, Brian H Tempalski, Barbara Friedman, Samuel R Des Jarlais, Don C 1R21DA023391-01 (United States NIDA NIH HHS); ID: 311</t>
  </si>
  <si>
    <t>Cooper,Hannah L F. Rollins School of Public Health, Emory University, Atlanta, GA 30322, USA. hcoope3@sph.emory.edu</t>
  </si>
  <si>
    <t>http://ovidsp.ovid.com/ovidweb.cgi?T=JS&amp;CSC=Y&amp;NEWS=N&amp;PAGE=fulltext&amp;D=med5&amp;AN=19911283</t>
  </si>
  <si>
    <t>http://dx.doi.org/10.1007/s11524-009-9399-7</t>
  </si>
  <si>
    <t>MEDLINE; Ovid Technologies; Temporal trends in spatial access to pharmacies that sell over-the-counter syringes in New York City health districts: relationship to local racial/ethnic composition and need</t>
  </si>
  <si>
    <t>Cooper,J. W.;Author,Addresses;Department of Pharmacy Practice, College of,Pharmacy The;University,of Georgia;Correspondence,Address;Department of Pharmacy Practice, College of Pharmacy The,University of;Georgia,Athens G. A.</t>
  </si>
  <si>
    <t>Geriatric pharmacy education in the United States of America</t>
  </si>
  <si>
    <t>Journal of Geriatric Drug Therapy</t>
  </si>
  <si>
    <t>J.Geriatr.Drug Ther.</t>
  </si>
  <si>
    <t>clinical pharmacy;geriatrics;education;review;Gerontology and Geriatrics (20);Clinical and Experimental Pharmacology (30)</t>
  </si>
  <si>
    <t>The evolution of geriatric pharmacy education in the United States of America has been an outgrowth of the clinical pharmacy movement over the past 25 years. The establishment and further development of professional organizations that address the needs of the geriatric patient population include the American Society of Hospital Pharmacy, American Society of Consultant Pharmacists, and the American College of Clinical Pharmacy. Despite gradual progress in the development of clinical educational programs, there are no required educational accreditation requirements for geriatrics training. There are health care needs and a high prevalence of unresolved drug-related problems of drug misuse and adverse reaction found in geriatric patients at all levels of care. The academic didactic courses for entry level clinicians in geriatrics include rigorous courses in pathophysiology, pharmacotherapy, pharmacokinetics, patient assessment, and drug information. Clerkships at all levels of care that develop drug therapy consultation skills for geriatric patients, over a minimum of 1500 hours, should be an entry level requirement for all future practitioners of pharmacy. Post-graduate residency and fellowship training programs for the recent graduates and mini-residencies and concise certificate courses for past graduates should be encouraged for the development of a national standard of pharmacy care for geriatric patients.</t>
  </si>
  <si>
    <t>(Cooper J.W.); ID: 1726</t>
  </si>
  <si>
    <t>8756-4629</t>
  </si>
  <si>
    <t>Corelli,R. L.;Fenlon,C. M.;Kroon,L. A.;Prokhorov,A. V.;Hudmon,K. S.</t>
  </si>
  <si>
    <t>PMC2690925; Evaluation of a train-the-trainer program for tobacco cessation</t>
  </si>
  <si>
    <t>Adult;Aged;Curriculum;Data Collection;*Education, Pharmacy/og Organization &amp; Administration];Faculty;Female;*Health Knowledge, Attitudes, Practice;Humans;*Inservice Training/mt Methods];Male;Middle Aged;Program Evaluation;*Smoking Cessation/mt Methods]</t>
  </si>
  <si>
    <t>OBJECTIVES: To assess pharmacy faculty members' perceptions of the Rx for Change tobacco cessation program materials and train-the-trainer program. METHODS: Pharmacy faculty members attended a 14.5 hour train-the-trainer program conducted over 3 days. Posttraining survey instruments assessed participants' (n = 188) characteristics and factors hypothesized to be associated with program adoption. RESULTS: Prior to the training, 49.5% of the faculty members had received no formal training for treating tobacco use and dependence, and 46.3% had never taught students how to treat tobacco use and dependence. Participants' self-rated abilities to teach tobacco cessation increased posttraining (p &lt; 0.001). The curriculum materials were viewed as either moderately (43.9%) or highly (54.0%) compatible for integration into existing curricula, and 68.3% reported they were "highly likely" to implement the program in the upcoming year. CONCLUSIONS: Participation in a national train-the-trainer program significantly increased faculty members' perceived ability to teach tobacco-related content to pharmacy students, and the majority of participants indicated a high likelihood of adopting the Rx for Change program at their school. The train-the-trainer model appears to be a viable and promising strategy for promoting adoption of curricular innovations on a national scale.</t>
  </si>
  <si>
    <t>J2: Am J Pharm Educ; Corelli, Robin L Fenlon, Christine M Kroon, Lisa A Prokhorov, Alexander V Hudmon, Karen Suchanek R25 CA90720 (United States NCI NIH HHS); ID: 338</t>
  </si>
  <si>
    <t>Corelli,Robin L. Department of Clinical Pharmacy, School of Pharmacy, University of California, San Francisco, 521 ParnassusAvenue C-152], Box 0622, San Francisco, CA 94143-0622, USA. corellir@pharmacy.ucsf.edu</t>
  </si>
  <si>
    <t>http://ovidsp.ovid.com/ovidweb.cgi?T=JS&amp;CSC=Y&amp;NEWS=N&amp;PAGE=fulltext&amp;D=med5&amp;AN=19503693</t>
  </si>
  <si>
    <t>MEDLINE; Ovid Technologies; Evaluation of a train-the-trainer program for tobacco cessation</t>
  </si>
  <si>
    <t>Corelli,R. L.;Kroon,L. A.;Chung,E. P.;Sakamoto,L. M.;Gundersen,B.;Fenlon,C. M.;Hudmon,K. S.</t>
  </si>
  <si>
    <t>Statewide evaluation of a tobacco cessation curriculum for pharmacy students</t>
  </si>
  <si>
    <t>Preventive medicine</t>
  </si>
  <si>
    <t>Prev.Med.</t>
  </si>
  <si>
    <t>Adult;Cohort Studies;*Curriculum;Education, Pharmacy;*Educational Measurement;Female;Humans;Male;Sensitivity and Specificity;*Smoking/pc Prevention &amp; Control];Students, Pharmacy;*Tobacco Use Cessation;United States</t>
  </si>
  <si>
    <t>BACKGROUND: Previous studies suggest that healthcare professionals are inadequately trained to treat tobacco use and dependence. Because even brief interventions from clinicians improve patient quit rates, widespread implementation of effective tobacco cessation training programs for health professional students is needed. METHODS: Pharmacy students received 7-8 h of comprehensive tobacco cessation training. Participants completed pre- and post-program surveys assessing perceived overall abilities for cessation counseling, skills for key facets of cessation counseling (Ask, Advise, Assess, Assist, Arrange), and self-efficacy for counseling. RESULTS: A total of 493 students (82.3%) completed linkable pre- and post-training evaluations. Self-reported abilities, measured on a five-point scale, increased significantly from 1.89 +/- 0.89 to 3.53 +/- 0.72 (P &lt; 0.001). Twenty-two percent of students rated their overall counseling abilities as good, very good, or excellent before the training versus 94% of students after the training. Eighty-seven percent of students indicated the training will increase the number of patients that they counsel; 97% believed it will increase the quality of their cessation counseling. CONCLUSIONS: Comprehensive training significantly improved pharmacy students' perceived confidence and ability to provide tobacco cessation counseling. The curriculum is applicable to other health professional training programs and currently is being used to train pharmacy, medical, nursing, and dental students.</t>
  </si>
  <si>
    <t>J2: Prev Med; Corelli, Robin L Kroon, Lisa A Chung, Eunice P Sakamoto, Leanne M Gundersen, Berit Fenlon, Christine M Hudmon, Karen Suchanek R25 90720 (United States PHS HHS); ID: 446</t>
  </si>
  <si>
    <t>0091-7435</t>
  </si>
  <si>
    <t>Corelli,Robin L. Department of Clinical Pharmacy, School of Pharmacy, University of California, San Francisco, USA.</t>
  </si>
  <si>
    <t>http://ovidsp.ovid.com/ovidweb.cgi?T=JS&amp;CSC=Y&amp;NEWS=N&amp;PAGE=fulltext&amp;D=med5&amp;AN=15850892</t>
  </si>
  <si>
    <t>MEDLINE; Ovid Technologies; Statewide evaluation of a tobacco cessation curriculum for pharmacy students</t>
  </si>
  <si>
    <t>Corlett,P. R.;Honey,G. D.;Aitken,M. R.;Dickinson,A.;Shanks,D. R.;Absalom,A. R.;Lee,M.;Pomarol-Clotet,E.;Murray,G. K.;McKenna,P. J.;Robbins,T. W.;Bullmore,E. T.;Fletcher,P. C.</t>
  </si>
  <si>
    <t>Frontal responses during learning predict vulnerability to the psychotogenic effects of ketamine: linking cognition, brain activity, and psychosis</t>
  </si>
  <si>
    <t>Archives of General Psychiatry</t>
  </si>
  <si>
    <t>Arch.Gen.Psychiatry</t>
  </si>
  <si>
    <t>Adult;*Association Learning/de Drug Effects];Brief Psychiatric Rating Scale/sn Statistics &amp; Numerical Data];*Cognition Disorders/ci Chemically Induced];Cognition Disorders/pp Physiopathology];Delusions/ci Chemically Induced];Disease Susceptibility/px Psychology];Dose-Response Relationship, Drug;Female;*Frontal Lobe/de Drug Effects];*Frontal Lobe/pp Physiopathology];Humans;*Ketamine/pd Pharmacology];*Magnetic Resonance Imaging;Male;Models, Theoretical;Perceptual Disorders/ci Chemically Induced];Placebos;Probability;Psychiatric Status Rating Scales/sn Statistics &amp; Numerical Data];*Psychoses, Substance-Induced/et Etiology];Psychoses, Substance-Induced/pp Physiopathology];Psychoses, Substance-Induced/px Psychology];*Psychotic Disorders/et Etiology];Psychotic Disorders/pp Physiopathology];0 (Placebos);690G0D6V8H (Ketamine)</t>
  </si>
  <si>
    <t>CONTEXT: Establishing a neurobiological account of delusion formation that links cognitive processes, brain activity, and symptoms is important to furthering our understanding of psychosis. OBJECTIVE: To explore a theoretical model of delusion formation that implicates prediction error-dependent associative learning processes in a pharmacological functional magnetic resonance imaging study using the psychotomimetic drug ketamine. DESIGN: Within-subject, randomized, placebo-controlled study. SETTING: Hospital-based clinical research facility, Addenbrooke's Hospital, Cambridge, England. The work was completed within the Wellcome Trust and Medical Research Council Behavioral and Clinical Neuroscience Institute, Cambridge. PARTICIPANTS: Fifteen healthy, right-handed volunteers (8 of whom were male) with a mean +/- SD age of 29 +/- 7 years and a mean +/- SD predicted full-scale IQ of 113 +/- 4 were recruited from within the local community by advertisement. INTERVENTIONS: Subjects were given low-dose ketamine (100 ng/mL of plasma) or placebo while performing a causal associative learning task during functional magnetic resonance imaging. In a separate session outside the scanner, the dose was increased (to 200 ng/mL of plasma) and subjects underwent a structured clinical interview. MAIN OUTCOME MEASURES: Brain activation, blood plasma levels of ketamine, and scores from psychiatric ratings scales (Brief Psychiatric Ratings Scale, Present State Examination, and Clinician-Administered Dissociative States Scale). RESULTS: Low-dose ketamine perturbs error-dependent learning activity in the right frontal cortex (P = .03). High-dose ketamine produces perceptual aberrations (P = .01) and delusion-like beliefs (P = .007). Critically, subjects showing the highest degree of frontal activation with placebo show the greatest occurrence of drug-induced perceptual aberrations (P = .03) and ideas or delusions of reference (P = .04). CONCLUSIONS: These findings relate aberrant prediction error-dependent associative learning to referential ideas and delusions via a perturbation of frontal cortical function. They are consistent with a model of delusion formation positing disruptions in error-dependent learning.</t>
  </si>
  <si>
    <t>J2: Arch Gen Psychiatry; Corlett, Philip R Honey, Garry D Aitken, Michael R F Dickinson, Anthony Shanks, David R Absalom, Anthony R Lee, Michael Pomarol-Clotet, Edith Murray, Graham K McKenna, Peter J Robbins, Trevor W Bullmore, Edward T Fletcher, Paul C 064351 (United Kingdom Wellcome Trust) G0001237 (United Kingdom Medical Research Council) G0001354 (United Kingdom Medical Research Council) G9439390 (United Kingdom Medical Research Council) (United Kingdom Wellcome Trust); ID: 430</t>
  </si>
  <si>
    <t>0003-990X</t>
  </si>
  <si>
    <t>Corlett,Philip R. Brain Mapping Unit, Department of Psychiatry, School of Clinical Medicine, University of Cambridge, Cambridge, England.</t>
  </si>
  <si>
    <t>http://ovidsp.ovid.com/ovidweb.cgi?T=JS&amp;CSC=Y&amp;NEWS=N&amp;PAGE=fulltext&amp;D=medc&amp;AN=16754834</t>
  </si>
  <si>
    <t>MEDLINE; Ovid Technologies; Frontal responses during learning predict vulnerability to the psychotogenic effects of ketamine: linking cognition, brain activity, and psychosis</t>
  </si>
  <si>
    <t>Cornu,P.;Steurbaut,S.;Leysen,T.;De Baere,E.;Ligneel,C.;Mets,T.;Dupont,A. G.</t>
  </si>
  <si>
    <t>Effect of medication reconciliation at hospital admission on medication discrepancies during hospitalization and at discharge for geriatric patients</t>
  </si>
  <si>
    <t>Aged;Aged, 80 and over;Belgium;Cohort Studies;Documentation/st Standards];Female;Hospitalization/sn Statistics &amp; Numerical Data];Hospitals, University;Humans;Male;*Medication Errors/pc Prevention &amp; Control];*Medication Reconciliation/og Organization &amp; Administration];*Patient Admission/st Standards];*Patient Discharge/st Standards];Pharmacists/og Organization &amp; Administration];Pharmacy Service, Hospital/mt Methods];Prescription Drugs/ad Administration &amp; Dosage];Prescription Drugs/ae Adverse Effects];Retrospective Studies;0 (Prescription Drugs)</t>
  </si>
  <si>
    <t>BACKGROUND: Medication discrepancies have the potential to cause harm. Medication reconciliation by clinical pharmacists aims to prevent discrepancies and other drug-related problems. OBJECTIVE: To determine how often discrepancies in the physician-acquired medication history result in discrepancies during hospitalization and at discharge. Secondary objectives were to determine the influence of clinical pharmacists' interventions on discrepancies and to investigate possible patient-related determinants for experiencing discrepancies. METHODS: This was a retrospective, single-center, cohort study of patients who were admitted to the acute geriatric department of a Belgian university hospital and followed up by clinical pharmacists between September 2009 and April 2010. Patients were limited to those 65 years or older who were taking 1 or more prescription drug. Medication reconciliation at admission, during hospitalization, and at discharge was conducted by an independent pharmacist who gathered information via chart reviews. RESULTS: The reconciliation process at admission identified 681 discrepancies in 199 patients. Approximately 81.9% (163) of patients had at least 1 discrepancy in the physician-acquired medication history. The clinical pharmacists performed 386 interventions, which were accepted in 279 cases (72.3%). A quarter of the medication history discrepancies (165; 24.2%) resulted in discrepancies during hospitalization, mostly because the intervention was not accepted. At discharge, 278 medication history discrepancies (40.8%) resulted in discrepancies in the discharge letter, accounting for 50.2% of all 554 discrepancies identified in the discharge letters. The likelihood for experiencing discrepancies at admission increased by 47% for every additional drug listed in the medication history. CONCLUSIONS: Discrepancies in the physician-acquired medication history at admission do not always correlate with discrepancies during hospitalization because of clinical pharmacists' interventions; however, discrepancies at admission may be associated with at least half of the discrepancies at discharge. Clinical pharmacist-conducted medication reconciliation can reduce these discrepancies, provided the erroneous information in the physician-acquired medication history is corrected and each intentional change in the medication plan is well documented during hospitalization and at discharge.</t>
  </si>
  <si>
    <t>J2: Ann Pharmacother; Cornu, Pieter Steurbaut, Stephane Leysen, Tinne De Baere, Eva Ligneel, Claudine Mets, Tony Dupont, Alain G; ID: 207</t>
  </si>
  <si>
    <t>Cornu,Pieter. Universitair Ziekenhuis (UZ) Brussel, Department of Clinical Pharmacology and Pharmacotherapy, Jette, Belgium.</t>
  </si>
  <si>
    <t>http://ovidsp.ovid.com/ovidweb.cgi?T=JS&amp;CSC=Y&amp;NEWS=N&amp;PAGE=fulltext&amp;D=medl&amp;AN=22414793</t>
  </si>
  <si>
    <t>http://dx.doi.org/10.1345/aph.1Q594</t>
  </si>
  <si>
    <t>MEDLINE; Ovid Technologies; Effect of medication reconciliation at hospital admission on medication discrepancies during hospitalization and at discharge for geriatric patients</t>
  </si>
  <si>
    <t>Coskun,M.;K‚îÄ‚ñír‚îÄ‚ñímer,N.;Akcay,F.;Pabuccuoglu,M. V.;Demirhan,‚îÄ‚ñë;Baykal,T.;Basaran,A.;Aktay,G.;Sar‚îÄ‚ñíyar,G.;Rollas,S.;Sayg‚îÄ‚ñí,S.;Erol,D. D.;Demirdamar,R.;Baser,H. C.;Author,Addresses;Faculty,of Pharmacy;Faculty,of Pharmacy;Faculty,of Pharmacy;Faculty,of Pharmacy;Faculty,of Pharmacy;Faculty,of Pharmacy;Faculty,of Pharmacy;Faculty,of Pharmacy;Faculty,of Pharmacy;Faculty,of Pharmacy;Faculty,of Pharmacy;Faculty,of Pharmacy;Faculty of Pharmacy,Mersin 10;Association Cinnah Caddesi, Willy Brandt Sok,No Cankaya;Ankara,Turkey</t>
  </si>
  <si>
    <t>Continuing Professional Development ProgramŒì√á√ñs (CPDŒì√á√ñs) in pharmacy: Since 1986 in Turkey</t>
  </si>
  <si>
    <t>analgesic agent;antibiotic agent;pharmacy;professional development;aged;allergic disease;asthma;avian influenza;child;computer;contraception;diabetes mellitus;drug industry;drug use;education;education program;endocrine disease;first aid;human;hypertension;infection;lactation;management;obesity;pain;peptic ulcer;pharmacist;pharmacy technician;phytotherapy;postgraduate student;pregnancy;school;substance abuse;university;vocational education</t>
  </si>
  <si>
    <t>With the development of the pharmaceutical industry in Turkey, the role of the pharmacist in the pharmacy practice also changed; parallel to this change, the existing curiculum of pharmacy education did not fully meet the needs of the paharmacy practice. Thus, postgraduate programmes emerged as a need. Continuing Professional Development Programs (called Inter Professional Education Programs-M‚îÄ‚ñëEPŒì√á√ñs) have been conducted in cooperation with the Schools of Pharmacy and the Chamber of Pharmacists. The first professional development programme in Turkey was organised at Ankara University Faculty of Pharmacy in 1986. This first programme included applied first aid, social pharmacy and computer use in pharmacy practice; a total of 26 subjects to which 139 pharmacists attended. During the following years each chamber of pharmacy (at that time there were 49 chambers of pharmacy) organised its own M‚îÄ‚ñëEP. In 1996, at the General Assembly of the Turkish Pharmacists Association, 18 topics were chosen for M‚îÄ‚ñëEPŒì√á√ñs. Antibiotics, Pain and Analgesics, Hypertension and its treatment, Diabetes, Asthma, Peptic Ulcer, Contraception, Drugs used to treat children, Substance abuse and dependence, Respiratoty infections in children, Phytotherapy, and Pharmacy Administration are some of these topics. Lecturers of Faculties of Pharmacies planned and delivered these courses. Between 1996 and 2003 a total of 162 M‚îÄ‚ñëEPŒì√á√ñs were organised. Turkish Pharmacists Association (TEB) established Œì√á√øTEB AcademyŒì√á√ñ in 2002, aiming to provide Continuing Professional Development through the programmes organised for the Pharmacists. These programmes are structured and conducted by the faculty of 13 Schools of Pharmacies. Safe use of medicines during pregnancy and lactation, Good Pharmacy Practice/Clinical pharmacy, Infectious diseases, Hypertension, Obesity, Pain, Endocrine diseases, Dermacosmetics, Pharmacy administration, Radiopharmacy, Asthma and allergic diseases, Diabetes, Role of the Pharmacist in safe drug use in the elderly, Avian Flu, Rational Antibiotic Use, Pharmacy Technician programmmes are some of the programmes organised. We have planned this study to evaluate the results of these M‚îÄ‚ñëEPŒì√á√ñs and CPD programmes.</t>
  </si>
  <si>
    <t>(Coskun M.) (K‚îÄ‚ñír‚îÄ‚ñímer N.) (Akcay F.) (Pabuccuoglu M. V.) (Demirhan ‚îÄ‚ñë.) (Baykal T.) (Basaran A.) (Aktay G.) (Sar‚îÄ‚ñíyar G.) (Rollas S.) (Sayg‚îÄ‚ñí S.) (Erol D. D.) (Demirdamar R.) (TEB) (Baser H. C.) EAFP Annual Conference, 2009 Oslo, Norway 2009-06-18 to 2009-06-20 FIP; ID: 1427</t>
  </si>
  <si>
    <t>1560-2214 1477-2701 (electronic)</t>
  </si>
  <si>
    <t>Costa,L. G.;Aschner,M.</t>
  </si>
  <si>
    <t>PMC3544138; An interview with Lucio G. Costa and Michael Aschner, section editors for toxicology</t>
  </si>
  <si>
    <t>BMC Pharmacology &amp; Toxicology</t>
  </si>
  <si>
    <t>Animals;Humans;Research;Toxicity Tests;*Toxicology</t>
  </si>
  <si>
    <t>Lucio G. Costa is currently Professor of Environmental and Occupational Health Sciences at the School of Public Health at the University of Washington. Dr. Costa is a renowned neurotoxicologist whose research interests are focused on understanding the role of neurotoxic substances in neurodevelopmental disorders and other neurological, neuropsychiatric and neurodegenerative diseases. Dr Costa's research laboratory makes use of a variety of in vivo and in vitro cell culture systems, transgenic animal models and imaging techniques to study the cellular, biochemical and molecular mechanisms of neurotoxicity.Michael Aschner is the Gray E. B. Stahlman Professor of Pediatrics and Pharmacology at Vanderbilt University School of Medicine as well as a Senior Investigator at the Kennedy Center for Research on Human Development. Dr Aschner's research group has a particular interest in the neurobiology and physiology of astrocytes and the signaling mechanisms associated with central nervous system injury. Dr Aschner's laboratory studies metal uptake and distribution in the brain, investigating the mechanisms of transport of methylmercury and manganese across the capillaries of the blood-brain barrier. His research utilizes various experimental models (C. elegans, tissue cultures and rodents) to understand the acute toxicity of manganese deposition in the brains of human neonates.In this interview we find out a little more about the key issues in the field of toxicology research.</t>
  </si>
  <si>
    <t>J2: BMC Pharmacol Toxicol; Costa, Lucio G Aschner, Michael; ID: 165</t>
  </si>
  <si>
    <t>2050-6511</t>
  </si>
  <si>
    <t>Costa,Lucio G. Department of Environmental and Occupational Health Sciences University of Washington, 4225 Roosevelt #100, Seattle, WA 98105, USA. lgcosta@u.washington.edu</t>
  </si>
  <si>
    <t>http://ovidsp.ovid.com/ovidweb.cgi?T=JS&amp;CSC=Y&amp;NEWS=N&amp;PAGE=fulltext&amp;D=medl&amp;AN=23153341</t>
  </si>
  <si>
    <t>http://dx.doi.org/10.1186/2050-6511-13-16</t>
  </si>
  <si>
    <t>MEDLINE; Ovid Technologies; An interview with Lucio G. Costa and Michael Aschner, section editors for toxicology</t>
  </si>
  <si>
    <t>Coster,J. M.</t>
  </si>
  <si>
    <t>Students learn about drug abuse</t>
  </si>
  <si>
    <t>NS21</t>
  </si>
  <si>
    <t>*Education, Pharmacy;Humans;*Substance-Related Disorders</t>
  </si>
  <si>
    <t>J2: Am Pharm; Coster, J M; ID: 719</t>
  </si>
  <si>
    <t>http://ovidsp.ovid.com/ovidweb.cgi?T=JS&amp;CSC=Y&amp;NEWS=N&amp;PAGE=fulltext&amp;D=med2&amp;AN=7282540</t>
  </si>
  <si>
    <t>MEDLINE; Ovid Technologies; Students learn about drug abuse</t>
  </si>
  <si>
    <t>Couch,J. R.;Lenaerts,M. E.;Author,Addresses;Oklahoma,University;Health Sciences Center, Oklahoma City,O.K.United States;Department,of Neurology;Section,Oklahoma University Health Sciences Center Stanton L.Young;Blvd,Oklahoma City O. K. United States;Correspondence,Address;JR Couch, Department of Neurology Headache Section,Oklahoma University;Health Sciences Center, Stanton L Young Blvd Oklahoma,City O.;United States Email, james-couch,ouhsc edu</t>
  </si>
  <si>
    <t>Medication overuse headache: Clinical features, pathogenesis and management</t>
  </si>
  <si>
    <t>Drug Development Research</t>
  </si>
  <si>
    <t>Drug Dev.Res.</t>
  </si>
  <si>
    <t>(MAJOR FOCUS);antimigraine agent (adverse drug reaction, drug therapy);nonsteroid antiinflammatory agent (adverse drug reaction, drug therapy);acetylsalicylic acid (adverse drug reaction);analgesic agent (adverse drug reaction);barbituric acid derivative (adverse drug reaction);butalbital (adverse drug reaction);butorphanol (adverse drug reaction);codeine (adverse drug reaction);dextropropoxyphene (adverse drug reaction);dihydroergocornine (drug therapy, subcutaneous drug administration);dihydroergotamine (adverse drug reaction);doxepin (drug therapy);ergotamine (adverse drug reaction, drug therapy);ergotamine derivative (adverse drug reaction);excedrin (adverse drug reaction);hydrocodone (adverse drug reaction);hydrocodone bitartrate plus paracetamol (adverse drug reaction, drug;therapy);isometheptene (adverse drug reaction);meclofenamic acid (drug therapy);metoclopramide (drug therapy);morphine sulfate (adverse drug reaction);nalbuphine (adverse drug reaction);narcotic agent (adverse drug reaction);opiate derivative (adverse drug reaction, drug therapy);oxycodone (adverse drug reaction);paracetamol (adverse drug reaction);pethidine (adverse drug reaction);tramadol (adverse drug reaction);triptan derivative (adverse drug reaction, drug therapy);unindexed drug;drug abuse;drug induced headache (side effect, diagnosis, drug therapy, epidemiology,;etiology, side effect);migraine (drug therapy);comorbidity;drug withdrawal;human;medical education;mental disease;pathogenesis;patient education;prophylaxis;review;syndrome delineation;DRUG TRADE NAMES;excedrin;acetylsalicylic acid (493-53-8, 50-78-2, 53663-74-4, 53664-49-6, 63781-77-1);butalbital (51005-25-5, 77-26-9);butorphanol (42408-82-2);codeine (76-57-3);dextropropoxyphene (1639-60-7, 469-62-5);dihydroergocornine (25447-65-8);dihydroergotamine (511-12-6);doxepin (1229-29-4, 1668-19-5);ergotamine (113-15-5, 52949-35-6);excedrin (53908-21-7, 83535-74-4);hydrocodone (125-29-1, 25968-91-6, 34366-67-1);isometheptene (503-01-5);meclofenamic acid (644-62-2);metoclopramide (12707-59-4, 2576-84-3, 364-62-5, 7232-21-5);morphine sulfate (23095-84-3, 35764-55-7, 64-31-3);nalbuphine (20594-83-6, 23277-43-2);oxycodone (124-90-3, 76-42-6);paracetamol (103-90-2);pethidine (28097-96-3, 50-13-5, 57-42-1);tramadol (27203-92-5, 36282-47-0);Neurology and Neurosurgery (8);Drug Literature Index (37);Adverse Reactions Titles (38);Drug Dependence, Alcohol Abuse and Alcoholism (40)</t>
  </si>
  <si>
    <t>(Table Presented) Medication overuse headache (MOH) is a problem that is estimated to occur in up to 1% of the population. It is a common feature underlying chronic headache, especially chronic migraine. MOH represents a major diagnostic and therapeutic challenge. Many patients are referred to headache specialty clinics, where they can represent the majority of patients. The syndrome remains underdiagnosed and the role of symptomatic medication overuse in producing MOH is often underestimated. With proper education of medical providers, prevention of this too often intractable syndrome could be improved. The basis of therapy is discontinuance of the abused medication. Additional treatment relies on a multifaceted approach that embraces proper use of symptomatic pain medications and management of psychiatric comorbidities and also emphasizes patient education. Various pharmacological regimens, both abortive and prophylactic, are available. Further scientific study is warranted to elucidate the ultimate mechanisms of this syndrome and define more effective treatments. This article gives detailed clinical description, tentative pathophysiological explanation, and therapeutic suggestions. ‚î¨‚åê 2008 Wiley-Liss, Inc.</t>
  </si>
  <si>
    <t>(Couch J.R., james-couch@ouhsc.edu; Lenaerts M.E.) (Couch J.R., james-couch@ouhsc.edu) Wiley-Liss Inc., 111 River Street, Hoboken, United States.; ID: 1480</t>
  </si>
  <si>
    <t>0272-4391 1098-2299 (electronic)</t>
  </si>
  <si>
    <t>2008062930 FULL TEXT LINK http://dx.doi.org/10.1002/ddr.20214</t>
  </si>
  <si>
    <t>Courtney,Ryan J.;Bradford,Deborah;Martire,Kristy A.;Bonevski,Billie;Borland,Ron;Doran,Christopher;Hall,Wayne;Farrell,Michael;Siahpush,Mohammad;Sanson-Fisher,Rob;West,Robert;Mattick,Richard P.</t>
  </si>
  <si>
    <t>A randomized clinical trial of a financial education intervention with nicotine replacement therapy ( NRT) for low socio-economic status Australian smokers: a study protocol</t>
  </si>
  <si>
    <t>1611 10p</t>
  </si>
  <si>
    <t>Smoking -- Prevention and Control -- Australia;Smoking Cessation;Socioeconomic Factors;Social Class;Nicotine Replacement Therapy;Financial Management -- Education;Research Protocols;Australia;Human;Interviews;Random Assignment;Experimental Studies;Funding Source</t>
  </si>
  <si>
    <t>Background and Aims Reducing smoking prevalence among smokers from low socio-economic status ( SES) is a preventative health priority. Financial stress (e.g. shortage of money or inability to pay bills) may be a major barrier to quitting smoking. This study evaluates the efficacy of a financial education and support programme coupled with pharmacotherapy at improving cessation rates at 8-month follow-up among Australian low SES smokers (people receiving a government pension or allowance). Design A two-group parallel block randomized (ratio 1 : 1) open-label clinical trial ( RCT) with allocation concealment will be conducted. Allocation will be concealed to interviewers at data collection-points. Setting The study will be conducted primarily by telephone with baseline, follow-up interviews and telephone-based support sessions. Nicotine replacement therapy ( NRT) delivery will be mail-based. Participants Daily smokers who are interested in quitting smoking and are currently in receipt of government benefits ( n = 1046) will be recruited through study advertisements placed in newspapers, posters placed in government social assistance agencies and Quitline telephone-based cessation support services. After completion of a baseline computer-assisted telephone interview, participants will be allocated randomly to control or intervention group using a permuted block approach. Intervention and Comparator Participants in both groups will receive 8 weeks of free combination NRT plus Quitline support. Participants in the intervention group will also receive four telephone-delivered financial education and support sessions. Measurements The primary outcome measure will be prolonged abstinence (at 8-month follow-up) assessed using Russell Standard criteria and biochemically verified (urine cotinine). Comments This is the first intervention study to evaluate the potential of co-managing financial stress as a means of enhancing smokers' capacity to quit smoking. Such an intervention may provide a scalable intervention to help low SES smokers to quit.</t>
  </si>
  <si>
    <t>Entry Date: 20140829. Revision Date: 20151001. Publication Type: Journal Article; research; tables/charts; randomized controlled trial. Journal Subset: Biomedical; Europe; Peer Reviewed; UK &amp; Ireland. Special Interest: Psychiatry/Psychology. Grant Information: This research is funded by a grant from the National Health and Medical Research Council (NHMRC) of Australia a (grant number APP1021862).. NLM UID: 9304118. PMID: 25040447.; ID: 1797</t>
  </si>
  <si>
    <t>National Drug and Alcohol Research Centre, Medicine, University of New South Wales (UNSW) National Drug and Alcohol Research Centre, Medicine, University of New South Wales (UNSW); School of Psychology, UNSW School of Medicine and Public Health, University of Newcastle Centre for Behavioural Research in Cancer, Cancer Council Victoria UQ Centre for Clinical Research, University of Queensland College of Public Health, University of Nebraska Medical Center UCL Department of Epidemiology and Public Health, University College London</t>
  </si>
  <si>
    <t>http://proxy.lib.umich.edu/login?url=http://search.ebscohost.com/login.aspx?direct=true&amp;db=ccm&amp;AN=103993789&amp;site=ehost-live&amp;scope=site</t>
  </si>
  <si>
    <t>10.1111/add.12669</t>
  </si>
  <si>
    <t>ccm; EBSCOhost; A randomized clinical trial of a financial education intervention with nicotine replacement therapy ( NRT) for low socio-economic status Australian smokers: a study protocol</t>
  </si>
  <si>
    <t>Crauwels,H. M.;Van Heeswijk, R. P. G.;Vandevoorde,A.;Buelens,A.;Stevens,M.;Hoetelmans,R. M. W.;Author,Addresses;Janssen,Infectious Diseases;Turnhoutseweg,B. B.;Correspondence,Address;HM Crauwels, Janssen Infectious Diseases Bvba,Turnhoutseweg B.;Beerse,Belgium Email hcrauwel its jnj com</t>
  </si>
  <si>
    <t>24203510; The effect of rilpivirine on the pharmacokinetics of methadone in HIV-negative volunteers</t>
  </si>
  <si>
    <t>(MAJOR FOCUS);methadone (adverse drug reaction, clinical trial, drug analysis, drug;combination, drug comparison, drug concentration, drug dose, oral drug;administration, pharmacokinetics);rilpivirine (adverse drug reaction, clinical trial, drug analysis, drug;combination, drug comparison, drug concentration, drug dose,;pharmacokinetics);alanine aminotransferase (endogenous compound);methadone treatment;adult;alanine aminotransferase blood level;area under the curve;article;assessment of humans;constipation (side effect);Desires for Drugs Questionnaire;diarrhea (side effect);dizziness (side effect);dose time effect relation;drug blood level;drug effect;drug eruption (side effect);drug induced headache (side effect);drug monitoring;drug tolerability;dry throat (side effect);female;human;human experiment;hyperhidrosis (side effect);intestine function disorder (side effect);maintenance drug dose;male;maximum plasma concentration;middle aged;monotherapy;multiple cycle treatment;nausea (side effect);normal human;open study;phase 1 clinical trial;phase 3 clinical trial (topic);plasma concentration-time curve;pupillometry;recommended drug dose;Short Opiate Withdrawal Scale;side effect (side effect);single blind procedure;skin manifestation (side effect);time to maximum plasma concentration;unspecified side effect (side effect);volunteer;withdrawal syndrome (side effect);young adult;DRUG MANUFACTURERS;(Belgium)Johnson;(United States)pharmaceutical product development;alanine aminotransferase (9000-86-6, 9014-30-6);methadone (1095-90-5, 125-56-4, 23142-53-2, 297-88-1, 76-99-3);rilpivirine (500287-72-9, 700361-47-3);Clinical and Experimental Pharmacology (30);Drug Literature Index (37);Adverse Reactions Titles (38);Drug Dependence, Alcohol Abuse and Alcoholism (40);CLINICAL TRIAL NUMBERS;ClinicalTrials.gov (NCT00744770)</t>
  </si>
  <si>
    <t>Antiretrovirals may influence methadone exposure in HIV-1-infected patients receiving methadone for opiate addiction. Rilpivirine is a non-nucleoside reverse transcriptase inhibitor for treating HIV-1 infection. In this open-label trial (NCT00744770), 13 HIV-negative volunteers continued on their regular stable methadone therapy (60 to 100 mg once daily; Days -14 to 12), with rilpivirine coadministration (Days 1 to 11). Methadone and rilpivirine pharmacokinetics and opiate withdrawal symptoms (Short Opiate Withdrawal Scale, Desires for Drugs Questionnaire, pupillometry) were evaluated. Rilpivirine decreased methadone minimum and maximum plasma concentrations (Cmin; Cmax) and area under the plasma concentration-time curve versus methadone alone (least-square mean ratio; 90% confidence interval) by 22% (0.78; 0.67, 0.91), 14% (0.86; 0.78, 0.95), and 16% (0.84; 0.74, 0.95), respectively (R-methadone), and 21% (0.79; 0.67, 0.92), 13% (0.87; 0.78, 0.97), and 16% (0.84; 0.74, 0.96), respectively (S-methadone). Rilpivirine pharmacokinetics with methadone were consistent with historic data. No clinically relevant opiate withdrawal symptoms were reported. Methadone and rilpivirine coadministration was generally well tolerated. No grade 3/4 adverse events (AEs), serious AEs, or discontinuations due to AEs were seen. No methadone dose adjustment is prompted by rilpivirine coadministration. Clinical monitoring for opiate withdrawal is recommended, as some patients may require adjustment of methadone maintenance therapy.‚î¨‚åê 2013, The American College of Clinical Pharmacology.</t>
  </si>
  <si>
    <t>(Crauwels H.M., hcrauwel@its.jnj.com; Van Heeswijk R.P.G.; Vandevoorde A.; Buelens A.; Stevens M.; Hoetelmans R.M.W.) Wiley-Blackwell Publishing Ltd, 9600 Garsington Rd, Chiswell Green Ln, Oxford, United Kingdom.; ID: 919</t>
  </si>
  <si>
    <t>http://www.ncbi.nlm.nih.gov/pubmed/24203510</t>
  </si>
  <si>
    <t>The effect of rilpivirine on the pharmacokinetics of methadone in HIV-negative volunteers</t>
  </si>
  <si>
    <t>Craythorne,N. L.;Irwin,N.;McCarron,P. A.;Faheem,A. M.;Author,Addresses;Department,of;Pharmacy;Pharmaceutical Science, School of,Biomedical Science;University of Ulster, Coleraine,United Kingdom;Correspondence,Address;NL Craythorne,Department,of Pharmacy;Pharmaceutical Science,School;of Biomedical Science, University of Ulster Coleraine,United Kingdom</t>
  </si>
  <si>
    <t>Stabilisation of W/O/W nanoemulsions through the use of stabilising agents poly(vinyl alcohol) and nonionic surfactants tween 20 and Span 80</t>
  </si>
  <si>
    <t>Journal of Pharmacy and Pharmaceutical Sciences</t>
  </si>
  <si>
    <t>216s</t>
  </si>
  <si>
    <t>217s</t>
  </si>
  <si>
    <t>(MAJOR FOCUS);nonionic surfactant;polysorbate 20;polyvinyl alcohol;sorbitan oleate;adjuvant;antigen;dichloromethane;ionic surfactant;ovalbumin;peptide;polymer;protein;proteinase;surfactant;water;Ireland;pharmacy;school;dissolution;emulsion;gastrointestinal tract;hydrophobicity;model;nanoemulsion;particle size;sedimentation;shelf life;solvent extraction;tight junction</t>
  </si>
  <si>
    <t>The formulation of an orally administered peptide drug has been a coveted and elusive design. It was first suggested by Engel et al. in 1968 using the water-in-oil-in-water(W/O/W) emulsion technique employed by Herbert in the development of an antigen adjuvant (1,2). Employing biodegradable polymers as encapsulants allows for shielding of the drug whilst protecting it from the harmful proteases found in the gastrointestinal tract. Emulsions in the nanoscale range are considerably more beneficial than microemulsions as they have the ability to cross tight junctions into cells which had not previously been accessible. The development of such an emulsion has been hampered in part by the inability to produce and maintain a nanoemulsion that can withstand the changes required to produce a stable drug with a relatively long shelf life under standard conditions. Often is the case that large sedimentary particles are formed, a potentially fatal problem for intravenously delivered drugs and for oral drugs a problem that would effectively prevent the therapeutic agent from reaching its desired target (3). Poly(vinyl alcohol) (PVA) and non-ionic surfactants were utilised in order to stabilise the nanoemulsion thereby reducing the particle size and decrease particle sedimentation by increasing Brownian forces within the emulsion. A primary emulsion was formed through homogenisation of the internal aqueous phase containing ovalbumin, as a model protein, dissolved in varying concentrations of Tween 20 and the oil phase containing PLGA dissolved in varying concentrations of Span 80 using dichloromethane as the dissolution media. A 2% protein load was observed with a phase ratio volume being 1:4. The primary emulsion underwent homogenisation with 1.25% PVA to form the final w/o/w emulsion. Solvent extraction followed A similar experiment was conducted without the use of surfactants with the internal phase being replaced by varying concentrations of PVA (0-5% wt) and the oil phase being dichloromethane alone. All other factors remained the same. It was found that increasing the concentration of Tween 20 at constant concentrations of Span 80 had a positive effect on reducing particle size when compared to PVA. Furthermore, by increasing the concentration of Span 80 a further particle size reduction was observed. This suggests that a reduction in particle size, whilst more dependent on Span concentration, is dictated by both Span 80 and Tween 20. The Hydrophilic-Lipophilic Balance (HLB) achieved was similar to that reached by Khoee and Yaghoobian suggesting that it is the increase in hydrophobicity and Critical Packing Parameter (CPP) that resulted in decreased particle size(4).</t>
  </si>
  <si>
    <t>(Craythorne N.L.; Irwin N.; McCarron P.A.; Faheem A.M.) 33rd All-Ireland Schools of Pharmacy Research Seminar Dublin, Ireland 2011-04-18 to 2011-04-19 Canadian Society for Pharmaceutical Sciences; ID: 1284</t>
  </si>
  <si>
    <t>1482-1826</t>
  </si>
  <si>
    <t>Creed,M. C.;Ntamati,N. R.;Tan,K. R.</t>
  </si>
  <si>
    <t>PMC3897868; VTA GABA neurons modulate specific learning behaviors through the control of dopamine and cholinergic systems</t>
  </si>
  <si>
    <t>Frontiers in Behavioral Neuroscience</t>
  </si>
  <si>
    <t>The mesolimbic reward system is primarily comprised of the ventral tegmental area (VTA) and the nucleus accumbens (NAc) as well as their afferent and efferent connections. This circuitry is essential for learning about stimuli associated with motivationally-relevant outcomes. Moreover, addictive drugs affect and remodel this system, which may underlie their addictive properties. In addition to dopamine (DA) neurons, the VTA also contains approximately 30% gamma-aminobutyric acid (GABA) neurons. The task of signaling both rewarding and aversive events from the VTA to the NAc has mostly been ascribed to DA neurons and the role of GABA neurons has been largely neglected until recently. GABA neurons provide local inhibition of DA neurons and also long-range inhibition of projection regions, including the NAc. Here we review studies using a combination of in vivo and ex vivo electrophysiology, pharmacogenetic and optogenetic manipulations that have characterized the functional neuroanatomy of inhibitory circuits in the mesolimbic system, and describe how GABA neurons of the VTA regulate reward and aversion-related learning. We also discuss pharmacogenetic manipulation of this system with benzodiazepines (BDZs), a class of addictive drugs, which act directly on GABAA receptors located on GABA neurons of the VTA. The results gathered with each of these approaches suggest that VTA GABA neurons bi-directionally modulate activity of local DA neurons, underlying reward or aversion at the behavioral level. Conversely, long-range GABA projections from the VTA to the NAc selectively target cholinergic interneurons (CINs) to pause their firing and temporarily reduce cholinergic tone in the NAc, which modulates associative learning. Further characterization of inhibitory circuit function within and beyond the VTA is needed in order to fully understand the function of the mesolimbic system under normal and pathological conditions.</t>
  </si>
  <si>
    <t>J2: Front Behav Neurosci; Creed, Meaghan C Ntamati, Niels R Tan, Kelly R; ID: 113</t>
  </si>
  <si>
    <t>1662-5153</t>
  </si>
  <si>
    <t>Creed,Meaghan C. Department of Basic Neurosciences, Medical Faculty, University of Geneva Geneva, Switzerland. Ntamati,Niels R. Department of Basic Neurosciences, Medical Faculty, University of Geneva Geneva, Switzerland. Tan,Kelly R. Department of Basic Neurosciences, Medical Faculty, University of Geneva Geneva, Switzerland.</t>
  </si>
  <si>
    <t>http://ovidsp.ovid.com/ovidweb.cgi?T=JS&amp;CSC=Y&amp;NEWS=N&amp;PAGE=fulltext&amp;D=prem&amp;AN=24478655</t>
  </si>
  <si>
    <t>http://dx.doi.org/10.3389/fnbeh.2014.00008</t>
  </si>
  <si>
    <t>MEDLINE; Ovid Technologies; VTA GABA neurons modulate specific learning behaviors through the control of dopamine and cholinergic systems</t>
  </si>
  <si>
    <t>Crouch,B. I.;Caravati,E. M.;Booth,J.</t>
  </si>
  <si>
    <t>Trends in child and teen nonprescription drug abuse reported to a regional poison control center</t>
  </si>
  <si>
    <t>Adolescent;*Adolescent Behavior/px Psychology];Adult;Analgesics/po Poisoning];Analgesics, Opioid/po Poisoning];Caffeine/po Poisoning];Central Nervous System Stimulants/po Poisoning];Child;*Child Behavior/px Psychology];Cholinergic Antagonists/po Poisoning];Dextromethorphan/po Poisoning];Female;Humans;Intention;Male;*Nonprescription Drugs/po Poisoning];*Poison Control Centers/ut Utilization];Substance-Related Disorders/co Complications];*Substance-Related Disorders/ep Epidemiology];Utah/ep Epidemiology];0 (Analgesics);0 (Analgesics, Opioid);0 (Central Nervous System Stimulants);0 (Cholinergic Antagonists);0 (Nonprescription Drugs);3G6A5W338E (Caffeine);7355X3ROTS (Dextromethorphan)</t>
  </si>
  <si>
    <t>PURPOSE: Trends in child and teen nonprescription drug abuse reported to a regional poison control center over a 10-year period were examined. METHODS: Human exposures to toxic substances reported to the Utah Poison Control Center between January 1990 and December 1999 were reviewed. Cases were selected for analysis if the exposure involved a nonprescription drug, the patient was 6-19 years old, and the reason for exposure was intentional abuse. Frequencies and cross-tabulations were calculated to identify trends in nonprescription drug abuse. RESULTS: There were 2214 reports of intentional drug abuse among children and teenagers 6-19 years old. Of those, 844 (38.1%) involved nonprescription drugs. The percentage of exposures Involving nonprescription products varied every year and declined over time. Exposures were slightly more common In males (51.7%). The site of exposure was a residence in 65% of cases and a school in 10% of cases. The majority of patients with exposures (68.4%) were treated In a health care facility. The most common types of nonprescription medications abused were drugs with anticholinergic properties, caffeine, dextromethorphan, and nonprescription stimulants. CONCLUSION: Reports of the Intentional abuse of nonprescription drugs by children and teenagers were common at a regional poison control center. There was significant variation in the type of nonprescription medication most commonly abused. The knowledge of these trends may assist public health policymakers, physicians, pharmacists, and child educators in their attempts to curb nonprescription drug abuse. drugs.</t>
  </si>
  <si>
    <t>J2: Am J Health-Syst Pharm; Crouch, Barbara Insley Caravati, E Martin Booth, Jeremy; ID: 470</t>
  </si>
  <si>
    <t>Crouch,Barbara Insley. Utah Poison Control Center, 585 Komas Drive, Suite 200, Salt Lake City, UT 84108, USA. barbara.crouch@hsc.utah.edu</t>
  </si>
  <si>
    <t>http://ovidsp.ovid.com/ovidweb.cgi?T=JS&amp;CSC=Y&amp;NEWS=N&amp;PAGE=fulltext&amp;D=med5&amp;AN=15259755</t>
  </si>
  <si>
    <t>MEDLINE; Ovid Technologies; Trends in child and teen nonprescription drug abuse reported to a regional poison control center</t>
  </si>
  <si>
    <t>Cruz,Fabio C.;Koya,Eisuke;Guez-Barber,Danielle;Bossert,Jennifer M.;Lupica,Carl R.;Shaham,Yavin;Hope,Bruce T.</t>
  </si>
  <si>
    <t>New technologies for examining the role of neuronal ensembles in drug addiction and fear</t>
  </si>
  <si>
    <t>Nature Reviews Neuroscience</t>
  </si>
  <si>
    <t>754 12p</t>
  </si>
  <si>
    <t>Fear;Neurons -- Pathology;Substance Use Disorders;Animals;Brain;Brain -- Physiology;Conditioning (Psychology);Dopamine -- Physiology;Genes;Limbic System -- Physiology;Mice;Rats;Reward</t>
  </si>
  <si>
    <t>Correlational data suggest that learned associations are encoded within neuronal ensembles. However, it has been difficult to prove that neuronal ensembles mediate learned behaviours because traditional pharmacological and lesion methods, and even newer cell type-specific methods, affect both activated and non-activated neurons. In addition, previous studies on synaptic and molecular alterations induced by learning did not distinguish between behaviourally activated and non-activated neurons. Here, we describe three new approaches--Daun02 inactivation, FACS sorting of activated neurons and Fos-GFP transgenic rats--that have been used to selectively target and study activated neuronal ensembles in models of conditioned drug effects and relapse. We also describe two new tools--Fos-tTA transgenic mice and inactivation of CREB-overexpressing neurons--that have been used to study the role of neuronal ensembles in conditioned fear.</t>
  </si>
  <si>
    <t>Entry Date: 20150522. Revision Date: 20160302. Publication Type: journal article; review. Journal Subset: Biomedical; Europe; UK &amp; Ireland. Grant Information: ZIA DA000467-06//Intramural NIH HHS/United States. NLM UID: 100962781. PMID: 24088811.; ID: 1951</t>
  </si>
  <si>
    <t>1471-003X</t>
  </si>
  <si>
    <t>Intramural Research Program, National Institute on Drug Abuse-National Institutes of Health, 251 Bayview Boulevard, Baltimore, Maryland 21224, USA.</t>
  </si>
  <si>
    <t>http://proxy.lib.umich.edu/login?url=http://search.ebscohost.com/login.aspx?direct=true&amp;db=ccm&amp;AN=104105315&amp;site=ehost-live&amp;scope=site</t>
  </si>
  <si>
    <t>10.1038/nrn3597</t>
  </si>
  <si>
    <t>ccm; EBSCOhost; New technologies for examining the role of neuronal ensembles in drug addiction and fear</t>
  </si>
  <si>
    <t>Culbertson,Vaughn L.</t>
  </si>
  <si>
    <t>A Conceptual Framework for Defining Pharmaceutical Diagnosis</t>
  </si>
  <si>
    <t>Allied Health Occupations Education;Classification;Curriculum Development;Higher Education;Identification;Nursing;Outcomes of Treatment;Pharmacists;Professional Continuing Education;Professional Education;Recordkeeping;(Major): Clinical Diagnosis;Pharmaceutical Education;Pharmacy;Problem Solving</t>
  </si>
  <si>
    <t>Describes a conceptual framework to help pharmacy students and practitioners identify and document drug-related problems. Presents a preliminary description and taxonomy, using principles established within nursing's diagnostic structure, and discusses implications for contemporary pharmacy practice and education, including delineation of pharmacist responsibility, curriculum improvement, pharmacist continuing education, organization of patient data, and documentation of outcomes. (MSE)</t>
  </si>
  <si>
    <t>FirstSearch indicates your institution subscribes to this publication. Libraries worldwide that own item: 1082 University of Michigan Library INDEPENDENT U-M LIBRARIES Search the Mirlyn catalog at the University of MichiganLocal Holdings Information: 1998-Local Holdings Information: 1-66,68-70,72-76; 1937-2012; 1994- Article (EJ); ID: 2115</t>
  </si>
  <si>
    <t>EJ543024</t>
  </si>
  <si>
    <t>ERIC; OCLC; A Conceptual Framework for Defining Pharmaceutical Diagnosis</t>
  </si>
  <si>
    <t>Cummins,B. A.;Kvancz,D. A.;Bennett,D. L.</t>
  </si>
  <si>
    <t>Evaluation of mobile decentralized pharmaceutical services in a community teaching hospital</t>
  </si>
  <si>
    <t>Drug Information Services;*Hospitals, Community/og Organization &amp; Administration];*Hospitals, Teaching/og Organization &amp; Administration];Humans;Medication Systems, Hospital;Pharmacists;*Pharmacy Service, Hospital/og Organization &amp; Administration];Risk Management;United States</t>
  </si>
  <si>
    <t>Mobile decentralized pharmaceutical services were compared with the previous centralized unit dose drug distribution services in a community teaching hospital. Medication order turnaround time, pharmacist workload activities, number of drug information requests, dose-activity index, and quality of drug distribution and drug administration record keeping were compared under the two systems. The number of drug therapy problems identified and resolved by decentralized pharmacists also was determined. Medication order turnaround time decreased from a mean of 198 minutes to 64 minutes in the centralized and decentralized systems, respectively. The number of drug information requests increased from 0.0055 to 0.05 requests per patient day. The percentage of requests related to adverse drug reactions, drug interactions, therapeutics, pharmacokinetics, and pharmacology increased in the decentralized system. The dose-activity index was 63.5% and 56.9% for centralized and decentralized systems, respectively, with the mean number of doses handled per patient day at 14.4 and 10.7. Decentralized pharmacists spent substantially more time than centralized pharmacists performing educational, therapy-related, and dispensing activities and less time performing clerical and verification activities. Decentralized pharmacists detected a large number of drug therapy problems that probably would have gone undetected in the previous system. The decentralized system met 31 of the 32 quality assurance standards, compared with 20 standards met for the centralized system. The implementation of mobile decentralized services provided greater opportunities for use of the pharmacists' clinical skills and reduced the time allocated to traditional functions.</t>
  </si>
  <si>
    <t>J2: Am J Hosp Pharm; Cummins, B A Kvancz, D A Bennett, D L; ID: 694</t>
  </si>
  <si>
    <t>http://ovidsp.ovid.com/ovidweb.cgi?T=JS&amp;CSC=Y&amp;NEWS=N&amp;PAGE=fulltext&amp;D=med2&amp;AN=3565391</t>
  </si>
  <si>
    <t>MEDLINE; Ovid Technologies; Evaluation of mobile decentralized pharmaceutical services in a community teaching hospital</t>
  </si>
  <si>
    <t>Cunningham,J. L.;Lapid,M. I.;Hugo,Z.;Kung,S.;Author,Addresses;Department of Pharmacy, Mayo Clinic College,of Medicine;Rochester,United States;Department of,Psychiatry;Psychology;Rochester,United States;Mayo Clinic College,of Medicine;States;Correspondence,Address;JL Cunningham, Department of Pharmacy Mayo Clinic College,of Medicine;Rochester,United States</t>
  </si>
  <si>
    <t>Acute dystonia associated with paliperidone in a multi-drug overdose</t>
  </si>
  <si>
    <t>(MAJOR FOCUS);paliperidone;alcohol;amfebutamone;amphetamine;amphetamine derivative;benzodiazepine;benzodiazepine derivative;cannabis;diphenhydramine;lactate dehydrogenase;lorazepam;risperidone;sertraline;college;drug overdose;dystonia;pharmacist;adverse drug reaction;attention deficit disorder;bipolar disorder;case report;creatine kinase blood level;dependent personality disorder;drug abuse;drug therapy;electrocardiogram;extrapyramidal symptom;gait;hospital patient;hospitalization;hypotension;ingestion;intensive care unit;intoxication;jaw;maintenance therapy;male;medical history;metabolite;monitoring;muscle spasm;neck;patient;psychiatric department;schizoaffective psychosis;schizophrenia;sedation;tachycardia;tongue;unsteadiness;urine;vital sign</t>
  </si>
  <si>
    <t>Abstract Type: Therapeutic Case Report. Background: Paliperidone, a benzisoxazole derivative, is the major active metabolite of risperidone. It is approved for the acute and maintenance treatment of schizophrenia and schizoaffective disorder. We report a multi-drug overdose case resulting in a significant adverse drug reaction. Patient History: A 22-year-old male with a history of bipolar disorder, ADHD, polysubstance dependence (amphetamine, benzodiazepine, marijuana, and alcohol), and dependent personality traits, was admitted to the intensive care unit after a multidrug ingestion with 42 mg of paliperidone, 7500 mg bupropion, 750 mg sertraline, and 3 mg lorazepam. A urine drug abuse survey was positive only for amphetamines and benzodiazepines. Once stable, the patient was transferred to the inpatient psychiatric unit. Approximately 48 hours following the ingestion, the patient suddenly developed sustained muscular spasms of his neck and jaw. His neck became very stiff, arched to one side, he was unable to move his neck or head to the other side, and his jaw became stiff. His tongue enlarged and protruded from his mouth. Throughout the entire episode, vital signs were stable, he was afebrile, and he was alert and oriented. Electrocardiogram, serum creatine kinase and lactate dehydrogenase were within normal limits. The dystonic reaction resolved completely within a few minutes after the administration of intramuscularly diphenhydramine. No additional acute dystonic episodes occurred during the remainder of his hospitalization. Of note, no psychotropic medications had been restarted following the overdose. Review of Literature: Paliperidone package insert information describes an overdose of 405 mg that resulted in extrapyramidal symptoms and gait unsteadiness. There are several literature case reports of risperidone overdose clinical scenarios. Common symptoms reported include tachycardia, sedation, hypotension and the association with EKG changes. The unique extended release delivery system of paliperidone raises the question of time course for anticipated symptoms following an overdose. Additionally, bupropion and sertraline have also been associated with dystonic reactions and may have contributed to the development of the reaction. Conclusion: We emphasize the importance of recognizing the potential occurrence of delayed acute dystonic reactions following an overdose involving paliperidone and the need for close monitoring.</t>
  </si>
  <si>
    <t>(Cunningham J.L.) (Lapid M.I.; Hugo Z.; Kung S.) (Lapid M.I.; Kung S.) 13th Annual Meeting of the College of Psychiatric and Neurologic Pharmacists, CPNP 2010 San Antonio, TX, United States 2010-04-18 to 2010-04-21 SAGE Publications Inc.; ID: 1364</t>
  </si>
  <si>
    <t>Currie,J. D.;Chrischilles,E. A.;Kuehl,A. K.;Buser,R. A.</t>
  </si>
  <si>
    <t>Effect of a training program on community pharmacists' detection of and intervention in drug-related problems</t>
  </si>
  <si>
    <t>Mar-Apr</t>
  </si>
  <si>
    <t>*Community Pharmacy Services;*Counseling/ed Education];*Drug-Related Side Effects and Adverse Reactions;*Education, Pharmacy, Continuing;Humans;Patient Education as Topic;Prospective Studies</t>
  </si>
  <si>
    <t>OBJECTIVE: To develop and present a pharmaceutical care training program for pharmacists, and to examine the ability of these pharmacists to provide pharmaceutical care in a community pharmacy setting. DESIGN: Prospective, randomized study. INTERVENTION: A 40-hour pharmaceutical care training program was developed and presented to pharmacists, and 1,078 patients were randomly assigned to receive either (1) traditional pharmacy services or (2) pharmaceutical care, consisting of initial patient work-up and follow-up with documentation in a patient record. MEASUREMENTS: The study period was six months. Pharmacists documented problems identified, actions taken, and time required for all patients. RESULTS: Pharmacists consistently identified and intervened to address problems in both study groups. Patients receiving pharmaceutical care were more than seven times as likely to have any problems identified (odds ratio OR] 7.5; confidence interval CI] 4.2-13.1), more than eight times as likely to have an intervention performed (OR, 8.1; CI 4.7-14.2), and more than eight times as likely to have a drug-related problem identified (OR 8.6; CI 4.8-15.5) than were patients receiving traditional pharmacy services only. Time spent counseling patients was similar for the two groups. CONCLUSIONS: The training program proved to be an effective way to increase the number of problems identified and addressed by pharmacists.</t>
  </si>
  <si>
    <t>J2: J Am Pharm Assoc (Wash); Currie, J D Chrischilles, E A Kuehl, A K Buser, R A Comment in: J Am Pharm Assoc (Wash). 1997 Mar-Apr;NS37(2):181; PMID: 9069691; ID: 611</t>
  </si>
  <si>
    <t>Currie,J D. College of Pharmacy, University of Iowa, USA.</t>
  </si>
  <si>
    <t>http://ovidsp.ovid.com/ovidweb.cgi?T=JS&amp;CSC=Y&amp;NEWS=N&amp;PAGE=fulltext&amp;D=med4&amp;AN=9069692</t>
  </si>
  <si>
    <t>MEDLINE; Ovid Technologies; Effect of a training program on community pharmacists' detection of and intervention in drug-related problems</t>
  </si>
  <si>
    <t>Cushman,Jesse D.;Moore,Melissa D.;Jacobs,Nate S.;Olsen,Richard W.;Fanselow,Michael S.</t>
  </si>
  <si>
    <t>Behavioral Pharmacogenetic Analysis on the Role of the ‚ï¨‚ñí4 GABAA Receptor Subunit in the Ethanol-Mediated Impairment of Hippocampus-Dependent Contextual Learning</t>
  </si>
  <si>
    <t>1959 12p</t>
  </si>
  <si>
    <t>Ethanol -- Adverse Effects;Hippocampus -- Drug Effects;Learning -- Drug Effects;Cognition -- Drug Effects;Research Methodology;Receptors, Cell Surface -- Drug Effects;High-Throughput Screening Assays;Ethanol -- Administration and Dosage;Steroids -- Administration and Dosage;Mice;Animal Studies;Videorecording;Locomotion -- Evaluation;Data Analysis Software;Analysis of Variance;Post Hoc Analysis;Repeated Measures;Two-Way Analysis of Variance;Task Performance and Analysis;Conditioning (Psychology);Fear;Funding Source</t>
  </si>
  <si>
    <t>Entry Date: 20111211. Revision Date: 20150711. Publication Type: Journal Article; research; tables/charts. Journal Subset: Biomedical; Peer Reviewed; USA. Special Interest: Psychiatry/Psychology. Grant Information: Support: NIH grants: AA07680 and NS35985; Training grants: 5T32MH019384-14 and T32 MH019384-14.. NLM UID: 7707242.; ID: 1838</t>
  </si>
  <si>
    <t>From the Department of Psychology and Brain Research Institute (JDC, NSJ, MSF), University of California, Los Angeles, California; and Department of Molecular and Medical Pharmacology (MDM, RWO), Geffen School of Medicine, University of California, Los Angeles, California.</t>
  </si>
  <si>
    <t>http://proxy.lib.umich.edu/login?url=http://search.ebscohost.com/login.aspx?direct=true&amp;db=ccm&amp;AN=104593929&amp;site=ehost-live&amp;scope=site</t>
  </si>
  <si>
    <t>10.1111/j.1530-0277.2011.01546.x</t>
  </si>
  <si>
    <t>ccm; EBSCOhost; Behavioral Pharmacogenetic Analysis on the Role of the ‚ï¨‚ñí4 GABAA Receptor Subunit in the Ethanol-Mediated Impairment of Hippocampus-Dependent Contextual Learning</t>
  </si>
  <si>
    <t>D,L. B.;Madonick,S.;D'Souza,D. C.;Author,Addresses;Pharmacy Service, V A Connecticut Healthcare,System West;Haven,United States;Psychiatry Service,V.A.Connecticut Healthcare;System,West Haven United States;Department,of Psychiatry;University,School of Medicine New Haven United States;Correspondence,Address;Connecticut Healthcare System West Haven,D.L.Boggs, Pharmacy Service V.A.;United,States</t>
  </si>
  <si>
    <t>Effects of intravenous nicotine on symptomology and cognition in schizophrenia</t>
  </si>
  <si>
    <t>(MAJOR FOCUS);nicotine;placebo;sodium chloride;cognition;college;human;pharmacist;schizophrenia;color;crossover procedure;female;infusion;intravenous drug administration;low drug dose;neuroimaging;pharmacokinetics;Positive and Negative Syndrome Scale;transdermal drug administration;visual analog scale;visual stimulation;vital sign;weight</t>
  </si>
  <si>
    <t>Purpose: Several nicotine administration studies have been conducted in people with schizophrenia with varying results on psychiatric and cognitive effects. One source of heterogeneity in these studies could be the route of administration. To our knowledge, all studies to date have used either an inhaled or transdermal delivery; methods that have significant pharmacokinetic variability. The aim of this study is to determine the effects of nicotine on symptomology and cognition in schizophrenia using weight based intravenous administration. Methods: Medically stable participants with DSM-IV diagnosed schizophrenia who were nicotine dependent, participated in a three day randomized, double-blind, placebo-controlled crossover study. The three test days were separated by at least 7 days in a counterbalanced order within 6 weeks. During each session participants received intravenously administered normal saline, nicotine 0.0315 mg/kg (low dose), or nicotine 0.054 mg/kg (medium dose) over 3 hours. Symptomology as measured by the Positive and Negative Symptom Scale (PANSS) at baseline and 3 time points during the infusion and one 30 minutes after. Cognitive testing included a computerized visual stimuli continuous performance task (Gordon Task) and the Stroop Color-Word Interference Task (Stroop). Participants also had vital signs monitored during the infusions and completed an 18-item Visual Analogue Scale (VAS) after each administration of the PANSS to evaluate subjective experiences. Results: Nine participants (8 males/1 female) received at least 1 infusion. No adverse events were reported but 2 people withdrew after 1 administration, both participants received placebo. No significant changes were detected between placebo and the low or medium dose of intravenous nicotine on the total of subscales of the PANSS. Similarly no improvements in cognition were detected from either dose of nicotine compared to placebo on the Stoop or the Gordon Task. Conclusions and Future Directions: Intravenous nicotine did not show any beneficial effect on psychiatric or neurocognitive symptoms in people with schizophrenia who are already nicotine dependent. However, this method proved to be safe and can be used in future studies to determine both behavioral and neurobiological effects (e.g. neuroimaging) of nicotine in schizophrenia using standardize doses to better control for pharmacokinetic heterogeneity between subjects.</t>
  </si>
  <si>
    <t>(L. Boggs D.) (Madonick S.; D'Souza D.C.) (L. Boggs D.; Madonick S.; D'Souza D.C.) 15th Annual Meeting of the College of Psychiatric and Neurologic Pharmacists, CPNP 2012 Tampa, FL, United States 2012-04-29 to 2012-05-02 SAGE Publications Inc.; ID: 1170</t>
  </si>
  <si>
    <t>d'Abbs,P.;Togni,S.;Rosewarne,C.;Boffa,J.</t>
  </si>
  <si>
    <t>The Grog Mob: lessons from an evaluation of a multi-disciplinary alcohol intervention for Aboriginal clients</t>
  </si>
  <si>
    <t>Australian &amp; New Zealand Journal of Public Health</t>
  </si>
  <si>
    <t>Adolescent;Adult;Aged;*Alcohol Drinking/ae Adverse Effects];Alcohol Drinking/px Psychology];Alcohol Drinking/th Therapy];Alcohol-Related Disorders/px Psychology];*Alcohol-Related Disorders/th Therapy];Ambulatory Care;Cognitive Therapy/mt Methods];Evidence-Based Practice;Female;Health Services, Indigenous/og Organization &amp; Administration];Humans;Interviews as Topic;Male;Middle Aged;*Oceanic Ancestry Group;*Outcome and Process Assessment (Health Care);Qualitative Research;Referral and Consultation/sn Statistics &amp; Numerical Data];*Social Support;Young Adult</t>
  </si>
  <si>
    <t>OBJECTIVES: To evaluate a 12-month trial of an evidence-based non-residential treatment program for Indigenous clients with alcohol problems, offering three streams of care: pharmacotherapy, psychological and social support. METHODS: Process evaluation of program implementation; outcome evaluation of client outcomes. Results: IMPLEMENTATION: despite constraints of time and remoteness, the trial demonstrated the feasibility of implementing such a program. The medical stream generated fewer pharmacotherapy prescriptions than expected. The most active stream was the psychological therapy stream. OUTCOMES: between March 2008 and April 2009, 129 clients were referred to the program, of whom 49 consented to have de-identified data used for the evaluation. Of these, 19 clients received one or more streams of care, 15 of whom (78.9%) subsequently stopped or reduced drinking. However, among the remaining 30 consenting clients who had not received an intervention, 70.0% also reported stopping or reducing drinking. The evidence of program effectiveness is therefore equivocal and evaluation over a longer period is required. CONCLUSION AND IMPLICATIONS: The trial demonstrated the viability of, and demand for, evidence-based non-residential treatment for Indigenous clients with alcohol problems. Reasons behind an apparent reluctance among GPs to prescribe pharmacotherapy for Indigenous clients, and steps to overcome this, need further attention.Copyright ‚î¨‚åê 2013 The Authors. ANZJPH ‚î¨‚åê 2013 Public Health Association of Australia.</t>
  </si>
  <si>
    <t>J2: Aust N Z J Public Health; d'Abbs, Peter Togni, Samantha Rosewarne, Clive Boffa, John; ID: 111</t>
  </si>
  <si>
    <t>1753-6405</t>
  </si>
  <si>
    <t>d'Abbs,Peter. Menzies School of Health Research, Northern Territory Baker IDI Heart &amp; Diabetes Institute, Northern Territory Research Consultant, Northern Territory Central Australian Aboriginal Congress, Northern Territory.</t>
  </si>
  <si>
    <t>http://ovidsp.ovid.com/ovidweb.cgi?T=JS&amp;CSC=Y&amp;NEWS=N&amp;PAGE=fulltext&amp;D=medl&amp;AN=24090328</t>
  </si>
  <si>
    <t>http://dx.doi.org/10.1111/1753-6405.12122</t>
  </si>
  <si>
    <t>MEDLINE; Ovid Technologies; The Grog Mob: lessons from an evaluation of a multi-disciplinary alcohol intervention for Aboriginal clients</t>
  </si>
  <si>
    <t>Dabney,D. A.</t>
  </si>
  <si>
    <t>Onset of illegal use of mind-altering or potentially addictive prescription drugs among pharmacists</t>
  </si>
  <si>
    <t>Adult;Aged;Decision Making;Female;Humans;Logistic Models;Male;Middle Aged;*Pharmacists/px Psychology];Prevalence;*Self Medication;*Substance-Related Disorders/ep Epidemiology]</t>
  </si>
  <si>
    <t>OBJECTIVES: To determine the temporal and descriptive aspects of pharmacists' decision-making processes regarding illegal use of mind-altering or potentially addictive prescription drugs (PAPDs) and to measure the effects of social factors associated with being and becoming a pharmacist on pharmacists' decisions to use PAPDs illegally. DESIGN: One-time, written, mailed survey. SETTING: United States. PARTICIPANTS: Random sample of licensed practicing pharmacists who were members of the American Pharmaceutical Association in fall 1996. INTERVENTIONS: Not applicable. MAIN OUTCOME MEASURES: Responses to items on the survey. RESULTS: Nearly 40% of respondents indicated that they had used a form of PAPD without first obtaining a physician's authorizing prescription. A significant portion of the sample showed signs of repeated use-20% of the respondents reported 5 or more lifetime PAPD-use episodes, and 6% reported more than 10 such episodes. Almost 6% of the respondents identified themselves as being drug abusers at some point during their pharmacy careers. Moreover, a full 88% of these pharmacists began such illegal PAPD use after entering college, 51% used more than one type or class of PAPD, and 69% directly violated their professional code of ethics and state and/or federal laws by either stealing PAPDs from their place of employment (61%) or forging prescriptions (8%) to obtain them. CONCLUSION: A considerable percentage (40%) of the pharmacists surveyed had, on at least one occasion, used some form of PAPD without first obtaining a physician's authorizing prescription, and about one-fifth of respondents reported repeated use. The onset of such illegal PAPD use by pharmacists almost always occurred after the individuals had entered college. Interpersonal factors, such as positive reinforcement of self-medication practices from peers and increased levels of one's own approval for self-medication, appear to increase the likelihood that a pharmacist will engage in such illegal PAPD use.</t>
  </si>
  <si>
    <t>J2: J Am Pharm Assoc (Wash); Dabney, D A Comment in: J Am Pharm Assoc (Wash). 2001 May-Jun;41(3):371; PMID: 11372899 Comment in: J Am Pharm Assoc (Wash). 2001 Nov-Dec;41(6):790-2; PMID: 11765099; ID: 541</t>
  </si>
  <si>
    <t>Dabney,D A. (Department of Criminal Justice, Georgia State University, Atlanta 30302-4018, USA. ddabney@gsu.edu</t>
  </si>
  <si>
    <t>http://ovidsp.ovid.com/ovidweb.cgi?T=JS&amp;CSC=Y&amp;NEWS=N&amp;PAGE=fulltext&amp;D=med4&amp;AN=11372904</t>
  </si>
  <si>
    <t>MEDLINE; Ovid Technologies; Onset of illegal use of mind-altering or potentially addictive prescription drugs among pharmacists</t>
  </si>
  <si>
    <t>Daig,I.;Mahlberg,R.;Schroeder,F.;Gudlowski,Y.;Wrase,J.;Wertenauer,F.;Bschor,T.;Esser,G.;Heinz,A.;Kienast,T.</t>
  </si>
  <si>
    <t>PMC3001689; Low effective organizational strategies in visual memory performance of unmedicated alcoholics during early abstinence</t>
  </si>
  <si>
    <t>Psycho-Social Medicine</t>
  </si>
  <si>
    <t>Doc07</t>
  </si>
  <si>
    <t>OBJECTIVE: Alcohol-dependent patients in early abstinence show an impairment of cognitive functions which can be seen in poor implementation of newly learned skills for avoiding relapse. Executive dysfunction may persist during abstinence in alcohol-dependent persons, thus mitigating long-term abstinence. This study assessed visual memory function and choice of organizational strategies in alcoholics, as these are major factors necessary to implement ongoing behavior changes which are required for maintaining abstinence. METHODS: We investigated 25 severely alcohol-dependent male patients between days 7 to 10 of abstinence, immediately after clinical withdrawal symptoms have ceased, compared to 15 healthy age, sex, and education matched controls. Pharmacological therapy had been terminated at least four half-lifes before inclusion into the study. Visual perceptual learning and organizational strategies were assessed with the Rey-Osterrieth Complex Figure Test (R-OCF). RESULTS: There were no group differences in copying or recalling the figure, but time differences occurred. Alcoholics and healthy controls performed worse in recalling than in copying. But, alcoholics used less effective organizational strategies. CONCLUSIONS: There was a deficit in choice of organizational strategy in newly abstinent and unmedicated alcohol-dependent patients. Due to the imperfect organizational strategies, alcoholics might need auxiliary therapeutic care to strengthen their cognitive ability.</t>
  </si>
  <si>
    <t>J2: Psychosoc Med; Daig, Isolde Mahlberg, Richard Schroeder, Franziska Gudlowski, Yehonala Wrase, Jana Wertenauer, Florian Bschor, Tom Esser, Guenter Heinz, Andreas Kienast, Thorsten; ID: 253</t>
  </si>
  <si>
    <t>1860-5214</t>
  </si>
  <si>
    <t>Daig,Isolde. Institute of Medical Psychology, Charite - University Medical Center, Berlin, Germany.</t>
  </si>
  <si>
    <t>http://ovidsp.ovid.com/ovidweb.cgi?T=JS&amp;CSC=Y&amp;NEWS=N&amp;PAGE=fulltext&amp;D=prem&amp;AN=21160546</t>
  </si>
  <si>
    <t>http://dx.doi.org/10.3205/psm000069</t>
  </si>
  <si>
    <t>MEDLINE; Ovid Technologies; Low effective organizational strategies in visual memory performance of unmedicated alcoholics during early abstinence</t>
  </si>
  <si>
    <t>Dalziel,W. B.;Byszewski,A. M.;Ross,A.;Author,Addresses;Department of Medicine, Division of,Geriatric Medicine;University of,Ottawa;Department of Medicine, Geriatric Day,Hospital Ottawa;Civic,Hospital;Geriatric Assessment Unit, Ottawa,Civic Hospital;Correspondence,Address;WB Dalziel, Department of Medicine Division of,Geriatric Medicine;University of Ottawa, Ottawa,Ont Canada</t>
  </si>
  <si>
    <t>The top ten problem drugs for the elderly</t>
  </si>
  <si>
    <t>(MAJOR FOCUS);amitriptyline;antihistaminic agent;antihypertensive agent;benzodiazepine;beta adrenergic receptor blocking agent;cholinergic receptor blocking agent;cimetidine;digoxin;fluoxetine;laxative;nonsteroid antiinflammatory agent;aged;drug therapy;pharmacist;adverse drug reaction;drug contraindication;drug safety;human;short survey;amitriptyline (50-48-6, 549-18-8);benzodiazepine (12794-10-4);cimetidine (51481-61-9, 70059-30-2);digoxin (20830-75-5, 57285-89-9);fluoxetine (54910-89-3, 56296-78-7, 59333-67-4);Public Health, Social Medicine and Epidemiology (17);Gerontology and Geriatrics (20);Health Policy, Economics and Management (36);Drug Literature Index (37)</t>
  </si>
  <si>
    <t>This article describes common important drug groups with high potential for problems for elderly consumers and tips for appropriate pharmacist intervention. Typically in Canadian medical and pharmacy school curricula, geriatric prescribing teaching is minimal but increasing slowly as the recognized importance of this area grows. The responsibility of appropriate pharmaceutical intervention for the elderly requires the combined expertise of knowledgeable consumers, pharmacists, and physicians working together.</t>
  </si>
  <si>
    <t>(Dalziel W.B.) (Byszewski A.M.) (Ross A.); ID: 1688</t>
  </si>
  <si>
    <t>Dameh,Majd;Norris,Pauline;Green,James</t>
  </si>
  <si>
    <t>New Zealand pharmacists' experiences, practices and views regarding antibiotic use without prescription</t>
  </si>
  <si>
    <t>Journal of Primary Health Care</t>
  </si>
  <si>
    <t>140 10p</t>
  </si>
  <si>
    <t>Antibiotics -- Administration and Dosage;Drug Administration -- Psychosocial Factors;Pharmacists -- Psychosocial Factors;Substance Abuse -- Psychosocial Factors;Adult;Aged;Audiorecording;Descriptive Statistics;Drug Administration -- Ethical Issues;Employer-Employee Relations;Female;Field Notes;Funding Source;Human;Male;Middle Age;New Zealand;Purposive Sample;Qualitative Studies;Self Report;Semi-Structured Interview</t>
  </si>
  <si>
    <t>INTRODUCTION: Very few studies have investigated pharmacists' views, experiences and practices regarding the use of antibiotics without prescription. This study aimed to explore through self-report and hypothetical scenarios what factors determine New Zealand pharmacists' behaviour and attitudes towards non-prescription use of antibiotics. METHODS: A purposeful sample of 35 registered community pharmacists of differing ethnic backgrounds was selected from a mixture of pharmacies that predominantly either serve New Zealand European customers or customers of other ethnicities. Semi-structured interviews including general background questions and six hypothetical scenarios were used for the investigation. Pharmacists' ethnicity, education, years of experience, and customers' ethnicity may influence their views, experiences and practices regarding the use of antibiotics without prescription. Customer demand or expectation, business orientation and competitiveness within community pharmacies, standards and practice of fellow pharmacists, ethics and professionalism, legislation, enforcement of the legislation, and apprehension of the consequences of such practice were hypothesised to have an effect on antibiotic use or supply without prescription by pharmacists. FINDINGS : The supply of antibiotics without prescription is not common practice in New Zealand. However, personal use of antibiotics without prescription by pharmacists may have been underestimated. Pharmacists were aware of legalities surrounding selling and using antibiotics and practised accordingly, yet many used antibiotics without prescription to treat themselves and/or spouses or partners. Many pharmacists also reported that under certain legislative, and regulatory and situational conditions they would sell antibiotics without a prescription. CONCLUSION: Views and practices regarding antibiotic use without prescription by community pharmacists require further exploration.</t>
  </si>
  <si>
    <t>Entry Date: 20120817. Revision Date: 20150711. Publication Type: Journal Article; research; tables/charts. Journal Subset: Australia &amp; New Zealand; Blind Peer Reviewed; Double Blind Peer Reviewed; Editorial Board Reviewed; Expert Peer Reviewed; Peer Reviewed; Public Health. Special Interest: Public Health. Grant Information: The authors wish to thank NZ's National School of Pharmacy, University of Otago for their funding of this research.. NLM UID: 101524060. PMID: 22675697.; ID: 1952</t>
  </si>
  <si>
    <t>1172-6164</t>
  </si>
  <si>
    <t>School of Pharmacy, University of Otago, PO Box 56, Dunedin, New Zealand. drmajddameh@gmail.com.</t>
  </si>
  <si>
    <t>http://proxy.lib.umich.edu/login?url=http://search.ebscohost.com/login.aspx?direct=true&amp;db=ccm&amp;AN=104468462&amp;site=ehost-live&amp;scope=site</t>
  </si>
  <si>
    <t>ccm; EBSCOhost; New Zealand pharmacists' experiences, practices and views regarding antibiotic use without prescription</t>
  </si>
  <si>
    <t>Daniel,E.</t>
  </si>
  <si>
    <t>Chronic problems in rehabilitation of patients with Laennec's cirrhosis</t>
  </si>
  <si>
    <t>Nursing Clinics of North America</t>
  </si>
  <si>
    <t>Nurs.Clin.North Am.</t>
  </si>
  <si>
    <t>*Alcoholism/co Complications];*Ascites/et Etiology];Ascites/nu Nursing];Ascites/th Therapy];*Hepatic Encephalopathy/et Etiology];Hepatic Encephalopathy/nu Nursing];Hepatic Encephalopathy/th Therapy];Humans;*Liver Cirrhosis/co Complications];Liver Cirrhosis/et Etiology];Nursing Assessment;Patient Care Planning</t>
  </si>
  <si>
    <t>Hepatic encephalopathy and ascites are two major complications occuring in patients with Laennec's cirrhosis. Both may be intractable to treatment and may have poor prognoses. Many psychosocial problems are present, and counseling should be geared to optimizing maximum adaptation to the alterations that have resulted. Family and significant others are important support systems for the patient and should be included in as much of the nursing and medical care as possible. The nurse is responsible for a myriad of activities in providing care for cirrhotic patients who develop these chronic problems. Background knowledge regarding nursing theory, pharmacology, pathophysiology, psychology, sociology, and principles of teaching is imperative for effective intervention in these patient care situations.</t>
  </si>
  <si>
    <t>J2: Nurs Clin North Am; Daniel, E; ID: 732</t>
  </si>
  <si>
    <t>0029-6465</t>
  </si>
  <si>
    <t>http://ovidsp.ovid.com/ovidweb.cgi?T=JS&amp;CSC=Y&amp;NEWS=N&amp;PAGE=fulltext&amp;D=med1&amp;AN=585857</t>
  </si>
  <si>
    <t>MEDLINE; Ovid Technologies; Chronic problems in rehabilitation of patients with Laennec's cirrhosis</t>
  </si>
  <si>
    <t>Darfler,K.;Larkins,S.;Rawson,R.;Le Minh,G.;Author,Addresses;University of,California Los;Integrated Substance Abuse Programs, Los Angeles,United States;Hanoi Medical University, Hanoi,Viet Nam;Correspondence,Address;Darfler, University of California Los Angeles Integrated Substance Abuse,K.;Programs,Los Angeles United States</t>
  </si>
  <si>
    <t>A cooperative agreement for workforce development in vietnam: HIV-addiction technology transfer center (VH-ATTC)</t>
  </si>
  <si>
    <t>Annals of Global Health</t>
  </si>
  <si>
    <t>diamorphine;addiction;health;Human immunodeficiency virus;technology;university;Viet Nam;city;consultation;curriculum;curriculum development;epidemic;evidence based practice;government;hospital;injection;language;non profit organization;pharmacy;prevention;public health;publication;skill;substance abuse;United States;Vietnamese</t>
  </si>
  <si>
    <t>Program/Project Purpose: Vietnam is experiencing an HIV epidemic due, in large part, to the persistent problem of injection heroin use. There is an urgent need for workforce development in the areas of HIV and substance use disorders (SUD). Based at Hanoi Medical University (HMU), the Vietnam HIV-Addiction Technology Transfer Center (VH-ATTC) aims to provide a workforce that can deliver services to reduce the individual and societal impacts of HIV and SUD by (1) improving access to treatment and prevention services through systems linkage, and (2) increasing the capacity of the workforce to provide a wide range of evidence-based treatments. Phase I Project: 9/1/2011 - 8/31/2014 Phase II Project: 9/1/2014 - 8/ 31/2017 Structure/Method/Design: The overarching goals of this initiative are to disseminate evidence-based knowledge and skills; to adapt approaches to the Vietnamese culture; to monitor, support and encourage implementation of these practices; and to develop a Vietnam- based resource that will sustain these efforts in the future. HMU was selected as the VH-ATTC hub, as it is the country's leading institution in coordinating curriculum development in many fields of medicine and public health. UCLA provides consultation to HMU in developing a plan to become a self-sustaining training and technical assistance resource. Outcomes &amp; Evaluation: The VH-ATTC has succeeded in building the capacity to develop a skilled and knowledgeable local workforce by establishing: master trainers with considerable technical knowledge and capabilities, an abundance of Vietnamese language materials, resources and curricula, and a website, newsletter and listserv. The VH-ATTC has been designated as a national training institution, and its staff members have provided technical assistance to clinics in more than 10 provinces. Evaluation activities are designed to determine whether theVH-ATTCis effectively providing ongoing workforce development and training resources, andmeeting U.S. Government (GPRA) reporting requirements. Since its inception, the VH-ATTC team has carried out more than 60 trainings, 15 lectures on addiction science, and two large conferences; far exceeding projected GPRA targets (380+% of goal). Going Forward: During Phase II, a second high-functioning VHATTC will be created in southern Vietnam at the Ho Chi Minh City University of Medicine and Pharmacy. The priority of this project is to expand training and technical assistance resources throughout Vietnam and strengthen the capacity of the addiction services system. The</t>
  </si>
  <si>
    <t>(Darfler K.; Larkins S.; Rawson R.) (Le Minh G.) 6th Annual CUGH Conference, Consortium of Universities for Global Health: Mobilizing Resesarch for Global Health Boston, MA, United States 2015-03-26 to 2015-03-28 Elsevier USA; ID: 851</t>
  </si>
  <si>
    <t>2214-9996</t>
  </si>
  <si>
    <t>Dargan,P. I.;Bishop,C. R.;Chahal,C. A. A.;Jones,A. L.;Wood,D. M.;Author,Addresses;Guy's;St;Thomas',Poisons Unit;St Thomas'Nhs,Foundation Trust;Road,London S. E. E. R. United Kingdom;The School of Medicine, King's College London,Bessemer A.;United,States;School of,Medicine;Public Health,University,of Newcastle;Callaghan Drive, Newcastle N. S. W. Australia;Guy's;St Thomas' Poisons,Unit;Avonley Road,London,S.E.E.R.United Kingdom;Correspondence,Address;D.M. Wood,Guy's;St Thomas'Poisons Unit, Avonley Road,London S.;United Kingdom Email, david wood gstt,nhs uk</t>
  </si>
  <si>
    <t>18786980; Can medical students identify recreational drugs by name?</t>
  </si>
  <si>
    <t>Qjm</t>
  </si>
  <si>
    <t>QJM</t>
  </si>
  <si>
    <t>(MAJOR FOCUS);recreational drug (drug toxicity);1 benzylpiperazine derivative (drug toxicity);3,4 methylenedioxymethamphetamine (drug toxicity);4 aminobutyric acid;benzocaine (drug toxicity);benzyl benzoate (drug toxicity);cocaine (drug toxicity);gamma butyrolactone (drug toxicity);ketamine (drug toxicity);ketotifen (drug toxicity);lysergide (drug toxicity);methamphetamine (drug toxicity);methenamine (drug toxicity);ubiquinone;medical student;access to information;adult;article;controlled study;drug abuse;female;human;male;medical education;normal human;priority journal;professional knowledge;questionnaire;scoring system;student attitude;3,4 methylenedioxymethamphetamine (42542-10-9);4 aminobutyric acid (28805-76-7, 56-12-2);benzocaine (1333-08-0, 94-09-7);benzyl benzoate (120-51-4, 8022-66-0);cocaine (50-36-2, 53-21-4, 5937-29-1);gamma butyrolactone (96-48-0);ketamine (1867-66-9, 6740-88-1, 81771-21-3);ketotifen (34580-13-7);lysergide (50-37-3);methamphetamine (28297-73-6, 51-57-0, 537-46-2, 7632-10-2);methenamine (100-97-0, 24360-05-2);ubiquinone (1339-63-5);Public Health, Social Medicine and Epidemiology (17);Drug Literature Index (37);Drug Dependence, Alcohol Abuse and Alcoholism (40);Toxicology (52)</t>
  </si>
  <si>
    <t>Background: Recreational drug toxicity is a common reason for presentation to the Emergency Department. Knowledge of recreational drug names is important to allow targeted assessment of patients presenting with recreational drug toxicity. Aims: To assess final year medical student knowledge of proper and street names for recreational drugs. Design: Questionnaire survey of final year medical students attending a revision lecture. Methods: There were two questionnaires used in this study. The first contained either proper names of recreational drugs or names sounding similar to recreational drugs or licensed pharmaceutical products; students were asked to identify which of these were recreational drugs. The second contained street names of recreational drugs and the students were asked to identify which recreational drug the street name referred to. Results: One hundred and thirty-five students completed the questionnaire 1. The mean total score (‚î¨‚ñíSD) of correct answers was 7.15 ‚î¨‚ñí 2.26 (range 2-13) out of a maximum of 15. One hundred and fifteen students completed questionnaire 2. The mean total score (‚î¨‚ñíSD) of correctly identified street names was 11.0 ‚î¨‚ñí 2.6 (range 0-17) out of a maximum of 24. No individual student was able to correctly identify all the street names for the recreational drugs listed in the survey. Conclusions: We have shown that final year medical students have variable knowledge of both the proper and street names of recreational drugs. There is a need for improved education of medical students in the names of recreational drugs and the sources of information available to assist them in identifying what drugs an individual has taken. ‚î¨‚åê The Author 2008. Published by Oxford University Press on behalf of the Association of Physicians. All rights reserved.</t>
  </si>
  <si>
    <t>(Dargan P.I.; Bishop C.R.; Wood D.M., david.wood@gstt.nhs.uk) (Chahal C.A.A.) (Jones A.L.) (Wood D.M., david.wood@gstt.nhs.uk) Oxford University Press, Great Clarendon Street, Oxford, United Kingdom.; ID: 1450</t>
  </si>
  <si>
    <t>1460-2725 1460-2393 (electronic)</t>
  </si>
  <si>
    <t>http://www.ncbi.nlm.nih.gov/pubmed/18786980</t>
  </si>
  <si>
    <t>Can medical students identify recreational drugs by name?</t>
  </si>
  <si>
    <t>Das,A. K.;Olfson,M.;Gameroff,M. J.;Pilowsky,D. J.;Blanco,C.;Feder,A.;Gross,R.;Neria,Y.;Lantigua,R.;Shea,S.;Weissman,M. M.</t>
  </si>
  <si>
    <t>Screening for bipolar disorder in a primary care practice</t>
  </si>
  <si>
    <t>JAMA</t>
  </si>
  <si>
    <t>Adult;Aged;*Bipolar Disorder/di Diagnosis];Bipolar Disorder/ep Epidemiology];Bipolar Disorder/th Therapy];*Family Practice;Female;Humans;Male;Middle Aged;Socioeconomic Factors</t>
  </si>
  <si>
    <t>CONTEXT: Bipolar disorder consists of episodes of manic and depressive symptoms. Efforts to screen for depression in a primary care setting without assessment of past manic symptoms can lead to incorrect diagnosis and treatment of bipolar disorder. OBJECTIVES: To screen for bipolar disorder in adult primary care patients and to examine its clinical presentation and effect on functioning. DESIGN, SETTING, AND PARTICIPANTS: A systematic sample of 1157 patients between 18 and 70 years of age who were seeking primary care at an urban general medicine clinic serving a low-income population. The study was conducted between December 2001 and January 2003. MAIN OUTCOME MEASURES: Prevalence of bipolar disorder, its treatment and patient functioning. Study measures included the Mood Disorder Questionnaire, the PRIME-MD Patient Health Questionnaire, the Medical Outcomes Study 12-Item Short Form health survey, the Sheehan Disability Scale, data on past mental health treatments, and a review of medical records and International Classification of Diseases, Ninth Revision codes for each visit dating from 6 months prior to the screening day. RESULTS: The prevalence of receiving positive screening results for lifetime bipolar disorder was 9.8% (n = 112; 95% confidence interval, 8.0%-11.5%) and did not differ significantly by age, sex, or race/ethnicity. Eighty-one patients (72.3%) who screened positive for bipolar disorder sought professional help for their symptoms, but only 9 (8.4%) reported receiving a diagnosis of bipolar disorder. Seventy-five patients (68.2%) who screened positive for bipolar disorder had a current major depressive episode or an anxiety or substance use disorder. Of 112 patients, only 7 (6.5%) reported taking a mood-stabilizing agent in the past month. Primary care physicians recorded evidence of current depression in 47 patients (49.0%) who screened positive for bipolar disorder, but did not record a bipolar disorder diagnosis either in administrative billing or the medical record of any of these patients. Patients who screened positive for bipolar disorder reported worse health-related quality of life as well as increased social and family life impairment compared with those who screened negative. CONCLUSIONS: In an urban general medicine clinic, a positive screen for bipolar disorder appears to be common, clinically significant, and underrecognized. Because of the risks associated with treating bipolar disorder with antidepressant monotherapy, efforts are needed to educate primary care physicians about the screening, management, and pharmacotherapy of bipolar disorders.</t>
  </si>
  <si>
    <t>J2: Jama; Das, Amar K Olfson, Mark Gameroff, Marc J Pilowsky, Daniel J Blanco, Carlos Feder, Adriana Gross, Raz Neria, Yuval Lantigua, Rafael Shea, Steven Weissman, Myrna M; ID: 461</t>
  </si>
  <si>
    <t>1538-3598</t>
  </si>
  <si>
    <t>Das,Amar K. Division of Clinical and Genetic Epidemiology, New York State Psychiatric Institute, New York 10032, USA.</t>
  </si>
  <si>
    <t>http://ovidsp.ovid.com/ovidweb.cgi?T=JS&amp;CSC=Y&amp;NEWS=N&amp;PAGE=fulltext&amp;D=med5&amp;AN=15728166</t>
  </si>
  <si>
    <t>MEDLINE; Ovid Technologies; Screening for bipolar disorder in a primary care practice</t>
  </si>
  <si>
    <t>Das,B. P.;Rauniar,G. P.;Bhattacharya,S. K.</t>
  </si>
  <si>
    <t>Medical errors challenges for the health professionals: need of Pharmacovigilance to prevent</t>
  </si>
  <si>
    <t>Jnma, Journal of the Nepal Medical Association</t>
  </si>
  <si>
    <t>Apr-Jun</t>
  </si>
  <si>
    <t>Adverse Drug Reaction Reporting Systems;Clinical Pharmacy Information Systems;*Health Personnel;Humans;Incidence;*Liability, Legal;*Malpractice/lj Legislation &amp; Jurisprudence];*Medication Errors/pc Prevention &amp; Control];Medication Systems, Hospital;*Professional Practice;Professional Role;Risk Factors</t>
  </si>
  <si>
    <t>The incidence of different aspects of iatrogenic problems due to drugs is Adverse Events (AEs) 3.7%, Adverse Drug Events (ADEs) 2.4-6.5%, Adverse Drug Reactions (ADRs) is 6.7%. Negligence in serious ADEs and death is 34% and 51% respectively, preventable ADEs is 25-50%. Medication Errors (MEs) occur most often in perscribing (29-56%). The most common cause of MEs is lack of knowledge about the drug (29%) and the patient about 18%. MEs result malpractice claims in 13-25% of cases which occur due to mistakes and slips of action &amp; lapses of memory. The MEs can be prevented by establishing effective Pharmacovigilance control center, which frequently gives proper guidance to the prescribers. Use of computerized decision for prescription writing, effective communication with patient, families, pharmacists and nurses and continuing medical education on information of new drugs and new information on current drugs can be effective tolls to prevent the errors. References: 29]</t>
  </si>
  <si>
    <t>J2: Jnm; Das, B P Rauniar, G P Bhattacharya, S K; ID: 368</t>
  </si>
  <si>
    <t>0028-2715</t>
  </si>
  <si>
    <t>Das,B P. BP Koirala Institute of Health Science, Dharan, Nepal. bpdas2000@yahoo.com</t>
  </si>
  <si>
    <t>http://ovidsp.ovid.com/ovidweb.cgi?T=JS&amp;CSC=Y&amp;NEWS=N&amp;PAGE=fulltext&amp;D=med5&amp;AN=18365356</t>
  </si>
  <si>
    <t>MEDLINE; Ovid Technologies; Medical errors challenges for the health professionals: need of Pharmacovigilance to prevent</t>
  </si>
  <si>
    <t>Daugherty,K. K.</t>
  </si>
  <si>
    <t>Samples: to use or not to use?</t>
  </si>
  <si>
    <t>510 6p</t>
  </si>
  <si>
    <t>Advertising;Ethics, Medical;Pharmaceutical Companies;United States</t>
  </si>
  <si>
    <t>The United States Prescription Drug Marketing Act makes people think that samples are simply advertisement for the drug companies. However, this is not the only reason that they are used. Samples make up a large part of most drug companies' budgets and are used by many clinics with very little control. We need to ensure that these products are being used appropriately. This is becoming a big issue as reports suggest that over 90% of family practise residency clinics allow personal use of drug samples and 60% of pharmaceutical representatives have either used samples for themselves or have given them to non-physicians. The other disturbing fact is that despite the high use of samples, fewer than 10% of family practise residencies in a Brotzman and Mark study reported having written policies regarding the use of samples. The purpose of this article was to review the literature concerning the reasons for use of drug samples, and the problems associated with such use, and then to discuss possible procedures that offices, especially those that train resident physicians, can implement to ensure good governance, if such use is permitted.</t>
  </si>
  <si>
    <t>Entry Date: 20070101. Revision Date: 20150711. Publication Type: Journal Article; editorial. Journal Subset: Biomedical; Europe; Peer Reviewed; UK &amp; Ireland. NLM UID: 8704308. PMID: 16336281.; ID: 2026</t>
  </si>
  <si>
    <t>http://proxy.lib.umich.edu/login?url=http://search.ebscohost.com/login.aspx?direct=true&amp;db=ccm&amp;AN=106398246&amp;site=ehost-live&amp;scope=site</t>
  </si>
  <si>
    <t>ccm; EBSCOhost; Samples: to use or not to use?</t>
  </si>
  <si>
    <t>Davis,A. R.;Shields,A. D.;Brigman,J. L.;Norcross,M.;McElligott,Z. A.;Holmes,A.;Winder,D. G.</t>
  </si>
  <si>
    <t>PMC2632785; Yohimbine impairs extinction of cocaine-conditioned place preference in an alpha2-adrenergic receptor independent process</t>
  </si>
  <si>
    <t>Learning &amp; Memory</t>
  </si>
  <si>
    <t>*Adrenergic alpha-Antagonists/pd Pharmacology];Amygdala/de Drug Effects];*Amygdala/ph Physiology];Animals;Cocaine/pd Pharmacology];*Conditioning (Psychology)/de Drug Effects];Conditioning (Psychology)/ph Physiology];Dopamine Uptake Inhibitors/pd Pharmacology];*Extinction, Psychological/de Drug Effects];Extinction, Psychological/ph Physiology];Imidazoles/pd Pharmacology];Male;Mice;Mice, Inbred C57BL;Mice, Knockout;Patch-Clamp Techniques;Receptors, Adrenergic, alpha-2/de Drug Effects];Receptors, Adrenergic, alpha-2/ge Genetics];*Receptors, Adrenergic, alpha-2/me Metabolism];*Yohimbine/pd Pharmacology];0 (Adrenergic alpha-Antagonists);0 (Dopamine Uptake Inhibitors);0 (Imidazoles);0 (Receptors, Adrenergic, alpha-2);03N9U5JAF6 (atipamezole);2Y49VWD90Q (Yohimbine);I5Y540LHVR (Cocaine)</t>
  </si>
  <si>
    <t>Extinction, a form of learning that has the ability to reshape learned behavior based on new experiences, has been heavily studied utilizing fear learning paradigms. Mechanisms underlying extinction of positive-valence associations, such as drug self-administration and place preference, are poorly understood yet may have important relevance to addiction treatment. Data suggest a major role for the noradrenergic system in extinction of fear-based learning. Employing both pharmacological and genetic approaches, we investigated the role of the alpha(2)-adrenergic receptor (alpha(2)-AR) in extinction of cocaine-conditioned place preference (CPP) and glutamatergic transmission in the bed nucleus of the stria terminalis (BNST). We found that pre-extinction systemic treatment with the alpha(2)-AR antagonist yohimbine impaired cocaine CPP extinction in C57BL/6J mice, an effect that was not mimicked by the more selective alpha(2)-AR antagonist, atipamezole. Moreover, alpha(2A)-AR knockout mice exhibited similar cocaine CPP extinction and exacerbated extinction impairing effects of yohimbine. Using acute brain slices and electrophysiological approaches, we found that yohimbine produces a slowly evolving depression of glutamatergic transmission in the BNST that was not mimicked by atipamezole. Further, this action was extant in slices from alpha(2A)-AR knockout mice. Our data strongly suggest that extinction-modifying effects of yohimbine are unlikely to be due to actions at alpha(2A)-ARs.</t>
  </si>
  <si>
    <t>J2: Learn Mem; Davis, Adeola R Shields, Angela D Brigman, Jonathan L Norcross, Maxine McElligott, Zoe A Holmes, Andrew Winder, Danny G (United States Intramural NIH HHS); ID: 350</t>
  </si>
  <si>
    <t>1549-5485</t>
  </si>
  <si>
    <t>Davis,Adeola R. Vanderbilt Brain Institute, Vanderbilt University Medical Center, Nashville, Tennessee 37232-0615, USA.</t>
  </si>
  <si>
    <t>http://ovidsp.ovid.com/ovidweb.cgi?T=JS&amp;CSC=Y&amp;NEWS=N&amp;PAGE=fulltext&amp;D=med5&amp;AN=18772254</t>
  </si>
  <si>
    <t>http://dx.doi.org/10.1101/lm.1079308</t>
  </si>
  <si>
    <t>MEDLINE; Ovid Technologies; Yohimbine impairs extinction of cocaine-conditioned place preference in an alpha2-adrenergic receptor independent process</t>
  </si>
  <si>
    <t>Davis,E.;Norman,S.;Lindsey,A.</t>
  </si>
  <si>
    <t>Opportunities for pharmacists in the criminal justice system</t>
  </si>
  <si>
    <t>Alcoholism/rh Rehabilitation];*Criminal Law/og Organization &amp; Administration];Evidence-Based Medicine;Humans;*Pharmaceutical Services/og Organization &amp; Administration];*Pharmacists/og Organization &amp; Administration];Professional Role;Public Health;Students, Pharmacy;*Substance-Related Disorders/rh Rehabilitation];United States</t>
  </si>
  <si>
    <t>J2: Am J Health-Syst Pharm; Davis, Erica Norman, Sarah Lindsey, Adrienne 5U01DA025307-04 (United States NIDA NIH HHS); ID: 162</t>
  </si>
  <si>
    <t>http://ovidsp.ovid.com/ovidweb.cgi?T=JS&amp;CSC=Y&amp;NEWS=N&amp;PAGE=fulltext&amp;D=medl&amp;AN=23135555</t>
  </si>
  <si>
    <t>http://dx.doi.org/10.2146/ajhp120428</t>
  </si>
  <si>
    <t>MEDLINE; Ovid Technologies; Opportunities for pharmacists in the criminal justice system</t>
  </si>
  <si>
    <t>Davis,L. A.;Whitfield,E.;Cannon,G. W.;Wolff,R. K.;Johnson,D. S.;Reimold,A. M.;Kerr,G. S.;Richards,J. S.;Mikuls,T. R.;Caplan,L.</t>
  </si>
  <si>
    <t>PMC4023559; Association of rheumatoid arthritis susceptibility gene with lipid profiles in patients with rheumatoid arthritis</t>
  </si>
  <si>
    <t>Rheumatology</t>
  </si>
  <si>
    <t>*Arthritis, Rheumatoid/bl Blood];Arthritis, Rheumatoid/co Complications];*Arthritis, Rheumatoid/ge Genetics];Biomarkers/bl Blood];Body Mass Index;Cross-Sectional Studies;Dyslipidemias/bl Blood];Dyslipidemias/et Etiology];Dyslipidemias/ge Genetics];Female;Genes, rel;Genetic Predisposition to Disease;Humans;*Lipids/bl Blood];Lipoproteins, HDL/bl Blood];Lipoproteins, LDL/bl Blood];Male;Middle Aged;Polymorphism, Single Nucleotide;Registries;Severity of Illness Index;Triglycerides/bl Blood];0 (Biomarkers);0 (Lipids);0 (Lipoproteins, HDL);0 (Lipoproteins, LDL);0 (Triglycerides)</t>
  </si>
  <si>
    <t>OBJECTIVE: RA patients have an increased risk of cardiovascular (CV) disease, although the mechanisms are unclear. As RA and CV disease may be associated through lipid profiles, we examined whether single nucleotide polymorphisms (SNPs) associated with RA susceptibility were associated with low-density lipoprotein (LDL), high-density lipoprotein (HDL) and triglyceride (TG) levels in RA subjects. METHODS: Patients (n = 763) enrolled in the Veterans Affairs RA registry who were not on hydroxymethylglutaryl-CoA reductase inhibitor were genotyped for human leukocyte antigen shared epitope (HLA-DRB1-SE) and SNPs in the following genes: CTLA-4 (cytotoxic T-lymphocyte antigen 4), IL-10, PTPN22 (protein tyrosine phosphatase, non-receptor type 22), REL (c-Rel), STAT4 (signal transducer and activator of transcription protein), TNF- and TRAF1 (TNF receptor-associated factor 1). Other covariates included patient characteristics (age, gender, race, smoking status, education, BMI, modified CharlsonDeyo comorbidity index), CV characteristics (hypertension, diabetes, alcohol abuse), pharmacologic exposures (MTX, anti-TNF, glucocorticoids) and RA severity/activity markers (RA disease duration, mean DAS, CRP, RF positivity, anti-CCP positivity). Multivariate linear regression was performed to determine the factors associated with LDL, HDL and TG levels. RESULTS: The REL SNP rs9309331 homozygous minor allele was associated with higher LDL levels. Caucasian race and increasing BMI were associated with lower HDL. Factors associated with higher TG were diabetes, Caucasian race and higher BMI. CONCLUSION: The REL SNP rs9309331 was associated with LDL levels in our study. This association is a possible explanation of the increased risk of RA patients for CV disease and requires further inquiry.</t>
  </si>
  <si>
    <t>J2: Rheumatology (Oxford); Davis, Lisa A Whitfield, Emily Cannon, Grant W Wolff, Roger K Johnson, Dannette S Reimold, Andreas M Kerr, Gail S Richards, J Steuart Mikuls, Ted R Caplan, Liron; ID: 86</t>
  </si>
  <si>
    <t>1462-0332</t>
  </si>
  <si>
    <t>http://ovidsp.ovid.com/ovidweb.cgi?T=JS&amp;CSC=Y&amp;NEWS=N&amp;PAGE=fulltext&amp;D=medl&amp;AN=24489016</t>
  </si>
  <si>
    <t>MEDLINE; Ovid Technologies; Association of rheumatoid arthritis susceptibility gene with lipid profiles in patients with rheumatoid arthritis</t>
  </si>
  <si>
    <t>de Gier,J. J.</t>
  </si>
  <si>
    <t>The Electronic Pharmaceutical Dossier: an effective aid to documenting pharmaceutical care data</t>
  </si>
  <si>
    <t>Communication;Education, Pharmacy;Family Practice/mt Methods];Humans;*Medical Records Systems, Computerized;*Pharmaceutical Services;Pharmacies;Pharmacists</t>
  </si>
  <si>
    <t>Pharmaceutical care involves decision-making based upon communication and judgements to avoid, initiate maintain or discontinue pharmacotherapy. After establishing patient-pharmacist relationships and implementing collaboration with physicians based upon consensus guidelines, relevant information should be collected and processed in order to determine drug therapy problems and desired treatment outcomes. This paper describes in short the development of a 'care concept' for pharmaceutical care and focuses in particular on the fully integrated functions of a pharmacy automation system (Pharmacom) for documenting relevant data and supporting the processing of drug therapy.</t>
  </si>
  <si>
    <t>J2: Pharm World Sci; de Gier, J J; ID: 612</t>
  </si>
  <si>
    <t>de Gier,J J. PharmaPartners BV, Oosterhout, The Netherlands.</t>
  </si>
  <si>
    <t>http://ovidsp.ovid.com/ovidweb.cgi?T=JS&amp;CSC=Y&amp;NEWS=N&amp;PAGE=fulltext&amp;D=med4&amp;AN=9010889</t>
  </si>
  <si>
    <t>MEDLINE; Ovid Technologies; The Electronic Pharmaceutical Dossier: an effective aid to documenting pharmaceutical care data</t>
  </si>
  <si>
    <t>De Miguel,V.;Vargas,E.;Portoles,A.;Puerro,M.;Terleira,A. I.;Moreno,A.;Author,Addresses;Clinical Pharmacology Service, San,Carlos Clinical;Hospital,Madrid Spain;Servicio de,Farmacologia Clinica;Universitario San Carlos, C Mart‚îú¬°n Lagos,s n Madrid Spain;Correspondence,Address;Vargas, Servicio de Farmacologia Clinica Hospital Universitario San,E.;Carlos,C. M.</t>
  </si>
  <si>
    <t>Modification of albumin use pattern after an educational intervention</t>
  </si>
  <si>
    <t>Disease Management and Health Outcomes</t>
  </si>
  <si>
    <t>(MAJOR FOCUS);albumin;drug misuse;education program;prescription;article;drug use;hospital cost;outcomes research;physician;practice guideline;Spain;Public Health, Social Medicine and Epidemiology (17)</t>
  </si>
  <si>
    <t>Objective: To determine whether an educational programme could reduce the inappropriate use of albumin. Study design and setting: A hospital albumin working group (San Carlos Clinical Hospital, Madrid, Spain) developed local guidelines for albumin prescribing. After the guidelines were disseminated, all albumin prescriptions were analysed according to these guidelines. Physicians who prescribed albumin for indications other than those in the guidelines were selected for a personalised face-to-face educational programme with a clinical pharmacologists. Adherence to the guidelines was then evaluated compared with an observational period with success being measured in terms of quality of prescribing and economic consequences. The effects of the intervention were assessed again during the intervention (7 months) and after the intervention (in the first 5-month period and in the subsequent year). Main outcomes measures and results: In the observational period, consumption was centralised in medical services and nearly 76% of prescriptions for albumin were inappropriate. During the intervention, the percentage of inappropriate albumin prescribing decreased to 38.8%. Albumin consumption decreased from 444 vials/month during the observational period to 249 vials/month during the intervention, and although the average monthly consumption increased slightly during the 17 months following the intervention, it was similar to that immediately after the intervention. Differences in albumin consumption and quality improvement between the observational period and during the intervention were statistically significant (p &lt; 0.00001). These results led to cost savings of nearly 30% during the intervention and in the follow-up period. Conclusions: This educational programme improved the quality of albumin prescribing and controlled local expenses related to albumin use in a general hospital.</t>
  </si>
  <si>
    <t>(De Miguel V.; Vargas E., vargas@eurociber.es; Portoles A.; Puerro M.; Terleira A.I.; Moreno A.) (Vargas E., vargas@eurociber.es); ID: 1636</t>
  </si>
  <si>
    <t>1173-8790</t>
  </si>
  <si>
    <t>De Vries,F. D.;Gallagher,A. M.;Lader,M. H.;Tylee,A. T.;Donoghue,J.;Cockle,S. M.;Van Staa,T. P.;Nutt,D. J.;Author,Addresses;Mhra,Gprd Group London;United,Kingdom;King's College, Institute of,Psychiatry London;United,Kingdom;John Moores University, School,of Pharmacy;Chemistry;Liverpool,United Kingdom;Servier,Laboratories Ltd;Corporate,Affairs;Slough,United Kingdom;University of Bristol, Psychopharmacology Unit,Bristol United;Kingdom;Correspondence,Address;FD De Vries, Mhra Gprd Group London,United Kingdom</t>
  </si>
  <si>
    <t>Insomnia as a predictor of depression in UK primary care</t>
  </si>
  <si>
    <t>European Neuropsychopharmacology</t>
  </si>
  <si>
    <t>19 SUPPL. 3</t>
  </si>
  <si>
    <t>S372</t>
  </si>
  <si>
    <t>S373</t>
  </si>
  <si>
    <t>antidepressant agent;hypnotic agent;insomnia;primary medical care;United Kingdom;alcoholism;anxiety;asthma;chronic obstructive lung disease;chronic pain;cohort analysis;confidence interval;control group;data base;diabetes mellitus;diagnosis;drug abuse;drug industry;female;gender;general practice;health;health care;human;laboratory;medical research;mental disease;patient;policy;prescription;risk;sleep disorder;university</t>
  </si>
  <si>
    <t>Purpose: The purpose of this study was to investigate the potential association between insomnia and incident depression in patients treated in</t>
  </si>
  <si>
    <t>(De Vries F.D.; Gallagher A.M.; Van Staa T.P.) (Lader M.H.; Tylee A.T.) (Donoghue J.) (Cockle S.M.) (Nutt D.J.) 22 ECNP Congress Istanbul, Turkey 2009-09-12 to 2009-09-16 Elsevier; ID: 1446</t>
  </si>
  <si>
    <t>0924-977X</t>
  </si>
  <si>
    <t>De Vries,T. P.</t>
  </si>
  <si>
    <t>PMC1381601; Presenting clinical pharmacology and therapeutics: evaluation of a problem based approach for choosing drug treatments</t>
  </si>
  <si>
    <t>British journal of clinical pharmacology</t>
  </si>
  <si>
    <t>Br.J.Clin.Pharmacol.</t>
  </si>
  <si>
    <t>Clinical Clerkship;Curriculum;Decision Making;Drug Prescriptions;*Drug Therapy;Humans;Netherlands;*Pharmacology, Clinical/ed Education]</t>
  </si>
  <si>
    <t>Between 1983 and 1989 three studies were conducted to determine whether the ability of senior medical students to choose drug treatments rationally had improved. This period spanned the implementation of a course in pharmacotherapeutics which trained students to use a systematic problem-based approach to choosing and prescribing drugs. The results show that in the short-term students remembered how to choose drugs rationally for cases known to them (retention effect), but had difficulties in transferring what had been learned to similar but different problems (transfer effect). In the medium-term a retention effect was shown for all three aspects of choice (drug, dosage and duration), and a transfer effect for choosing a dosage and duration when solving almost all types of patient problems used in the study. Transfer of the ability to choose a drug was less easily demonstrable. Compared with control students rational choices of trained students increased significantly for all aspects of drug choice, and almost all patient problems used in the study, whether or not they had been discussed. Possible causes for not finding a full transfer effect are: the intervention (course) may have been too short; there was sufficient knowledge about drugs but a lack of understanding of basic pharmacological concepts; or there was no reinforcement of the problem-based approach during clinical clerkships.</t>
  </si>
  <si>
    <t>J2: Br J Clin Pharmacol; De Vries, T P; ID: 642</t>
  </si>
  <si>
    <t>De Vries,T P. Department of Pharmacology and Clinical Pharmacology, Faculty of Medicine, University of Groningen, The Netherlands.</t>
  </si>
  <si>
    <t>http://ovidsp.ovid.com/ovidweb.cgi?T=JS&amp;CSC=Y&amp;NEWS=N&amp;PAGE=fulltext&amp;D=med3&amp;AN=8329285</t>
  </si>
  <si>
    <t>MEDLINE; Ovid Technologies; Presenting clinical pharmacology and therapeutics: evaluation of a problem based approach for choosing drug treatments</t>
  </si>
  <si>
    <t>PMC1381600; Presenting clinical pharmacology and therapeutics: the course in pharmacotherapeutics</t>
  </si>
  <si>
    <t>Curriculum;Decision Making;Drug Prescriptions;*Drug Therapy;Humans;Netherlands;*Pharmacology, Clinical/ed Education];Problem Solving;Teaching</t>
  </si>
  <si>
    <t>To aid the rational choice and prescribing of drugs a normative (ideal) problem-solving model was developed, and based on this model a course in pharmacotherapeutics for small groups of fifth year medical students was developed. The general objective is that students will learn the skills required to choose and prescribe drugs rationally. The program consists of about 10 plenary sessions and the principle role of the teacher is to guide the process. The main teaching methods are: Modified Essay Questions (MEQ), explanatory exercises and practical training sessions. Special teaching materials have been developed. For the examination the Objective Structured Clinical Exam (OSCE) is used.</t>
  </si>
  <si>
    <t>J2: Br J Clin Pharmacol; De Vries, T P; ID: 643</t>
  </si>
  <si>
    <t>http://ovidsp.ovid.com/ovidweb.cgi?T=JS&amp;CSC=Y&amp;NEWS=N&amp;PAGE=fulltext&amp;D=med3&amp;AN=8329284</t>
  </si>
  <si>
    <t>MEDLINE; Ovid Technologies; Presenting clinical pharmacology and therapeutics: the course in pharmacotherapeutics</t>
  </si>
  <si>
    <t>de Vries,T. P.;Henning,R. H.;Hogerzeil,H. V.;Bapna,J. S.;Bero,L.;Kafle,K. K.;Mabadeje,Af;Santoso,B.;Smith,A. J.</t>
  </si>
  <si>
    <t>Impact of a short course in pharmacotherapy for undergraduate medical students: an international randomised controlled study</t>
  </si>
  <si>
    <t>Lancet</t>
  </si>
  <si>
    <t>Curriculum;*Drug Therapy;*Education, Medical, Undergraduate/mt Methods];Humans;International Cooperation;Practice Patterns, Physicians'</t>
  </si>
  <si>
    <t>Irrational prescribing is a habit which is difficult to cure. However, prevention is possible and for this reason the WHO Action Programme on Essential Drugs aims to improve the teaching of pharmacotherapy to medical students. The impact of a short problem-based training course in pharmacotherapy, using a WHO manual on the principles of rational prescribing, was measured in an international multi-centre randomised controlled study of 219 undergraduate medical students in Groningen (Netherlands), Kathmandu (Nepal), Lagos (Nigeria), Newcastle (Australia), New Delhi (India), San Francisco (USA), and Yogyakarta (Japan). The manual and the course presented the students, who were about to enter the clinical phase of their studies, with a normative model for pharmacotherapeutic reasoning in which they were taught to generate a "standard" pharmacotherapeutic approach to common disorders, resulting in a set of first-choice drugs called P(ersonal)-drugs. The students were then taught how to apply this set of P-drugs to specific patient problems on the symptomatic treatment of pain, using a six-step problem-solving routine. The impact of the course was measured by tests before training, immediately after, and six months later. After the course, students from the study group performed significantly better than controls in all patient problems presented (p &lt; 0.05). The students not only remembered how to solve old problems, but they could also apply their skills to new problems. Both retention and transfer effect were maintained at least six months after the training session in all seven medical schools. In view of the impossibility of teaching students all basic knowledge on the thousands of drugs available, this approach seems to be an efficient way of teaching rational prescribing. However, the method should be accompanied by a change in teaching methods away from the habit of transferring knowledge about the drugs towards problem-based teaching of therapeutic reasoning.</t>
  </si>
  <si>
    <t>J2: Lancet; de Vries, T P Henning, R H Hogerzeil, H V Bapna, J S Bero, L Kafle, K K Mabadeje, A f Santoso, B Smith, A J; ID: 623</t>
  </si>
  <si>
    <t>0140-6736</t>
  </si>
  <si>
    <t>de Vries,T P. Department of Clinical Pharmacology, Faculty of Medicine, University of Groningen, Netherlands.</t>
  </si>
  <si>
    <t>http://ovidsp.ovid.com/ovidweb.cgi?T=JS&amp;CSC=Y&amp;NEWS=N&amp;PAGE=fulltext&amp;D=med3&amp;AN=7490991</t>
  </si>
  <si>
    <t>MEDLINE; Ovid Technologies; Impact of a short course in pharmacotherapy for undergraduate medical students: an international randomised controlled study</t>
  </si>
  <si>
    <t>De Wulf,I.;Boussery,K.;De Vriese,C.;De Meyer,G.;Foulon,V.;Lacour,V.;Mehuys,E.;Steurbaut,S.;Van Hees,T.;Author,Addresses;Apb;Archimedesstraat,Brussel Belgium;Correspondence,Address;Archimedesstraat Brussel Belgium Email,I.De Wulf, A.P.B.;Isabelle.dewulf@apb.be</t>
  </si>
  <si>
    <t>Drug related problems and interventions of pharmacists on prescribed medicines in Belgium</t>
  </si>
  <si>
    <t>Belgium;Europe;human;pharmaceutical care;pharmacist;adaptation;classification;community;pharmacy;pilot study;prescription;registration;student;university</t>
  </si>
  <si>
    <t>Aim of project/study (1) To study the frequency and nature of drug related problems (DRP) detected by community pharmacists and internship students when dispensing prescribed medicines. (2) To investigate the nature and frequency of interventions by pharmacists. (3) To study whether there is a difference between DRP detection at the moment of dispensing versus in a quiet setting. Method All tutors of the participating universities in Belgium were asked to contribute to the study. Participating pharmacists quantified drug related problems and their interventions for 5 full or 10 half days. Registrations were made by using a web tool based on the classification list of PCNE. This list had been translated and validated for the Belgian community pharmacy setting prior to the development of the web tool. The web application was evaluated by 38 students in a pilot study. A few adaptations were made to improve the user friendliness. Results Six of the seven Belgian universities and 530 (10.5 % of the 5,025) Belgian pharmacists were willing to actively participate in the final study: 280 pharmacists and an equal number of internship students conducted the study in November/December 2012 and 250 pharmacists and internship students will do so in February/March 2013. On December 12th 4.907 DRP's were registered. 4,406 DRP were detected at the moment of dispensing, 501 (10 %) were detected a posteriori, when the students analysed the prescription at a quiet time. In 2.359 (48 %) of the registrations medicines that were prescribed for the first time were involved, 2.469 (50 %) registrations were made for repeat prescriptions and 78 (1.6 %) registrations were related to compounded drugs. Further analysis of DRP and interventions has not yet been done.</t>
  </si>
  <si>
    <t>(De Wulf I., Isabelle.dewulf@apb.be; Boussery K.; De Vriese C.; De Meyer G.; Foulon V.; Lacour V.; Mehuys E.; Steurbaut S.; Van Hees T.) 8th Working Conference of the Pharmaceutical Care Network Europe Berlin, Germany 2013-02-06 to 2013-02-08 Springer Netherlands; ID: 1044</t>
  </si>
  <si>
    <t>De Wulf,I.;Foulon,V.;De Meyer, G. R. Y.;De Vriese,C.;Lacour,V.;Steurbaut,S.;Van Hees,T.;Author,Addresses;Apb,Brussels Belgium;Katholieke,Universiteit Leuven;De Louvain,Belgium;Universiteit Antwerpen,Belgium;Universit‚îú‚åê Libre,De;Bruxelles/Vrije,Universiteit Brussel;Correspondence,Address;Brussels Belgium Email isabelle dewulf apb be,I.De Wulf, A.P.B.</t>
  </si>
  <si>
    <t>Clinical drug related problems and interventions of pharmacists on prescribed medicines in Belgium</t>
  </si>
  <si>
    <t>Belgium;human;pharmacist;Belgian;classification;drug interaction;drug therapy;health care;patient;pharmacy;prescription;prevention;quality of life;student;university</t>
  </si>
  <si>
    <t>Background Pharmacists have an important role in the prevention, detection and management of drug related problems. The added value of the community pharmacists is sometimes questioned. Purpose The aims of the study are: 1/to study the frequency and nature of clinical drug related problems (DRP) detected by community pharmacists when dispensing prescribed medicines. 2/to investigate the nature and frequency of interventions by pharmacists on clinical DRPs. Method MSc students of Pharmacy of six Belgian universities collected data about all DRPs occurring during 5 days of their pharmacy internship. Classification of the DRP, cause of the DRP, intervention and result of the intervention was registered by using a web tool, based on the DRP classification list of PCNE. Findings 5.839 (37 %) of the 15.952 registered DRPs concerned problems with at least one clinical cause. The most frequently registered clinical causes were drug interaction (1.911), inappropriate timing of administration (765), dose too high (548), inappropriate drug (537) or dose too low (394). The cause Œì√á¬£Drug interactionŒì√á¬• was significantly more reported as a cause for DRPs on refill prescription than for DRPs on new prescriptions, who had significant more DRPs due to Œì√á¬£inappropriate timing of administrationŒì√á¬•, Œì√á¬£Dose too highŒì√á¬• and Œì√á¬£Inappropriate drugŒì√á¬•. For 852 problems with only clinical causes (n = 4.847) there was an intervention at the drug level (18 %). Interventions on the level of the patient took place in 87 % of these problems. About 80 % of the DRPs due to an inappropriate timing of administration dose too low or too high, were totally solved. 43 % of the problems due to a drug interaction were not solved. The percentage of totally solved problems was the highest for dermatologicals (82 %) and for systemic anti-infectives (80 %), and lowest for drugs with ATC-code B (65 %) and N (63 %). Conclusion The analysis of the prescription prior to delivery of the medicines appears necessary. DRPs due to an 'inappropriate timing of administration' or an 'inappropriate dose' are more likely to be totally solved. The active intervention of the pharmacist indicates that the pharmacist contributes to the optimization of drug therapy with potentially an increase in the quality of life of the patient and a reduction in the cost of healthcare.</t>
  </si>
  <si>
    <t>(De Wulf I., isabelle.dewulf@apb.be) (Foulon V.; Lacour V.) (De Meyer G.R.Y.) (De Vriese C.; Steurbaut S.; Van Hees T.) PCNE Working Conference 2015 Mechelen, Belgium 2015-02-04 to 2015-02-06 Kluwer Academic Publishers; ID: 828</t>
  </si>
  <si>
    <t>Deibert,R. J.;Goldbaum,G.;Parker,T. R.;Hagan,H.;Marks,R.;Hanrahan,M.;Thiede,H.</t>
  </si>
  <si>
    <t>Source: KIE. 130153 PMC1522120; Increased access to unrestricted pharmacy sales of syringes in Seattle-King County, Washington: structural and individual-level changes, 1996 versus 2003</t>
  </si>
  <si>
    <t>*Attitude of Health Personnel;Community-Acquired Infections/et Etiology];Community-Acquired Infections/pc Prevention &amp; Control];Counseling;Cross-Sectional Studies;*Health Policy;Humans;Medical Waste Disposal;*Needle-Exchange Programs;Organizational Policy;Patient Simulation;Pharmacies/lj Legislation &amp; Jurisprudence];*Pharmacies/og Organization &amp; Administration];*Pharmacists/px Psychology];Pharmacists/sn Statistics &amp; Numerical Data];*Practice Patterns, Physicians';Sterilization;*Substance Abuse, Intravenous;*Syringes/sd Supply &amp; Distribution];Washington;0 (Medical Waste Disposal)</t>
  </si>
  <si>
    <t>We examined pharmacists' attitudes and practices related to syringe sales to injection drug users before and after legal reform and local programming to enhance sterile syringe access. We replicated a 1996 study by conducting pharmacist phone surveys and syringe test-buys in randomly selected pharmacies. Test-buy success increased from 48% in 1996 to 65% in 2003 (P=.04). Pharmacists agreeing that syringes should be available to injection drug users through pharmacy purchase increased from 49% to 71% (P&lt;.01). Pharmacy policies and pharmacist attitudes were strongly associated with syringe access. Structural changes, including policy reform and pharmacy outreach, appear to increase syringe access. Interventions should address pharmacy policies and pharmacist attitudes and policies.</t>
  </si>
  <si>
    <t>J2: Am J Public Health; Deibert, Ryan J Goldbaum, Gary Parker, Theodore R Hagan, Holly Marks, Robert Hanrahan, Michael Thiede, Hanne; ID: 428</t>
  </si>
  <si>
    <t>1541-0048</t>
  </si>
  <si>
    <t>Deibert,Ryan J. Health Services Department, School of Public Health and Community Medicine, University of Washington, Seattle, USA. ryan.j.deibert@state.or.us</t>
  </si>
  <si>
    <t>http://ovidsp.ovid.com/ovidweb.cgi?T=JS&amp;CSC=Y&amp;NEWS=N&amp;PAGE=fulltext&amp;D=med5&amp;AN=16809607</t>
  </si>
  <si>
    <t>MEDLINE; Ovid Technologies; Increased access to unrestricted pharmacy sales of syringes in Seattle-King County, Washington: structural and individual-level changes, 1996 versus 2003</t>
  </si>
  <si>
    <t>Delgado,O.;Kernan,W. P.;Knoer,S. J.</t>
  </si>
  <si>
    <t>Advancing the pharmacy practice model in a community teaching hospital by expanding student rotations</t>
  </si>
  <si>
    <t>Education, Pharmacy;*Hospitals, Community/og Organization &amp; Administration];*Hospitals, Teaching/og Organization &amp; Administration];Inservice Training;Pharmaceutical Services/st Standards];Pharmacists;Professional Practice;Schools, Pharmacy;*Students, Pharmacy</t>
  </si>
  <si>
    <t>PURPOSE: The implementation, benefits, and outcomes of a layered learner model (LLM) using pharmacy students as pharmacist extenders are described. SUMMARY: In 2011, Cleveland Clinic Florida (CCF) implemented a pharmacy practice model change with the goal of providing all inpatients quality pharmaceutical care while still providing key specialty clinical pharmacy services. An LLM was initiated in which pharmacists supervise pharmacy residents and students in a team format in which students are used as pharmacist extenders. CCF partnered with local and regional colleges of pharmacy to increase the number of advanced pharmacy practice experience student rotations at CCF. Students are given accountability for a specific number of patient beds based on their rotation. They are required to perform medication histories, education on drug indication and adverse effects, discharge counseling, targeted disease counseling, and profile review for drug-related problems for their patients. After the implementation of this model, improvements were observed in Hospital Consumer Assessment of Healthcare Providers and Systems (HCAHPS) scores (58% versus 70%, respectively), pharmacy interventions per patient per day (0.9 versus 1.4, respectively), and bedside medication delivery capture rate (48% versus 65%, respectively). CONCLUSION: The implementation of an LLM and partnering with local colleges of pharmacy have improved pharmacy practice at CCF by allowing pharmacy students to work as pharmacist extenders in providing comprehensive pharmacy services to many patients who would not otherwise be reached. This approach has improved HCAHPS scores within the "communication of medication" domain, increased overall patient interventions, and allowed expansion of CCF's discharge prescription program.Copyright ‚î¨‚åê 2014 by the American Society of Health-System Pharmacists, Inc. All rights reserved.</t>
  </si>
  <si>
    <t>J2: Am J Health-Syst Pharm; Delgado, Osmel Kernan, William P Knoer, Scott J; ID: 44</t>
  </si>
  <si>
    <t>Delgado,Osmel. Osmel Delgado, Pharm. D., M.B.A., BCPS, FASHP, is Chief Operating Officer; and William P. Kernan, Pharm.D., BCPS, is Assistant Director of Pharmacy, Cleveland Clinic Florida, Weston, FL. Scott J. Knoer, Pharm.D., M.S., FASHP, is Chief Pharmacy Officer, Cleveland Clinic, Cleveland, OH. delgado@ccf.org. Kernan,William P. Osmel Delgado, Pharm. D., M.B.A., BCPS, FASHP, is Chief Operating Officer; and William P. Kernan, Pharm.D., BCPS, is Assistant Director of Pharmacy, Cleveland Clinic Florida, Weston, FL. Scott J. Knoer, Pharm.D., M.S., FASHP, is Chief Pharmacy Officer, Cleveland Clinic, Cleveland, OH. Knoer,Scott J. Osmel Delgado, Pharm. D., M.B.A., BCPS, FASHP, is Chief Operating Officer; and William P. Kernan, Pharm.D., BCPS, is Assistant Director of Pharmacy, Cleveland Clinic Florida, Weston, FL. Scott J. Knoer, Pharm.D., M.S., FASHP, is Chief Pharmacy Officer, Cleveland Clinic, Cleveland, OH.</t>
  </si>
  <si>
    <t>http://ovidsp.ovid.com/ovidweb.cgi?T=JS&amp;CSC=Y&amp;NEWS=N&amp;PAGE=fulltext&amp;D=medl&amp;AN=25320137</t>
  </si>
  <si>
    <t>http://dx.doi.org/10.2146/ajhp130624</t>
  </si>
  <si>
    <t>MEDLINE; Ovid Technologies; Advancing the pharmacy practice model in a community teaching hospital by expanding student rotations</t>
  </si>
  <si>
    <t>DeMaria,P. A.;Patkar,A. A.</t>
  </si>
  <si>
    <t>The implementation of buprenorphine/naloxone in college health practice</t>
  </si>
  <si>
    <t>Adult;*Buprenorphine/pd Pharmacology];*Buprenorphine/tu Therapeutic Use];Buprenorphine, Naloxone Drug Combination;Drug Combinations;Humans;Male;*Naloxone/pd Pharmacology];*Naloxone/tu Therapeutic Use];*Opioid-Related Disorders/dt Drug Therapy];*Student Health Services/og Organization &amp; Administration];0 (Buprenorphine, Naloxone Drug Combination);0 (Drug Combinations);36B82AMQ7N (Naloxone);40D3SCR4GZ (Buprenorphine)</t>
  </si>
  <si>
    <t>Opiate abuse and dependence have become important concerns for college healthcare providers. The passage of the Drug Addiction Treatment Act of 2000 and the approval of the combination buprenorphine/naloxone for office-based treatment of opiate dependence have increased the options available for college students and their healthcare providers. The authors review the pharmacology of buprenorphine/naloxone and discuss how it can be implemented in college health practice. They also present a case report. References: 21]</t>
  </si>
  <si>
    <t>J2: J Am Coll Health; DeMaria, Peter A Patkar, Ashwin A; ID: 372</t>
  </si>
  <si>
    <t>0744-8481</t>
  </si>
  <si>
    <t>DeMaria,Peter A. Tuttleman Counseling Services, Temple University, 1810 Liacouris Walk, Philadelphia, PA 19122, USA. pdemaria@temple.edu</t>
  </si>
  <si>
    <t>http://ovidsp.ovid.com/ovidweb.cgi?T=JS&amp;CSC=Y&amp;NEWS=N&amp;PAGE=fulltext&amp;D=med5&amp;AN=18316282</t>
  </si>
  <si>
    <t>http://dx.doi.org/10.3200/JACH.56.44.391-394</t>
  </si>
  <si>
    <t>MEDLINE; Ovid Technologies; The implementation of buprenorphine/naloxone in college health practice</t>
  </si>
  <si>
    <t>Demircio‚ï©√ßlu,C.;Sancar,M.;Izzettin,F. V.;Author,Addresses;Clinical Pharmacy,Marmara Univ;Faculty,of Pharmacy;Correspondence,Address;Demircio‚ï©√ßlu, Clinical Pharmacy Marmara Univ Faculty of Pharmacy,C.;Istanbul,Turkey</t>
  </si>
  <si>
    <t>To identify the pharmaceutical care requirements of diabetic patients</t>
  </si>
  <si>
    <t>alcohol;hemoglobin A1c;insulin;clinical pharmacy;diabetic patient;human;pharmaceutical care;adaptation;anorexia;blood glucose monitoring;body mass;chronic disease;clinical practice;community;compliance (physical);diabetes mellitus;diet;drug therapy;education;exercise;female;foot care;glucose blood level;headache;heartburn;injection;lifestyle;monitoring;nausea;obesity;pain;parameters;patient;patient education;pharmacist;pharmacy;physician;sleep disorder;smoking</t>
  </si>
  <si>
    <t>Introduction The objective of our study was to identify the pharmaceutical care requirements of diabetic patients, determine their medications and the role of the pharmacist in terms of patient training and contribution to treatment based on the results to be obtained. Materials &amp; Methods The study was conducted on 100 diabetic patients visiting to the community pharmacy in Mersin, Camliyayla, based on a patient profile. The following parameters were evaluated: demographic data, lifestyle, history of family, compliance, body mass index, diet and exercise status, other chronic diseases and drugs, self blood glucose monitoring, frequency of doctor visits. Results 58% of the patients were females with the average age of 57, 52 ‚î¨‚ñí 0.70. 46% of them were overweight, 42% were obese and 12% were normal and 60% of them stated that they were on diet and 50% of them were doing exercises. 45% of the patients had a diabetes history in their families, 2% were using alcohol and 6% of them were smoking. 52% of the patients stated that they were measuring their blood glucose levels at home and 10% of them stated that they had HbA1c measurement performed. 50% of the patients were checked by a physician quarterly. 36% of the patients had one, 14% had three and 2% had five chronic diseases accompanying diabetes. 36% of the patients were treated with single diabetes drug, 14% with three, 4% with four and 2% with five diabetes drugs. The following problems were observed upon evaluation of the pharmaceutical care requirements of the patients: anorexia (12%), nausea (8%), pain in insulin injection area (10%), pyrosis (16%), headache (6%). 40% of the patients had visual orders, 82% had pains, 16% had sleep disorders, 30% had erectile disfunction and 8% of them had lesion problems on foot and only 36% of them had foot care on a monthly basis. Upon evaluation of the findings, the number of patients who had HbA1c measurement performed was found to be quite low. The educational background was also found to be very low in this study (average education period 5.92 years). Discussions, Conclusion Keeping of patients records by the pharmacist, having knowledge about the patients, patient education and monitoring are of critical importance. We believe education to be provided by the pharmacist to the patients will facilitate adaptation of the patients to the treatment and thus the treatment will generate more successful results. The pharmacists who will educate the diabetic patients has to be enough information and clinical practice about diabetes.</t>
  </si>
  <si>
    <t>(Demircio‚ï©√ßlu C.; Sancar M.; Izzettin F.V.) ESCP 40th International Symposium on Clinical Pharmacy. Clinical Pharmacy: Connecting Care and Outcomes Dublin, Ireland 2011-10-19 to 2011-10-21 Springer Netherlands; ID: 1201</t>
  </si>
  <si>
    <t>Dent,L. A.;Harris,K. J.;Noonan,C. W.;Author,Addresses;Department of,Pharmacy Practice;School of Pharmacy, University of Montana Missoula,M.T.United States;School of,Public;Community,Health Sciences;Montana;Department of Biomedical Sciences, Skaggs School,of Pharmacy;University of,Montana;Department of,Pharmacy Practice;School of Pharmacy, University of Montana Campus,Dr Missoula</t>
  </si>
  <si>
    <t>19193572; Randomized trial assessing the effectiveness of a pharmacist-delivered program for smoking cessation</t>
  </si>
  <si>
    <t>amfebutamone (adverse drug reaction, clinical trial, drug therapy);cotinine (clinical trial, drug therapy);nicotine patch (adverse drug reaction, clinical trial, drug dose, drug;therapy);education program;health program;pharmacist;smoking cessation;withdrawal syndrome (drug therapy);adult;article;clinical trial;control group;controlled clinical trial;controlled study;dizziness (side effect);drug dose reduction;drug withdrawal;follow up;health care delivery;health care management;health care personnel;health care utilization;health practitioner;health survey;human;major clinical study;open study;outpatient department;priority journal;public health;randomized controlled trial;rash (side effect);self report;telephone;tobacco;United States;amfebutamone (31677-93-7, 34911-55-2);cotinine (486-56-6);Public Health, Social Medicine and Epidemiology (17);Psychiatry (32);Drug Literature Index (37);Adverse Reactions Titles (38);Drug Dependence, Alcohol Abuse and Alcoholism (40)</t>
  </si>
  <si>
    <t>BACKGROUND: As trained and accessible healthcare professionals, pharmacists are in an ideal position to provide tobacco cessation interventions. Of the 15 studies identified in the literature assessing the effectiveness of tobacco cessation interventions delivered by pharmacists, this is the first randomized controlled trial conducted in the US of a pharmacist-delivered program for smoking cessation using biochemical confirmation. OBJECTIVE: To assess the effectiveness on smoking cessation of a face-to-face group program conducted by the pharmacist team compared with a brief standard care session delivered by a pharmacist over the telephone. METHODS: An open-label, prospective, randomized, controlled trial was conducted at a Veterans Health Administration, community-based outpatient clinic in the Rocky Mountain region. Participants were randomly assigned to receive a 3-session face-to-face group program conducted by the pharmacist team or one 5- to 10-minute standard care session delivered by the pharmacist team over the telephone. Participants in both groups were offered either immediate-release bupropion or nicotine patch at no cost. The primary outcome of self-reported abstinence was biochemically confirmed by urinary cotinine at 6 months after the quit date. RESULTS: One hundred one smokers were randomized from October 3, 2005, to March 30, 2007, with the last 6-month follow-up survey completed on November 6, 2007. Analysts of data was completed in December 2007. Using intent-to-treat procedures, confirmed abstinence rates at the end of 6 months were 28% in the pharmacist-delivered face-to-face treatment group and 11.8% in the standard care telephone session control group (p &lt; 0.041). CONCLUSIONS: This study demonstrates that pharmacists are effective providers of tobacco cessation interventions. Greater utilization of pharmacists in tcbacco cessation efforts could have a significant impact on smoking rates, prevention of tobacco-related diseases, and overall improvement in public health across the US.</t>
  </si>
  <si>
    <t>(Dent L.A., larry.dent@umontana.edu) (Harris K.J.) (Noonan C.W.) Harvey Whitney Books Company, 8044 Montgomery Road, Suite 415, Cincinnati, United States.; ID: 1443</t>
  </si>
  <si>
    <t>1060-0280</t>
  </si>
  <si>
    <t>http://www.ncbi.nlm.nih.gov/pubmed/19193572</t>
  </si>
  <si>
    <t>Randomized trial assessing the effectiveness of a pharmacist-delivered program for smoking cessation</t>
  </si>
  <si>
    <t>Dent,L. A.;Scott,J. G.;Lewis,E.</t>
  </si>
  <si>
    <t>Pharmacist-managed tobacco cessation program in Veterans Health Administration community-based outpatient clinic</t>
  </si>
  <si>
    <t>14; quiz 714-5</t>
  </si>
  <si>
    <t>Ambulatory Care Facilities;Bupropion/ad Administration &amp; Dosage];Bupropion/tu Therapeutic Use];*Community Pharmacy Services/og Organization &amp; Administration];Humans;Motivation;Professional-Patient Relations;Program Development;Substance Withdrawal Syndrome;*Tobacco Use Cessation/mt Methods];Tobacco Use Cessation/px Psychology];Tobacco Use Disorder/dt Drug Therapy];Tobacco Use Disorder/px Psychology];*Tobacco Use Disorder/th Therapy];Treatment Outcome;United States;United States Department of Veterans Affairs;Veterans/px Psychology];*Veterans;01ZG3TPX31 (Bupropion)</t>
  </si>
  <si>
    <t>OBJECTIVE: To describe an ongoing pharmacist-managed tobacco cessation clinic and assess the long-term effectiveness of the program. SETTING: Veterans Health Administration (VHA) community-based outpatient clinic in Missoula, Montana. PARTICIPANTS: Pharmacy professor/clinical pharmacy specialist, advanced pharmacy practice experience students, and tobacco cessation participants. PRACTICE DESCRIPTION: Ongoing, pharmacist-managed tobacco cessation program offered to veterans. PRACTICE INNOVATION: With use of the "Vets without Cigarettes" program developed by the Montana VHA and the most current strategies reported in the literature, the clinical pharmacy specialist and pharmacy students provide tobacco cessation services for Missoula Veterans Affairs Primary Care Center veterans. Activities include a three-session program using the Transtheoretical Model of Change, tobacco cessation pharmacotherapy, behavioral strategies, cognitive techniques, documentation, and follow-up survey. MAIN OUTCOME MEASURE: Percentage of veterans contacted reporting tobacco abstinence. RESULTS: Follow-up survey results were obtained for 130 (87.8%) of 148 veterans attending one or more sessions of the tobacco cessation class between November 1999 and December 2003. Of the 130 veterans contacted, 54 (41.5%) continued to be tobacco free. CONCLUSION: This program demonstrates that pharmacists are effective providers of tobacco cessation services. Furthermore, a comprehensive tobacco cessation program is provided that can serve as a model to guide pharmacists in assisting more patients to become tobacco free and live healthier lifestyles.</t>
  </si>
  <si>
    <t>J2: J Am Pharm Assoc (2003); Dent, Larry A Scott, Jesse G Lewis, Evan; ID: 464</t>
  </si>
  <si>
    <t>Dent,Larry A. School of Pharmacy and Allied Health Sciences, University of Montana, Missoula, MT 59812-1522, USA. larry.dent@umontana.edu</t>
  </si>
  <si>
    <t>http://ovidsp.ovid.com/ovidweb.cgi?T=JS&amp;CSC=Y&amp;NEWS=N&amp;PAGE=fulltext&amp;D=med5&amp;AN=15637853</t>
  </si>
  <si>
    <t>MEDLINE; Ovid Technologies; Pharmacist-managed tobacco cessation program in Veterans Health Administration community-based outpatient clinic</t>
  </si>
  <si>
    <t>Dent,L. A.;Stratton,T. P.;Cochran,G. A.</t>
  </si>
  <si>
    <t>Establishing an on-site pharmacy in a community health center to help indigent patients access medications and to improve care</t>
  </si>
  <si>
    <t>Community Health Centers/ec Economics];*Community Health Centers/og Organization &amp; Administration];Drug Industry;*Health Services Accessibility/og Organization &amp; Administration];Minnesota;Pharmacies/ec Economics];*Pharmacies/og Organization &amp; Administration];*Uncompensated Care/ec Economics];United States;United States Public Health Service</t>
  </si>
  <si>
    <t>OBJECTIVES: To describe the establishment of an on-site pharmacy in a community health center (CHC) to improve access to medications for indigent patients, the implementation of pharmaceutical care programs and clinical pharmacy services to improve patient care and therapeutic outcomes, and the development of an ambulatory care site for training pharmacy students. SETTING: Partnership Health Center (PHC), a federally funded CHC in Missoula, Mont. PRACTICE DESCRIPTION: Establishment of an on-site pharmacy and strategies for accessing medications for indigent patients, including participation in the U.S. Public Health Service pricing program, pharmaceutical manufacturers' assistance programs, and drug sampling, are described. The clinical pharmacy, disease management, and pharmaceutical care programs developed at the site to improve medication use and therapeutic outcomes are discussed. Development of an ambulatory care clerkship site at the CHC for training University of Montana pharmacy students is reviewed. PRACTICE INNOVATION: Partnership between PHC and the University of Montana School of Pharmacy and Allied Health Sciences (SPAHS) to establish an on-site pharmacy to help medically indigent patients access medications and to improve care. INTERVENTIONS: Programs to help indigent patients access, adhere, and appropriately use needed medications while decreasing clinic expenditures for medications. MAIN OUTCOME MEASURES: Number of prescriptions dispensed per month, clinic expenditures on medications per month, and number of clinical services and pharmaceutical care programs developed. RESULTS: Between November 1, 1999, and April 30, 2000, the average number of prescriptions filled for PHC clients increased from 219/month to 838/month and the average expenditure per prescription decreased from $16.55/month to $0.51/month. A pharmacist-assisted refill program was implemented. Programs in diabetes, hypertension, dyslipidemia, asthma, anticoagulation, and peptic ulcer disease were developed. CONCLUSION: Establishing an on-site pharmacy in a CHC in collaboration with a school of pharmacy significantly improved indigent patients' access to medications while decreasing clinic expenditures. Pharmaceutical care programs improved therapeutic outcomes, and clinical pharmacy services complemented the clinical activities of other health care providers in managing chronic diseases and resolving drug-related problems. The CHC provided an excellent setting for training pharmacy students in ambulatory care.</t>
  </si>
  <si>
    <t>J2: J Am Pharm Assoc (Wash); Dent, Larry A Stratton, Timothy P Cochran, Gayle A; ID: 527</t>
  </si>
  <si>
    <t>Dent,Larry A. Department of Pharmacy Practice, School of Pharmacy and Allied Health Sciences, University of Montana, Missoula 59812-1522, USA. ldent@selway.umt.edu</t>
  </si>
  <si>
    <t>http://ovidsp.ovid.com/ovidweb.cgi?T=JS&amp;CSC=Y&amp;NEWS=N&amp;PAGE=fulltext&amp;D=med4&amp;AN=12030637</t>
  </si>
  <si>
    <t>MEDLINE; Ovid Technologies; Establishing an on-site pharmacy in a community health center to help indigent patients access medications and to improve care</t>
  </si>
  <si>
    <t>Depaz,Iris;Moni,Roger W.</t>
  </si>
  <si>
    <t>Using Peer Teaching to Support Co-Operative Learning in Undergraduate Pharmacology</t>
  </si>
  <si>
    <t>Bioscience Education e-Journal</t>
  </si>
  <si>
    <t>(12</t>
  </si>
  <si>
    <t>Peer Teaching;Pharmacology;Cooperative Learning;Undergraduate Students;Group Dynamics;Foreign Countries;Communication Skills;Teamwork;Case Studies;Science Instruction;College Science;Toxicology;Student Attitudes;Student Surveys;Peer Evaluation;Identifier: Australia</t>
  </si>
  <si>
    <t>We report findings from the second phase of a study of co-operative, group-based assessment in Pharmacology for second-year undergraduates at The University of Queensland, Australia. Students (n = 285) enrolled in the 2006 Bachelor of Science degree program completed a group-based assessment task (weighted 10% of their course). Blended teaching strategies and the task design were modified to support group formation and peer teaching. A Jigsaw teaching strategy was adopted to support a co-operative learning task in which groups created and submitted a Notice of Intent (NOI) or mini grant proposal based on the topic of Drug Dependence. Assessment was 7% from the NOI and 3% from an individual quiz. In post-assessment surveys, students reported more favourable attitudes towards assessment in which group members received the same marks than in a pre-teaching survey. Findings from the post-task assessment survey were that most students worked co-operatively around assessment. Most students reported that peer teaching help them to complete their assignment and their individual quiz (3%) more than working in "expert panels" or group-based writing. Overall marks were high: the mean plus or minus] sd for the group-based NOI was 80 plus or minus] 13% and for the averaged quiz marks, 73 plus or minus] 13%. The need for more detailed study of group dynamics is recommended. (Contains 3 figures.)</t>
  </si>
  <si>
    <t>FirstSearch indicates your institution subscribes to this publication. Libraries worldwide that own item: 524 University of Michigan Library Search the Mirlyn catalog at the University of MichiganLocal Holdings Information: 1-; 2003- Education Level: Higher Education; Postsecondary Education Article (EJ); ID: 2106</t>
  </si>
  <si>
    <t>1479-7860</t>
  </si>
  <si>
    <t>Centre for Bioscience, The Higher Education Academy. Room 9.15, Worsley Building, University of Leeds, Leeds LS2 9JT United Kingdom. Tel: +44-113-343-3001; Fax: +44-113-343-5894; e-mail: beej@leeds.ac.uk; Web site: http://www.bioscience.heacademy.ac.uk/journal; http://dx.doi.org/10.3108/beej.11.8</t>
  </si>
  <si>
    <t>EJ835798</t>
  </si>
  <si>
    <t>ERIC; OCLC; Using Peer Teaching to Support Co-Operative Learning in Undergraduate Pharmacology</t>
  </si>
  <si>
    <t>Dependence,W. H. O. E.</t>
  </si>
  <si>
    <t>WHO Expert Committee on Drug Dependence</t>
  </si>
  <si>
    <t>World Health Organization technical report series</t>
  </si>
  <si>
    <t>World Health Organ.Tech.Rep.</t>
  </si>
  <si>
    <t>i, 1</t>
  </si>
  <si>
    <t>21, 23-4 passim</t>
  </si>
  <si>
    <t>4-Butyrolactone/cl Classification];Advisory Committees;Azabicyclo Compounds;Buprenorphine/cl Classification];Butorphanol/cl Classification];Catha/cl Classification];Dronabinol/cl Classification];*Drug Evaluation;*Drug and Narcotic Control;*Health Services Accessibility/st Standards];Humans;Hydroxybutyrates/cl Classification];Ketamine/cl Classification];Piperazines/cl Classification];*Psychotropic Drugs/cl Classification];Psychotropic Drugs/pd Pharmacology];Psychotropic Drugs/tu Therapeutic Use];*Substance-Related Disorders/pc Prevention &amp; Control];Thebaine/aa Analogs &amp; Derivatives];Thebaine/cl Classification];Tramadol/cl Classification];World Health Organization;0 (Azabicyclo Compounds);0 (Hydroxybutyrates);0 (Piperazines);0 (Psychotropic Drugs);03A5ORL08Q (zopiclone);2P9MKG8GX7 (Thebaine);30IW36W5B2 (4-hydroxybutyric acid);39J1LGJ30J (Tramadol);40D3SCR4GZ (Buprenorphine);575AOU51CR (oripavine);690G0D6V8H (Ketamine);7J8897W37S (Dronabinol);OL659KIY4X (4-Butyrolactone);QV897JC36D (Butorphanol)</t>
  </si>
  <si>
    <t>This report presents the recommendations of a WHO Expert Committee responsible for reviewing information on dependence-producing drugs to assess the need for their international control. The first part of the report contains a summary of the Committee's evaluations of seven substances (dronabinol, oripavine, buprenorphine, butorphanol, ketamine, khat and zopiclone). The report also discusses the substances that were pre-reviewed (gamma-hydroxybutyric acid and tramadol) and recommended gamma-hydroxybutyric acid for critical review at a future meeting. Two substances (gamma-butyrolactone and 1,4-butanediol) were identified for future pre-review). The second part of the report discusses the guidelines for the WHO review of dependence-producing psychoactive substances for international control. It includes sections on amending the current guidelines, interpretation of specific aspects of the guidelines and access to information necessary for the evaluation of substances. The final section considers other matters including activities of the EMCCDA, the use of pharmacovigilance data, promotion of education and information on the appropriate use of psychoactive drugs and the impact of international control on medical availability of substances.</t>
  </si>
  <si>
    <t>J2: World Health Organ Tech Rep Ser; WHO Expert Committee on Drug Dependence; ID: 398</t>
  </si>
  <si>
    <t>0512-3054</t>
  </si>
  <si>
    <t>http://ovidsp.ovid.com/ovidweb.cgi?T=JS&amp;CSC=Y&amp;NEWS=N&amp;PAGE=fulltext&amp;D=med5&amp;AN=17373571</t>
  </si>
  <si>
    <t>MEDLINE; Ovid Technologies; WHO Expert Committee on Drug Dependence</t>
  </si>
  <si>
    <t>Desmaele,S.;De Wulf,I.;Dupont,A. G.;Steurbaut,S.</t>
  </si>
  <si>
    <t>Pharmacists' role in handling problems with prescriptions for antithrombotic medication in Belgian community pharmacies</t>
  </si>
  <si>
    <t>668 13p</t>
  </si>
  <si>
    <t>Background: Community pharmacists have an important task in the follow-up of patients treated with antithrombotics. When delivering these medicines, pharmacists can encounter drug-related problems (DRPs) with substantial clinical and economic impact.Objective: To investigate the amount and type of antithrombotic related DRPs as well as how community pharmacists handled these DRPs.Setting: Belgian community pharmacies.Methods: MSc pharmacy students of six Belgian universities collected data about all DRPs encountered by a pharmacist during ten half days of their pharmacy internship. Data were registered about DRPs detected at delivery and in an a posteriori setting, when consulting the medical history of the patient. Classification of the DRP, cause of the DRP, intervention and result of the intervention were registered.Main Outcome Measure: Amount and type of antotrombitocs related DRPs occurring in community pharmacies, as well as how community pharmacists handled these DRPs.Results: 3.1 % of the 15,952 registered DRPs concerned antithrombotics. 79.3 % of these DRPs were detected at delivery and 20.7 % were detected a posteriori. Most antithrombotic-related DRPs concerned problems with the choice of the drug (mainly because of drug-drug interactions) or concerned logistic problems. Almost 80 % of the antithrombotic-related DRPs were followed by an intervention of the pharmacist, mainly at the patient's level, resulting in 90.1 % of these DRPs partially or totally solved.Conclusion: Different DRPs with antithrombotic medication occurred in Belgian community pharmacies. About 20 % was detected in an a posteriori setting, showing the benefit of medication review. Many of the encountered DRPs were of technical nature (60.7 %). These DRPs were time-consuming for the pharmacist to resolve and should be prevented. Most of the DRPs could be solved, demonstrating the added value of the community pharmacist as first line healthcare provider.</t>
  </si>
  <si>
    <t>Entry Date: 20150923. Revision Date: 20160412. Publication Type: journal article. Journal Subset: Biomedical; Continental Europe; Europe. NLM UID: 101554912. PMID: 25822042.; ID: 1981</t>
  </si>
  <si>
    <t>http://proxy.lib.umich.edu/login?url=http://search.ebscohost.com/login.aspx?direct=true&amp;db=ccm&amp;AN=109594162&amp;site=ehost-live&amp;scope=site</t>
  </si>
  <si>
    <t>10.1007/s11096-015-0106-3</t>
  </si>
  <si>
    <t>ccm; EBSCOhost; Pharmacists' role in handling problems with prescriptions for antithrombotic medication in Belgian community pharmacies</t>
  </si>
  <si>
    <t>Desmaele,S.;De Wulf,I.;Dupont,A. G.;Steurbaut,S.;Author,Addresses;Research,Group Clinical;Clinical Pharmacy,Centre;for Pharmaceutical Research, Vrije Universiteit,Brussel Laarbeeklaan;Brussels,Belgium;Centrum Wetenschappelijke,Ontwikkeling voor;Algemene Pharmaceutische Bond, Archimedesstraat,Brussels Belgium;Correspondence,Address;Steurbaut, Research Group Clinical Pharmacology,S.;Clinical,Pharmacy;Brussel,Centre for Pharmaceutical Research Vrije Universiteit;Laarbeeklaan,Brussels Belgium</t>
  </si>
  <si>
    <t>PharmacistsŒì√á√ñ role in handling problems with prescriptions for antithrombotic medication in Belgian community pharmacies</t>
  </si>
  <si>
    <t>(MAJOR FOCUS);anticoagulant agent;antithrombocytic agent;antivitamin K;blood clotting factor 10a inhibitor;heparin;thrombin inhibitor;pharmacist attitude;prescription;adolescent;adult;aged;article;Belgian;Belgium;cross-sectional study;drug choice;drug classification;electronic prescribing;female;human;major clinical study;male;middle aged;outcome assessment;patient care;pharmacy;priority journal;problem solving;young adult;heparin (37187-54-5, 8057-48-5, 8065-01-8, 9005-48-5);Public Health, Social Medicine and Epidemiology (17);Drug Literature Index (37)</t>
  </si>
  <si>
    <t>Background Community pharmacists have an important task in the follow-up of patients treated with antithrombotics. When delivering these medicines, pharmacists can encounter drugŒì√á√¥related problems (DRPs) with substantial clinical and economic impact. Objective To investigate the amount and type of antithrombotic related DRPs as well as how community pharmacists handled these DRPs. Setting Belgian community pharmacies. Methods MSc pharmacy students of six Belgian universities collected data about all DRPs encountered by a pharmacist during ten half days of their pharmacy internship. Data were registered about DRPs detected at delivery and in an a posteriori setting, when consulting the medical history of the patient. Classification of the DRP, cause of the DRP, intervention and result of the intervention were registered. Main outcome measure Amount and type of antotrombitocs related DRPs occurring in community pharmacies, as well as how community pharmacists handled these DRPs. Results 3.1‚î¨√°% of the 15,952 registered DRPs concerned antithrombotics. 79.3‚î¨√°% of these DRPs were detected at delivery and 20.7‚î¨√°% were detected a posteriori. Most antithrombotic-related DRPs concerned problems with the choice of the drug (mainly because of drugŒì√á√¥drug interactions) or concerned logistic problems. Almost 80‚î¨√°% of the antithrombotic-related DRPs were followed by an intervention of the pharmacist, mainly at the patientŒì√á√ñs level, resulting in 90.1‚î¨√°% of these DRPs partially or totally solved. Conclusion Different DRPs with antithrombotic medication occurred in Belgian community pharmacies. About 20‚î¨√°% was detected in an a posteriori setting, showing the benefit of medication review. Many of the encountered DRPs were of technical nature (60.7‚î¨√°%). These DRPs were time-consuming for the pharmacist to resolve and should be prevented. Most of the DRPs could be solved, demonstrating the added value of the community pharmacist as first line healthcare provider.</t>
  </si>
  <si>
    <t>(Desmaele S.; Dupont A.G.; Steurbaut S., Stephane.Steurbaut@uzbrussel.be) (KFAR) (De Wulf I.) Kluwer Academic Publishers; ID: 833</t>
  </si>
  <si>
    <t>2015883544 FULL TEXT LINK http://dx.doi.org/10.1007/s11096-015-0106-3</t>
  </si>
  <si>
    <t>Dews,P. B.;Curtis,G. L.;Hanford,K. J.;O'Brien,C. P.;Author,Addresses;University,of;Pennsylvania,Department of Psychiatry Chestnut Street Philadelphia</t>
  </si>
  <si>
    <t>10586387; The frequency of caffeine withdrawal in a population-based survey and in a controlled, blinded pilot experiment</t>
  </si>
  <si>
    <t>(MAJOR FOCUS);caffeine;withdrawal syndrome;article;clinical trial;coffee;controlled clinical trial;controlled study;double blind procedure;drinking;female;frequency analysis;functional assessment;human;major clinical study;male;randomized controlled trial;self report;caffeine (58-08-2);Clinical and Experimental Pharmacology (30);Psychiatry (32)</t>
  </si>
  <si>
    <t>Reports of symptoms when regular caffeine consumption is stopped have appeared in the medical literature, but the frequency and significance of this phenomenon have remained controversial. The objective of this study was to collect information on the prevalence and severity of caffeine withdrawal in the general population and determine the incidence and type of symptoms reported on blind abrupt and gradual caffeine cessation among coffee drinkers reporting past episodes of caffeine-withdrawal symptoms. A community-based telephone survey was followed by a stratified, randomized, double-blind controlled study. Participants included 11, 112 persons spontaneously calling to inquire about studies not related to caffeine and 57 regular caffeine users selected from among the callers because of self-reported caffeine-withdrawal symptoms. Gradual or abrupt withdrawal from caffeine was compared to continuation of the same caffeine level. In a survey of 11,112 persons, 61% reported daily caffeine consumption, and 11% of the caffeine consumers reported symptoms upon stopping caffeine. Among the regular caffeine users, only 0.9% of males and 5.5% of females reported symptoms significant enough to interfere with normal activities when they abruptly stopped caffeine. A group of those reporting withdrawal symptoms were randomly assigned to three subsamples. In the group subjected to abrupt withdrawal (N = 18), 6 (33.3%) reported symptoms (e.g., headaches and tiredness). Including decreases in functional ratings, a total of 7 of the 18 (38.8%) could be considered to have experienced caffeine withdrawal. The gradual withdrawal group (N = 20) reported minimal if any caffeine withdrawal symptoms. A third group (N = 18) was kept on a level dose of caffeine for comparison. When participants are unaware of the caffeine-withdrawal focus of the study, these results suggest that both the frequency and severity of caffeine-withdrawal symptoms are much lower than found in some previous reports and that clinically significant symptoms may be uncommon events among the general population. (C) 1999 the American College of Clinical Pharmacology.</t>
  </si>
  <si>
    <t>(Dews P.B.; Curtis G.L.; Hanford K.J.; O'Brien C.P.) SAGE Publications Inc., 2455 Teller Road, Thousand Oaks, United States.; ID: 1645</t>
  </si>
  <si>
    <t>http://www.ncbi.nlm.nih.gov/pubmed/10586387</t>
  </si>
  <si>
    <t>The frequency of caffeine withdrawal in a population-based survey and in a controlled, blinded pilot experiment</t>
  </si>
  <si>
    <t>Deyo,Z.;Stuppy,S.;Breden,E.;Moran,J.;Author,Addresses;University,of Maryland;Virginia Commonwealth University, School of,Medicine United;States;Virginia Commonwealth University,Health System;States;Correspondence,Address;Deyo, University of Maryland United States,Z.</t>
  </si>
  <si>
    <t>Nootropic-induced psychosis: A case report</t>
  </si>
  <si>
    <t>4 amino 3 phenylbutyric acid;amfebutamone;aniracetam;nootropic agent;piracetam;case report;college;pharmacist;psychosis;adverse drug reaction;attention deficit disorder;delusion;drug therapy;emergency ward;enhancer region;food and drug administration;hallucination;hospital patient;ingestion;male;medical history;memory;patient;polypharmacy;prescription;psychiatry;recall;safety;schizoaffective psychosis;schizophrenia</t>
  </si>
  <si>
    <t>Abstract Type: Therapeutic Case Report. Background: Psychotic symptoms may be caused by medications or substances. This case report describes a young man who presented to the emergency department (ED) with psychosis secondary to nootropic polypharmacy. Nootropics, referred to as Œì√á¬£smart drugsŒì√á¬• or Œì√á¬£memory enhancers,Œì√á¬• are non-FDA regulated agents that target persons looking for memory enhancement or improved concentration. Piracetam was the first nootropic described, and has many purported indications and mechanisms of action. Patient History: A 23 year old white male with a past psychiatric history of attention deficit hyperactivity disorder (ADHD) and depression presented to the ED exhibiting signs of psychosis, disorganized thinking and delusions of grandeur. Upon transfer to inpatient psychiatry his differential included psychosis NOS, schizophrenia, schizoaffective disorder, and substanceinduced psychotic disorder. The following day, he was no longer experiencing psychotic symptoms. After further investigation he reported taking three nootropic agents; piracetam, aniracetam, and phenibut to target his symptoms of ADHD. He originally took 800-1600 mg of piracetam, but recently added aniracetam and phenibut. As he grew tolerant to their effects, he increased the dose. The day he presented to the ED he recalls taking approximately 4 grams of piracetam, 5.6 grams of phenibut, and an unknown quantity of aniracetam. Given that the patient's symptoms abated within 24 hours of admission, it was determined that his psychosis was secondary to nootropics. The patient was discharged devoid of psychotic symptoms with a prescription for bupropion to target his ADHD and depression. Review of Literature: A MEDLINE search did not identify any published case reports of psychosis secondary to a combination of these agents. The Martindale index does cite hallucinations as a possible adverse effect of piracetam. This case report adds to the paucity of literature on the safety of nootropic agents. Conclusion: In this case report, a temporal and causal relationship was observed between the ingestion of increasing doses of phenibut, piracetam, and aniracetam and the development of neuropsychiatric manifestations. Clinicians should be cognizant of nootropic agents, and that their use may result in psychosis.</t>
  </si>
  <si>
    <t>(Deyo Z.) (Stuppy S.) (Breden E.; Moran J.) 13th Annual Meeting of the College of Psychiatric and Neurologic Pharmacists, CPNP 2010 San Antonio, TX, United States 2010-04-18 to 2010-04-21 SAGE Publications Inc.; ID: 1374</t>
  </si>
  <si>
    <t>Dharmalingam,S. R.;Madhappan,R.;Chidambaram,K.;Ramamurthy,S.;Gopal,K.;Swetha,P.;Kumar,K. L. S.;Author,Addresses;School of Pharmacy, International Medical University,Kuala Lumpur;Malaysia;Department,of;Pharmacognosy,Padmavathi College of Pharmacy;Research,Institute;Tamilnadu,India;Correspondence,Address;Dharmalingam, School of Pharmacy International Medical University,S.R.;Kuala Lumpur, Malaysia Email dsenthilrajan yahoo,co in</t>
  </si>
  <si>
    <t>Anti-urolithiatic activity of Melia azedarach Linn leaf extract in ethylene glycol-induced urolithiasis in male albino rats</t>
  </si>
  <si>
    <t>(MAJOR FOCUS);Melia azedarach extract (drug comparison, drug development, drug therapy,;drug toxicity, oral drug administration);alcohol;allopurinol (drug comparison, drug therapy, oral drug administration);calcium oxalate;water;urolithiasis (drug therapy, drug therapy);acute toxicity;animal experiment;animal model;animal tissue;article;blood analysis;controlled study;histopathology;hyperoxaluria;kidney homogenate;male;nonhuman;phytochemistry;plant leaf;rat;urinalysis;alcohol (64-17-5);allopurinol (315-30-0);calcium oxalate (563-72-4);water (7732-18-5);Urology and Nephrology (28);Drug Literature Index (37);Toxicology (52)</t>
  </si>
  <si>
    <t>Purpose: To investigate the anti-urolithiatic activity of the aqueous and alcoholic extracts of Melia azedarach Linn leaves in calcium oxalate urolithiasis in male albino rats. Methods: The effect of oral administration of aqueous and ethanol extracts of Melia azedarach Linn leaves on calcium oxalate urolithiasis has been investigated. Lithiasis was induced by oral adminstration of ethylene glycol (0.75%v/v) in male albino rats for 28 days. Each of the extract (250 mg/kg) was administered orally day 0 as a prophylactic regimen and from day 15 as a curative regimen. Regular administration of ethylene glycol caused hyperoxaluria in ethylene glycol-fed animals, leading to increased renal retention and excretion of oxalate, calcium and phosphate. Histopathological study, urine microscopy, serum analysis and biochemical analysis of kidney homogenate were performed. Results: Oxalate and calcium excretion in urine increased (p &lt; 0.01) to 3.68 ‚î¨‚ñí 0.01 and 4.5 ‚î¨‚ñí 0.01 mg/24 h, respectively, in lithiatic control animals compared to (0.37 ‚î¨‚ñí 0.01 and 1.27 ‚î¨‚ñí 0.12 mg/24 h) for the normal control group. Treatment with aqueous or ethanol extract (250 mg/kg, p.o.) significantly (p &lt; 0.01) reduced the elevated levels of calcium, oxalate and phosphate excretion in urine to 0.79 ‚î¨‚ñí 0.01 and 1.09 ‚î¨‚ñí 0.04 mg/24 h, respectively. Following treatment with the ethanol extract (250mg/kg), serum creatinine excretion was restored from 0.95 ‚î¨‚ñí 0.01 mg/24 h to the normal level of 0.87 ‚î¨‚ñí 0.01 mg/24 h. The results were comparable to those of the standard drug, allopurinol (50 mg/kg p.o.). Histopathological data for the kidney supported the foregoing results. Conclusions: The results demonstrate that the aqueous and ethanol extracts of Melia azedarach Linn leaves have potent antiurolithiatic activity against ethylene glycol-induced calcium oxalate urolithiasis in male albino rats. ‚î¨‚åê Pharmacotherapy Group, Faculty of Pharmacy, University of Benin, Benin City, 300001 Nigeria. All rights reserved.</t>
  </si>
  <si>
    <t>(Dharmalingam S.R., dsenthilrajan@yahoo.co.in; Chidambaram K.; Ramamurthy S.) (Madhappan R.; Gopal K.; Swetha P.; Kumar K.L.S.) University of Benin, editor@tjpr.org; ID: 947</t>
  </si>
  <si>
    <t>1596-9827 (electronic) 1596-5996</t>
  </si>
  <si>
    <t>2014239050 FULL TEXT LINK http://dx.doi.org/10.4314/tjpr.v13i3.12</t>
  </si>
  <si>
    <t>Dhital,R.;Norman,I.;Milligan,P.;Whittlesea,C.;Author,Addresses;King's College London, London,United Kingdom;Correspondence,Address;Dhital, King's College London London United Kingdom Email,R.;ranjita.dhital@kcl.ac.uk</t>
  </si>
  <si>
    <t>Potential uptake of an alcohol screening and brief intervention service in community pharmacies: A pilot interview survey of pharmacy customers</t>
  </si>
  <si>
    <t>B76</t>
  </si>
  <si>
    <t>B77</t>
  </si>
  <si>
    <t>(MAJOR FOCUS);alcohol;community;interview;pharmacy;screening;alcohol consumption;college;consultation;drinking;education;environment;ethics;female;follow up;gender;general practitioner;medical audit;occupation;pharmacist;population;primary health care;primary medical care;privacy;sampling;statistical significance;United Kingdom;work</t>
  </si>
  <si>
    <t>Introduction and Objectives: There is strong evidence to support the effectiveness of brief intervention to reduce and prevent alcohol misuse in primary health care.(1,2]) The annual UK cost of alcohol misuse is estimated to be approximately ‚î¨√∫25.1 billion (of which ‚î¨√∫2.7 billion is attributed to NHS costs).(3]) An alcohol screening service in pharmacies has potential to identify risky drinkers and trained pharmacists to provide safe drinking advice to their customers. Currently, this service is not available in UK community pharmacies. The aim of the study was to investigate the potential uptake by customers for this service. Method: Following primary care trust agreement, purposive sampling was used to select two independent and two branches of a pharmacy multiple, all with private consultation rooms. Ethics approval was gained from King's College London. Participant information leaflets were left at the pharmacy before the study. Over the 3-month period (from September to November 2009), the researcher spent a total of 12 days recruiting pharmacy customers from the four selected pharmacies. During this period, customers who approached the pharmacy counter were invited to participate, and as many as feasible were interviewed. Following piloting, the interview schedule was used to record customers' responses to the potential alcohol screening service and their personal characteristics (age, gender, occupation, education and frequency of pharmacy visits). The validated three-item screening tool, Alcohol Use Disorder Identification TestConsumption (AUDIT-C), was incorporated to identify safe and risky drinkers.(4]) Quantitative data were analysed using SPSS. Statistical significance was set at P Œì√´√± 0.05. Open questions were coded and framework analysis undertaken. Results and Discussion: Of the 237 customers (88 men) approached, 102 (43%) agreed to be interviewed (39 men). Of these, 98 completed the AUDIT-C, with 51 (52%) identified as risky drinkers. Those with AUDIT-C scores Œì√´√ë3 (women) and Œì√´√ë4 (men) were classified as risky drinkers. The mean AUDIT-C scores for all customers (men = 4.4 ‚î¨‚ñí 3.5; women = 3.0 ‚î¨‚ñí 2.6, t-est P = 0.031) were outside these safe alcohol use limits. Most customers indicated a willingness to participate in the following aspects of the service: complete drinking diary (n = 95,94%), accept written information on safe alcohol use (n = 99, 98%), discuss their drinking with the pharmacist (n = 97, 96%) and attend follow-up appointments (n = 88, 87%). AUDIT-C score was not significantly associated with willingness to participate in the service or recommend it to others. Customers reported the following positive characteristics about the potential service: friendly/informal environment, no appointment necessary, reliable information source, nonjudgemental, voluntary and confidential service. Negative aspects reported were lack of time (for pharmacist and customer), consumer/retail environment, difficulty communicating with pharmacist, inappropriate role (more appropriate for general practitioner) and lack of privacy. In this study, risky drinkers were either more frequent or less frequent visitors to pharmacies than nonrisky drinkers (x(2), P = 0.021). Participants in professional occupations and those unemployed were significantly more likely to be risky drinkers than those in nonprofessional jobs or who had retired (x(2), P = 0.015). Conclusion The findings of this study suggest a higher proportion of risky drinkers among pharmacy customers (n = 51, 52%) compared to the estimated incidence within the English population (25%).(3]) The findings also indicate that regardless of their drinking status, most customers were interested in using a pharmacy-based alcohol service. However, these findings would have to be verified in a larger scale study with a representative sample of pharmacy customers.</t>
  </si>
  <si>
    <t>(Dhital R., ranjita.dhital@kcl.ac.uk; Norman I.; Milligan P.; Whittlesea C.) British Pharmaceutical Conference 2009 Manchester, United Kingdom 2009-09-06 to 2009-09-09 Pharmaceutical Press; ID: 1449</t>
  </si>
  <si>
    <t>Di Chiara,G.</t>
  </si>
  <si>
    <t>The role of dopamine in drug abuse viewed from the perspective of its role in motivation</t>
  </si>
  <si>
    <t>Animals;Arousal/ph Physiology];Association Learning/ph Physiology];Brain/pp Physiopathology];Brain Mapping;Conditioning, Classical/ph Physiology];*Dopamine/ph Physiology];Humans;*Motivation;Neural Pathways/pp Physiopathology];*Street Drugs;*Substance-Related Disorders/pp Physiopathology];Synaptic Transmission/ph Physiology];0 (Street Drugs);VTD58H1Z2X (Dopamine)</t>
  </si>
  <si>
    <t>Drugs of abuse share with conventional reinforcers the activation of specific neural pathways in the CNS that are the substrate of their motivational properties. Dopamine is recognized as the transmitter of one such neural pathway, being involved in at least three major aspects of motivation: modulation of motivational state, acquisition (incentive learning) and expression of incentive properties by motivational stimuli. Drugs of abuse of different pharmacological classes stimulate in the low dose range dopamine transmission particularly in the ventral striatum. Apart from psychostimulants, the evidence that stimulation of dopamine transmission by drugs of abuse provides the primary motivational stimulus for drug self-administration is either unconvincing or negative. However, stimulation of dopamine transmission is essential for the activational properties of drugs of abuse and might be instrumental for the acquisition of responding to drug-related incentive stimuli (incentive learning). Dopamine is involved in the induction and in the expression of behavioural sensitization by repeated exposure to various drugs of abuse. Sensitization to the dopamine-stimulant properties of specific drug classes leading to facilitation of incentive learning of drug-related stimuli might account for the strong control over behaviour exerted by these stimuli in the addiction state. Withdrawal from drugs of abuse results in a reduction in basal dopamine transmission in vivo and in reduced responding for conventional reinforcers. Although these changes are likely to be the expression of a state of dependence of the dopamine system their contribution to the motivational state of drug addiction is unclear. References: 520]</t>
  </si>
  <si>
    <t>J2: Drug Alcohol Depend; Di Chiara, G; ID: 624</t>
  </si>
  <si>
    <t>Di Chiara,G. Department of Toxicology, University of Cagliari, Italy.</t>
  </si>
  <si>
    <t>http://ovidsp.ovid.com/ovidweb.cgi?T=JS&amp;CSC=Y&amp;NEWS=N&amp;PAGE=fulltext&amp;D=med3&amp;AN=7671769</t>
  </si>
  <si>
    <t>MEDLINE; Ovid Technologies; The role of dopamine in drug abuse viewed from the perspective of its role in motivation</t>
  </si>
  <si>
    <t>Di Paula,B. A.;Menachery,E.;Author,Addresses;University of Maryland Baltimore, School,of Pharmacy;Department,of Pharmacy;Science,United States;Howard County,Health Department;Correspondence,Address;BA Di Paula, University of Maryland Baltimore School,of Pharmacy;Department,of Pharmacy;Science,United States</t>
  </si>
  <si>
    <t>Pharmacist-physician collaborative care model for suboxone-maintained patients at a health department</t>
  </si>
  <si>
    <t>(MAJOR FOCUS);buprenorphine plus naloxone;opiate;college;human;model;patient;pharmacist;physician;public health service;community;drug therapy;follow up;general practitioner;group therapy;hospital;laboratory;monitoring;patient care;patient compliance;pharmacy;policy;population;risk;substance abuse;toxicology;urine</t>
  </si>
  <si>
    <t>Type: Innovative Practices. Background/Rationale: Despite Suboxone's efficacy for opioid dependence, there continues to be an overwhelming shortage of community treatment programs. In some cases, providers may choose not to treat this population and/ or may not have the resources, expertise, and structure necessary to meet the patients' ongoing needs. The monitoring demands, unique medication properties, and risk for diversion allow for a novel role for pharmacists. Description of the Innovative Practice: A physician-pharmacist Suboxone maintenance clinic was piloted at a local health department (HD). The HD traditionally referred Suboxone patients to community physicians at considerable cost with varying outcomes. A psychiatric pharmacist and primary care physician partnered to create an internal clinic, which included the development of a treatment contact, policies, and protocols. The goals were to optimize care, reduce cost, and limit diversion. The pharmacist's unique training allowed the physician to manage the patient load during just a few hours per week. All intake assessments and follow up appointments were conducted by the pharmacist. After each appointment, the pharmacist would debrief the physician, allowing for efficient completion of the assessment. The pharmacist documented each interaction. The physician appended notes, when applicable, and cosigned. The pharmacist and physician electronically accessed substance abuse counselors' treatment records. Counselors and providers met directly to review treatment plans and outcomes. The pharmacist worked to limit diversion by routinely gathering data from outside providers, pharmacies, and laboratories. Impact of Practice on Patient Care/Institution: The HD's Suboxone clinic has improved patient care by producing consistency and structure. Gaps have been identified, such as inconsistent urine toxicology collection and provider misperception about patient adherence. During the first 6 months, 6 initial assessments and 50 follow up appointments have been completed, equating to a potential savings of $6600. The clinic has a 98% appointment attendance rate and 100% retention rate. Eighty-three percent of patients have successfully progressed to monthly monitoring. Two patients are in the process of dose tapers. Conclusion: Physicians and pharmacists can optimize the care of Suboxone-maintained patients through collaboration. The HD is utilizing data from this pilot to develop a permanent program, including a state-approved collaborative practice protocol.</t>
  </si>
  <si>
    <t>(Di Paula B.A.) (Menachery E.) 16th Annual Meeting of the College of Psychiatric and Neurologic Pharmacists, CPNP 2013 Colorado Springs, CO, United States 2013-04-21 to 2013-04-24 SAGE Publications Inc.; ID: 1033</t>
  </si>
  <si>
    <t>Dias,R. J.;Sakhare,S. S.;Mali,K. K.;Author,Addresses;Satara,College;of Pharmacy,Satara India;Correspondence,Address;Dias, Satara College of Pharmacy Satara India Email,R.J.;rjdias75@rediffmail.com</t>
  </si>
  <si>
    <t>Design and development of mucoadhesive acyclovir tablet</t>
  </si>
  <si>
    <t>Autumn</t>
  </si>
  <si>
    <t>(MAJOR FOCUS);aciclovir (pharmaceutics);carbomer (pharmaceutics);hydroxypropylmethylcellulose (pharmaceutics);article;controlled release formulation;drug design;drug solubility;mucoadhesion;tablet;tablet compression;DRUG MANUFACTURERS;(India)biochem laboratories;(India)flamingo;(India)Ind Swift;aciclovir (59277-89-3);carbomer (9007-20-9, 9062-04-8);hydroxypropylmethylcellulose (9004-65-3);Drug Literature Index (37);Pharmacy (39)</t>
  </si>
  <si>
    <t>The purpose of this study was to design and optimize an oral controlled release acyclovir mucoadhesive tablet, in term of its drug release and mucoadhesive strength A 3(2) full factorial design was employed to study the effect of independent variables like Carbopol-934P and hydroxypropyl methylcellulose K100M, which significantly influence characteristics like swelling index, ex-vivo mucoadhesive strength and in-vitro drug release. Tablets were prepared by direct compression and evaluated for mucoadhesive strength and in-vitro dissolution parameters. In all the nine formulations studied, the exponent (n) varied between 0.5266 and 0.7110, showing non-fickian release behavior corresponding to coupled diffusion or polymer relaxation, resulting in a controlled and complete drug release up to 12 h. Both these polymers had a significant effect on the mucoadhesive strength of the prepared tablets, measured as the force of detachment against sheep gastric mucosa. Besides unraveling the effect of the two factors on the various response variables, this study helped in finding the optimized formulation with excellent mucoadhesive strength and controlled drug release. It can be concluded that by formulating mucoadhesive tablets of acyclovir, its complete release can be ensured prior to absorption window and hence the problem of incomplete drug release and erratic absorption could be solved by increasing the retention of drug in GIT for a longer duration. Copyright ‚î¨‚åê 2009 by School of Pharmacy Shaheed Beheshti University of Medical Sciences and Health Services.</t>
  </si>
  <si>
    <t>(Dias R.J., rjdias75@rediffmail.com; Sakhare S.S.; Mali K.K.) Iranian Journal of Pharmaceutical Research, P.O. Box 14155-6153, Tehran, Iran.; ID: 1414</t>
  </si>
  <si>
    <t>Dick,D. M.;Nurnberger,J. I., J.</t>
  </si>
  <si>
    <t>Molecular psychiatry meeting, February 2003, Lake Louise, Canada</t>
  </si>
  <si>
    <t>Psychiatric genetics</t>
  </si>
  <si>
    <t>Psychiatr.Genet.</t>
  </si>
  <si>
    <t>Anxiety Disorders/ge Genetics];Child;Humans;*Mental Disorders/ge Genetics];Molecular Biology;Oligonucleotide Array Sequence Analysis;Psychiatry;Schizophrenia/ge Genetics];Substance-Related Disorders/ge Genetics]</t>
  </si>
  <si>
    <t>The 10th Annual Molecular Psychiatry Conference was held in Lake Louise, Canada on 23-25 February 2003. The host was Bill Byerley (University of California, Irvine, California, USA), and the meeting was supported by Janssen Pharmaceutica and the Department of Psychiatry, University of California, Irvine, California, USA.</t>
  </si>
  <si>
    <t>J2: Psychiatr Genet; Dick, Danielle M Nurnberger, John I Jr; ID: 454</t>
  </si>
  <si>
    <t>0955-8829</t>
  </si>
  <si>
    <t>Dick,Danielle M. Department of Psychiatry, Indiana University Medical Center, Indianapolis, Indiana 46202-4887, USA.</t>
  </si>
  <si>
    <t>http://ovidsp.ovid.com/ovidweb.cgi?T=JS&amp;CSC=Y&amp;NEWS=N&amp;PAGE=fulltext&amp;D=med5&amp;AN=15564889</t>
  </si>
  <si>
    <t>MEDLINE; Ovid Technologies; Molecular psychiatry meeting, February 2003, Lake Louise, Canada</t>
  </si>
  <si>
    <t>Dickerson,T. J.;Janda,K. D.</t>
  </si>
  <si>
    <t>PMC2751261; Recent advances for the treatment of cocaine abuse: central nervous system immunopharmacotherapy</t>
  </si>
  <si>
    <t>AAPS Journal</t>
  </si>
  <si>
    <t>E579</t>
  </si>
  <si>
    <t>Animals;Bacteriophages/im Immunology];Central Nervous System Agents/im Immunology];Central Nervous System Agents/pd Pharmacology];*Central Nervous System Agents/tu Therapeutic Use];*Cocaine-Related Disorders/dt Drug Therapy];*Cocaine-Related Disorders/im Immunology];Humans;Immunotherapy/mt Methods];Motor Activity/de Drug Effects];Motor Activity/im Immunology];0 (Central Nervous System Agents)</t>
  </si>
  <si>
    <t>Cocaine addiction continues to be a major health and societal problem in spite of governmental efforts devoted toward educating the public of the dangers of illicit drug use. A variety of pharmacotherapies and psychosocial programs have been proposed in an effort to provide a method for alleviation of the physical and psychological symptoms of cocaine abuse. Unfortunately, these methods have been met with limited success, illustrating a critical need for new effective approaches for the treatment of cocaine addiction. Recently an alternative cocaine abuse treatment strategy was proposed using intranasal administration of an engineered filamentous bacteriophage displaying cocaine-sequestering antibodies on its surface. These phage particles are an effective vector for CNS penetration and are capable of binding cocaine, thereby blocking its behavioral effects in a rodent model. The convergence of phage display and immunopharmacotherapy has allowed for an investigation of the efficacy of protein-based therapeutics acting within the CNS on the effects of cocaine in animal models and has uncovered a new tool in the battle against cocaine addiction. References: 61]</t>
  </si>
  <si>
    <t>J2: Aaps J; Dickerson, Tobin J Janda, Kim D; ID: 439</t>
  </si>
  <si>
    <t>1550-7416</t>
  </si>
  <si>
    <t>Dickerson,Tobin J. The Skaggs Institute for Chemical Biology and Department of Chemistry, The Scripps Research Institute, 10550 North Torrey Pines Road, La Jolla, CA 92037, USA.</t>
  </si>
  <si>
    <t>http://ovidsp.ovid.com/ovidweb.cgi?T=JS&amp;CSC=Y&amp;NEWS=N&amp;PAGE=fulltext&amp;D=med5&amp;AN=16353936</t>
  </si>
  <si>
    <t>MEDLINE; Ovid Technologies; Recent advances for the treatment of cocaine abuse: central nervous system immunopharmacotherapy</t>
  </si>
  <si>
    <t>Dickerson,T. J.;Kaufmann,G. F.;Janda,K. D.</t>
  </si>
  <si>
    <t>Bacteriophage-mediated protein delivery into the central nervous system and its application in immunopharmacotherapy</t>
  </si>
  <si>
    <t>Expert Opinion on Biological Therapy</t>
  </si>
  <si>
    <t>Administration, Intranasal;Animals;*Antibodies/ad Administration &amp; Dosage];Antibodies/ge Genetics];Antibodies/im Immunology];*Central Nervous System/me Metabolism];Cocaine/im Immunology];Cocaine/me Metabolism];Cocaine-Related Disorders/pc Prevention &amp; Control];*Cocaine-Related Disorders/th Therapy];Disease Models, Animal;*Drug Delivery Systems;Inovirus/ge Genetics];*Inovirus/im Immunology];Proteins/ad Administration &amp; Dosage];Proteins/ge Genetics];*Proteins/me Metabolism];Rats;0 (Antibodies);0 (Proteins);I5Y540LHVR (Cocaine)</t>
  </si>
  <si>
    <t>Cocaine addiction continues to be a major health and social problem in spite of governmental efforts devoted towards educating the public in the dangers of illicit drug use. A variety of pharmacotherapies and psychosocial programmes have been proposed in an effort to provide a method for alleviating the physical and psychological symptoms of cocaine abuse. Unfortunately, these methods have been met with limited success, illustrating a critical need for new effective approaches for the treatment of cocaine addiction. The authors have recently disclosed an alternative cocaine abuse treatment strategy using intranasal administration of an engineered filamentous bacteriophage displaying cocaine-sequestering antibodies on its surface. These phage particles are an effective vector for central nervous system penetration and are capable of binding cocaine, thereby blocking its behavioural effects in a rodent model. References: 62]</t>
  </si>
  <si>
    <t>J2: Expert Opin Biol Ther; Dickerson, Tobin J Kaufmann, Gunnar F Janda, Kim D; ID: 424</t>
  </si>
  <si>
    <t>1744-7682</t>
  </si>
  <si>
    <t>Dickerson,Tobin J. Department of Chemistry, The Skaggs Institute for Chemical Biology, The Scripps Research Institute, 10550 North Torrey Pines Road, La Jolla, CA 92037, USA.</t>
  </si>
  <si>
    <t>http://ovidsp.ovid.com/ovidweb.cgi?T=JS&amp;CSC=Y&amp;NEWS=N&amp;PAGE=fulltext&amp;D=med5&amp;AN=15952908</t>
  </si>
  <si>
    <t>MEDLINE; Ovid Technologies; Bacteriophage-mediated protein delivery into the central nervous system and its application in immunopharmacotherapy</t>
  </si>
  <si>
    <t>Dijkstra,A. F.;Verdonk,P.;Lagro-Janssen,A.</t>
  </si>
  <si>
    <t>Gender bias in medical textbooks: examples from coronary heart disease, depression, alcohol abuse and pharmacology</t>
  </si>
  <si>
    <t>Medical education</t>
  </si>
  <si>
    <t>Med.Educ.</t>
  </si>
  <si>
    <t>1028 8p</t>
  </si>
  <si>
    <t>Education, Medical -- Evaluation;Sexism;Textbooks -- Evaluation;Alcohol Abuse;Cardiovascular Diseases;Depression;Female;Funding Source;Male;Netherlands;Pharmacy and Pharmacology;Human</t>
  </si>
  <si>
    <t>OBJECTIVES This study aimed to review the availability and accessibility of gender-specific knowledge in current medical textbooks used in Dutch medical schools. Medicine has been criticised as being gender- biased by assuming male and female bodies to be generally the same. The authors wondered whether current nationally and internationally accepted medical textbooks reflect the state of the art on gender-specific knowledge. METHODS The authors selected medical textbooks recommended by at least two medical schools in the Netherlands in the academic years 2004DS05 and 2005-06. Investigated disciplines were internal medicine /cardiology, psychiatry and pharmacology. The textbooks were screened on the following topics: coronary heart disease; depressive disorders; alcohol abuse, and pharmacology. We defined evidencebased, gender-specific aspects of each of the topics on which information should be accessible in current textbooks for medical students. RESULTS Eleven textbooks were screened, including four on internal medicine/cardiology, four on pharmacology and three on psychiatry. Results show that gender-specific information is scarce or absent, and hardly accessible via index or layout. The scarce gender-specific information mainly applies to epidemiological data and reproductive items. CONCLUSIONS Current medical textbooks are still gender-biased. They lack somatic and psychosocial information relevant to good medical practice. As a consequence, future doctors will be unaware of relevant differences between men and women in the presentation, diagnosis and treatment of illnesses.</t>
  </si>
  <si>
    <t>Entry Date: 20090410. Revision Date: 20150711. Publication Type: Journal Article; research; systematic review; tables/charts. Journal Subset: Biomedical; Europe; Peer Reviewed; UK &amp; Ireland. Special Interest: Evidence-Based Practice. Grant Information: Netherlands Organisation for Health Research and Development (ZonMW). NLM UID: 7605655. PMID: 18761614.; ID: 1899</t>
  </si>
  <si>
    <t>0308-0110</t>
  </si>
  <si>
    <t>Department of Family Medicine/Women's Studies in Medicine, Radboud University Nijmegen Medical Centre, Nijmegen, The Netherlands</t>
  </si>
  <si>
    <t>http://proxy.lib.umich.edu/login?url=http://search.ebscohost.com/login.aspx?direct=true&amp;db=ccm&amp;AN=105554505&amp;site=ehost-live&amp;scope=site</t>
  </si>
  <si>
    <t>ccm; EBSCOhost; Gender bias in medical textbooks: examples from coronary heart disease, depression, alcohol abuse and pharmacology</t>
  </si>
  <si>
    <t>DiPaula,B. A.;Park,D.;Author,Addresses;University of Maryland, School,of Pharmacy;Baltimore,United States;Correspondence,Address;BA DiPaula, University of Maryland School of Pharmacy,Baltimore United;States</t>
  </si>
  <si>
    <t>Collaborative drug therapy management for buprenorphine-maintained patients</t>
  </si>
  <si>
    <t>(MAJOR FOCUS);buprenorphine;opiate;college;human;medication therapy management;patient;pharmacist;adverse drug reaction;diagnosis;documentation;drug dependence;drug interaction;drug therapy;health center;hospital;laboratory test;monitoring;patient care;patient education;pharmacy;physician;population;prescription;primary medical care;psychiatric diagnosis;risk;school;substance abuse;toxicology;United States;university</t>
  </si>
  <si>
    <t>Background: As a result of the Drug Addiction Treatment Act (DATA) 2000, physicians with a waiver may treat opioid-dependent patients outside of a licensed substance abuse treatment program. However, many primary care clinics are not properly structured to meet the ongoing needs of this patient population. The legal implications, unique medication properties, risk for diversion, drug-drug interactions, and comorbid diagnoses, allow for a novel role for pharmacists in the management of buprenorphine-maintained patients. Description of Innovative Service: Faculty from the University of Maryland School of Pharmacy developed a collaborative practice with a community health center to provide medication management for buprenorphine-maintained, opioid-dependent patients. In order to establish the practice, the pharmacists assisted in the design of the interdisciplinary structure, protocols, and documentation. Once per week for 3 hours, pharmacists routinely provided disease-state monitoring, medication management, consults, and patient education for the buprenorphine patients who had completed induction. Referrals were routinely evaluated for treatment adherence, efficacy, adverse effects, and drug diversion. The pharmacists assisted in approving and refilling prescriptions and ordering and monitoring laboratory tests, including toxicology screens. Impact on Patient Care: From July 2009 to December 2010, a board-certified psychiatric pharmacist and 3 PGY2 residents provided medication management services for 67 unique patients over 191 appointments. Sixty percent of the patients had at least 1 comorbid psychiatric diagnosis. A total of 634 interventions were made. The most common included assistance in refilling buprenorphine prescriptions, ordering toxicology screens, and educating patients. The pharmacists made an average of 3.3 types of interventions per patient. Patient encounter sheets were completed for tracking and billing purposes. While the facility did not routinely submit the billing, they were reimbursed $130 per patient visit using the 99211 code when they did. The projected potential revenue generated by pharmacist visits was $24,830. Conclusion: Pharmacists offer unique expertise which can complement a treatment team and allow for successful management of a large number of buprenorphine-maintained patients in a primary care setting. The majority of our patients had comorbid psychiatric diagnoses. Specialized training in psychiatric pharmacy was important in developing a niche and, ultimately, this practice.</t>
  </si>
  <si>
    <t>(DiPaula B.A.; Park D.) 14th Annual Meeting of the College of Psychiatric and Neurologic Pharmacists, CPNP 2011 Phoenix, AZ, United States 2011-05-01 to 2011-05-04 Sage Publications; ID: 1271</t>
  </si>
  <si>
    <t>DiPietro Mager,N. A.;Author,Addresses;Department,of Pharmacy;Raabe College of Pharmacy, Ohio Northern University,S.Main Street;Ada,United States;Correspondence,Address;NA DiPietro Mager, Department of Pharmacy Practice Raabe,College of;Pharmacy,Ohio Northern University S.Main Street Ada United States;Email,n-dipietro onu edu</t>
  </si>
  <si>
    <t>Fulfilling an Unmet Need: Roles for Clinical Pharmacists in Preconception Care</t>
  </si>
  <si>
    <t>folic acid;hepatitis B vaccine;rubella vaccine;teratogenic agent;maternal care;pharmacist;acquired immune deficiency syndrome;article;billing and claims;congenital rubella syndrome (prevention);diabetes mellitus;drug misuse;family planning;health behavior;health promotion;hepatitis B (prevention);human;Human immunodeficiency virus infection;hypothyroidism;immunization;medical documentation;medication therapy management;obesity;patient advocacy;patient counseling;patient education;pharmaceutical care;phenylketonuria;screening;sexually transmitted disease;smoking cessation;unplanned pregnancy;vertical transmission;folic acid (59-30-3, 6484-89-5);Obstetrics and Gynecology (10);Public Health, Social Medicine and Epidemiology (17);Drug Literature Index (37)</t>
  </si>
  <si>
    <t>Preconception care refers to a set of interventions that identify and address biomedical, behavioral, and social risks to a woman's health that may negatively impact a future pregnancy. A great need for preconception care currently exists in the United States, and women's attitudes about discussions with health care providers about healthy and safe pregnancies are positive. Clinical pharmacists are well positioned to work with other health care and public health professionals to ensure that all women of childbearing potential have access to preconception care. As part of the collaborative health care team, clinical pharmacists can directly provide services or support and referrals to other members of the health care team or to community resources through clinical-community linkages. Specifically, clinical pharmacists can provide education, counseling, and/or services to women to address family planning, medication and disease state management, immunizations, screenings, health promotion, and substance use. Clinical pharmacists can also impact preconception care through drug information services, advocacy, and research. Preconception care services can be incorporated into daily pharmacy practice, and there are potential means for reimbursement. Multiple roles exist for clinical pharmacists to fulfill unmet needs in preconception care.</t>
  </si>
  <si>
    <t>(DiPietro Mager N.A., n-dipietro@onu.edu) Pharmacotherapy Publications Inc.; ID: 777</t>
  </si>
  <si>
    <t>1875-9114 (electronic) 0277-0008</t>
  </si>
  <si>
    <t>20160114051 FULL TEXT LINK http://dx.doi.org/10.1002/phar.1691</t>
  </si>
  <si>
    <t>DiVall,Margarita V.;Kolbig,Leslie;Carney,Mary;Kirwin,Jennifer;Letzeiser,Christine;Mohammed,Shan</t>
  </si>
  <si>
    <t>Interprofessional socialization as a way to introduce collaborative competencies to first-year health science students</t>
  </si>
  <si>
    <t>Journal of Interprofessional Care</t>
  </si>
  <si>
    <t>578 3p</t>
  </si>
  <si>
    <t>Collaboration;Learning Methods;Students, Medical -- Massachusetts;Substance Abuse;Alcohol Drinking;Congresses and Conferences -- Massachusetts;Interprofessional Relations;Socialization;Curriculum;Massachusetts;Professional Role;Students, Nursing -- Massachusetts;Wilcoxon Rank Sum Test;Students, Pharmacy;Students, Speech-Language Pathology;Students, Audiology;Psychological Tests</t>
  </si>
  <si>
    <t>Interprofessional education (IPE) is the cornerstone of preparing future health care providers but remains to be a challenge for many health science programs. We aimed to develop and evaluate an interprofessional conference for first-year health science students with goals to provide students with interprofessional socialization opportunity and introduce IPE principles. A half-day conference was based upon core competencies for health professionals and involved 277 first-year health sciences, nursing, pharmacy, physical therapy, and speech language pathology and audiology students. Alcohol and substance misuse was chosen as a topic for its relevance to college students and health professionals. Results from program evaluation revealed that the conference was successful in exposing students to core interprofessional competencies and provided useful information about alcohol and substance misuse. This study advocates for early inclusion of IPE in the health professions curricula in the form of interprofessional socialization.</t>
  </si>
  <si>
    <t>Entry Date: 20141015. Revision Date: 20150710. Publication Type: Journal Article; research; tables/charts. Journal Subset: Biomedical; Core Nursing; Double Blind Peer Reviewed; Europe; Nursing; Peer Reviewed; UK &amp; Ireland. Instrumentation: Readiness for Interprofessional Learning Scale (RIPLS). NLM UID: 9205811. PMID: 24828617.; ID: 1929</t>
  </si>
  <si>
    <t>1356-1820</t>
  </si>
  <si>
    <t>http://proxy.lib.umich.edu/login?url=http://search.ebscohost.com/login.aspx?direct=true&amp;db=ccm&amp;AN=103901390&amp;site=ehost-live&amp;scope=site</t>
  </si>
  <si>
    <t>10.3109/13561820.2014.917403</t>
  </si>
  <si>
    <t>ccm; EBSCOhost; Interprofessional socialization as a way to introduce collaborative competencies to first-year health science students</t>
  </si>
  <si>
    <t>Docuyanan,H. F.;Robles,M. J.;Author,Addresses;Philippine Society of,Hospital Pharmacists;City,Philippines;Department of Pharmacy Services, Clinical,Pharmacy Section;Makati Medical Center, Makati,City Philippines;Correspondence,Address;HF Docuyanan, Philippine Society of Hospital,Pharmacists Makati;City,Philippines</t>
  </si>
  <si>
    <t>Provision of pharmacy interventions to promote medication safety in a selected medical center in the Philippines-great catch program</t>
  </si>
  <si>
    <t>e251</t>
  </si>
  <si>
    <t>new drug;nonoxinol 9;American;clinical pharmacy;college;drug therapy;pharmacy;Philippines;safety;awards and prizes;documentation;drug interaction;hospital patient;human;medical record review;medication error;medication therapy management;monitoring;nurse;patient safety;pharmacist;physician;therapy</t>
  </si>
  <si>
    <t>PURPOSE: To provide pharmacy interventions in order to prevent medication errors, and promote medication safety. METHODS: Prospective, date gathering of interventions provided There are several stages in the medication management system when pharmacy interventions are provided by either the inpatient pharmacist or the clinical pharmacist. The stages are: prescribing, transcribing, drug appropriateness review, medication order review and drug therapy monitoring (clinical pharmacy rounds) and administration validation through Medication Administration Record review. Every time the pharmacist identifies a drug-related problem, he/she provides interventions - will refer to the prescribing physician or the nurse and recommend resolutions so that errors are intercepted or corrected. Documentation is done for every intervention. Data is reported to the Medication Safety Subcommittee and Therapeutics Committee for system improvement initiatives. Pharmacists with the most number of interventions are recognized and appreciated every month and a special award is given at the end of the year. RESULTS: Pharmacy interventions are greatly useful during the prescribing stage and transcribing stage. These are where most of the errors are intercepted and corrected. Pharmacy interventions are usually provided during the drug appropriateness review and clinical pharmacy rounds. Doctors and nurses are the most common persons contacted in order to resolve the identified problem. The most common resolutions are to initiate new drug order, corrected the error or clarify the order. Average acceptance rate to the intervention is 98.7%. The average time to resolve the intervention is 11 minutes. CONCLUSION: Provision of pharmacy interventions intercepts and prevents medication errors. It also promotes patient safety by identifying potential harm caused by drug interactions or drug reactions, and recommending solutions accordingly. The great catch program through provision of pharmacy interventions is one of the effective tools in developing a culture of safety.</t>
  </si>
  <si>
    <t>(Docuyanan H.F.) (PSHP) (Robles M.J.) 2015 Annual Meeting of the American College of Clinical Pharmacy, ACCP 2015 San Francisco, CA, United States 2015-10-17 to 2015-10-21 Pharmacotherapy Publications Inc.; ID: 799</t>
  </si>
  <si>
    <t>Doering,P. L.;Hall,K. R.</t>
  </si>
  <si>
    <t>Using the "smart pill" to teach about substance abuse</t>
  </si>
  <si>
    <t>Child;Decision Making;*Health Education;Humans;Pharmacists;Role;*Substance-Related Disorders/pc Prevention &amp; Control];Substance-Related Disorders/px Psychology];*Teaching</t>
  </si>
  <si>
    <t>J2: Ann Pharmacother; Doering, P L Hall, K R; ID: 637</t>
  </si>
  <si>
    <t>http://ovidsp.ovid.com/ovidweb.cgi?T=JS&amp;CSC=Y&amp;NEWS=N&amp;PAGE=fulltext&amp;D=med3&amp;AN=8193432</t>
  </si>
  <si>
    <t>MEDLINE; Ovid Technologies; Using the "smart pill" to teach about substance abuse</t>
  </si>
  <si>
    <t>Dohler,N.;Krolop,L.;Ringsdorf,S.;Meier,K.;Ko,Y. D.;Kuhn,W.;Schwalbe,O.;Jaehde,U.</t>
  </si>
  <si>
    <t>Task allocation in cancer medication management - integrating the pharmacist</t>
  </si>
  <si>
    <t>Patient Education &amp; Counseling</t>
  </si>
  <si>
    <t>Cooperative Behavior;*Counseling;Female;Focus Groups;Germany;Humans;Interprofessional Relations;Male;*Medication Therapy Management/og Organization &amp; Administration];Neoplasms/dt Drug Therapy];Nurses;*Patient Care Team/og Organization &amp; Administration];Patient Education as Topic;*Pharmacists;Physicians;Surveys and Questionnaires</t>
  </si>
  <si>
    <t>OBJECTIVE: This study was conducted to define the task allocation in multiprofessional cancer medication management (MCMM) with a special focus on the role of the pharmacist as well as patient education and counseling. The acceptance of the proposed task allocation and the perceptions on multiprofessional teamwork were explored on a national level. METHODS: We held local focus group meetings (University of Bonn with collaboration partners) to identify MCMM tasks. With the Delphi technique the tasks were allocated to physicians, pharmacists and nurses. Professionals (members of the German Cancer Society) were approached nationwide via an online questionnaire to evaluate the acceptance of the MCMM model and explore their perceptions on multiprofessional teamwork. RESULTS: The MCMM model comprised 38 tasks including 11 on patient education and counseling. It was rated to be reasonable (79%) and feasible (68%). Barriers and benefits of multiprofessional teamwork stated were patient-, team-, therapy-, structure-, and resources-related. CONCLUSIONS: The MCMM model integrates the pharmacist with responsibilities in patient education and counseling as well as prevention of drug-related problems. The approach was generally appreciated nationwide by the professions. PRACTICE IMPLICATIONS: The proposed model can serve as a tool to trigger changes in cancer medication management.Copyright ‚î¨‚åê 2011 Elsevier Ireland Ltd. All rights reserved.</t>
  </si>
  <si>
    <t>J2: Patient Educ Couns; Dohler, Nele Krolop, Linda Ringsdorf, Susanne Meier, Klaus Ko, Yon-Dschun Kuhn, Walther Schwalbe, Oliver Jaehde, Ulrich; ID: 243</t>
  </si>
  <si>
    <t>1873-5134</t>
  </si>
  <si>
    <t>Dohler,Nele. Department of Clinical Pharmacy, University of Bonn, Bonn, Germany.</t>
  </si>
  <si>
    <t>http://ovidsp.ovid.com/ovidweb.cgi?T=JS&amp;CSC=Y&amp;NEWS=N&amp;PAGE=fulltext&amp;D=med5&amp;AN=21482061</t>
  </si>
  <si>
    <t>http://dx.doi.org/10.1016/j.pec.2011.03.002</t>
  </si>
  <si>
    <t>MEDLINE; Ovid Technologies; Task allocation in cancer medication management - integrating the pharmacist</t>
  </si>
  <si>
    <t>Dole,E. J.;Tommasello,A.</t>
  </si>
  <si>
    <t>Recommendations for implementing effective substance abuse education in pharmacy practice</t>
  </si>
  <si>
    <t>*Alcoholism/di Diagnosis];*Alcoholism/rh Rehabilitation];Clinical Competence;Cooperative Behavior;Curriculum;*Education, Pharmacy;Education, Pharmacy, Continuing;Education, Pharmacy, Graduate;Humans;Interdisciplinary Communication;Patient Education as Topic;*Prescription Drugs;Specialization;*Substance-Related Disorders/di Diagnosis];*Substance-Related Disorders/rh Rehabilitation];United States;0 (Prescription Drugs)</t>
  </si>
  <si>
    <t>J2: Subst Abus; Dole, Ernest J Tommasello, Anthony; ID: 157</t>
  </si>
  <si>
    <t>Dole,Ernest J. Lovelace Health Systems, College of Pharmacy, University of New Mexico Health and Sciences Center, Albuquerque, NM, USA.</t>
  </si>
  <si>
    <t>http://ovidsp.ovid.com/ovidweb.cgi?T=JS&amp;CSC=Y&amp;NEWS=N&amp;PAGE=fulltext&amp;D=med4&amp;AN=23581000</t>
  </si>
  <si>
    <t>MEDLINE; Ovid Technologies; Recommendations for implementing effective substance abuse education in pharmacy practice</t>
  </si>
  <si>
    <t>Dommisse,C. S.;Hayes,P. E.;Author,Addresses;Boehringer,Ingelheim Pharmaceuticals;Ridgefield,C. T.;Correspondence,Address;Boehringer Ingelheim Pharmaceuticals, Inc,Ridgefield C.</t>
  </si>
  <si>
    <t>2889558; Current concepts in clinical therapeutics: Anxiety disorders, part 2</t>
  </si>
  <si>
    <t>(MAJOR FOCUS);alprazolam;amitriptyline;antidepressant agent;benzodiazepine;benzodiazepine derivative;buspirone;chlordiazepoxide;clomipramine;clonazepam;clonidine;clorazepate;clorgyline;desipramine;diazepam;diphenhydramine;flurazepam;halazepam;hydroxyzine;imipramine;lorazepam;meprobamate;monoamine oxidase inhibitor;nortriptyline;oxazepam;phenelzine;prazepam;propranolol;alcohol;antacid agent;carbamazepine;cimetidine;clorazepate dipotassium;digoxin;disulfiram;DT0;haloperidol;isoniazid;oral contraceptive agent;rifampicin;trazodone;unclassified drug;viltaril;4 aminobutyric acid brain level;adverse drug reaction;agoraphobia;anxiety;behavior therapy;drug efficacy;drug indication;panic;pharmacokinetics;psychotherapy;sedation;central nervous system;human;priority journal;psychological aspect;review;therapy;DRUG TRADE NAMES;anafranil;atarax;ativan;benadryl;buspar;catapres;centrax;equanil;inderal;klonopin;librium;miltown;nardil;paxipam;serax;tofranil;tranxene;valium;valrelease;xanax;DRUG MANUFACTURERS;Abbott;Ayerst;Boehringer Ingelheim;Bristol;Hoffmann La Roche;Mead Johnson;Parke Davis;Pfizer;Roerig;Schering;Upjohn;Wallace;Wyeth;alcohol (64-17-5);alprazolam (28981-97-7);amitriptyline (50-48-6, 549-18-8);benzodiazepine (12794-10-4);buspirone (33386-08-2, 36505-84-7);carbamazepine (298-46-4, 8047-84-5);chlordiazepoxide (438-41-5, 58-25-3);cimetidine (51481-61-9, 70059-30-2);clomipramine (17321-77-6, 303-49-1);clonazepam (1622-61-3);clonidine (4205-90-7, 4205-91-8, 57066-25-8);clorazepate (20432-69-3, 23887-31-2);clorazepate dipotassium (57109-90-7);clorgyline (17780-72-2);desipramine (50-47-5, 58-28-6);diazepam (439-14-5);digoxin (20830-75-5, 57285-89-9);diphenhydramine (147-24-0, 58-73-1);disulfiram (97-77-8);flurazepam (1172-18-5, 17617-23-1);halazepam (23092-17-3);haloperidol (52-86-8);hydroxyzine (2192-20-3, 64095-02-9, 68-88-2);imipramine (113-52-0, 50-49-7);isoniazid (54-85-3, 62229-51-0, 65979-32-0);lorazepam (846-49-1);meprobamate (57-53-4);nortriptyline (72-69-5, 894-71-3);oxazepam (604-75-1);phenelzine (156-51-4, 51-71-8);prazepam (2955-38-6);propranolol (13013-17-7, 318-98-9, 3506-09-0, 4199-09-1, 525-66-6);rifampicin (13292-46-1);trazodone (19794-93-5, 25332-39-2);Adverse Reactions Titles (38);Drug Literature Index (37);Psychiatry (32)</t>
  </si>
  <si>
    <t>The treatment of generalized anxiety disorder involves both nonpharmacologic and pharmacologic therapies. The combination may be better than either treatment alone. Not all anxious patients satisfy the revised DSM-III criteria for an anxiety disorder, and many patients seek temporary relief from occasiona. anxious symptoms secondary to a medical illness or environmental stressors (situational anxiety). Because individual psychotherapy is not always available and is expensive, many of these patients are given and will do well on as-needed anxiolytic drug therapy, preferably a benzodiazepine. Benzodiazepines are the mostly widely prescribed anxiolytic agents and are currently the drugs of choice for the treatment of generalized anxiety disorder. They have a rapid onset of action, are quite effective, have a relatively high margin of safety, and are not usually lethal when taken alone in an overdose. Potential problems with using these agents include decreased daytime functioning and sedation (especially in the elderly), forgetfulness, and withdrawal symptoms following prolonged use. Patient education is an important aspect of effective drug management. Although ‚ï¨‚ñì blockers have been used in the management of anxious patients since the 1960s, the role of these agents appears limited to those anxious patients whose physical symptoms, especially cardiovascular complaints, have not adequately responded to benzodiazepine therapy. Buspirone is the latest anxiolytic agent to be marketed and is the first nonbenzodiazepine anxiolytic introduced in the United States in several years. Buspirone appears to be a useful alternative or possibly a first-line agent for the treatment of newly diagnosed patients with generalized anxiety disorder. Buspirone is possibly less sedating, causes less psychomotor impairment when taken in conjunction with alcohol, and has a lower potential for abuse than the benzodiazepines. Buspirone is not a controlled substance. Potential problems include a lat time of 7-10 days before anxiolytic effects are evident. Patients currently receiving benzodiazepines should be carefully titrated off the current drug before buspirone therapy is begun. Buspirone is not indicated for use on an as-needed basis for control of anxious symptoms. Certainly there are a host of unanswered questions surrounding the clinical use of buspirone. Two important questions that can only be answered several years after marketing are: How effective is this drug, and are any dopaminergic (antipsychotic-like) side effects associated with its long-term use? Since this anxiolytic agent is not a benzodiazepine, patients and physicians will need to be educated about its proper use. Pharmacists should play a key role in educating the public regarding the proper use of this new drug.</t>
  </si>
  <si>
    <t>(Dommisse C.S.; Hayes P.E.); ID: 1743</t>
  </si>
  <si>
    <t>http://www.ncbi.nlm.nih.gov/pubmed/2889558</t>
  </si>
  <si>
    <t>Current concepts in clinical therapeutics: Anxiety disorders, part 2</t>
  </si>
  <si>
    <t>Donihi,A. C.;Weber,R. J.;Sirio,C. A.;Mark,S. M.;Meyer,S. M.</t>
  </si>
  <si>
    <t>PMC2690869; An advanced pharmacy practice experience in inpatient medication education</t>
  </si>
  <si>
    <t>Curriculum;*Education, Pharmacy/mt Methods];Educational Measurement;Humans;Patient Care/mt Methods];Patient Education as Topic/mt Methods];*Pharmacy Service, Hospital/og Organization &amp; Administration];*Students, Pharmacy</t>
  </si>
  <si>
    <t>OBJECTIVE: To describe a unique advanced pharmacy practice experience (APPE) in which pharmacy students provided medication education to hospitalized patients. DESIGN: Students were trained to independently assess patients' needs for education and identify drug-related problems. Students then provided medication education and performed medication therapy management under the supervision of clinical staff pharmacists. To assess the impact of the APPE, the number of hospitalized patients assessed and educated during the 3-month time period prior to student involvement was compared to the first 3 months of the APPE. ASSESSMENT: Student participation increased the number of patients receiving medication education and medication therapy management from the hospital pharmacy. At the end of the APPE, students reported that the experience positively affected their ability to impact patients' care and to critique their own learning and skills. CONCLUSION: The inpatient medication education APPE provided students the opportunity to be responsible and accountable for the provision of direct patient care. In addition, the APPE benefitted the hospital, the school of pharmacy, and, most importantly, the patients.</t>
  </si>
  <si>
    <t>J2: Am J Pharm Educ; Donihi, Amy Calabrese Weber, Robert J Sirio, Carl A Mark, Scott M Meyer, Susan M 1U18 HS015851 (United States AHRQ HHS); ID: 330</t>
  </si>
  <si>
    <t>Donihi,Amy Calabrese. University of Pittsburgh School of Pharmacy, Department of Pharmacy &amp; Therapeutics, Pittsburgh, PA 15213, USA. calabresea@upmc.edu</t>
  </si>
  <si>
    <t>http://ovidsp.ovid.com/ovidweb.cgi?T=JS&amp;CSC=Y&amp;NEWS=N&amp;PAGE=fulltext&amp;D=med5&amp;AN=19513148</t>
  </si>
  <si>
    <t>MEDLINE; Ovid Technologies; An advanced pharmacy practice experience in inpatient medication education</t>
  </si>
  <si>
    <t>Donnet,A.;Lant‚îú‚åêri-Minet,M.;Aucoin,F.;Allaf,B.;Author,Addresses;Department of Neurology, Clinical Neuroscience,Federation La;Timone Hospital,Marseille France;Department of,Evaluation;Treatment,of Pain;University Hospital,Nice France;Inserm,Clermont-Ferrand France;Pharmacist,Paris France;Almirall Sas,Paris France;Service de Neurologie, H‚îú‚î§pital la,Timone boulevard;Saint-Pierre,Marseille;Correspondence,Address;Donnet, Service de Neurologie H‚îú‚î§pital la Timone boulevard,A.;Saint-Pierre,Marseille</t>
  </si>
  <si>
    <t>19486362; Use and overuse of antimigraine drugs by pharmacy personnel in France: COTA survey: Research submission</t>
  </si>
  <si>
    <t>(MAJOR FOCUS);antimigraine agent (drug therapy, pharmaceutics, pharmacology);acetylsalicylic acid (drug combination, drug therapy);ergotamine (drug therapy);ibuprofen (drug therapy);metoclopramide (drug combination, drug therapy);nonsteroid antiinflammatory agent (drug therapy);opiate derivative (drug therapy);paracetamol (drug therapy);triptan derivative (drug therapy);drug use;migraine (drug therapy, drug therapy, prevention);pharmacist attitude;adult;aged;article;demography;disease classification;disease severity;drug efficacy;drug misuse (epidemiology);female;France;health personnel attitude;human;major clinical study;male;observational study;patient satisfaction;prescription;priority journal;recurrent disease (etiology);self care;symptomatology;DRUG TRADE NAMES;aspirin;acetylsalicylic acid (493-53-8, 50-78-2, 53663-74-4, 53664-49-6, 63781-77-1);ergotamine (113-15-5, 52949-35-6);ibuprofen (15687-27-1);metoclopramide (12707-59-4, 2576-84-3, 364-62-5, 7232-21-5);paracetamol (103-90-2);Neurology and Neurosurgery (8);Occupational Health and Industrial Medicine (35);Drug Literature Index (37);Pharmacy (39)</t>
  </si>
  <si>
    <t>Background. - Pharmacy personnel are supposed to be well informed of recommendations for proper migraine management, but their easy access to medicines may favor self-medication and promote medication overuse for those with frequent migraine attacks. Objective. - The main objective of the COTA survey was to investigate migraine management by pharmacy personnel who considered themselves as migraineurs. Methods. - Out of 22,000 pharmacies currently open in France, a questionnaire was proposed to a random sample of Œì√™‚ïù4000 pharmacies with at least 1 self-considered migraineur in the pharmacy staff who accepted to complete and return the questionnaire. The reality of migraine was assessed by the study questionnaire according to the International Classification of Headache Disorders, 2nd edition (ICHD-II) criteria. In addition, the study questionnaire inquired about subjects' demographics, headache characteristics, consumption of medications for headaches, subjects' satisfaction with the usual treatment of headaches and treatment effectiveness. Medication overuse was defined in terms of treatment days per month during the previous 3 months according to the ICHD-II criteria for medication overuse headache. Results. - Some 74% of the 3326 participating pharmacies with a self-considered migraine subject among their staff actually returned the survey questionnaire. Using the ICHD-II criteria, migraine was confirmed in 85% of participating subjects, of whom 38% were under medical supervision and had asked for a prescription, and 27% used recommended medications. The treatment used was truly effective for only 31% of migraineurs. Medication overuse was observed in 21% of all participating subjects, mostly migraineurs. Most migraineurs with medication overuse (81%) used nonrecommended treatments. Conclusions. - Considering their pivotal role in advising migraine patients who seek their help with self-management, migraine education of pharmacy personnel about proper migraine management should be reinforced. ‚î¨‚åê 2009 American Headache Society.</t>
  </si>
  <si>
    <t>(Donnet A.) (Lant‚îú‚åêri-Minet M.) (Aucoin F.) (Allaf B.) Blackwell Publishing Inc., 350 Main Street, Malden, United States.; ID: 1422</t>
  </si>
  <si>
    <t>http://www.ncbi.nlm.nih.gov/pubmed/19486362</t>
  </si>
  <si>
    <t>Use and overuse of antimigraine drugs by pharmacy personnel in France: COTA survey: Research submission</t>
  </si>
  <si>
    <t>Dooley,M. J.;Dean,E.;McGuiness,J.;Corben,K.;Author,Addresses;Pharmacy,Alfred Health Melbourne;Australia;Centre,for Medicine;Safety,Monash University;Melbourne,Australia;Population Health, Alfred Health,Melbourne Australia;Correspondence,Address;MJ Dooley, Pharmacy Alfred Health,Melbourne Australia</t>
  </si>
  <si>
    <t>Pharmacist clinical leadership and credentialing improving the management of nicotine dependency in the acute hospital seting</t>
  </si>
  <si>
    <t>(MAJOR FOCUS);nicotine;accreditation;clinical pharmacy;hospital;human;leadership;pharmacist;therapy;case study;consultation;documentation;drug therapy;education;feedback system;health care personnel;hospital patient;learning;medical specialist;medication therapy management;model;patient;smoking;smoking cessation</t>
  </si>
  <si>
    <t>Background and objectives: A smoking cessation strategy was implemented for hospitalised patients with clinical pharmacists responsible for identification and documentation of patients' smoking status, assessment of nicotine dependency, provision of brief intervention advice and prescribing of pharmacotherapy. The objectives was to improve the management of hospitalise patients and to develop and implement a credentialing program for pharmacists to provide clinical management of nicotine dependency for hospitalised patients. Program description: A multidisciplinary working party was formed to facilitate extensive key stakeholder consultation to optimise clinical management and formulate collaborative organization-wide guidelines. The credentialing program requires either candidates attending face-to-face or reviewing online a 1 h education session. The two part competency assessment involves pharmacists successfully completing Quit Victoria's online learning module attracting 7 group 2 CPD points. Candidates were then eligible to complete five case studies online via SurveyMonkey‚î¨¬´. Three cases required initial management of nicotine dependency and two required subsequent management. Candidates were marked against model answers. A Œì√´√ë 80 % pass mark and causing no patient harm, was assessed as demonstrating competency. Candidates not achieving this were re-assessed using a case based approach. Results: The program took place over 10 weeks with eleven education sessions held across three campuses. Of 87 pharmacists identified for training, 68 (78 %) attended a face-to-face session and 19 (22 %) undertook online sessions. To date, 85 pharmacists (98 %) have been assessed competent. Of these 26 (31 %) received individualised feedback regarding their responses and 16 (19 %) required reassessment before successful completion. Key features of the program include the identification and documentation of patients' smoking status during the medication reconciliation process, assessment of nicotine dependency follows as appropriate. Treating pharmacists provide brief intervention advice, pharmacotherapy may be offered in addition to behavioural management strategies. An intensive smoking cessation service for complex dependency provided by a specialist pharmacist has been developed and implemented. Any healthcare professional involved in the care of the inpatient can make this e-referral. Conclusion: The credentialing program has been demonstrated as efficient, effective and sustainable. This initiative has proven successful in extending the clinical pharmacist's role and improving the management of nicotine dependency amongst inpatients.</t>
  </si>
  <si>
    <t>(Dooley M.J.; Dean E.; McGuiness J.) (Dooley M.J.) (Corben K.) 41st ESCP Symposium on Clinical Pharmacy: Personalised and Safe Therapy Barcelona, Spain 2012-10-29 to 2012-10-31 Springer Netherlands; ID: 979</t>
  </si>
  <si>
    <t>Dotson,K.;Herring,D.;Dietz,A.;Shah,M.;Hall,T.;Bowers,C.;Tantleff-Dunn,S.;Dunn,M.;Author,Addresses;University of Central Florida, Orlando,United States;Correspondence,Address;Dotson, University of Central Florida Orlando United States,K.</t>
  </si>
  <si>
    <t>The expectancy challenge alcohol literacy curriculum (ECALC): Implementation of a digital translation with high school students</t>
  </si>
  <si>
    <t>38 SUPPL. 1</t>
  </si>
  <si>
    <t>126A</t>
  </si>
  <si>
    <t>(MAJOR FOCUS);alcohol;alcoholism;curriculum;high school student;human;reading;society;alcohol blood level;alcohol consumption;alcoholic beverage;college;exercise;exposure;female;high school;liquid;male;pharmacology;risk;school;student;United States</t>
  </si>
  <si>
    <t>The Expectancy Challenge Alcohol Literacy Curriculum (ECALC) is a 45-minute group or individually-delivered program designed to change alcohol expectancy processes and reduce underage and risky alcohol use. The ECALC has been administered to students in public and private high schools, alternative schools, colleges, and notoriously higher risk individuals in college fraternities and sororities. Among males and females in each group, completion of the ECALC resulted in reduced expectations of arousing and positive social effects, and increased expectations of sedating and negative behavioral effects. In addition, exposure to the ECALC was followed by decreases in quantity and frequency of alcohol use and reduced peak blood alcohol concentration. Despite the brevity and effectiveness of the ECALC, implementation in high school classes has been limited by the amount of training required for appropriate administration. The present study addressed this problem by creating a digital translation of ECALC materials and automating key parts of the program. A new Digital ECALC was created as a web-based program with a shortened script for group administration. All key elements of the previous ECALC were retained. New exercises were added to increase interactivity, maintain attention, and focus students on key aspects of their own alcohol expectancies. For example, exercises were created to teach students the definition of a standard drink, and to demonstrate the volume of liquid equivalent to a single standard drink when different types of alcoholic beverages are poured into non-standard drink containers. Also added was an interactive game to teach common aspects of alcohol pharmacology. After the Digital ECALC was created, it was delivered to four classes of students (n=83) at three public high schools in central Florida to test functionality and effectiveness. Online menus, animations, and audio content functioned as intended. Before and after presentation of the ECALC, expectancies were assessed using the Comprehensive Effects of Alcohol Scale (CEOA). Analysis of expectancy data found significant changes in predicted directions on all subscales of the CEOA with the exception of Tension Reduction. Overall, results indicated that expectancy changes produced by the digitized ECALC were comparable to those produced by the previous non-digital version of the program, and comparable reductions in alcohol use are expected.</t>
  </si>
  <si>
    <t>(Dotson K.; Herring D.; Dietz A.; Shah M.; Hall T.; Bowers C.; Tantleff-Dunn S.; Dunn M.) 37th Annual Scientific Meeting of the Research Society on Alcoholism, RSA 2014 Bellevue, WA, United States 2014-06-21 to 2014-06-25 Blackwell Publishing Ltd; ID: 904</t>
  </si>
  <si>
    <t>Dotta,A.;Chukhlantseva,N.</t>
  </si>
  <si>
    <t>Ontogeny and drug metabolism in newborns</t>
  </si>
  <si>
    <t>Journal of Maternal-Fetal &amp; Neonatal Medicine</t>
  </si>
  <si>
    <t>25 Suppl 4</t>
  </si>
  <si>
    <t>Adult;*Child Development/de Drug Effects];*Child Development/ph Physiology];Drug Interactions;Drug-Related Side Effects and Adverse Reactions;Humans;*Inactivation, Metabolic/ge Genetics];*Infant, Newborn/me Metabolism];Patient Safety;*Pharmaceutical Preparations/me Metabolism];Pharmacogenetics;0 (Pharmaceutical Preparations)</t>
  </si>
  <si>
    <t>In pediatric age and particularly in newborn infants the drug efficacy and safety are influenced by the growth and development on drug Absorption, Distribution, Metabolism and Excretion (ADME). Thanks to the fast development of pharmacogenomics and pharmacogenetics, the drug therapy promises to be adapted to the genetic profile of the individual, reducing considerably the side effects of drugs and increasing their efficacy. Interindividual variability in drug response is well known in both adults and children. Such a variability is multifactorial considering both intrinsic and extrinsic factors. Drug distribution in the neonate is influenced by a variety of age-dependent factors as a total body water content and distribution variations, role of drug transporters, blood/tissue protein binding, blood and tissue pH and perfusion. The development of enzymes involved in human metabolism were classified in 3 categories: 1) those expressed during the whole or part of the fetal period, but silenced or expressed at low levels within 1-2 years after birth; 2) those expressed at relatively constant levels throughout fetal development, but increased to some extent postnatally; and 3) those whose onset of expression can occur in the third trimester, but substantial increase is noted in the first 1-2 years after birth. Besides this intrinsic aspects influencing pharmacokinetics during the neonatal period there are other important events such as inborn or acquired diseases, environment and finally pharmacogenetics and pharmacogenomics. Thousands of deaths every years are caused by fatal drug reactions; among the potential causes there are not only the severity of the disease being treated, drug interactions, nutritional status, renal and liver functions, but also the inherited differences in drug metabolism and genetic polymorphism. Adverse drug reactions (ADRs) among pediatric patients have been shown to be three times more frequent than in adults. On August 2010 The National Institute of Child Health and Human Development (NICHD) addressed patient safety issues in the NICU, recognizing that to understand and prevent adverse events, systematic research and education in safety issues needed. From all these concepts in terms of ADME, pharmacogenetics (relative to a single gene) and pharmacogenomics (relative to many genes) it is becoming more evident the perspective of the new concept of individualized medicine. The goal of this should be to identify which group of patients responds positively, which patients are nonresponders and who experiences adverse reaction for the same drug and dose. The interindividual variability in response to any drug is mostly dependent on DNA sequence variations across the human genome, the haplotype map (HAPMAP). At present there is still a big distance beween the knowledge in genetic and the practical application to model the drug profile to the genetic/genomic profile of the single patient. In the neonatal period the effects of growth in the pharmacodynamic, processes can help optimizing the dosage of neonatal frequently used medicines, thereby, minimizing their toxicity and increasing their efficacy. It should be useful to create accurate dosage adjustments according to the week of development.</t>
  </si>
  <si>
    <t>J2: J Matern Fetal Neonatal Med; Dotta, Andrea Chukhlantseva, Natalia; ID: 175</t>
  </si>
  <si>
    <t>1476-4954</t>
  </si>
  <si>
    <t>Dotta,Andrea. Neonatal Intensive Care Unit, Department of Medical and Surgical Neonatology, Bambino Gesu Children's Hospital, IRCCS, Rome, Italy. andrea.dotta@opbg.net</t>
  </si>
  <si>
    <t>http://ovidsp.ovid.com/ovidweb.cgi?T=JS&amp;CSC=Y&amp;NEWS=N&amp;PAGE=fulltext&amp;D=medl&amp;AN=22958028</t>
  </si>
  <si>
    <t>http://dx.doi.org/10.3109/14767058.2012.715463</t>
  </si>
  <si>
    <t>MEDLINE; Ovid Technologies; Ontogeny and drug metabolism in newborns</t>
  </si>
  <si>
    <t>Dougherty,T. M.;Klusaritz,H. A.;Cronholm,P. F.;Kasbekar,N.;Author,Addresses;Penn Presbyterian Medical Center, Department,of Family;Medicine;Community Health, University of,Pennsylvania Philadelphia;United,States;Department,of Family;Community;Health,University of Pennsylvania Philadelphia United States;Penn Presbyterian Medical Center, Philadelphia,United States;Correspondence,Address;TM Dougherty, Penn Presbyterian Medical Center Department,of Family;Medicine;Community Health, University of,Pennsylvania Philadelphia;United,States</t>
  </si>
  <si>
    <t>Incorporating pharmacy services within a family medicine residency home visit program</t>
  </si>
  <si>
    <t>399e</t>
  </si>
  <si>
    <t>400e</t>
  </si>
  <si>
    <t>acid;insulin;sulfanilamide;clinical pharmacy;college;family medicine;hospital department;professional practice;adverse drug reaction;allergy;counseling;drug interaction;drug therapy;environment;follow up;general aspects of disease;habit;health literacy;hospitalization;human;hypotension;long term care;medication therapy management;patient;pharmacist;pharmacy;pharmacy student;physician;rash;safety;side effect;social worker;teaching;therapy;United States;university</t>
  </si>
  <si>
    <t>PURPOSE: To evaluate patient-related medication and safety outcomes associated with pharmacist and pharmacy student involvement in a family medicine residency home visit program. METHODS: The home visit team at the University of Pennsylvania Family Medicine Residency consists of an attending, resident physician, social worker and pharmacist and/or pharmacy student. Patients are deemed appropriate home visit candidates for evaluation of: post-hospitalization/acute care follow-up, medication assessment/reconciliation, long-term care options, or environmental effect on illness. The pharmacy team evaluates medication taking habits at home, conducts medication reconciliation, provides counseling on adherence and medication use and recommends medication changes based on safety/efficacy concerns. Data on visit reason, adverse events, drug-related problems () and interventions was analyzed. RESULTS: Out of 48 patients visited, reasons for home evaluation were medication assessment (41%), post-hospitalization (31%), environment (21%), options (6%), other (3%). The pharmacy team identified 79 (mean 1.9/patient; range 1-7), the most common being adherence issues (52%). Others included overuse, underuse, taking a medication that was stopped, taking expired medications, duplicate therapy, low health literacy, incorrect administration, taking a medication to which an allergy exists, and side effects. Of those , 13 preventable adverse events () were identified and solved with pharmacy recommendations in 12 patients (27%). The were: continuing to take medications (, ) stopped due to adverse event (GI bleed, hypotension), taking lower or higher than prescribed doses (, insulin), duplication (), drug interaction necessitating change in therapy, crushing ER medications ( acid, ), patient allergic to sulfa recently started with new rash. A total of 30 pharmacy interventions were accepted including discontinuing medications, reducing cost of medications, delivery set-up, teaching, switching medications. CONCLUSION: Involvement of a pharmacist and pharmacy students within a family medicine residency home visit program can reduce drug-related problems and preventable adverse drug events.</t>
  </si>
  <si>
    <t>(Dougherty T.M.) (Klusaritz H.A.; Cronholm P.F.) (Kasbekar N.) 2011 Annual Meeting of the American College of Clinical Pharmacy Pittsburgh, PA, United States 2011-10-16 to 2011-10-19 Pharmacotherapy Publications Inc.; ID: 1233</t>
  </si>
  <si>
    <t>Douglass,M. A.;Casale,J. P.;Skirvin,J. A.;DiVall,M. V.</t>
  </si>
  <si>
    <t>PMC3806956; A virtual patient software program to improve pharmacy student learning in a comprehensive disease management course</t>
  </si>
  <si>
    <t>Clinical Competence;*Disease Management;*Education, Pharmacy;Educational Measurement;Humans;Learning;*Software;*Students, Pharmacy</t>
  </si>
  <si>
    <t>OBJECTIVE: To implement and assess the impact of a virtual patient pilot program on pharmacy students' clinical competence skills. DESIGN: Pharmacy students completed interactive software-based patient case scenarios embedded with drug-therapy problems as part of a course requirement at the end of their third year. ASSESSMENT: Assessments included drug-therapy problem competency achievement, performance on a pretest and posttest, and pilot evaluation survey instrument. Significant improvements in students' posttest scores demonstrated advancement of clinical skills involving drug-therapy problem solving. Students agreed that completing the pilot program improved their chronic disease management skills and the program summarized the course series well. CONCLUSION: Using virtual patient technology allowed for assessment of student competencies and improved learning outcomes.</t>
  </si>
  <si>
    <t>J2: Am J Pharm Educ; Douglass, Mark A Casale, Jillian P Skirvin, J Andrew DiVall, Margarita V; ID: 97</t>
  </si>
  <si>
    <t>Douglass,Mark A. Northeastern University School of Pharmacy, Boston, Massachusetts.</t>
  </si>
  <si>
    <t>http://ovidsp.ovid.com/ovidweb.cgi?T=JS&amp;CSC=Y&amp;NEWS=N&amp;PAGE=fulltext&amp;D=medl&amp;AN=24159213</t>
  </si>
  <si>
    <t>http://dx.doi.org/10.5688/ajpe778172</t>
  </si>
  <si>
    <t>MEDLINE; Ovid Technologies; A virtual patient software program to improve pharmacy student learning in a comprehensive disease management course</t>
  </si>
  <si>
    <t>Doyle,A. C.;Pollack,M. H.</t>
  </si>
  <si>
    <t>Establishment of remission criteria for anxiety disorders</t>
  </si>
  <si>
    <t>Journal of Clinical Psychiatry</t>
  </si>
  <si>
    <t>J.Clin.Psychiatry</t>
  </si>
  <si>
    <t>64 Suppl 15</t>
  </si>
  <si>
    <t>Anxiety Disorders/dt Drug Therapy];Anxiety Disorders/ec Economics];*Anxiety Disorders/px Psychology];Comorbidity;*Cost of Illness;Endpoint Determination;Guidelines as Topic;Humans;Psychotherapy;*Quality of Life;Reference Values;Remission Induction;Treatment Outcome</t>
  </si>
  <si>
    <t>Anxiety disorders such as generalized anxiety disorder, social anxiety disorder, panic disorder, and posttraumatic stress disorder are typically chronic conditions associated with high health care costs and are often accompanied by psychiatric comorbidity, including major depressive disorder, substance abuse, and other anxiety disorders. Anxiety disorders are associated with significant functional impairment in social, vocational, and familial spheres and with diminished overall quality of life. The following clinical overview provides informal guidelines for identifying remission in patients with an anxiety disorder. A systematic approach to treatment that includes patient education, encouragement of exposure, attention to relevant comorbidities, use of empirically proven pharmacotherapies, and psychosocial interventions of adequate intensity and duration will improve outcomes and move patients toward marked improvement and remission. References: 30]</t>
  </si>
  <si>
    <t>J2: J Clin Psychiatry; Doyle, Alicia C Pollack, Mark H; ID: 492</t>
  </si>
  <si>
    <t>0160-6689</t>
  </si>
  <si>
    <t>Doyle,Alicia C. Center for Anxiety and Traumatic Stress Related Disorders, Massachusetts General Hospital, Harvard Medical School, Boston, MA, 02114, USA.</t>
  </si>
  <si>
    <t>http://ovidsp.ovid.com/ovidweb.cgi?T=JS&amp;CSC=Y&amp;NEWS=N&amp;PAGE=fulltext&amp;D=med4&amp;AN=14658990</t>
  </si>
  <si>
    <t>MEDLINE; Ovid Technologies; Establishment of remission criteria for anxiety disorders</t>
  </si>
  <si>
    <t>Dugan,R.;Haight,R.;Hoeft,D.;Author,Addresses;University,of Minnesota;Fairview,Department of Pharmacy United States;Correspondence,Address;Dugan, University of Minnesota Medical Center Fairview Department of,R.;Pharmacy,United States</t>
  </si>
  <si>
    <t>The impact of pharmacist led medication counseling and shared decision making in the behavioral health inpatient setting</t>
  </si>
  <si>
    <t>college;counseling;decision making;drug therapy;health;hospital patient;human;pharmacist;adult;education;health center;hospitalization;information processing;intervention study;medication compliance;mental health;patient;patient compliance;patient participation;patient preference;physician;population;privacy;satisfaction;side effect;United States;university</t>
  </si>
  <si>
    <t>Type: Work in Progress. Background: One-on-one pharmacist led medication counseling may be the ideal modality to provide inpatient medication education. Patients admitted to inpatient behavioral health units are often prescribed psychiatric medications, undergo multiple medication changes, and may experience side effects. Patients may have questions or concerns about medications early in their hospitalization and could greatly benefit from pharmacist counseling and intervention. Unfortunately, patient dissatisfaction with medication information is prevalent in the behavioral health patient population. It can affect attitudes about medications and compliance, two important predictors of mental health stabilization. Large group-based education is helpful at disseminating information in a time efficient manner. However, concerns regarding patient privacy, possible disruptions, and differing education needs among patients may limit its usefulness. Objectives: 1. Determine the impact of pharmacist led medication counseling (including identification of drug therapy problems and patient medication attitudes), 2. Determine the feasibility of pharmacist led medication counseling, 3. Increase patient participation in the medication decision-making process. Methods: This single-center, prospective, intervention study includes participants from four of the eleven inpatient behavioral health units at the University of Minnesota Medical Center, Fairview. Adult patients, with at least one psychiatric medication, will meet with a pharmacist upon request from the treatment team. The pharmacist will evaluate the patient's medication regimen and consult with the provider. The pharmacist will educate the patient on each medication, recommend strategies for medication compliance, and address the patient's questions and/or concerns. The pharmacist will also discuss potential therapeutic medication options, determine the patient's personal therapeutic goals and medication preferences, and assess the patient's compliance and understanding of his/her medications. The pharmacist will make recommendations incorporating the patient's therapeutic preferences. Patient and physician surveys will be used to assess medication attitudes and satisfaction. Outcomes: Outcomes remain under investigation, as data collection and analysis are currently ongoing. We will report the number and type of drug therapy problems identified, recommendations made and accepted, and whether or not the accepted recommendations were able to incorporate the patient's preferences. Data from the patient and provider surveys and pharmacist time and number of patients counseled will be reported.</t>
  </si>
  <si>
    <t>(Dugan R.; Haight R.; Hoeft D.) 16th Annual Meeting of the College of Psychiatric and Neurologic Pharmacists, CPNP 2013 Colorado Springs, CO, United States 2013-04-21 to 2013-04-24 SAGE Publications Inc.; ID: 1037</t>
  </si>
  <si>
    <t>DuHaime,C. M.;Newaz,N. E.;AlMandy,R.;Whang,J. K.;Tran,T. T.;Bui,A. M.;Pervanas,H. C.;Author,Addresses;Massachusetts,College of;Health,Sciences;Manchester,United States;Correspondence,Address;CM DuHaime, Massachusetts College,of Pharmacy;Health,Sciences;Manchester,United States</t>
  </si>
  <si>
    <t>Development of an eLearning tool to educate teens and adults about the dangers of medication misuse and abuse</t>
  </si>
  <si>
    <t>e286</t>
  </si>
  <si>
    <t>central stimulant agent;dextromethorphan;non prescription drug;prescription drug;abuse;adult;clinical pharmacy;college;drug therapy;adolescent;community;death;drug abuse;education;epidemic;fatality;feedback system;health science;human;learning;life;middle school;motor vehicle;peer pressure;pharmacist;pharmacy;population;prescription;safety;storage;student;United States</t>
  </si>
  <si>
    <t>PURPOSE: Prescription and over-the-counter (OTC) medication abuse is a growing epidemic in the adolescent and adult populations across the country. As a result, prescription related deaths have exceeded motor vehicle fatalities in New Hampshire (NH). Contributing factors include lack of education and increased accessibility. The purpose of the study was to create a learning tool to promote medication safety and educate the public about medication misuse and abuse. METHODS: Six student pharmacists from the Massachusetts College of Pharmacy and Health Sciences (MCPHS) collaborated with the Community Alliance for Teen Safety (CATS) to create an eLearning tool addressing issues concerning prescription and OTC drug abuse. The student pharmacists developed scenarios that targeted both adolescent and adult populations and were integrated into a 30-60 minute self-paced interactive web-based program. Scenarios provide the online participant with a real-life situation specific to medication abuse. As the participant navigates through the scenario they are faced with challenges and must make choices to proceed. Once a choice has been made feedback is provided explaining the outcome of the choice. The participant also has the option to navigate back and make a different choice. At the conclusion of the program the participant is provided with a final summary and take-away message. RESULTS: Four eLearning scenarios were developed: two that focused on topics relevant to adolescents and two for adults. Adolescent topics included: (i) abuse of prescription stimulants, and (ii) peer pressure to abuse/misuse prescription drugs. Adult topics included: (i) dextromethorphan abuse, and (ii) diversion, disposal and proper storage of medications. The program will be piloted in the NH Derry Middle School in the fall of 2012. CONCLUSION: The eLearning scenarios will serve as an interactive tool for promoting medication safety as well as educating the community about the dangers of medication misuse and abuse.</t>
  </si>
  <si>
    <t>(DuHaime C.M.; Newaz N.E.; AlMandy R.; Whang J.K.; Tran T.T.; Bui A.M.; Pervanas H.C.) 2012 Annual Meeting of the American College of Clinical Pharmacy, ACCP 2012 Hollywood, FL, United States 2012-10-21 to 2012-10-24 Pharmacotherapy Publications Inc.; ID: 1104</t>
  </si>
  <si>
    <t>Duki‚îÄ√ß,M.;Duri‚îÄ√ß,A.;Tasi‚îÄ√ß,L.;Author,Addresses;University,of Belgrade;of Pharmacy, Department of Toxicology Akademik,Danilo Sodatovi;Stepe,Belgrade Serbia;University of Belgrade, Faculty of,Pharmacy Department;of Social Pharmacy, Vojvode Stepe,Belgrade Serbia;Correspondence,Address;Duki‚îÄ√ß, University of Belgrade Faculty of Pharmacy Department of,M.;Toxicology Akademik Danilo Sodatovi‚îÄ√ß, Vojvode,Stepe Belgrade;Serbia Email, mirjana djukic pharmacy bg,ac rs</t>
  </si>
  <si>
    <t>Abuse of psychoactive substances: The role of pharmacist ORIGINAL (NON-ENGLISH) TITLE Zloupotreba psihoaktivnih supstanci: Uloga farmaceuta</t>
  </si>
  <si>
    <t>Arhiv za Farmaciju</t>
  </si>
  <si>
    <t>(MAJOR FOCUS);psychotropic agent;pharmacist;addiction;article;city;community;drug abuse;health education;laboratory;public health problem;social problem;society;Public Health, Social Medicine and Epidemiology (17);Psychiatry (32);Drug Dependence, Alcohol Abuse and Alcoholism (40)</t>
  </si>
  <si>
    <t>Abuse of psychoactive substances (PAS) is a major health and social problems, worldwide. The overall population is in direct daily contact with the PAS and thus, at risk of PAS abuse. Pharmacists have a unique and comprehensive knowledge about drugs and PAS, as well as, about the adverse effects of their inappropriate use (abuse). So far, regarding this problematic, the role of pharmacists, as health promoters, is mostly recognized in the field of pharmacotherapy and clinico-toxicological laboratory analysis. However, the role of pharmacists should be recognized more widely in the society, in the sense of prevention, advisory and educational role. According to the American model, in this area of work, pharmacists are responsible for prevention, education and assistance in overall health and social care system of addicts. Also, this paper gives an overview of the importance of institutional harmonization in the PAS domain abuse, at the city, region and state level. Inadequate cooperation at this level is a immense threat to society, and in the same time, an indicator of irresponsibility and neglect of the community regarding addiction related problems.</t>
  </si>
  <si>
    <t>(Duki‚îÄ√ß M., mirjana.djukic@pharmacy.bg.ac.rs) (Duri‚îÄ√ß A.; Tasi‚îÄ√ß L.) Farmaceutsko Drustvo Srbije, Bulevar Vojvode Misica 25, P. Fah 664,Beograd, Serbia.; ID: 1121</t>
  </si>
  <si>
    <t>English, unknown</t>
  </si>
  <si>
    <t>Dunnington,B. C.;Hayes,M. L.</t>
  </si>
  <si>
    <t>PMC1580275; Project Outreach: Organizations Unified to Reach Youth</t>
  </si>
  <si>
    <t>Adolescent;*Alcoholism/pc Prevention &amp; Control];Costs and Cost Analysis;Female;Health Education/ec Economics];*Health Education/mt Methods];Humans;Male;Missouri;Parents/ed Education];Students, Pharmacy;*Substance-Related Disorders/pc Prevention &amp; Control];*Voluntary Health Agencies</t>
  </si>
  <si>
    <t>Youths of today are forced to deal with the external pressures of alcohol and drug abuse on all levels-from the older youngsters across the street pressuring them to be "cool," to the "cute dog" enticing them with the glamour of being the original "party animal." Through today's mass communications, young people are exposed to negative, self-destructive attitudes. It is important, therefore, to expose them to a more positive influence and try to reach them through parental guidance, personal contact, and peer pressure. To achieve this, the University of Missouri's Kansas City Chapter of the American Pharmaceutical Association's Academy of Students of Pharmacy, in conjunction with the Metropolitan Kansas City Area Task Force on Alcohol and Other Drug Abuse, proposed the development of an annual drug abuse prevention program that specifically targets fifth graders in the greater Kansas City metropolitan area. A primary goal of Project Outreach (Organizations Unified to Reach Youth) is to unite drug abuse prevention programs in the greater Kansas City metropolitan area in their outreach efforts to give positive support to Kansas City's youth against alcohol and other drugs. Phase I of Project Outreach consisted of a series of programs for the parents in the community. Phase II entailed college students who spoke to fifth graders in their classrooms. These students also participated in poster and poem contents centered around drug abuse prevention. In Phase III, which featured an outstanding, motivated speaker, the sample group of 600 fifth graders in the area participated in a major event to give positive peer pressure to say no to drugs. Pertinent entertainment also was provided, and the governor of Missouri, John Ashcroft, attended the rally. In the future, each fifth grader will receive a free T-shirt as a tangible reminder of the main event. In Phase IV, to reinforce concepts presented in previous programming, the college students returned to the fifth grade classrooms to speak. Project Outreach programs are incorporated into existing drug abuse prevention programs and provide the foundation for the development of new drug abuse prevention programs in the greater Kansas City metropolitan area.</t>
  </si>
  <si>
    <t>J2: Public Health Rep; Dunnington, B C Hayes, M L; ID: 687</t>
  </si>
  <si>
    <t>Dunnington,B C. University of Missouri-Kansas City School of Pharmacy 64110.</t>
  </si>
  <si>
    <t>http://ovidsp.ovid.com/ovidweb.cgi?T=JS&amp;CSC=Y&amp;NEWS=N&amp;PAGE=fulltext&amp;D=med3&amp;AN=2493666</t>
  </si>
  <si>
    <t>MEDLINE; Ovid Technologies; Project Outreach: Organizations Unified to Reach Youth</t>
  </si>
  <si>
    <t>Duque,B.;Borobia,A. M.;Lubomirov,R.;Ramirez,E.;Guerra,P.;Medrano,N.;Tong,H. Y.;Carcas,A. J.;Fr‚îú¬°as,J.;Author,Addresses;Pharmacology;Therapeutics Department,School of;Medicine,Universidad Aut‚îú‚îÇnoma de Madrid Spain;Clinical;Pharmacology Department, Hospital La Paz-Carlos I I I IdiPAZ,Madrid Spain;Correspondence,Address;Duque,Pharmacology,B.;Therapeutics Department,School,of Medicine;Universidad Aut‚îú‚îÇnoma,de Madrid</t>
  </si>
  <si>
    <t>Screening and recruitment procedures of healthy volunteers in a phase I clinical trial unit: Experience in 64 bioequivalence studies</t>
  </si>
  <si>
    <t>e129</t>
  </si>
  <si>
    <t>bioequivalence;clinical pharmacology;European;human;normal human;phase 1 clinical trial;procedures;screening;therapy;abuse;informed consent;pharmacology;randomization;sample size;school;stomatitis;urine;volunteer</t>
  </si>
  <si>
    <t>Background: This study reports and analyses screening and recruitment procedures carried out in 64 bioequivalence (BE) studies. Material and Methods: All the studies were designed and conducted following the requirements of EMA for BE studies and carried out in the Phase I Clinical Trial Unit of the Pharmacology Department (School of Medicine, Universidad Aut‚îú‚îÇnoma de Madrid). For each trial calculated sample size, number of volunteers and reasons for exclusion, withdrawal and dropping were recorded. Results: For the included 64 trials, a total of 3575 healthy volunteers signed the informed consent form. During the screening period 1076 volunteers (30.1%) were found not to be not suitable for the study. The main reasons were: 508 volunteers withdrawn the informed consent (47.3%), 251 showed analytical abnormalities (23.3%) and 80 gave a positive result in urine abuse drug test (7.4%). Therefore a total of 2500 fulfilled inclusion criteria (69.9%) and 2339 were included (158 volunteers were considered as reserves). During the study, 52 volunteers (2.2%) dropped for personal reason and 40 were excluded (1.7%). A total of 2252 volunteers were suitable for the main analysis. Conclusions: To select 2252 valid participants in BE trials we needed to obtain the signed informed consent form from 3575 potential participants and to make the initiation visit in 3282 volunteers. Only a 6.3% of the healthy volunteers interviewed and fulfilling selection criteria were finally not included. Post-randomization losses were also low (3.9 %).</t>
  </si>
  <si>
    <t>(Duque B.; Borobia A.M.; Lubomirov R.; Ramirez E.; Guerra P.; Medrano N.; Carcas A.J.; Fr‚îú¬°as J.) (Borobia A.M.; Ramirez E.; Tong H.Y.; Carcas A.J.; Fr‚îú¬°as J.) 12th Congress of the European Association for Clinical Pharmacology and Therapeutics, EACPT 2015 Madrid, Spain 2015-06-27 to 2015-06-30 Excerpta Medica Inc.; ID: 818</t>
  </si>
  <si>
    <t>Duque,B.;Borobia,A. M.;Mosquera,B.;L‚îú‚îÇpez Dur‚îú√≠n,J. L.;Ram‚îú¬°rez,E.;Lubomirov,R.;Carcas,A. J.;Guerra,P.;Fr‚îú¬°as,J.;Author,Addresses;Clinical,Pharmacology;Service,La Paz University Hospital Universidad Aut‚îú‚îÇnoma de Madrid Spain;Correspondence,Address;Duque, Clinical Pharmacology Service La Paz University Hospital,B.;Universidad Aut‚îú‚îÇnoma,de Madrid</t>
  </si>
  <si>
    <t>Screening and recruitment procedures of healthy volunteers in a phase I clinical trial unit: Experience of 38 bioequivalence studies</t>
  </si>
  <si>
    <t>Basic and Clinical Pharmacology and Toxicology</t>
  </si>
  <si>
    <t>109 SUPPL. 1</t>
  </si>
  <si>
    <t>bioequivalence;clinical pharmacology;human;normal human;phase 1 clinical trial;screening;therapy;abuse;crossover procedure;hypertransaminasemia;informed consent;pharmacology;randomization;sample size;school;stomatitis;urine;volunteer</t>
  </si>
  <si>
    <t>Introduction: This study reports and analyzes screening and recruitment procedures of 38 bioequivalence (BE) studies. Material and Methods: Thirty-eight BE randomized crossover studies were conducted. The studies were all designed according to the requirements of EMA for BE studies and developed in the Phase I Clinical Trial Unit of the Pharmacology Department (School of Medicine, Universidad Aut‚îú‚îÇnoma de Madrid). Sample size calculated, number of volunteers and reason for exclusion, withdrawal and dropped were recorded. Results: For the included 38 trials, a total of 2405 healthy volunteers were informed about a BE trial and 2202 (91.6%) decided to sign the inform consent form. Of them, 233 did not return to initiation visit (10.6%). In the screening period 623 volunteers (28.3%) were not suitable for the study. The main reasons were: withdrawal of informed consent (16.4%), positive in urine abuse drug test (9.6%), hyperbilirrubinemia (5.6%) and hypertransaminasemia (4.7%). Therefore a total of 1579 fulfilled inclusion criteria and 1514 were included (65 volunteers were considered as reserves). During the study, 35 volunteers (2.3%) dropped for personal reason and 17 were excluded (47% due to a positive result in urine abuse drug test). A total of 1462 volunteers were suitable for the main analysis. Conclusion: To select 1579 valid participants in BE trials we needed to give the trial information to 2405 potential participants and to make the initiation visit in 2202 volunteers. Only a 4.1% of the healthy volunteers interviewed and fulfilling selection criteria were finally not included. Post-randomization losses were also low (3.6%).</t>
  </si>
  <si>
    <t>(Duque B.; Borobia A.M.; Mosquera B.; L‚îú‚îÇpez Dur‚îú√≠n J.L.; Ram‚îú¬°rez E.; Lubomirov R.; Carcas A.J.; Guerra P.; Fr‚îú¬°as J.) 10th Congress of the European Association for Clinical Pharmacology and Therapeutics Budapest, Hungary 2011-06-26 to 2011-06-29 Blackwell Publishing Ltd; ID: 1265</t>
  </si>
  <si>
    <t>1742-7835</t>
  </si>
  <si>
    <t>Dutton,T. M.;Pilkinton,P.;Dinoff,B.;Author,Addresses;Tuscaloosa,V. A. M.;Tuscaloosa,United States;Correspondence,Address;TM Dutton, Tuscaloosa V A Medical Center Tuscaloosa,United States</t>
  </si>
  <si>
    <t>Long-term opiate agreement use for chronic pain management in a Veterans Administration (VA) setting: A retrospective chart review</t>
  </si>
  <si>
    <t>(MAJOR FOCUS);opiate;analgesia;chronic pain;college;government;human;medical record review;pharmacist;case report;data base;diagnosis;documentation;drug therapy;electronic medical record;homelessness;hospital;mental disease;pain;pain clinic;patient;pharmacy;pill;population;primary medical care;psychiatric diagnosis;risk;screening;statistical analysis;substance abuse;therapy;urine;veteran</t>
  </si>
  <si>
    <t>Background: Chronic pain is estimated to affect more than 80 million Americans and 50% of veterans seen in primary care clinics. Most studies of opiate pain agreements exclude Œì√á¬£high riskŒì√á¬• individuals (substance abuse histories, mental illness, legal issues, homelessness, or self-pay patients). Veteran patients often fall into the Œì√á¬£high riskŒì√á¬• categories and may be seeking care through the VA for pain issues accompanied by mental illness, homelessness, substance abuse, or financial issues. Purpose: The purpose of the study is to describe the naturalistic outcomes of veteran patients on opiate agreements for chronic pain (those taking opiates for &gt;90 days) within the VA. By conducting this study, we are seeking to identify systemic factors that may influence the delivery of effective pain management to veterans in the primary care setting and improve our ability to prospectively identify veteran patients who would benefit from early referral to a multidisciplinary pain management team since traditional screening criteria used by specialty pain practices may not accurately apply to the VA setting. Methods: This study will be a retrospective chart review of veteran patients initiating treatment with opiates beginning on January 1, 2007 and proceeding consecutively until December 31, 2007. Data will be extracted from computerized patient record system using a case report form to develop a database which can then be analyzed. Information collected will include demographic information, pain diagnosis, chronic medical and psychiatric diagnoses, opiate medication(s) used, and other medications on patient profile. The charts will be reviewed for documentation of compliance assessments including urine drug screens, pill counts, appointment no-show rate, and pharmacy refill history. Each chart will be reviewed for outcomes including start/stop of opiate contract and reason for discontinuing if stopped. A minimum of 100 charts (patients initiating opiate therapy) will be reviewed to allow for statistical analysis and comparison. Outcomes: We will report factors which may predict non-adherence to the opiate agreement guidelines in a VA population and describe the naturalistic outcomes of nonadherence to the opiate agreement guidelines (i.e., moves care to another provider, facility, utilizes non-opiate treatments, referral to pain clinic).</t>
  </si>
  <si>
    <t>(Dutton T.M.; Pilkinton P.; Dinoff B.) 15th Annual Meeting of the College of Psychiatric and Neurologic Pharmacists, CPNP 2012 Tampa, FL, United States 2012-04-29 to 2012-05-02 SAGE Publications Inc.; ID: 1156</t>
  </si>
  <si>
    <t>Duxbury,A. S.</t>
  </si>
  <si>
    <t>Geriatrics: unmasking 'polypharmacy' problems and adverse drug effects</t>
  </si>
  <si>
    <t>Consultant (00107069)</t>
  </si>
  <si>
    <t>776 7p</t>
  </si>
  <si>
    <t>Polypharmacy -- Adverse Effects -- In Old Age;Iatrogenic Disease -- Chemically Induced -- In Old Age;Drug Therapy -- Adverse Effects -- In Old Age;Gerontologic Care;Pharmacokinetics -- In Old Age;Drug Interactions -- In Old Age;Patient Compliance -- In Old Age;Patient Education;Confusion -- Chemically Induced -- In Old Age;Accidental Falls -- In Old Age;Nutrition Disorders -- Chemically Induced -- In Old Age;Urinary Incontinence -- Chemically Induced -- In Old Age;Aged;Aged, 80 and Over;Female;Male</t>
  </si>
  <si>
    <t>Patients older than 65 years take an average of seven medications daily; more than 10% of geriatric admissions to general medical services are for medication reactions. Practical ways to reduce the danger of drug-induced disease and adverse drug reactions include frequent medication review and simplification of the medical regimen. Give both oral and written instructions, and check periodically to make sure instructions are being followed. Automatic prescription refilling and use of multiple physicians or pharmacies set the stage for polypharmacies set the stage for polypharmacy. Three investments in time and effort can greatly improve clinical outcomes and patient satisfaction: learning the adverse effects and interactions, treating the whole patient (not a disease), and explaining to patients that drugs are not the only way to manage a disease.</t>
  </si>
  <si>
    <t>Entry Date: 19971201. Revision Date: 20150711. Publication Type: Journal Article; case study; tables/charts. Journal Subset: Biomedical; Editorial Board Reviewed; Expert Peer Reviewed; Peer Reviewed; USA. NLM UID: 750110.; ID: 1901</t>
  </si>
  <si>
    <t>University of California, Davis, School of Medicine</t>
  </si>
  <si>
    <t>http://proxy.lib.umich.edu/login?url=http://search.ebscohost.com/login.aspx?direct=true&amp;db=ccm&amp;AN=107354020&amp;site=ehost-live&amp;scope=site</t>
  </si>
  <si>
    <t>ccm; EBSCOhost; Geriatrics: unmasking 'polypharmacy' problems and adverse drug effects</t>
  </si>
  <si>
    <t>Eckhart,J.;Gilbert,P.</t>
  </si>
  <si>
    <t>Improved Coumadin therapy using a continuous quality improvement process</t>
  </si>
  <si>
    <t>Clinical Laboratory Management Review</t>
  </si>
  <si>
    <t>Anticoagulants/ae Adverse Effects];*Anticoagulants/tu Therapeutic Use];Drug Overdose;Humans;Iowa;*Laboratories, Hospital/st Standards];Myocardial Infarction/bl Blood];*Myocardial Infarction/dt Drug Therapy];Pharmacy Service, Hospital/st Standards];Prothrombin Time;Thrombosis/bl Blood];*Thrombosis/dt Drug Therapy];Thrombosis/pc Prevention &amp; Control];*Total Quality Management;Warfarin/ae Adverse Effects];*Warfarin/tu Therapeutic Use];0 (Anticoagulants);5Q7ZVV76EI (Warfarin)</t>
  </si>
  <si>
    <t>Through the Continuous Quality Improvement process, we determined that a significant number of patients were receiving too much Coumadin and having potentially serious side effects. The number of patients studied is limited, and there are only two time intervals reported postintervention. This makes it difficult to draw a definite relationship between the observed rates of Coumadin overdosing and the selected intervention. By educating the physicians on proper Coumadin dosing, we were able to reduce the number of patients experiencing hemorrhage or other complications. Our follow-up data review 1 year later showed that the gain had not been maintained as well as we would have hoped. This demonstrates that active review by Pharmacy and Laboratory on a regular basis and additional physician education would be beneficial. Through this process we gained valuable experience using the FOCUS PDCA method of continuous quality improvement.</t>
  </si>
  <si>
    <t>J2: Clin Lab Manage Rev; Eckhart, J Gilbert, P; ID: 620</t>
  </si>
  <si>
    <t>0888-7950</t>
  </si>
  <si>
    <t>Eckhart,J. North Iowa Mercy Health Center, Mason City, USA.</t>
  </si>
  <si>
    <t>http://ovidsp.ovid.com/ovidweb.cgi?T=JS&amp;CSC=Y&amp;NEWS=N&amp;PAGE=fulltext&amp;D=med4&amp;AN=10157544</t>
  </si>
  <si>
    <t>MEDLINE; Ovid Technologies; Improved Coumadin therapy using a continuous quality improvement process</t>
  </si>
  <si>
    <t>Edlin,B. R.</t>
  </si>
  <si>
    <t>NIHMS7159 PMC1629041; Prevention and treatment of hepatitis C in injection drug users</t>
  </si>
  <si>
    <t>Hepatology</t>
  </si>
  <si>
    <t>S210</t>
  </si>
  <si>
    <t>*Antiviral Agents/tu Therapeutic Use];Hepatitis C/dt Drug Therapy];*Hepatitis C/et Etiology];*Hepatitis C/pc Prevention &amp; Control];Humans;Monitoring, Physiologic;*Substance Abuse, Intravenous/co Complications];0 (Antiviral Agents)</t>
  </si>
  <si>
    <t>Injection drug users constitute the largest group of persons infected with the hepatitis C virus (HCV) in the United States, and most new infections occur in drug users. Controlling hepatitis C in the U.S. population, therefore, will require developing, testing, and implementing effective prevention and treatment strategies for persons who inject drugs. Fortunately, a substantial body of research and clinical experience exists on the prevention and management of chronic viral diseases among injection drug users. The need to implement interventions to stop the spread of HCV among drug users is critical. The capacity of substance-use treatment programs need to be expanded to accommodate all who want and need treatment. Physicians and pharmacists should be educated in how to provide access to sterile syringes and to teach safe injection techniques, both of which are lifesaving interventions. The treatment of hepatitis C in drug users requires an interdisciplinary approach that brings together expertise in treating hepatitis and caring for drug users. Treatment decisions should be made individually by patients with their physicians, based on a balanced assessment of risks and benefits and the patient's personal values. Physicians should carefully assess, monitor, and support adherence and mental health in all patients, regardless of whether drug use is known or suspected. Research is needed to better understand how best to prevent and treat hepatitis C in substance users. In the meantime, substantial progress can be made if existing knowledge and resources are brought to bear. References: 93]</t>
  </si>
  <si>
    <t>J2: Hepatology; Edlin, Brian R R01 DA009532 (United States NIDA NIH HHS) R01 DA013245 (United States NIDA NIH HHS) R01-DA-11860 (United States NIDA NIH HHS) R01-DA-12109 (United States NIDA NIH HHS) R01-DA-13245 (United States NIDA NIH HHS); ID: 515</t>
  </si>
  <si>
    <t>0270-9139</t>
  </si>
  <si>
    <t>Edlin,Brian R. AIDS Research Institute, University of California, San Francisco, CA 94110, USA. brendlin@itsa.ucsf.edu</t>
  </si>
  <si>
    <t>http://ovidsp.ovid.com/ovidweb.cgi?T=JS&amp;CSC=Y&amp;NEWS=N&amp;PAGE=fulltext&amp;D=med4&amp;AN=12407596</t>
  </si>
  <si>
    <t>MEDLINE; Ovid Technologies; Prevention and treatment of hepatitis C in injection drug users</t>
  </si>
  <si>
    <t>Edwards,H.;McKechnie,E.;Perry,M.;Yoong,L. S.;Author,Addresses;Glenfield,Hospital;University Hospitals of Leicester,Nhs Trust;Correspondence,Address;Trust,H.Edwards, Glenfield Hospital University Hospitals of Leicester N.H.S.;United,Kingdom</t>
  </si>
  <si>
    <t>The need for provision of a smoking cessation service to patients in the cardiorespiratory directorate at Glenfield Hospital</t>
  </si>
  <si>
    <t>S17</t>
  </si>
  <si>
    <t>nicotine;clinical pharmacy;health care;hospital;human;patient;pharmacist;smoking cessation;United Kingdom;community;counseling;death;follow up;funding;heart disease;heart rehabilitation;heart surgery;hospital discharge;hospital patient;hospital pharmacy;intensive care unit;interpersonal communication;interview;lozenge;mortality;neoplasm;nicotine replacement therapy;nurse;patient assessment;personnel;pharmacy;primary medical care;skill;smoking;university hospital;ward;withdrawal syndrome</t>
  </si>
  <si>
    <t>Smoking remains the main cause of preventable mortality and premature death in England. Smoking cessation services have been identified as playing a key role in helping smokers to quit, so reducing mortality from conditions such as cancer and heart disease. Nicotine Replacement Therapy (NRT) has been shown to be an effective intervention to assist smoking cessation.1 Currently at University Hospitals of Leicester (UHL) NHS Trust, patients are expected to obtain their own supplies of NRT for use whilst in hospital. NRT is supplied by the hospital pharmacy to patients only in certain circumstances, such as patients who are suffering with severe nicotine withdrawal symptoms and who are unable to obtain their own supplies of NRT including patients on Intensive Care Units.2 Although staff at UHL are encouraged to refer suitable patients to community stop smoking services on discharge, this is often not carried out. This proposed change of service provision aims to address the aforementioned issues by providing a smoking cessation service at UHL for inpatients in the Cardiorespiratory directorate at Glenfield Hospital. The Cardiorespiratory directorate is a tertiary referral centre. OBJECTIVES 1. To gauge potential need for provision of smoking cessation for inpatients within the Cardiorespiratory directorate at Glenfield Hospital2 2. To facilitate patient follow up in primary care by handover of patients on discharge from hospital METHOD All patients seen in preadmission clinics prior to cardiac surgery and those on the cardiorespiratory wards were included in the pilot. The community stop smoking advisor trained all pharmacists and cardiac rehabilitation nurses to give them the skills to interview and advise patients regarding smoking cessation. Ward staff were notified about the scheme and encouraged to refer suitable patients to trained personnel for assessment. A smoking cessation guideline was created to allow appropriate selection of NRT after discussion with the medical team looking after the patient. NRT provided was limited to lozenges and patches. The provision of NRT was funded by the local Primary Care Trust (PCT). A referral form was completed for each patient who had consented to be in the pilot and this information was handed on to the community stop smoking service upon the patient's discharge to allow for follow up in primary care. (Table Presented) RESULTS One hundred and eight out of 110 patients interviewed were referred between September 2008 and August 2009 to the community stop smoking service. Two patients did not consent to referral. Table 1 shows that the number of referrals increased from the start of the project. The majority of patient assessments and referrals, 92%, (n=99) were completed by pharmacists. 100% (n=108) of referral forms were sent on discharge and followed up by primary care. DISCUSSION This project has shown that there is a need for provision of a smoking cessation service within the hospital setting. As awareness of the smoking cessation service increased, more patients were referred to a pharmacist or a trained nurse and offered NRT with subsequent referral to the community stop smoking services on discharge. The proactive utilisation of the pharmacist by ward staff has also increased. This has had educational benefits for pharmacy staff who have been able to develop patient counselling skills. Communication between primary and secondary care was facilitated as the community stop smoking advisor met every week with one of the hospital pharmacists to ensure all patients discharged were handed over and followed up appropriately. The majority of patients interviewed were willing to be referred to the community stop smoking service on discharge. However, this service was targeted at those smokers who had been highlighted by ward staff. Additional staff and funding for this service had not been provided and so not all of the smokers on the ward were assessed. Provision of this service to all smokers who are inpatients would be a future extension. This service is still established at Glenfield Hospital and it is hoped to increase provision to other directorates in the future. Long term follow up of these referred patients is occurring to confirm the usefulness of this service to the hospital. Currently NRT is supplied by the PCT. There may be a case for commissioning this service in the future.</t>
  </si>
  <si>
    <t>(Edwards H.; McKechnie E.; Perry M.; Yoong L.S.) 2010 Joint National Conference of the United Kingdom Clinical Pharmacy Association and the Guild of Healthcare Pharmacists Leeds, United Kingdom 2010-05-14 to 2010-05-16 Pharmaceutical Press; ID: 1333</t>
  </si>
  <si>
    <t>Edwards,I. R.</t>
  </si>
  <si>
    <t>The WHO World Alliance for Patient Safety: a new challenge or an old one neglected?</t>
  </si>
  <si>
    <t>Consumer Product Safety/st Standards];Delivery of Health Care/og Organization &amp; Administration];*Delivery of Health Care/st Standards];*Drug-Related Side Effects and Adverse Reactions;Humans;*International Agencies/og Organization &amp; Administration];*World Health Organization</t>
  </si>
  <si>
    <t>The WHO World Alliance on Patient Safety is a new, all encompassing project to improve medical care. Individual patients are the focus and all countries are encouraged to develop systems in which medical error, therapeutic accidents and failures are minimised. The potential for adverse events is present at all levels of healthcare and in all disciplines. One working group in the Alliance is charged with promoting and developing a 'reporting and learning' culture for adverse events in all areas of medical care. Central to current thinking for this group is a no-fault approach and to report near misses. The aim is not to provide certainty over the individual events, but rather to draw attention to possible improvements in systems that may prevent future problems. Adverse events relating to drug therapy have been reported for decades to national pharmacovigilance authorities, but this is aimed at finding problems with the drugs themselves as early as possible. The Alliance approach in the area of drug safety, by contrast, has a greater focus on safety in the systems of drug provision (including prescription and dispensing) and other systematic issues relating to safe drug provision, such as fraudulent drugs. Thus, current pharmacovigilance can be seen as representing a part of the reporting and learning envisaged by the Alliance. The two approaches are also complementary, but there are practical and philosophical areas of overlap in which difficulties may occur, such as anonymised reporting in a no-fault system and consequent impossibility for follow-up. In pharmacovigilance follow-up for more information is regarded as essential. Whether pharmacovigilance broadens into the area of patient safety or the latter involves completely new systems to do its work will be a matter for each country to consider. One thing is certain, working together both systems will improve patient care, but without cooperation more bureaucracy will take valuable health professional time with a lesser result.</t>
  </si>
  <si>
    <t>J2: Drug Saf; Edwards, I Ralph; ID: 450</t>
  </si>
  <si>
    <t>Edwards,I Ralph. The Uppsala Monitoring Centre, Uppsala, Sweden. ralph.edwards@who-umc.org</t>
  </si>
  <si>
    <t>http://ovidsp.ovid.com/ovidweb.cgi?T=JS&amp;CSC=Y&amp;NEWS=N&amp;PAGE=fulltext&amp;D=med5&amp;AN=15853440</t>
  </si>
  <si>
    <t>MEDLINE; Ovid Technologies; The WHO World Alliance for Patient Safety: a new challenge or an old one neglected?</t>
  </si>
  <si>
    <t>Ehret,G. B.;Desmeules,J. A.;Broers,B.;Author,Addresses;Johns Hopkins University,School of;McKusick Nathans Institute of,Genetic Medicine;States;Geneva University Hospital, Division,of Clinical;Pharmacology;Toxicology,Rue Micheli du Crest C.H.Geneva;Switzerland;Geneva Univesity Hospital, Department of,Community Haalth;Rue Micheli du Crest,,C.H.Geneva Switzerland;Correspondence,Address;GB Ehret, Johns Hopkins University School of Medicine,Mckusick Nathans;Institute of Genetic Medicine, Baltimore M D United,States Email;georg@rhone.ch</t>
  </si>
  <si>
    <t>17480178; Methadone-associated long QT syndrome: Improving pharmacotherapy for dependence on illegal opioids and lessons learned for pharmacology</t>
  </si>
  <si>
    <t>Expert Opinion on Drug Safety</t>
  </si>
  <si>
    <t>(MAJOR FOCUS);methadone (adverse drug reaction, clinical trial, drug analysis, drug;combination, drug comparison, drug concentration, drug dose, drug;interaction, drug therapy, intravenous drug administration, oral drug;administration, pharmacokinetics, pharmacology, rectal drug administration);antiarrhythmic agent (adverse drug reaction, drug combination, drug;interaction);antibiotic agent (adverse drug reaction, drug combination);antidepressant agent (drug therapy);antiemetic agent (adverse drug reaction, drug combination);antihistaminic agent (adverse drug reaction, drug interaction);benzodiazepine derivative (drug interaction);buprenorphine (drug comparison, drug therapy);calcium channel blocking agent (drug interaction);cytochrome P450 2B6 (endogenous compound);cytochrome P450 2C19 (endogenous compound);cytochrome P450 2D6 (endogenous compound);cytochrome P450 3A4 (endogenous compound);cytochrome P450 3A4 inhibitor (adverse drug reaction, drug combination, drug;therapy);cytochrome P450 inhibitor (adverse drug reaction, drug combination, drug;diamorphine (drug therapy);homococaine (drug toxicity);hydroxymethylglutaryl coenzyme A reductase inhibitor (drug interaction);levacetylmethadol (adverse drug reaction, drug dose, drug therapy,;pharmacology);macrolide (drug interaction);mood stabilizer (drug therapy);morphine (drug therapy);neuroleptic agent (adverse drug reaction, drug combination);potassium channel HERG (endogenous compound);potassium channel KCNQ1 (endogenous compound);prokinetic agent (drug interaction);proteinase inhibitor (drug interaction);psychotropic agent (adverse drug reaction, drug therapy);quinine (drug toxicity);unclassified drug;unindexed drug;long QT syndrome (side effect, diagnosis, etiology, side effect);opiate addiction (drug therapy);analgesic activity;anaphylaxis (side effect);bradycardia (side effect);cancer pain (complication, drug therapy);cardiovascular disease (side effect);cardiovascular risk;chronic pain (drug therapy);clinical trial;constipation (side effect);dose response;drug absorption;drug bioavailability;drug blood level;drug brain level;drug distribution;drug elimination;drug fatality (side effect);drug half life;drug hypersensitivity (side effect);drug megadose;drug metabolism;drug monitoring;drug overdose;drug protein binding;drug structure;dysphoria (side effect);electrocardiogram;endocrine disease (side effect);euphoria;evidence based medicine;generalized edema (side effect);genetic polymorphism;heart arrhythmia (side effect);heart depolarization;heart disease;high risk patient;human;hyperhidrosis (side effect);hyperprolactinemia (side effect);hypokalemia;liver failure;mental disease (side effect);methadone treatment;neuropathic pain (drug therapy);nonhuman;outcome assessment;patient education;pharmacodynamics;pharmacogenetics;polymorphic ventricular tachycardia (side effect);pruritus (side effect);QT interval;QT prolongation (diagnosis, etiology, side effect);respiration depression (side effect);respiratory arrest (side effect);review;risk benefit analysis;risk factor;risk reduction;sedation;sexual dysfunction (side effect);side effect (side effect);sudden death;torsade des pointes (side effect);urinary hesitancy (side effect);urticaria (side effect);buprenorphine (52485-79-7, 53152-21-9);cytochrome P450 2B6 (330207-11-9);cytochrome P450 3A4 (329736-03-0);diamorphine (1502-95-0, 561-27-3);homococaine (529-38-4);levacetylmethadol (34433-66-4);methadone (1095-90-5, 125-56-4, 23142-53-2, 297-88-1, 76-99-3);morphine (52-26-6, 57-27-2);proteinase inhibitor (37205-61-1);quinine (130-89-2, 130-95-0, 14358-44-2, 549-48-4, 549-49-5, 60-93-5,;7549-43-1);Cardiovascular Diseases and Cardiovascular Surgery (18);Clinical and Experimental Pharmacology (30);Drug Literature Index (37);Adverse Reactions Titles (38);Drug Dependence, Alcohol Abuse and Alcoholism (40);Toxicology (52)</t>
  </si>
  <si>
    <t>Methadone is used as the pharmacologic mainstay for substitution for illegal opiates and as analgesic for chronic or cancer-related pain. Given the benefits of methadone substitution for illicit opioids, the finding of an association between methadone and prolongation of cardiac depolarization (QT prolongation) and torsades de pointes is of great concern. QT prolongation can occur with many drugs and is a potentially lethal adverse drug reaction, necessitating risk monitoring and therapeutic alternatives in some patients. Recent studies suggest that QT prolongation with methadone is context dependent: occurrence is more frequent with high doses of methadone, concomitant administration of CYP3A4 inhibitors, hypokalemia, hepatic failure, administration of other QT prolonging drugs and pre-existing heart disease. The valued benefit of methadone substitution therapy on the one hand and the increased cardiovascular risk in particular situations on the other illustrate the difficulties in dealing with drug-induced QT prolongation in general. ‚î¨‚åê 2007 Informa UK Ltd.</t>
  </si>
  <si>
    <t>(Ehret G.B., georg@rhone.ch) (Desmeules J.A.) (Broers B.) Informa Healthcare, 69-77 Paul Street, London, United Kingdom.; ID: 1500</t>
  </si>
  <si>
    <t>1474-0338</t>
  </si>
  <si>
    <t>http://www.ncbi.nlm.nih.gov/pubmed/17480178</t>
  </si>
  <si>
    <t>Methadone-associated long QT syndrome: Improving pharmacotherapy for dependence on illegal opioids and lessons learned for pharmacology</t>
  </si>
  <si>
    <t>Eichenberger,P. M.;Haschke,M.;Lampert,M. L.;Hersberger,K. E.</t>
  </si>
  <si>
    <t>Drug-related problems in diabetes and transplant patients: an observational study with home visits</t>
  </si>
  <si>
    <t>Adult;Aged;Community Pharmacy Services/sn Statistics &amp; Numerical Data];Cross-Sectional Studies;*Diabetes Mellitus, Type 2/dt Drug Therapy];Female;House Calls/sn Statistics &amp; Numerical Data];Humans;Male;*Medication Therapy Management/sn Statistics &amp; Numerical Data];Middle Aged;Observation/mt Methods];Prospective Studies;*Transplantation/sn Statistics &amp; Numerical Data]</t>
  </si>
  <si>
    <t>OBJECTIVES: To get insight into the medication management of diabetes type 2 (DM) as well as solid organ transplant (Tx) patients and to analyse drug-related problems (DRPs) in order to explore opportunities for the provision of pharmaceutical care. SETTING: Seventy-nine Swiss community pharmacies offering internships for pharmacy students. METHODS: Diabetes and transplant patients were recruited in community pharmacies and were interviewed at home by fifth-year pharmacy students who were supervised by a trained investigator, using a specific interview guide developed for this study. MAIN OUTCOME MEASURE: Pattern and frequency of DRPs and pattern of medication management. RESULTS: In total, 22 (Tx patients) and 54 (DM patients) home visits were carried out. Mean age of visited patients was 71.4 +/- 8.1 years (DM) and 52.6 +/- 13.8 years (Tx). Overall, 37.0% (DM) and 50.0% (Tx) of participants were female. We identified 7.4 +/- 2.4 (mean +/- SD) DRPs per visited patient, with considerable differences between Tx and DM patients (6.3 +/- 1.7 vs. 7.8 +/- 2.5). The most frequent DRPs were risk for non-adherence (DM: 61.1%; Tx: 77.3%), confusion of generic and trade names (DM: 74.1%; Tx: 27.3%), hoarding of over-the-counter medicines (DM: 48.1%; Tx: 4.5%) and prescription-only medicines (DM: 37.0%; Tx: 36.4%), gaps in knowledge about potential interactions (DM: 61.1%; Tx: 18.2%) and purpose of drugs (DM: 48.1%; Tx: 36.4%). Mean (SD) duration of the visits was 51.7 +/- 21.4 min. CONCLUSION: Visiting Tx and DM patients in their homes allowed the identification of a wide range of opportunities for pharmaceutical care as well as specific DRPs which most probably would have escaped a medication review in the pharmacy.</t>
  </si>
  <si>
    <t>J2: Int J Clin Pharm; Eichenberger, Patrick M Haschke, Manuel Lampert, Markus L Hersberger, Kurt E; ID: 198</t>
  </si>
  <si>
    <t>2210-7711</t>
  </si>
  <si>
    <t>Eichenberger,Patrick M. Pharmaceutical Care Research Group, University of Basel, Pharmazentrum, Klingelbergstrasse 50, 4056, Basel, Switzerland.</t>
  </si>
  <si>
    <t>http://ovidsp.ovid.com/ovidweb.cgi?T=JS&amp;CSC=Y&amp;NEWS=N&amp;PAGE=fulltext&amp;D=med5&amp;AN=21811831</t>
  </si>
  <si>
    <t>http://dx.doi.org/10.1007/s11096-011-9542-x</t>
  </si>
  <si>
    <t>MEDLINE; Ovid Technologies; Drug-related problems in diabetes and transplant patients: an observational study with home visits</t>
  </si>
  <si>
    <t>Eichenberger,P. M.;Lampert,M. L.;Kahmann,I. V.;van Mil,J. W.;Hersberger,K. E.</t>
  </si>
  <si>
    <t>Classification of drug-related problems with new prescriptions using a modified PCNE classification system</t>
  </si>
  <si>
    <t>Adolescent;Adult;Aged;Aged, 80 and over;*Community Pharmacy Services/st Standards];*Drug Prescriptions/cl Classification];*Drug-Related Side Effects and Adverse Reactions/cl Classification];Female;Humans;Male;Middle Aged;*Pharmacists/st Standards];Prospective Studies;Switzerland;Young Adult</t>
  </si>
  <si>
    <t>OBJECTIVES: To explore and classify drug-related problems (DRPs) with new prescriptions detected in community pharmacies using a modified PCNE (Pharmaceutical Care Network Europe) classification system. SETTING: Sixty-four Swiss community pharmacies offering internships for pharmacy students. MAIN OUTCOME MEASURES: Occurrence, nature and pharmacist's management of DRPs. METHODS: Fifth-year pharmacy students collected consecutively hospital discharge and primary care prescriptions. After training, they documented clinical and technical DRPs, causes and interventions. RESULTS: Prescriptions of 616 patients (43.0% discharged from hospital) were analysed. The patients' median age was 56 years and they received a median of 3 (range 2-19) different drugs. In 121 (19.6%) prescriptions 141 clinical DRPs were detected. The most frequent clinical DRPs were potential drug-drug interactions (DDIs) (37.6%), drug choice (24.8%) and drug use problems (15.6%). These clinical DRPs led to a total of 299 interventions. There were 222 prescriptions (36.0%) that showed 278 technical DRPs, resulting in a total of 417 interventions. Most frequent technical DRPs were missing or unclear package size or therapy duration (32.7%) and missing or unclear dosing/application instructions (30.9%). Most DRPs (75.4%) could be managed by the pharmacist alone. The number of prescribed drugs was the main factor with an influence on the frequency of clinical and technical DRPs. CONCLUSION: Clinical and technical DRPs are frequently observed in primary care as well as in hospital discharge prescriptions. The modified PCNE classification system, especially the amendment with a technical DRP category, proved to be useful and allowed the classification of all DRPs. Neither the setting (hospital discharge vs. primary care) nor the quality of electronically printed prescriptions, but only the number of prescribed drugs influenced the occurrence of clinical or technical DRPs.</t>
  </si>
  <si>
    <t>J2: Pharm World Sci; Eichenberger, Patrick M Lampert, Markus L Kahmann, Irene Vogel van Mil, J W Foppe Hersberger, Kurt E; ID: 275</t>
  </si>
  <si>
    <t>1573-739X</t>
  </si>
  <si>
    <t>http://ovidsp.ovid.com/ovidweb.cgi?T=JS&amp;CSC=Y&amp;NEWS=N&amp;PAGE=fulltext&amp;D=med5&amp;AN=20229029</t>
  </si>
  <si>
    <t>http://dx.doi.org/10.1007/s11096-010-9377-x</t>
  </si>
  <si>
    <t>MEDLINE; Ovid Technologies; Classification of drug-related problems with new prescriptions using a modified PCNE classification system</t>
  </si>
  <si>
    <t>Einstein,S.</t>
  </si>
  <si>
    <t>Drug education: a primer</t>
  </si>
  <si>
    <t>International Journal of the Addictions</t>
  </si>
  <si>
    <t>Int.J.Addict.</t>
  </si>
  <si>
    <t>Health Education/mt Methods];Health Education/st Standards];Health Education/td Trends];*Health Education;Humans;*Substance-Related Disorders/pc Prevention &amp; Control]</t>
  </si>
  <si>
    <t>A review of the increasing literature describing various drug education efforts and programs suggests that few of the critical issues presented in this article have been considered in program planning and implementation. Second, research has demonstrated that although drug education programs can increase drug knowledge relatively easily, it is more difficult to modify attitudes; that is, changes in knowledge are not paralleled by changes in attitudes. Third, many, if not most, programs have been found to have no effect upon drug use. A number of programs have reported reduced drug use, while a few others have reported increased drug use. Fourth, there is no evidence that greater knowledge about drugs per se stimulates their use. The fact that drug users know more about drugs than nonusers doesn't mean that knowledge leads to use. It has been suggested (Stuart, 1974) that drug education might stimulate use by (1) providing students with facts that overcome beliefs which inhibit use, (2) changing attitudes that prevent use, (3) encouraging students to think of themselves as potential users by virtue of having been included in drug education programs, and (4) providing specific information which serves to facilitate the use of drugs. One should, of course, consider the obvious possibility that greater knowledge results from use rather than vice versa. Fifth, there appears to be little predictable relationship between values communicated by drug education programs, values held by recipients, value changes and drug use, or abstinence. The same can be said about behavioral styles. When one goes beyond the limitations of drug/drug user stereotypes--to include people and the almost unlimited types and number of available chemical substances which we must learn to adapt to and cope with--one is confronted by the reality that drug education, as currently designed and practiced, may be irrelevant to individual and group needs. Sixth, drug education appears to have little or no effect upon the increased availability of increasing numbers and types of powerful active chemical substance for more and more segments of the population. Drug education is at best a parallel phenomenon to chemical coping, which necessitates drug availability as well as the process of social pharmacology. Seventh, to date drug education has had no predictable effect upon either the mystification or demystification of drugs, drug use, drug users, or abstinence.(ABSTRACT TRUNCATED AT 400 WORDS)</t>
  </si>
  <si>
    <t>J2: Int J Addict; Einstein, S; ID: 708</t>
  </si>
  <si>
    <t>0020-773X</t>
  </si>
  <si>
    <t>http://ovidsp.ovid.com/ovidweb.cgi?T=JS&amp;CSC=Y&amp;NEWS=N&amp;PAGE=fulltext&amp;D=med2&amp;AN=6671846</t>
  </si>
  <si>
    <t>MEDLINE; Ovid Technologies; Drug education: a primer</t>
  </si>
  <si>
    <t>Einstein,S.;Wolfson,E.</t>
  </si>
  <si>
    <t>Alcoholism curricula: how professionals are trained</t>
  </si>
  <si>
    <t>*Alcoholism;*Curriculum;*Education, Medical;*Education, Nursing;*Education, Pharmacy;Humans;*Jurisprudence/ed Education];Methods;Periodicals as Topic;*Psychology/ed Education];*Social Work/ed Education];Teaching;Time Factors</t>
  </si>
  <si>
    <t>J2: Int J Addict; Einstein, S Wolfson, E; ID: 737</t>
  </si>
  <si>
    <t>http://ovidsp.ovid.com/ovidweb.cgi?T=JS&amp;CSC=Y&amp;NEWS=N&amp;PAGE=fulltext&amp;D=med1&amp;AN=5535634</t>
  </si>
  <si>
    <t>MEDLINE; Ovid Technologies; Alcoholism curricula: how professionals are trained</t>
  </si>
  <si>
    <t>Elger,B. S.</t>
  </si>
  <si>
    <t>Insomnia in places of detention: a review of the most recent research findings</t>
  </si>
  <si>
    <t>Medicine, Science &amp; the Law</t>
  </si>
  <si>
    <t>*Biomedical Research;Humans;*Prisoners;Sleep Initiation and Maintenance Disorders/dt Drug Therapy];*Sleep Initiation and Maintenance Disorders/ep Epidemiology];Switzerland/ep Epidemiology]</t>
  </si>
  <si>
    <t>Up to 40% of prisoner patients in a general medicine outpatient service seek medical consultation for sleep problems. This paper provides a brief overview of what is known about insomnia and its treatment from studies on non-detained patients and discusses the relevance of the findings from studies in liberty for prison health care. The clinical and ethical issues of insomnia in prison are described, followed by a summary of the existing studies on insomnia in prison. The results of the reported studies show that insomnia in places of detention should not be reduced to a secondary problem related to substance abuse and mental illness, as it appears to be an independent situational problem. Correctional health care physicians' evaluation of insomnia is insufficient. Drug prescription works well in some patients, but has a limited effect on insomnia relief in others. A clear need exists for the education of prison health care professionals on insomnia evaluation and management. Additional non-pharmacological treatment in the prison health care setting should be used more frequently. Prison health care services should develop clear guidelines based on research evidence about insomnia and which contain treatment recommendations based on the principle of equivalence of health care outside and inside places of detention. References: 46]</t>
  </si>
  <si>
    <t>J2: Med Sci Law; Elger, Bernice S; ID: 383</t>
  </si>
  <si>
    <t>0025-8024</t>
  </si>
  <si>
    <t>Elger,Bernice S. Service de medecine de premier recours, Departement de medecine communautaire et de premier recours, Hopitaux Universitaires de Geneve, Switzerland. Bernice.Elger@hcuge.ch</t>
  </si>
  <si>
    <t>http://ovidsp.ovid.com/ovidweb.cgi?T=JS&amp;CSC=Y&amp;NEWS=N&amp;PAGE=fulltext&amp;D=med5&amp;AN=17725232</t>
  </si>
  <si>
    <t>MEDLINE; Ovid Technologies; Insomnia in places of detention: a review of the most recent research findings</t>
  </si>
  <si>
    <t>Elhoseeny,T. A.;Ibrahem,S. Z.;Abo,el Ela</t>
  </si>
  <si>
    <t>Opinion of community pharmacists on use of nonprescription medications in Alexandria, Egypt</t>
  </si>
  <si>
    <t>Journal of the Egyptian Public Health Association</t>
  </si>
  <si>
    <t>J.Egypt.Public Health Assoc.</t>
  </si>
  <si>
    <t>BACKGROUND: Many studies have reported the use of over-the counter (OTC) or nonprescription medications (medications that are available to consumers without a prescription) to be inappropriate and associated with risks to consumers. Among healthcare professionals, pharmacists have a key role in providing information and helping customers make a safe choice of nonprescription medicines. OBJECTIVE: This study aimed to measure the attitudes and beliefs of community pharmacists toward the use of nonprescription medications by Egyptian customers. SUBJECTS AND METHODS: A cross-sectional descriptive study was carried out among community pharmacies in Alexandria. A self-administered questionnaire was used to collect data from 335 pharmacists working in community pharmacies. RESULTS: The use of nonprescription medicine among patients/consumers was reported by 66.9% of pharmacists to have increased in the past 4 years and 94.1% of them considered such a use to be very serious or somewhat serious. Long-term or chronic use was cited by 76.7% of pharmacists as the most common reason for the widespread inappropriate use of nonprescription medications, and 82.4% of the pharmacists considered the most common contributing factor to be lack of knowledge of patients/customers about the active ingredients in a branded product. The most common medications enquired about by patients/consumers were those for cough, cold, or sore throat, as reported by 73.5% of pharmacists, whereas 79.4% of pharmacists reported that patients asked about how to use nonprescription drugs. Sixty percent of pharmacists reported that the main reason that patients/customers did not seek consultation for nonprescription medicines was that they believed that nonprescription medicines were safe, and 52.5% reported that patients believed that taking advice on how to use it was unnecessary. To learn about nonprescription medicine, 93.7% of pharmacists turned to drug product labeling. CONCLUSION AND RECOMMENDATIONS: Use of nonprescription drugs is a serious problem that has increased over the past few years. Long-term or chronic use of nonprescription medicine was the most common form of inappropriate use of nonprescription medications and lack of knowledge on the part of patients/customers about the active ingredient in a branded product was the most common factor contributing to its inappropriate use. Pharmacists should receive continuous professional education to increase their knowledge on and improve their practice of prescribing nonprescription medication; further, drug companies should be precise when disclosing information on OTC drug labels as the majority of pharmacists consult the drug label as a source of information about OTC.</t>
  </si>
  <si>
    <t>J2: J Egypt Public Health Assoc; Elhoseeny, Taghareed A Ibrahem, Samaa Z Abo el Ela, Azza M; ID: 765</t>
  </si>
  <si>
    <t>2090-262X</t>
  </si>
  <si>
    <t>Elhoseeny,Taghareed A. aDepartment of Health Administration and Behavioural Sciences, High Institute of Public Health, bThe Egyptian Ministry of Health, Alexandria, Egypt.</t>
  </si>
  <si>
    <t>http://ovidsp.ovid.com/ovidweb.cgi?T=JS&amp;CSC=Y&amp;NEWS=N&amp;PAGE=fulltext&amp;D=prem&amp;AN=23963086</t>
  </si>
  <si>
    <t>http://dx.doi.org/10.1097/01.EPX.0000430954.20897.2d</t>
  </si>
  <si>
    <t>MEDLINE; Ovid Technologies; Opinion of community pharmacists on use of nonprescription medications in Alexandria, Egypt</t>
  </si>
  <si>
    <t>Elsasser,G. N.;Kavan,M. G.;Westerman,G. H.;Destache,C. J.;Sexson,E.;Turner,P. D.;Author,Addresses;Creighton University,Schools of;Health;Professions;Medicine,California Plaza Hixon-Lied Bldg Room;Omaha,Nebraska U. S. A.;Correspondence,Address;GN Elsasser, Creighton University Schools,of Pharmacy;Health;Professions;Medicine,California Plaza Hixon-Lied Bldg Room;Omaha,Nebraska U.S.A.Email elsasser creighton edu</t>
  </si>
  <si>
    <t>20414439; A survey of pharmacy students' experiences with gambling</t>
  </si>
  <si>
    <t>impulse control disorder (epidemiology, prevention);pathological gambling;pharmacy student;adult;article;cannabis smoking (epidemiology);comparative study;drinking behavior (epidemiology);economics;female;hospitalization;human;human relation;incidence;male;marriage;mass screening;psychological aspect;sex difference;smoking (epidemiology)</t>
  </si>
  <si>
    <t>OBJECTIVES: To assess gambling among pharmacy students using the South Oaks Gambling Screen (SOGS). METHODS: Six hundred fifty-eight pharmacy students enrolled at Creighton University were surveyed to determine the extent and characteristics of their gambling. RESULTS: Four hundred eighty-eight students (74.2%) participated (mean age was 26.6 years and 63.4% were female). Almost two-thirds (63.1%) gambled at least once during the past 12 months. Slightly more than 16% (80) of students were identified as "at-risk" (SOGS scores of 1 to 2). Another 5% (24) were likely to be problem gamblers (SOGS scores of 3 to 4), while 1% of students were identified as probable pathological gamblers (SOGS scores &gt; or = 5). Students who gambled were significantly more likely than non-gamblers to be single males. Gamblers with a score &gt; or = 1were significantly more likely to report gambling had affected their relationships with others, compared to casual gamblers. CONCLUSIONS: Gambling is a common activity among pharmacy students. While the incidence of problem gambling is relatively small, the percentage of our students who may be at-risk for gambling-related problems is noteworthy.</t>
  </si>
  <si>
    <t>(Elsasser G.N.) (Kavan M.G.; Westerman G.H.; Destache C.J.; Sexson E.; Turner P.D.); ID: 1384</t>
  </si>
  <si>
    <t>1553-6467 (electronic)</t>
  </si>
  <si>
    <t>http://www.ncbi.nlm.nih.gov/pubmed/20414439</t>
  </si>
  <si>
    <t>A survey of pharmacy students' experiences with gambling</t>
  </si>
  <si>
    <t>Emslie,G. J.;Mayes,T. L.;Author,Addresses;Univ of Tx,Southwestern Med;Medical Center of Dallas, Dallas,T.X.United States;Univ of Tx,Southwestern Med;Boulevard,Dallas T. X. United States;Correspondence,Address;GJ Emslie, Texas Univ Southwestern Med Ctr Harry,Hines Boulevard;Dallas,T. X. U.</t>
  </si>
  <si>
    <t>Depression in children and adolescents: A guide to diagnosis and treatment</t>
  </si>
  <si>
    <t>(MAJOR FOCUS);citalopram (drug dose, drug interaction, drug therapy, pharmacokinetics);fluoxetine (drug dose, drug interaction, drug therapy, pharmacokinetics);fluvoxamine (drug dose, drug interaction, drug therapy, pharmacokinetics);paroxetine (drug dose, drug interaction, drug therapy, pharmacokinetics);sertraline (drug dose, drug interaction, drug therapy, pharmacokinetics);nefazodone (drug dose, drug interaction, drug therapy, pharmacokinetics);venlafaxine (drug dose, drug interaction, drug therapy, pharmacokinetics);depression (diagnosis, drug therapy, therapy);adolescent;affective neurosis;anxiety neurosis (diagnosis, drug therapy);brain injury;child;differential diagnosis;dysphoria;dysthymia;eating disorder (diagnosis, drug therapy);epilepsy;follow up;human;learning disorder;major clinical study;medical decision making;migraine;priority journal;psychotherapy;review;substance abuse;citalopram (59729-33-8);fluoxetine (54910-89-3, 56296-78-7, 59333-67-4);fluvoxamine (54739-18-3);nefazodone (82752-99-6, 83366-66-9);paroxetine (61869-08-7);sertraline (79617-96-2);venlafaxine (93413-69-5);Psychiatry (32);Drug Literature Index (37)</t>
  </si>
  <si>
    <t>Mood disorders are prevalent and serious disorders in children and adolescents, often causing substantial difficulties in school performance and social relationships. Although the criteria for major depressive disorder are the same for children and adolescents as for adults, some challenges exist in ascertaining the diagnosis. For example, children often have difficulty in expressing or recalling information regarding their disorder; therefore, multiple informants (usually parents) must often be used to obtain the information. In addition, comorbid diagnoses are common in early onset depression, making diagnosis more difficult. However, depression is diagnosable in children and adolescents. The treatment of depression in this population is multi-modal, including the child, parents and school, and is aimed at shortening the episode of depression. Treatment, which is individualised based on need, may include psychotherapy, family therapy or education, and pharmacological treatment. Selective serotonin (5- hydroxytryptamine; 5-HT) reuptake inhibitors are generally the first line of pharmacological treatment in children and adolescents, as they are well tolerated and appear to have fewer adverse effects than antidepressants. As with adults, the majority of children and adolescents with depression do recover within 1 to 2 years; however, recurrence is common. In fact, the recurrence rate is somewhat higher in children and adolescents than in adults. Unfortunately, little research has been done regarding maintenance treatment in children and adolescents. Further research in this area is needed to determine the most effective duration of medication treatment.</t>
  </si>
  <si>
    <t>(Emslie G.J.; Mayes T.L.) (Emslie G.J.); ID: 1655</t>
  </si>
  <si>
    <t>Endean,C.;Ahmed,R.;Apen,K.;Massa,H.;Author,Addresses;Tamworth,Base Hospital;School of Medical Science, Griffith University,Gold Coast;Campus,Australia;Correspondence,Address;Endean, Tamworth Base Hospital Tamworth Australia,C.</t>
  </si>
  <si>
    <t>Review of smoking cessation in pregnancy</t>
  </si>
  <si>
    <t>BJOG: An International Journal of Obstetrics and Gynaecology</t>
  </si>
  <si>
    <t>122 SUPPL. 2</t>
  </si>
  <si>
    <t>carbon monoxide;cigarette smoke;nicotine;placebo;pregnancy;smoking cessation;addiction;animal model;child;child death;college;counseling;diseases;drug industry;examination;female;fetus;government;health;human;infant;informed consent;low birth weight;meta analysis;meta analysis (topic);methodology;mother;nicotine replacement therapy;patient;patient harm;physician;population;population research;pregnant woman;premature labor;publishing;risk;safety;smoking;toxicity</t>
  </si>
  <si>
    <t>Introduction Smoking during pregnancy is harmful to the health of both the mother and the unborn child and is one of the most prevalent but preventable causes of infant death and illness. Historically chemicals such as carbon monoxide were considered the most dangerous components of cigarette smoke. More recently, increasing recognition of direct nicotine toxicity to the fetus has generated concerns regarding the safety and efficacy of nicotine replacement therapy (NRT). Methods Critical literature review with particular attention being paid to positive trial and publication bias and the addition of population studies. A range of methodologies was used, with varying quality, making meta-analysis of findings inappropriate. Results 92 studies and literature reviews were included. Review and re-examination of research in this review informs recommendations for alternative, safe and effective interventions to reduce smoking in pregnant women. Conclusion Nicotine is directly harmful to the developing infant, in both animal models and prospective human studies. The most successful form of smoking cessation in the general population is 'cold turkey' sudden smoking cessation. Studies of NRT products in pregnancy suggests that nicotine replacement in pregnant women does not work as well as it does in the general population and had no significant advantage over counselling and behavioural support in smoking cessation. In the largest trial, women had a similar quit rate to those who had used a placebo (a patch without nicotine) by the end of their pregnancy. While nicotine replacement has not been shown to decrease IUGR, counselling and behavioural support reduce the incidence of low birthweight and preterm births. In women who exhibit signs of severe addiction, the chances of smoking cessation are reduced. College guidelines suggest that pharmacological intervention may be required in this subgroup. If NRT is going to be considered, short acting delivery systems should be used. It may prove to be both ethically and financially beneficial to consider direct financial incentives or counselling offered under GP management plans in shared care arrangements rather than government sponsored NRT with little or no behavioural counselling. Doctors should be wary of evidence (including government directives), which is inadvertently tainted by pharmaceutical company bias and may lead to patient harm. As professionals we have a duty to our patients to carefully examine the research ourselves. Finally, NRT should only be used if the patients are fully informed of the risks of NRT to the fetus and informed consent obtained.</t>
  </si>
  <si>
    <t>(Endean C.; Ahmed R.; Apen K.) (Massa H.) RCOG World Congress 2015 Brisbane, QLD, Australia 2015-04-12 to 2015-04-15 Blackwell Publishing Ltd; ID: 827</t>
  </si>
  <si>
    <t>1470-0328</t>
  </si>
  <si>
    <t>Englett,B. M.;Botts,S.;Talbert,J.;Lane,M.;Author,Addresses;Department,of Pharmacy;Kentucky,Lexington United States;Institute of,Pharmaceutical Outcomes;Policy,University of Kentucky Lexington United States;Correspondence,Address;BM Englett, Department of Pharmacy University of,Kentucky Lexington;United,States</t>
  </si>
  <si>
    <t>Opiate use for chronic nonmalignant pain</t>
  </si>
  <si>
    <t>(MAJOR FOCUS);opiate;narcotic analgesic agent;college;human;pain;pharmacist;abuse;adult;chronic pain;data base;diagnosis;drug therapy;female;fibromyalgia;gender;health;logistic regression analysis;low back pain;medicaid;migraine;neuropathic pain;neuropathy;osteoarthritis;patient;population;therapy;transformed migraine;United States</t>
  </si>
  <si>
    <t>Background: Chronic nonmalignant pain has many treatment options: nonpharmacological and nonopioid and opioid analgesics. Appalachia is a rural, economically distressed region that experiences poorer health outcomes than other regions. Opiate diversion and abuse is a significant problem in Appalachian Kentucky. Opiates are generally reserved as second-line treatment options, in part due to these concerns. Objective: Determine the extent of opiate use in several chronic nonmalignant pain conditions in adult Medicaid beneficiaries and identify variables associated with increased opiate use. Methods: This study was a retrospective, observational analysis of opiate use in chronic nonmalignant pain using a Medicaid claims database. Inclusion criteria were over 18 years of age; chronic pain condition (eg, osteoarthritis, low back pain, migraine, or neuropathy) diagnosed between January 1, 2004 and December 31, 2008; resident of 1e of 37 Kentucky Appalachian counties; and at least 11 continuous months of Medicaid eligibility. Patients diagnosed with malignancy or fibromyalgia were excluded. Opiate use was defined as a minimum of a 90-day supply over a 12-month period. Frequency of opiate use was calculated by pain condition. The effect of covariates (age, gender, race, pain diagnosis, and nonopiate medication use) was analyzed using logistic regression. Results: A total of 55 664 Medicaid beneficiaries were included in this study. The population was predominately female (62%), white (87%), and fell within the following age categories: 18-44 years (27%), 45-65 years (40%), and &gt;65 years (33%). Sixty-four percent of the population had a diagnosis of low back pain, 46% osteoarthritis, 17% chronic migraine, and 2% neuropathic pain. The majority of subjects were prescribed opiate medications (low back pain, 72%; osteoarthritis, 64%; chronic migraine, 80%; and neuropathic pain, 67%), regardless of diagnosis. Age and diagnosis increased the likelihood of receiving opiate medication. Younger adults aged 18-44 were more likely to receive opiate therapy than those aged 45-65 (OR = 1.68, P 65 (OR = 3.06, P &lt; .0001). Beneficiaries diagnosed with low back pain are 4.8 times more likely to be prescribed an opiate (P &lt; .0001) than those with other chronic pain diagnoses. Conclusion: Opiates appear to be the predominant medication used in the treatment of chronic nonmalignant pain conditions.</t>
  </si>
  <si>
    <t>(Englett B.M.; Botts S.; Lane M.) (Botts S.; Talbert J.; Lane M.) 14th Annual Meeting of the College of Psychiatric and Neurologic Pharmacists, CPNP 2011 Phoenix, AZ, United States 2011-05-01 to 2011-05-04 Sage Publications; ID: 1287</t>
  </si>
  <si>
    <t>English,C.;Rey,J. A.;Schlesselman,L. S.</t>
  </si>
  <si>
    <t>PMC3870176; Prevalence of hazardous alcohol use among pharmacy students at nine U.S. schools of pharmacy</t>
  </si>
  <si>
    <t>Pharmacy Practice</t>
  </si>
  <si>
    <t>UNLABELLED: Hazardous use of alcohol continues to be recognized as a problem at the university level. Knowledge regarding alcohol consumption in healthcare professional students is limited, especially in regards to pharmacy students. Much of the information available focuses on pharmacy student drinking patterns in specific geographic regions or is simply outdated. OBJECTIVE: This study was designed to assess levels of alcohol consumption and estimate the level of hazardous drinking among pharmacy students in a larger sample size that is representative of US pharmacy schools. METHODS: An anonymous survey regarding alcohol usage was offered to students at nine schools of pharmacy across the United States. The survey consisted of demographic questions, the World Health Organization Alcohol Use Disorders Identification Test (AUDIT), and questions that assess particular alcohol-induced behaviors. RESULTS: More than 25% of 1161 respondents had a total AUDIT score &gt; 8, which indicates a risk of alcohol-related problems. Students that were male, in their first or second professional year of school, not married, and without children were statistically more likely to have AUDIT scores in the hazardous drinking range. Grade point average and student housing did not statistically affect student's AUDIT scores. CONCLUSIONS: These results indicate that over one-fourth of pharmacy students surveyed have indicators of harmful alcohol use. Pharmacy schools should continue to address and confront hazardous alcohol use on campuses in order to curtail heavy alcohol consumption and reduce the risk of alcohol-related problems in pharmacy students.</t>
  </si>
  <si>
    <t>J2: Pharm; English, Clayton Rey, Jose A Schlesselman, Lauren S; ID: 127</t>
  </si>
  <si>
    <t>1885-642X</t>
  </si>
  <si>
    <t>English,Clayton. Albany College of Pharmacy &amp; Health Sciences. Colchester, VT ( United States ). Rey,Jose A. College of Pharmacy, Nova Southeastern University . Davie, FL ( United States ). Schlesselman,Lauren S. Office of Assessment &amp; Accreditation, School of Pharmacy, University of Connecticut . Storrs, CT ( United States ).</t>
  </si>
  <si>
    <t>http://ovidsp.ovid.com/ovidweb.cgi?T=JS&amp;CSC=Y&amp;NEWS=N&amp;PAGE=fulltext&amp;D=prem&amp;AN=24367471</t>
  </si>
  <si>
    <t>MEDLINE; Ovid Technologies; Prevalence of hazardous alcohol use among pharmacy students at nine U.S. schools of pharmacy</t>
  </si>
  <si>
    <t>English,C.;Schlesselman,L.;Rey,J. A.;Author,Addresses;Department of Pharmacy Practice, Nova,Southeastern University;Fort Lauderdale,United States;Office of,Assessment;Accreditation,University of;Connecticut,Storrs United States;Department of,Pharmaceutical Sciences;University,Fort Lauderdale United States;Correspondence,Address;English, Department of Pharmacy Practice Nova Southeastern University,C.;Fort Lauderdale,United States</t>
  </si>
  <si>
    <t>Prevalence of alcohol abuse and consumption among pharmacy students at four us schools of pharmacy</t>
  </si>
  <si>
    <t>alcohol;marker;alcohol abuse;college;pharmacist;pharmacy;pharmacy student;prevalence;school;abuse;addiction;alcohol consumption;alcoholism;college student;counseling;dynamics;education;gender;job performance;marriage;questionnaire;risk;student;United States</t>
  </si>
  <si>
    <t>Abstract Type: Original Research. Background: According to the National Institute on Alcohol Abuse and Addiction, alcohol consumption and abuse by college students continues to increase. Although pharmacy schools aim at enrolling the most-qualified professional candidates; many schools of pharmacy reside on undergraduate college campuses, which could affect the dynamics of alcohol consumption among professional students. Studies regarding alcohol consumption among pharmacy students have been completed in the past, however, the majority of the studies focus on individual school patterns or they are currently outdated. Due to the impact alcohol can have on work performance, knowledge of alcohol consumption and abuse among pharmacy students could help expand efforts to combat alcoholism prior to entering the professional workforce. Objectives: 1) Determine the percentage of students who have problems related to alcohol consumption. 2) Identify specific subgroups of pharmacy students that are at risk for developing alcoholrelated problems Methods: A 32-item questionnaire was offered to all pharmacy classes at four schools of pharmacy across the United States. Students over the age of 18 who were currently enrolled in a school of pharmacy could participate. The questionnaire consisted of demographic information and the Alcohol Use Disorders Identification Test (AUDIT). Questions regarding alcohol-induced behaviors were also included. AUDIT scores were calculated for each student, with a score of 8 or higher indicative of alcohol-related problems. Scores between 16-19 represent a high degree of alcohol problems and a score &gt;19 clearly indicates the need for intervention. Results: A total of 748 students participated in the study. Of the pharmacy students surveyed, 87.9% currently consume alcohol. Results from the AUDIT questionnaire revealed that 25.8% of students surveyed scored 8 or higher on the AUDIT, whereas 5.2% and 2% of students scored between 16-19 and &gt;19, respectively. AUDIT scores were statistically different among groups in regards to gender, prior education, and marital status (P &lt; 0.01). Grade point average was not indicative of alcohol abuse. Conclusion: These results indicate that one-fourth of pharmacy students surveyed have markers of dangerous and harmful alcohol use. Due to these findings, additional interventions (e.g., educational programs, behavioral counseling, etc.) are recommended to curtail consumption.</t>
  </si>
  <si>
    <t>(English C.) (Schlesselman L.) (Rey J.A.) 13th Annual Meeting of the College of Psychiatric and Neurologic Pharmacists, CPNP 2010 San Antonio, TX, United States 2010-04-18 to 2010-04-21 SAGE Publications Inc.; ID: 1352</t>
  </si>
  <si>
    <t>Engs,R. C.</t>
  </si>
  <si>
    <t>Medical, nursing, and pharmacy students' attitudes towards alcoholism in Queensland, Australia</t>
  </si>
  <si>
    <t>*Alcoholism/px Psychology];*Attitude of Health Personnel;Australia;Humans;Students, Medical/px Psychology];Students, Nursing/px Psychology];Students, Pharmacy/px Psychology];Surveys and Questionnaires;Time Factors</t>
  </si>
  <si>
    <t>J2: Alcohol Clin Exp Res; Engs, R C; ID: 714</t>
  </si>
  <si>
    <t>http://ovidsp.ovid.com/ovidweb.cgi?T=JS&amp;CSC=Y&amp;NEWS=N&amp;PAGE=fulltext&amp;D=med2&amp;AN=7048975</t>
  </si>
  <si>
    <t>MEDLINE; Ovid Technologies; Medical, nursing, and pharmacy students' attitudes towards alcoholism in Queensland, Australia</t>
  </si>
  <si>
    <t>The drug-use patterns of helping-profession students in Brisbane, Australia</t>
  </si>
  <si>
    <t>Analgesics;Australia;Caffeine;Cannabis;Ethanol;Female;Health Manpower;Humans;Hypnotics and Sedatives;Male;Plants, Toxic;*Students;Students, Medical;*Substance-Related Disorders/ep Epidemiology];Tobacco;Tranquilizing Agents;0 (Analgesics);0 (Hypnotics and Sedatives);0 (Tranquilizing Agents);3G6A5W338E (Caffeine);3K9958V90M (Ethanol)</t>
  </si>
  <si>
    <t>A survey of 1691 first-and final-year students in the helping professions (medicine, law, nursing, pharmacy, police science, seminary, social work/ psychology, and teaching) as to their use of drugs was carried out during February to April, 1980, in Brisbane, Australia. The results indicated that about 86% drank coffee or tea, 85% drank alcohol, 85% used non-prescription analgesics, 31% used tobacco, 25% antihistamines, 9% marijuana, 9% sedatives, 6% tranquilizers, 2% hallucinogens, 2% stimulants, 1% cocaine and 1% used opiates at least once a year. Of these students, females used analgesics and antihistamines significantly more frequently than males and consumed more caffeine, tobacco and analgesics than males, while males drank significantly more alcohol than females. Final-year students used more alcohol, coffee or tea and tobacco, and used marijuana, coffee and tea and tobacco significantly more frequently than first-year students. Individuals who did not consider religion important used more alcohol and tobacco and used marijuana, tobacco and hallucinogens more frequently compared to individuals who considered religion to be important. There was also a significant difference in drug usage between the different courses of study for most of the substances, with law students using the majority of substances the most frequently and seminarians the least frequently.</t>
  </si>
  <si>
    <t>J2: Drug Alcohol Depend; Engs, R C; ID: 718</t>
  </si>
  <si>
    <t>http://ovidsp.ovid.com/ovidweb.cgi?T=JS&amp;CSC=Y&amp;NEWS=N&amp;PAGE=fulltext&amp;D=med2&amp;AN=7274001</t>
  </si>
  <si>
    <t>MEDLINE; Ovid Technologies; The drug-use patterns of helping-profession students in Brisbane, Australia</t>
  </si>
  <si>
    <t>Engs,R. C.;Author,Addresses;Dep Health Saf Educ, Indiana Univ,Bloomington I.;Correspondence,Address;Dep Health Saf Educ, Indiana Univ,Bloomington I.</t>
  </si>
  <si>
    <t>7144183; Drinking patterns and attitudes toward alcoholism of Australian human-service students</t>
  </si>
  <si>
    <t>Journal of studies on alcohol</t>
  </si>
  <si>
    <t>J.Stud.Alcohol</t>
  </si>
  <si>
    <t>alcoholism;attitude;drinking;adult;central nervous system;human;normal human;Psychiatry (32);Public Health, Social Medicine and Epidemiology (17)</t>
  </si>
  <si>
    <t>Drinking patterns and attitudes toward alcoholism of 1449 students in medicine, law, pharmacy, social work, applied psychology, police science, religion and nursing in Australia are reported, revealing primarily similarities with results of studies in other English-speaking countries.</t>
  </si>
  <si>
    <t>(Engs R.C.); ID: 1761</t>
  </si>
  <si>
    <t>0096-882X</t>
  </si>
  <si>
    <t>http://www.ncbi.nlm.nih.gov/pubmed/7144183</t>
  </si>
  <si>
    <t>Drinking patterns and attitudes toward alcoholism of Australian human-service students</t>
  </si>
  <si>
    <t>Epler,A. J.;Sher,K. J.;Loomis,T. B.;O'Malley,S. S.</t>
  </si>
  <si>
    <t>NIHMS159663 PMC2818496; College student receptiveness to various alcohol treatment options</t>
  </si>
  <si>
    <t>Adolescent;Adult;*Alcohol Drinking/ep Epidemiology];Alcoholism/dt Drug Therapy];*Alcoholism/pc Prevention &amp; Control];Female;Humans;Logistic Models;Male;Multivariate Analysis;Naltrexone/tu Therapeutic Use];Narcotic Antagonists/tu Therapeutic Use];Odds Ratio;*Patient Acceptance of Health Care/sn Statistics &amp; Numerical Data];Psychometrics;*Students;*Substance Abuse Treatment Centers/sn Statistics &amp; Numerical Data];United States/ep Epidemiology];*Universities;Young Adult;0 (Narcotic Antagonists);5S6W795CQM (Naltrexone)</t>
  </si>
  <si>
    <t>OBJECTIVE: Heavy episodic drinking remains a significant problem on college campuses. Although most interventions for college students are behavioral, pharmacological treatments, such as naltrexone, could provide additional options. PARTICIPANTS: The authors evaluated receptivity to various alcohol treatment options in a general population of college student drinkers (N = 2,084), assessed in 2005. METHODS: The authors asked participants to indicate which of 8 treatment options (ie, self-help book, self-help computer program, self-help group, group therapy, individual therapy, monthly injection, targeted oral medication, or daily oral medication) they would be willing to consider if they were going to cut down on or stop drinking. RESULTS: Over 50% of drinkers expressed receptiveness to self-help options or psychotherapy options, and over 25% of drinkers expressed receptiveness to medication options. CONCLUSIONS: Increasing treatment options for students interested in reducing or stopping drinking by offering pharmacological interventions such as naltrexone could provide an important unmet need among college students.</t>
  </si>
  <si>
    <t>J2: J Am Coll Health; Epler, Amee J Sher, Kenneth J Loomis, Tiffany B O'Malley, Stephanie S K05 AA017242 (United States NIAAA NIH HHS) K05 AA017242-03 (United States NIAAA NIH HHS) P50 AA011998 (United States NIAAA NIH HHS) P50 AA011998-060007 (United States NIAAA NIH HHS) R37 AA007231 (United States NIAAA NIH HHS) R37 AA007231-19 (United States NIAAA NIH HHS) T32 AA013526 (United States NIAAA NIH HHS) T32 AA013526-08 (United States NIAAA NIH HHS); ID: 289</t>
  </si>
  <si>
    <t>Epler,Amee J. Department of Psychological Sciences, University of Missouri, Midwest Alcoholism Research Center, Columbia, MO 65211, USA. aje4x9@mizzou.edu</t>
  </si>
  <si>
    <t>http://ovidsp.ovid.com/ovidweb.cgi?T=JS&amp;CSC=Y&amp;NEWS=N&amp;PAGE=fulltext&amp;D=med5&amp;AN=19592350</t>
  </si>
  <si>
    <t>http://dx.doi.org/10.3200/JACH.58.1.26-32</t>
  </si>
  <si>
    <t>MEDLINE; Ovid Technologies; College student receptiveness to various alcohol treatment options</t>
  </si>
  <si>
    <t>Erdem,E.;Undar,I. H.;Esen,E.;Yar,K.;Yagmur,M.;Ersoz,R.</t>
  </si>
  <si>
    <t>Topical anesthetic eye drops abuse: are we aware of the danger?</t>
  </si>
  <si>
    <t>Cutaneous &amp; Ocular Toxicology</t>
  </si>
  <si>
    <t>Administration, Topical;Adolescent;Adult;Anesthetics, Local/ad Administration &amp; Dosage];*Anesthetics, Local/ae Adverse Effects];*Corneal Diseases/et Etiology];Female;Humans;Lacrimal Apparatus Diseases/et Etiology];Male;Middle Aged;Ophthalmic Solutions/ad Administration &amp; Dosage];*Ophthalmic Solutions/ae Adverse Effects];Pain/et Etiology];Photophobia/et Etiology];*Substance-Related Disorders/co Complications];Young Adult;0 (Anesthetics, Local);0 (Ophthalmic Solutions)</t>
  </si>
  <si>
    <t>OBJECTIVE: To investigate the clinical results of topical anesthetic drug (TAD) abuse and to evaluate the results in terms of preventive medicine and public health. METHODS: Patients who had been followed in a cornea unit between March 2009 and November 2011 for TAD abuse keratopathy were included in the study. The demographics, duration of TAD use, symptoms, ocular findings, treatment modalities, visual acuities, complications and accompanying psychiatric problems data were obtained from medical records. RESULTS: Twelve eyes of 8 patients (3 females and 5 males) were evaluated retrospectively. One of the patients was provided the drug with a primary care pratitioner's prescription and for the other 7 patients, it was available from pharmacies without prescription. According to their clinical history, 4 patients were suffering from exposure to welding flash with a corneal foreign body, 2 from lagophthalmus-related keratopathy, 1 from traumatic corneal abrasion, and 1 from exposure to silica dust at work. The mean duration of TAD usage was 14.8+/-7.78 days. Slit-lamp examination revealed corneal epithelial defect in all eyes, stromal opacity in 11 eyes and ring-shaped infiltrates in 8 eyes. CONCLUSION: Uncontrolled overuse of TAD can lead to serious ocular morbidities. Similarity of the clinical signs of this abuse to those of infectious keratitis together with the fact practitioners and managers to take measures to prevent the ready supply of these drugs from pharmacies and to raise public awareness with education programs.</t>
  </si>
  <si>
    <t>J2: Cutan; Erdem, Elif Undar, Ismail Hakki Esen, Ebru Yar, Kemal Yagmur, Meltem Ersoz, Reha; ID: 110</t>
  </si>
  <si>
    <t>1556-9535</t>
  </si>
  <si>
    <t>Erdem,Elif. Department of Ophthalmology, Faculty of Medicine, Cukurova University, Adana, Turkey. elif.erdem.1979@gmail.com</t>
  </si>
  <si>
    <t>http://ovidsp.ovid.com/ovidweb.cgi?T=JS&amp;CSC=Y&amp;NEWS=N&amp;PAGE=fulltext&amp;D=medl&amp;AN=23410261</t>
  </si>
  <si>
    <t>http://dx.doi.org/10.3109/15569527.2012.744758</t>
  </si>
  <si>
    <t>MEDLINE; Ovid Technologies; Topical anesthetic eye drops abuse: are we aware of the danger?</t>
  </si>
  <si>
    <t>Erhun,W. O.;Ademola-Oresanya,Y.;Author,Addresses;Pharmaceutical Society,of Nigeria;Box,Mushin;Correspondence,Address;Pharmaceutical Society of Nigeria,,P.O.Box Mushin</t>
  </si>
  <si>
    <t>Pharmacy practice in private clinics in Nigeria</t>
  </si>
  <si>
    <t>Journal of Social and Administrative Pharmacy</t>
  </si>
  <si>
    <t>health care system;pharmacy;private practice;article;cooperation;human;job performance;Nigeria;pharmacist;physician;Public Health, Social Medicine and Epidemiology (17);Health Policy, Economics and Management (36)</t>
  </si>
  <si>
    <t>Hospital Pharmacy Practice is well established in government owned health institutions in Nigeria. This is not the case with the private institutions. This study sought to examine the role(s) played by pharmacists in private clinics, the physicians' perception of the pharmacist's role especially as it relates to the indispensability of the pharmacist and the distribution of pharmacies in these institutions. 64 private clinics were studied using questionnaires, structured interview and personal observation. 59% of the clinics had pharmacies and 48% of these had resident pharmacists. Physicians generally indicated that pharmacists were needed in private clinics for cases of drug abuse, misuse, and drug interactions. Some indicated that pharmacists may also assist in improving quality of health services. However, 48% of the physicians in the hospitals without resident pharmacists attributed it to lack of funds, hospital size and pharmacists' preference for part time jobs.</t>
  </si>
  <si>
    <t>(Erhun W.O.; Ademola-Oresanya Y.); ID: 1723</t>
  </si>
  <si>
    <t>0281-0662</t>
  </si>
  <si>
    <t>Ericksen,J. J.;Braverman,D. L.;Shah,R. V.;Author,Addresses;Department,of Physical;Virginia Commonwealth University, Medical College of,Virginia Campus;Richmond,V. A. U.;Dept of Rehabilitation Medicine, Univ,of Pennsylvania;Sch of Med, Univ of Pennsylvania Health System,Philadelphia P.;States;Department of Anesthesiology, Texas Tech Univ,Hlth Sci;Center,International Pain Institute Lubbock T.X.United States;Dept. of,P. M.;R,V. A. C.;Coll of Va Camp, Box E Marshall St,Richmond V.;United,States;Correspondence,Address;JJ Ericksen,Dept,of P.;R,V. A. C.;Email,E. M.;jerickse@hsc.vcu.edu</t>
  </si>
  <si>
    <t>12708559; Interventions in chronic pain management. 4. Medications in pain management</t>
  </si>
  <si>
    <t>Archives of Physical Medicine and Rehabilitation</t>
  </si>
  <si>
    <t>Arch.Phys.Med.Rehabil.</t>
  </si>
  <si>
    <t>S50</t>
  </si>
  <si>
    <t>S56</t>
  </si>
  <si>
    <t>(MAJOR FOCUS);cyclooxygenase 2 inhibitor (drug therapy);nonsteroid antiinflammatory agent (drug therapy);opiate (adverse drug reaction, drug combination, drug comparison, drug;therapy);baclofen (drug dose, drug therapy);botulinum toxin A (drug therapy);celecoxib (drug therapy);dextropropoxyphene (adverse drug reaction, drug therapy);dextropropoxyphene plus paracetamol;etodolac (drug therapy);hyco pap;hydrocodone (adverse drug reaction, drug therapy);hydrocodone bitartrate plus ibuprofen;hydrocodone bitartrate plus paracetamol (adverse drug reaction, drug;hydrocodone bitartrate plus paracetamol;oxycodone (adverse drug reaction, drug therapy);oxycodone plus paracetamol;oxycodone plus paracetamol (adverse drug reaction, drug dose, drug therapy);oxycodone plus paracetamol (adverse drug reaction, drug therapy);paracetamol (drug combination, drug therapy);rofecoxib (drug therapy);tramadol (adverse drug reaction, drug therapy);unclassified drug;chronic pain (drug therapy, rehabilitation, therapy);constipation (side effect);drug dependence (side effect);drug mechanism;drug tolerance;education program;enzyme inhibition;herbal medicine;homeopathy;human;hypotension (side effect);mental disease (side effect);nausea (side effect);pain assessment;respiration depression (side effect);review;sedation;seizure (side effect);somnolence (side effect);traditional medicine;DRUG TRADE NAMES;darvocet;endocet;lodine;lorcet;lortab;maxidone;norco;roxicet;tylenol;tylox;vicodin;vicoprofen;wygesic;zydone;baclofen (1134-47-0);botulinum toxin A (93384-43-1);celecoxib (169590-42-5);dextropropoxyphene (1639-60-7, 469-62-5);etodolac (41340-25-4);hydrocodone (125-29-1, 25968-91-6, 34366-67-1);opiate (53663-61-9, 8002-76-4, 8008-60-4);oxycodone (124-90-3, 76-42-6);paracetamol (103-90-2);rofecoxib (162011-90-7, 186912-82-3);tramadol (27203-92-5, 36282-47-0);Neurology and Neurosurgery (8);Drug Literature Index (37);Adverse Reactions Titles (38)</t>
  </si>
  <si>
    <t>This self-directed learning module, which highlights pharmacologic approaches in the management of chronic pain, focuses on both traditional and nontraditional medications. It is part of the study guide on interventions in chronic pain management in the Self-Directed Physiatric Education Program for practitioners and trainees in physical medicine and rehabilitation. This article highlights medication concepts, including the cyclooxygenase-2 inhibitors, opiate management of chronic pain, and neuropathic pain management; and it reviews some nontraditional approaches such as homeopathy and herbal remedies. ‚î¨‚åê 2003 by the American Academy of Physical Medicine and Rehabilitation.</t>
  </si>
  <si>
    <t>(Ericksen J.J., jerickse@hsc.vcu.edu) (Braverman D.L.) (Shah R.V.) W.B. Saunders, Independence Square West, Philadelphia, United States.; ID: 1593</t>
  </si>
  <si>
    <t>http://www.ncbi.nlm.nih.gov/pubmed/12708559</t>
  </si>
  <si>
    <t>Interventions in chronic pain management. 4. Medications in pain management</t>
  </si>
  <si>
    <t>Eriksson,T.;Henricson,K.;Arrhenius,K.;Hoglund,P.;Hedner,K.;Stenberg,P.</t>
  </si>
  <si>
    <t>Perceived problems of pharmacotherapy: a problem detection study among physicians and nurses at a Swedish university hospital</t>
  </si>
  <si>
    <t>*Drug Monitoring/st Standards];*Drug Prescriptions/st Standards];*Drug Therapy/st Standards];*Medication Systems, Hospital/st Standards];Patient Compliance/sn Statistics &amp; Numerical Data];*Pharmacy Service, Hospital/st Standards];Surveys and Questionnaires;Sweden</t>
  </si>
  <si>
    <t>As a first step toward obtaining quality assurance regarding use and handling of drugs at Malmo University Hospital, a problem detection study (PDS) was performed, drug related problems being collected from nurses, physicians and pharmacists. Problem questionnaires relevant for physicians (67 items) and nurses (82 items) were prepared and sent to chief physicians and head nurses for distribution to colleagues. The problems identified covered all aspects of drug use and handling such as availability, prescription, dispensing, information and monitoring. Fifty-six per cent (79/141) of the physicians and 68 per cent (88/130) of the nurses responded. The main problems were related to information, chart order sheets and follow up. The item 'Uncertain whether patients take their medicine correctly after discharge' scored highest among physicians. The two main problems for the nurses were that 'newly licensed drugs and drugs used on a named-patient basis are not included in FASS' (the Swedish national formulary). The problem detection technique proved useful for the identification of drug-related problems, and the results will provide a basis for further improvement in quality assurance in pharmacotherapy at the hospital.</t>
  </si>
  <si>
    <t>J2: Pharm World Sci; Eriksson, T Henricson, K Arrhenius, K Hoglund, P Hedner, K Stenberg, P; ID: 565</t>
  </si>
  <si>
    <t>Eriksson,T. Hospital Pharmacy, Malmo University Hospital, Sweden.</t>
  </si>
  <si>
    <t>http://ovidsp.ovid.com/ovidweb.cgi?T=JS&amp;CSC=Y&amp;NEWS=N&amp;PAGE=fulltext&amp;D=med4&amp;AN=10483608</t>
  </si>
  <si>
    <t>MEDLINE; Ovid Technologies; Perceived problems of pharmacotherapy: a problem detection study among physicians and nurses at a Swedish university hospital</t>
  </si>
  <si>
    <t>Ersche,K. D.;Roiser,J. P.;Robbins,T. W.;Sahakian,B. J.</t>
  </si>
  <si>
    <t>EMS52399 PMC3785131; Chronic cocaine but not chronic amphetamine use is associated with perseverative responding in humans</t>
  </si>
  <si>
    <t>Psychopharmacology</t>
  </si>
  <si>
    <t>Psychopharmacology (Berl.)</t>
  </si>
  <si>
    <t>Adolescent;Adult;Aged;*Amphetamine/to Toxicity];*Amphetamine-Related Disorders/px Psychology];*Appetitive Behavior/de Drug Effects];Association Learning/de Drug Effects];*Central Nervous System Stimulants/to Toxicity];Choice Behavior/de Drug Effects];*Cocaine/to Toxicity];*Cocaine-Related Disorders/px Psychology];*Dopamine Uptake Inhibitors/to Toxicity];Female;Humans;Male;Middle Aged;*Motivation;Opioid-Related Disorders/px Psychology];Probability Learning;Receptors, Serotonin/de Drug Effects];Reversal Learning/de Drug Effects];*Reward;*Stereotyped Behavior/de Drug Effects];0 (Central Nervous System Stimulants);0 (Dopamine Uptake Inhibitors);0 (Receptors, Serotonin);CK833KGX7E (Amphetamine);I5Y540LHVR (Cocaine)</t>
  </si>
  <si>
    <t>RATIONALE: Chronic drug use has been associated with increased impulsivity and maladaptive behaviour, but the underlying mechanisms of this impairment remain unclear. We investigated the ability to adapt behaviour according to changes in reward contingencies, using a probabilistic reversal-learning task, in chronic drug users and controls. MATERIALS AND METHODS: Five groups were compared: chronic amphetamine users (n = 30); chronic cocaine users (n = 27); chronic opiate users (n = 42); former drug users of psychostimulants and opiates (n = 26); and healthy non-drug-taking control volunteers (n = 25). Participants had to make a forced choice between two alternative stimuli on each trial to acquire a stimulus-reward association on the basis of degraded feedback and subsequently to reverse their responses when the reward contingencies changed. RESULTS: Chronic cocaine users demonstrated little behavioural change in response to the change in reward contingencies, as reflected by perseverative responding to the previously rewarded stimulus. Perseverative responding was observed in cocaine users regardless of whether they completed the reversal stage successfully. Task performance in chronic users of amphetamines and opiates, as well as in former drug users, was not measurably impaired. CONCLUSION: Our findings provide convincing evidence for response perseveration in cocaine users during probabilistic reversal-learning. Pharmacological differences between amphetamine and cocaine, in particular their respective effects on the 5-HT system, may account for the divergent task performance between the two psychostimulant user groups. The inability to reverse responses according to changes in reinforcement contingencies may underlie the maladaptive behaviour patterns observed in chronic cocaine users but not in chronic users of amphetamines or opiates.</t>
  </si>
  <si>
    <t>J2: Psychopharmacology (Berl); Ersche, Karen D Roiser, Jonathan P Robbins, Trevor W Sahakian, Barbara J 076274 (United Kingdom Wellcome Trust) 076274/Z/04/Z (United Kingdom Wellcome Trust) G0001354 (United Kingdom Medical Research Council) (United Kingdom Medical Research Council); ID: 358</t>
  </si>
  <si>
    <t>0033-3158</t>
  </si>
  <si>
    <t>Ersche,Karen D. Department of Psychiatry, Brain Mapping Unit, School of Clinical Medicine, University of Cambridge, Addenbrooke's Hospital, Cambridge, UK. ke220@cam.ac.uk</t>
  </si>
  <si>
    <t>http://ovidsp.ovid.com/ovidweb.cgi?T=JS&amp;CSC=Y&amp;NEWS=N&amp;PAGE=fulltext&amp;D=medc&amp;AN=18214445</t>
  </si>
  <si>
    <t>http://dx.doi.org/10.1007/s00213-007-1051-1</t>
  </si>
  <si>
    <t>MEDLINE; Ovid Technologies; Chronic cocaine but not chronic amphetamine use is associated with perseverative responding in humans</t>
  </si>
  <si>
    <t>Faingold,C. L.;Dunaway,G. A.;Author,Addresses;Pharmacology,Southern Illinois University;School of Medicine, Springfield,United States;Correspondence,Address;CL Faingold, Pharmacology Southern Illinois University,School of;Medicine,Springfield United States</t>
  </si>
  <si>
    <t>Teaching pharmacology and pharmacovigilance in an integrated medical curriculum</t>
  </si>
  <si>
    <t>April,</t>
  </si>
  <si>
    <t>24 Meeting Abstracts.</t>
  </si>
  <si>
    <t>curriculum;drug surveillance program;pharmacology;teaching;accidental death;book;death;drug interaction;drug overdose;drug toxicity;education;epidemiology;hospital patient;human;learning;medical school;pharmacodynamics;pharmacokinetics;physician;public health problem;suicide;toxicity;United States</t>
  </si>
  <si>
    <t>Integrated medical curricula pose a challenge to teaching pharmacology effectively. This contributes to a significant educational deficit, since insufficient drug knowledge is a key factor in major drug-related public health problems. Adverse drug-related events (ADRs) are estimated to be the 5th leading cause of in-patient deaths in the U.S. Drug overdose is the 2nd leading cause of accidental death and is also a common method of suicide. These public health problems indicate the need for improved physician knowledge of drug toxicities and ADRs and emphasize the value of education on pharmacovigilance, which is defined as the epidemiologic study of drug-related adverse events. Pharmacovigilance has lacked emphasis in U.S. Medical Schools where the term is unrecognized, although ADRs, toxicity, and drug interactions are covered. The integrated 2nd year medical curriculum at SIUSM emphasizes the learning of pharmacology stressing pharmacovigilance. This involves presenting the ABCs of Pharmacology (A: pharmacodynamics; B: pharmacokinetics; and C: pharmacovigilance) and includes web-based instructional modules (WIMs) that list objectives and resources on 84 drug classes, referencing textbooks that emphasize pharmacovigilance (1) and parallel national pharmacology knowledge objectives.</t>
  </si>
  <si>
    <t>(Faingold C.L.; Dunaway G.A.) Experimental Biology 2010, EB Anaheim, CA, United States 2010-04-24 to 2010-04-28 FASEB; ID: 1380</t>
  </si>
  <si>
    <t>Farahmand,N.;Drennan,D.</t>
  </si>
  <si>
    <t>Patient education and self-advocacy: queries and responses on pain management</t>
  </si>
  <si>
    <t>314 3p</t>
  </si>
  <si>
    <t>Caffeine -- Adverse Effects;Chronic Pain -- Drug Therapy;Headache -- Etiology;Methadone -- Adverse Effects;Beverages -- Analysis;Caffeine -- Analysis;Patient Education;Substance Withdrawal Syndrome</t>
  </si>
  <si>
    <t>Questions from patients about analgesic pharmacotherapy and responses from the authors are presented to help educate patient sand make them more effective self-advocates. The topics addressed in this issue are headaches and their relation to caffeine intake, methadone-associated sleep and breathing disorders, and risks and benefits of chronic pain treatment.</t>
  </si>
  <si>
    <t>Entry Date: 20090320. Revision Date: 20150711. Publication Type: Journal Article; questions and answers. Journal Subset: Biomedical; Peer Reviewed; USA. Special Interest: Pain and Pain Management; Palliative Care/Hospice. NLM UID: 101125608.; ID: 1967</t>
  </si>
  <si>
    <t>1536-0288</t>
  </si>
  <si>
    <t>Anesthesiology Pain Management Fellows at the University Health Care Pain Management Center, University of Utah Health Sciences Center, Salt Lake City, Utah, USA.</t>
  </si>
  <si>
    <t>http://proxy.lib.umich.edu/login?url=http://search.ebscohost.com/login.aspx?direct=true&amp;db=ccm&amp;AN=105610763&amp;site=ehost-live&amp;scope=site</t>
  </si>
  <si>
    <t>ccm; EBSCOhost; Patient education and self-advocacy: queries and responses on pain management</t>
  </si>
  <si>
    <t>Farhadian,S.;Lacro,J.;Leckband,S.;Author,Addresses;Skaggs,School of;Pharmaceutical;Sciences,University of California San Diego United States;Department of Psychiatry, University,of California;San Diego,United States;Veterans Affairs San Diego,Healthcare System;States;Correspondence,Address;Farhadian, Skaggs School of Pharmacy,S.;Pharmaceutical,Sciences;University of California, San Diego,United States</t>
  </si>
  <si>
    <t>Does type of bipolar disorder increase the risk of medication nonadherence?</t>
  </si>
  <si>
    <t>bipolar disorder;college;drug therapy;pharmacist;risk;bipolar I disorder;bipolar II disorder;diagnosis;Diagnostic and Statistical Manual of Mental Disorders;ethnicity;gender;health care system;health care utilization;homelessness;hospitalization;patient;patient compliance;polypharmacy;population;prevalence;relapse;retrospective study;risk factor;structured interview;substance abuse;suicide;veteran</t>
  </si>
  <si>
    <t>Abstract Type: Work in Progress. Background: Medication nonadherence in patients with bipolar disorder may lead to symptom relapse, as well as severe complications including hospitalization or suicide. Many published studies have reported the prevalence and addressed the predictors associated with medication nonadherence in bipolar patients such as younger age, minority ethnicity, comorbid substance abuse and homelessness. Little to no information, however, is available regarding whether a difference exists between patients with bipolar I or bipolar II disorder type. Objectives: To determine the prevalence of, risk factors for and consequences of nonadherence to commonly used medications in the management of Veterans with bipolar disorder. Specifically, the role of bipolar type and medication combinations will be evaluated. Methods: This retrospective study will review computerized records for patients receiving at least one medication for the treatment of bipolar disorder at the Veterans Affairs San Diego Healthcare System (VASDHS) from October 1, 2008 through September 30, 2009. Patients receiving care or medications for bipolar disorder outside the VASDHS are excluded. Patients have previously been diagnosed as bipolar I or bipolar II using the Structured Clinical Interview for Diagnostic and Statistical Manual of Mental Disorders. Medication adherence will be assessed by calculating medication possession ratios (MPR), with adherence defined as MPR Œì√´√ë 80%. Demographic (i.e., age, gender, ethnicity), medication-related (i.e., refill history, dosing frequency, polypharmacy), and healthcare utilization (i.e., hospitalization, no-show visits, unscheduled visits) variables will be collected to assess predictors of adherence. Outcomes: The prevalence of medication nonadherence in patients with bipolar I disorder compared to bipolar II disorder will be reported. Additionally, respective predictors for nonadherence, including medication combinations, will be analyzed. Study Implications: By identifying possible differences in medication adherence based on specific bipolar diagnosis, providers may target interventions for adherence towards a specific patient population.</t>
  </si>
  <si>
    <t>(Farhadian S.; Lacro J.) (Lacro J.; Leckband S.) 13th Annual Meeting of the College of Psychiatric and Neurologic Pharmacists, CPNP 2010 San Antonio, TX, United States 2010-04-18 to 2010-04-21 SAGE Publications Inc.; ID: 1371</t>
  </si>
  <si>
    <t>Farhoudian,A.;Sadeghi,M.;Vishteh,H. R. K.;Moazen,B.;Fekri,M.;Movaghar,A. R.;Author,Addresses;Iranian Research Center,for Substance;and Dependence, University of,Social Welfare;Rehabilitation,Science;Tehran,Iran;Psychology,Irsa Center for;Addiction;Study,Tehran Iran;Non-Communicable Diseases,Research Center;Metabolism Population Sciences Institute, Tehran University,of Medical;Sciences,Tehran Iran;Endocrinology;Metabolism,Research Center;Metabolism Clinical Sciences Institute, Tehran University,of Medical;Sciences,Tehran Iran;Bahar Laboratory,of Toxicology;Correspondence,Address;Sadeghi, Irsa Center for Psychology,M.;Addiction Study,Tehran Iran;Email,msadeghi md yahoo com</t>
  </si>
  <si>
    <t>Component analysis of Iranian crack; A newly abused narcotic substance in Iran</t>
  </si>
  <si>
    <t>(MAJOR FOCUS);cocaine;acetylcodeine;caffeine;codeine;diamorphine;morphine;paracetamol;thebaine;article;chemical analysis;high performance liquid chromatography;Iran;quantitative analysis;thin layer chromatography;(Japan)Shimadzu;acetylcodeine (6703-27-1);caffeine (58-08-2);cocaine (50-36-2, 53-21-4, 5937-29-1);codeine (76-57-3);diamorphine (1502-95-0, 561-27-3);morphine (52-26-6, 57-27-2);paracetamol (103-90-2);thebaine (115-37-7);Clinical and Experimental Biochemistry (29)</t>
  </si>
  <si>
    <t>Iranian crack is a new form of narcotic substance that has found widespread prevalence in Iran in the past years. crack only nominally resembles crack cocaine as it is widely different in its clinical signs. Thus the present study aims to quantify the chemical combination of this drug. The samples included 18 specimen of crack collected from different zones of Tehran, Iran. All specimens were in the form of inodorous cream solid powdery substance. TLC and HPLC methods were used to perform semi-quantitative and quantitative analysis of the components, respectively. The TLC analysis showed no cocaine compound in the specimens while they all revealed to contain heroin, codeine, morphine and caffeine. All but two specimens contained thebaine. None of the specimens contained amphetamine, benzodiazepines, tricyclic antidepressants, aspirin, barbiturates, tramadol and buprenorphine. Acetaminophen was found in four specimens. HPLC revealed heroin to be the foundation substance in all specimens and most of them contained a significant amount of acetylcodeine. The present analysis of the chemical combination of crack showed that this substance is a heroin-based narcotic which is basically different from the cocaine-based crack used in Western countries. Studies like the present one at different time points, especially when abnormal clinical signs are detected, can reveal the chemical combination of the target substance and contribute to the clinical management of its acute or chronic poisoning. ‚î¨‚åê 2014 by School of Pharmacy Shaheed Beheshti University of Medical Sciences and Health Services.</t>
  </si>
  <si>
    <t>(Farhoudian A.; Vishteh H.R.K.) (Sadeghi M., msadeghi_md@yahoo.com) (Moazen B.) (Fekri M.; Movaghar A.R.) Iranian Journal of Pharmaceutical Research, info@ijpr-online.com; ID: 960</t>
  </si>
  <si>
    <t>Farin,A.;Marshall,L. F.</t>
  </si>
  <si>
    <t>Lessons from epidemiologic studies in clinical trials of traumatic brain injury</t>
  </si>
  <si>
    <t>Acta Neurochirurgica - Supplement</t>
  </si>
  <si>
    <t>*Brain Injuries/dt Drug Therapy];*Brain Injuries/mo Mortality];*Clinical Trials as Topic/mt Methods];Databases, Factual;*Epidemiologic Methods;Humans;Medical Records Systems, Computerized;*Neuroprotective Agents/tu Therapeutic Use];Patient Selection;Pipecolic Acids/tu Therapeutic Use];Pregnatrienes/tu Therapeutic Use];Prognosis;*Quality Assurance, Health Care/mt Methods];*Risk Assessment/mt Methods];Risk Factors;Treatment Outcome;United States;0 (Neuroprotective Agents);0 (Pipecolic Acids);0 (Pregnatrienes);110101-67-2 (tirilazad);4VGJ4A41L2 (selfotel)</t>
  </si>
  <si>
    <t>Lessions from epidemiological studies. The Clinical Trial Group for Neurosurgery of the University of California San Diego (UCSD) is involved in epidemiological studies and trials of new pharmacological agents in traumatic brain injury. A great number (&gt; 10,000) of patients has been prospectively analyzed forming an integrated database for further purposes. The development of these databases is based on earlier work by the European Neurosurgeons Jennett and Braakmann and the US-Traumatic Coma Data Bank Study. These studies allowed for the development of sophisticated data collection instruments which were used in the international Tirilizad Trials which enrolled over 1,100 patients. A major observation from that trial was that pretreatment hypotension or hypoxia could be unbalanced even in a large two arm blinded study. Another issue of the tirilazad trial was the influence of gender affecting not only outcome but also drug metabolism. Similar experiences were gathered with the phase-III trial on the competitive NMDA-receptor antagonist selfotel, which interferes with the excitotoxic amino acid glutamate as mediator of secondary brain damage, as ischemia-induced neuronal degeneration. Unfortunately, the trial, already underway, had to be prematurely aborted, since concurrent stroke studies with enrollment of nonintubated patients on low-dose selfotel revealed an increased number of deaths and other adverse events. A retrospective analysis did not confirm that Selfotel was associated with an increased mortality in TBI, but there was also no evidence that the drug was efficacious. A problem here was that a major portion of patients did not have intracranial mass lesions (contusion, subdural haematoma) on CT, questioning whether these had a treatment responsive brain injury. Both studies on tirilazad or selfotel underscore the significance of well designed and conducted phase-I and -II trials to characterize the pharmacokinetics of the agent, to confirm availability of drug in the brain, and to identify a sufficient number of patients with lesions responding to the drug. A major issue is the blood-brain barrier permeability of the agent under study. Further, the phenomenon of secondary deterioration - neurological worsening - turned out as a powerful predictor of poor outcome. The findings and conclusions of both clinical trials (tirilazad, selfotel) were utilized for a subsequent patient study on CP101-606 in consultation with the Pfizer company, the US Brain Injury Consortium, and the San Diego Clinical Trial Group. The patient population was a priori selected towards responsiveness of the brain lesions to the treatment. The major conclusions are: I Development of therapeutic regimens targeted towards the mechanisms of brain injury. II Availability of adequate preclinical data. III Directing treatment towards an appropriate patient population. IV Central gathering and interpretation of the neuroradiological findings. V Monitoring of trial center performance. VI Stratification and pre-trial prognostic analysis for identification of subgroups.</t>
  </si>
  <si>
    <t>J2: Acta Neurochir Suppl; Farin, A Marshall, L F; ID: 473</t>
  </si>
  <si>
    <t>0065-1419</t>
  </si>
  <si>
    <t>Farin,A. Division Neurosurgery, UCSD-Medical Center, San Diego, CA, USA.</t>
  </si>
  <si>
    <t>http://ovidsp.ovid.com/ovidweb.cgi?T=JS&amp;CSC=Y&amp;NEWS=N&amp;PAGE=fulltext&amp;D=med5&amp;AN=15335108</t>
  </si>
  <si>
    <t>MEDLINE; Ovid Technologies; Lessons from epidemiologic studies in clinical trials of traumatic brain injury</t>
  </si>
  <si>
    <t>Farley,A. C.;Hajek,P.;Lycett,D.;Aveyard,P.</t>
  </si>
  <si>
    <t>Interventions for preventing weight gain after smoking cessation</t>
  </si>
  <si>
    <t>Cochrane Database of Systematic Reviews</t>
  </si>
  <si>
    <t>CD006219</t>
  </si>
  <si>
    <t>Antidepressive Agents/tu Therapeutic Use];Benzazepines/ad Administration &amp; Dosage];Exercise;Female;Humans;Male;Nicotine/ad Administration &amp; Dosage];Nicotinic Agonists/ad Administration &amp; Dosage];Piperidines/ad Administration &amp; Dosage];Pyrazoles/ad Administration &amp; Dosage];Quinoxalines/ad Administration &amp; Dosage];Randomized Controlled Trials as Topic;*Smoking Cessation/mt Methods];Weight Gain/de Drug Effects];*Weight Gain;0 (Antidepressive Agents);0 (Benzazepines);0 (Nicotinic Agonists);0 (Piperidines);0 (Pyrazoles);0 (Quinoxalines);6M3C89ZY6R (Nicotine)</t>
  </si>
  <si>
    <t>BACKGROUND: Most people who stop smoking gain weight. There are some interventions that have been designed to reduce weight gain when stopping smoking. Some smoking cessation interventions may also limit weight gain although their effect on weight has not been reviewed. OBJECTIVES: To systematically review the effect of: (1) Interventions targeting post-cessation weight gain on weight change and smoking cessation.(2) Interventions designed to aid smoking cessation that may also plausibly affect weight on post-cessation weight change. SEARCH METHODS: Part 1 - We searched the Cochrane Tobacco Addiction Group's Specialized Register and CENTRAL in September 2011.Part 2 - In addition we searched the included studies in the following "parent" Cochrane reviews: nicotine replacement therapy (NRT), antidepressants, nicotine receptor partial agonists, cannabinoid type 1 receptor antagonists and exercise interventions for smoking cessation published in Issue 9, 2011 of the Cochrane Library. SELECTION CRITERIA: Part 1 - We included trials of interventions that were targeted at post-cessation weight gain and had measured weight at any follow up point and/or smoking cessation six or more months after quit day.Part 2 - We included trials that had been included in the selected parent Cochrane reviews if they had reported weight gain at any time point. DATA COLLECTION AND ANALYSIS: We extracted data on baseline characteristics of the study population, intervention, outcome and study quality. Change in weight was expressed as difference in weight change from baseline to follow up between trial arms and was reported in abstinent smokers only. Abstinence from smoking was expressed as a risk ratio (RR). We used the most rigorous definition of abstinence available in each trial. Where appropriate, we performed meta-analysis using the inverse variance method for weight and Mantel-Haenszel method for smoking using a fixed-effect model. MAIN RESULTS: Part 1: Some pharmacological interventions tested for limiting post cessation weight gain (PCWG) resulted in a significant reduction in WG at the end of treatment (dexfenfluramine (Mean difference (MD) -2.50 kg, 95% confidence interval (CI) -2.98 to -2.02, 1 study), phenylpropanolamine (MD -0.50 kg, 95% CI -0.80 to -0.20, N=3), naltrexone (MD -0.78 kg, 95% CI -1.52 to -0.05, N=2). There was no evidence that treatment reduced weight at 6 or 12 months (m). No pharmacological intervention significantly affected smoking cessation rates.Weight management education only was associated with no reduction in PCWG at end of treatment (6 or 12m). However these interventions significantly reduced abstinence at 12m (Risk ratio (RR) 0.66, 95% CI 0.48 to 0.90, N=2). Personalised weight management support reduced PCWG at 12m (MD -2.58 kg, 95% CI -5.11 to -0.05, N=2) and was not associated with a significant reduction of abstinence at 12m (RR 0.74, 95% CI 0.39 to 1.43, N=2). A very low calorie diet (VLCD) significantly reduced PCWG at end of treatment (MD -3.70 kg, 95% CI -4.82 to -2.58, N=1), but not significantly so at 12m (MD -1.30 kg, 95% CI -3.49 to 0.89, N=1). The VLCD increased chances of abstinence at 12m (RR 1.73, 95% CI 1.10 to 2.73, N=1). There was no evidence that cognitive behavioural therapy to allay concern about weight gain (CBT) reduced PCWG, but there was some evidence of increased PCWG at 6m (MD 0.74, 95% CI 0.24 to 1.24). It was associated with improved abstinence at 6m (RR 1.83, 95% CI 1.07 to 3.13, N=2) but not at 12m (RR 1.25, 95% CI 0.83 to 1.86, N=2). However, there was significant statistical heterogeneity.Part 2: We found no evidence that exercise interventions significantly reduced PCWG at end of treatment (MD -0.25 kg, 95% CI -0.78 to 0.29, N=4) however a significant reduction was found at 12m (MD -2.07 kg, 95% CI -3.78 to -0.36, N=3).Both bupropion and fluoxetine limited PCWG at the end of treatment (bupropion MD -1.12 kg, 95% CI -1.47 to -0.77, N=7) (fluoxetine MD -0.99 kg, 95% CI -1.36 to -0.61, N=2). There was no evidence that the effect persisted at 6m (bupropion MD -0.58 kg, 95% CI -2.16 to 1.00, N=4), (fluoxetine MD -0.01 kg, 95% CI -1.11 to 1.10, N=2) or 12m (bupropion MD -0.38 kg, 95% CI -2.00 to 1.24, N=4). There were no data on WG at 12m for fluoxetine.Overall, treatment with NRT attenuated PCWG at the end of treatment (MD -0.69 kg, 95% CI -0.88 to -0.51, N=19), with no strong evidence that the effect differed for the different forms of NRT. There was evidence of significant statistical heterogeneity caused by one study which reported a 4.3 kg reduction in PCWG due to NRT. With this study removed, the difference in weight change at end of treatment was -0.45 kg (95% CI -0.66 to -0.27, N=18). There was no evidence of an effect on PCWG at 12m (MD -0.42 kg, 95% CI -0.92 to 0.08, N=15).We found evidence that varenicline significantly reduced PCWG at end of treatment (MD -0.41 kg, 95% CI -0.63 to -0.19, N=11), but this effect was not maintained at 6 or 12m. Three studies compared the effect of bupropion to varenicline. Participants taking bupropion gained significantly less weight at the end of treatment (-0.51 kg (95% CI -0.93 to -0.09 kg), N=3). Direct comparison showed no significant difference in PCWG between varenicline and NRT. AUTHORS' CONCLUSIONS: Although some pharmacotherapies tested to limit PCWG show evidence of short-term success, other problems with them and the lack of data on long-term efficacy limits their use. Weight management education only, is not effective and may reduce abstinence. Personalised weight management support may be effective and not reduce abstinence, but there are too few data to be sure. One study showed a VLCD increased abstinence but did not prevent WG in the longer term. CBT to accept WG did not limit PCWG and may not promote abstinence in the long term. Exercise interventions significantly reduced weight in the long term, but not the short term. More studies are needed to clarify whether this is an effect of treatment or a chance finding. Bupropion, fluoxetine, NRT and varenicline reduce PCWG while using the medication. Although this effect was not maintained one year after stopping smoking, the evidence is insufficient to exclude a modest long-term effect. The data are not sufficient to make strong clinical recommendations for effective programmes to prevent weight gain after cessation.</t>
  </si>
  <si>
    <t>J2: Cochrane Database Syst Rev; Farley, Amanda C Hajek, Peter Lycett, Deborah Aveyard, Paul; ID: 212</t>
  </si>
  <si>
    <t>1469-493X</t>
  </si>
  <si>
    <t>Farley,Amanda C. Primary Care Clinical Sciences, University of Birmingham, Birmingham, UK.</t>
  </si>
  <si>
    <t>http://ovidsp.ovid.com/ovidweb.cgi?T=JS&amp;CSC=Y&amp;NEWS=N&amp;PAGE=fulltext&amp;D=medl&amp;AN=22258966</t>
  </si>
  <si>
    <t>http://dx.doi.org/10.1002/14651858.CD006219.pub3</t>
  </si>
  <si>
    <t>MEDLINE; Ovid Technologies; Interventions for preventing weight gain after smoking cessation</t>
  </si>
  <si>
    <t>Farley,T. A.;Niccolai,L. M.;Billeter,M.;Kissinger,P. J.;Grace,M.</t>
  </si>
  <si>
    <t>Attitudes and practices of pharmacy managers regarding needle sales to injection drug users</t>
  </si>
  <si>
    <t>Adult;Cross-Sectional Studies;Female;Focus Groups;HIV Infections/pc Prevention &amp; Control];*Health Knowledge, Attitudes, Practice;Health Services Accessibility;Humans;Louisiana;Male;*Needles;*Pharmacists;*Substance Abuse, Intravenous;Surveys and Questionnaires</t>
  </si>
  <si>
    <t>OBJECTIVE: To determine Louisiana pharmacy managers' attitudes and practices regarding needle and syringe sales to suspected injection drug users (IDUs) without prescriptions, and to assess which factors affect their decisions to sell nonprescription needles and syringes. DESIGN: Cross-sectional mail survey. SETTING: The six most populous cities of Louisiana. PARTICIPANTS: Pharmacy managers with active permits not affiliated with large hospitals or institutions. MAIN OUTCOME MEASURES: Selling nonprescription needles to suspected IDUs, willingness to sell nonprescription needles to suspected IDUs, and reasons for not selling nonprescription needles to suspected IDUs. RESULTS: Approximately one-fourth of the respondents reported that they had sold needles and syringes to suspected IDUs without a prescription. The most frequently cited reason for not selling was fear of increasing drug use; however, many of these pharmacists reported that they would conduct a sale if the customer had a referral from an agency or clinic. CONCLUSION: Pharmacists can assist in the prevention of HIV transmission through nonprescription needle sales to IDUs. This role can be promoted through education of pharmacists and development of referral systems for IDUs.</t>
  </si>
  <si>
    <t>J2: J Am Pharm Assoc (Wash); Farley, T A Niccolai, L M Billeter, M Kissinger, P J Grace, M; ID: 571</t>
  </si>
  <si>
    <t>Farley,T A. HIV/STD Section, Louisiana Office of Public Health, New Orleans, USA.</t>
  </si>
  <si>
    <t>http://ovidsp.ovid.com/ovidweb.cgi?T=JS&amp;CSC=Y&amp;NEWS=N&amp;PAGE=fulltext&amp;D=med4&amp;AN=9990183</t>
  </si>
  <si>
    <t>MEDLINE; Ovid Technologies; Attitudes and practices of pharmacy managers regarding needle sales to injection drug users</t>
  </si>
  <si>
    <t>Farrell,M.;Marsden,J.</t>
  </si>
  <si>
    <t>Acute risk of drug-related death among newly released prisoners in England and Wales</t>
  </si>
  <si>
    <t>Adolescent;Adult;*Analgesics, Opioid/po Poisoning];Benzodiazepines/po Poisoning];Cause of Death;Cocaine/po Poisoning];Data Collection;*Drug Overdose/mo Mortality];Female;Great Britain/ep Epidemiology];Humans;Male;*Prisoners/sn Statistics &amp; Numerical Data];Risk Factors;Sex Distribution;*Substance-Related Disorders/mo Mortality];Suicide/sn Statistics &amp; Numerical Data];0 (Analgesics, Opioid);12794-10-4 (Benzodiazepines);I5Y540LHVR (Cocaine)</t>
  </si>
  <si>
    <t>AIMS: To investigate drug-related deaths among newly released prisoners in England and Wales. DESIGN: Database linkage study. PARTICIPANTS: National sample of 48,771 male and female sentenced prisoners released during 1998-2000 with all recorded deaths included to November 2003. FINDINGS: There were 442 recorded deaths, of which 261 (59%) were drug-related. In the year following index release, the drug-related mortality rate was 5.2 per 1000 among men and 5.9 per 1000 among women. All-cause mortality in the first and second weeks following release for men was 37 and 26 deaths per 1000 per annum, respectively (95% of which were drug-related). There were 47 and 38 deaths per 1000 per annum, respectively, among women, all of which were drug-related. In the first year after prison release, there were 342 male deaths (45.8 were expected in the general population) and there were 100 female deaths (8.3 expected in the general population). Drug-related deaths were attributed mainly to substance use disorders and drug overdose. Coronial records cited the involvement of opioids in 95% of deaths, benzodiazepines in 20%, cocaine in 14% and tricyclic antidepressants in 10%. Drug-related deaths among men were more likely to involve heroin and deaths among women were more likely to involve benzodiazepines, cocaine and tricyclic antidepressants. CONCLUSIONS: Newly released male and female prisoners are at acute risk of drug-related death. Appropriate prevention measures include overdose awareness education, opioid maintenance pharmacotherapy, planned referral to community-based treatment services and a community overdose-response using opioid antagonists.</t>
  </si>
  <si>
    <t>J2: Addiction; Farrell, Michael Marsden, John Comment in: Addiction. 2008 Feb;103(2):256-7; PMID: 18199305; ID: 366</t>
  </si>
  <si>
    <t>Farrell,Michael. National Addiction Centre, Division of Psychological Medicine and Psychiatry, Institute of Psychiatry, King's College London, UK. m.farrell@iop.kcl.ac.uk</t>
  </si>
  <si>
    <t>http://ovidsp.ovid.com/ovidweb.cgi?T=JS&amp;CSC=Y&amp;NEWS=N&amp;PAGE=fulltext&amp;D=med5&amp;AN=18199304</t>
  </si>
  <si>
    <t>http://dx.doi.org/10.1111/j.1360-0443.2007.02081.x</t>
  </si>
  <si>
    <t>MEDLINE; Ovid Technologies; Acute risk of drug-related death among newly released prisoners in England and Wales</t>
  </si>
  <si>
    <t>Fawcett,J. P.;Morgan,N. C.;Woods,D. J.</t>
  </si>
  <si>
    <t>Formulation and stability of naltrexone oral liquid for rapid withdrawal from methadone</t>
  </si>
  <si>
    <t>Administration, Oral;Adult;Drug Compounding;Drug Stability;Female;Humans;Male;Methadone;*Naltrexone/ad Administration &amp; Dosage];Naltrexone/ae Adverse Effects];Naltrexone/ch Chemistry];*Narcotic Antagonists/ad Administration &amp; Dosage];Narcotic Antagonists/ae Adverse Effects];Narcotic Antagonists/ch Chemistry];Substance Withdrawal Syndrome/et Etiology];*Substance-Related Disorders/dt Drug Therapy];0 (Narcotic Antagonists);5S6W795CQM (Naltrexone);UC6VBE7V1Z (Methadone)</t>
  </si>
  <si>
    <t>OBJECTIVE: To assess the stability of naltrexone oral liquid prepared from tablets and powder, and to evaluate its use in precipitating rapid withdrawal from methadone. DESIGN: Naltrexone 1 mg/mL oral liquids were prepared from tablets and powder and stored in the dark at 4, 25, and 70 degrees C. Similar formulations containing 5 mg/mL were stored at 70 degrees C. The 1-mg/mL formulation prepared from tablets was clinically evaluated in inducing rapid withdrawal in two drug-dependent individuals receiving methadone maintenance treatment using a naltrexone dose titration protocol. SETTING: A university pharmacy school and affiliated urban teaching hospital. MAIN OUTCOME MEASURES: Samples removed at six time points were analyzed for naltrexone concentration to assess decomposition over 90 days. An opioid withdrawal symptom checklist was used to assess the severity of the withdrawal symptoms prior to, and 30 minutes after, each dose of naltrexone. RESULTS: Decomposition of naltrexone in all formulations stored at 4 and 25 degrees C was not significant over 90 days. Both patients tolerated naltrexone 1 mg/mL oral liquid, but found it bitter and gritty. Withdrawal symptoms were experienced immediately after the first dose, but were resolving by the end of day 3 of naltrexone treatment, at which stage both patients were able to tolerate a 50-mg tablet of naltrexone as maintenance. CONCLUSIONS: Naltrexone 1 mg/mL oral liquids prepared from tablets or powder are stable when stored in the dark for 60 days at 4 degrees C and for 30 days at 25 degrees C. The formulation prepared from tablets provides flexible dosing in patients undergoing rapid withdrawal from methadone.</t>
  </si>
  <si>
    <t>J2: Ann Pharmacother; Fawcett, J P Morgan, N C Woods, D J; ID: 596</t>
  </si>
  <si>
    <t>Fawcett,J P. School of Pharmacy, University of Otago, Dunedin, New Zealand.</t>
  </si>
  <si>
    <t>http://ovidsp.ovid.com/ovidweb.cgi?T=JS&amp;CSC=Y&amp;NEWS=N&amp;PAGE=fulltext&amp;D=med4&amp;AN=9391680</t>
  </si>
  <si>
    <t>MEDLINE; Ovid Technologies; Formulation and stability of naltrexone oral liquid for rapid withdrawal from methadone</t>
  </si>
  <si>
    <t>Feifer,R. A.;Aubert,R.;Verbrugge,R. R.;Khalid,M.</t>
  </si>
  <si>
    <t>Disease management opportunities for chronic obstructive pulmonary disease: gaps between guidelines and current practice</t>
  </si>
  <si>
    <t>Disease Management</t>
  </si>
  <si>
    <t>156 14p</t>
  </si>
  <si>
    <t>Pulmonary Disease, Chronic Obstructive;Disease Management;Questionnaires;Self Report;Quality of Life;Chi Square Test;Drug Utilization;Health Resource Utilization;Data Analysis, Statistical;Data Analysis Software;Descriptive Statistics;P-Value;Productivity;Smoking -- Epidemiology;Immunization -- Trends;Pulmonary Disease, Chronic Obstructive -- Education;Patient Education;Middle Age;Aged;Aged, 80 and Over;Male;Female;Human</t>
  </si>
  <si>
    <t>Chronic obstructive pulmonary disease (COPD) is a highly prevalent condition with broad economic impacts. It presents a major opportunity for healthcare cost reduction and improved functional status. This study measures the gaps between current treatment practices and recently issued guidelines, and identifies the primary opportunities for COPD disease management. COPD patients (n = 1,036) were initially identified using pharmacy claims data on outpatient respiratory medication use. Through a health assessment survey, they confirmed their diagnosis and reported on their medical resource use, vaccinations, smoking, and healthrelated quality of life (QOL). Drug utilization was measured using a 12-month retrospective review of prescription claims. Patients were stratified by severity level based on QOL scores. A large subset of patients (25.7%) did not use inhaled bronchodilators, the preferred first-line therapy in COPD guidelines; instead, these patients used oral bronchodilators (8.1%) or no bronchodilator at all (17.6%). Inhaled corticosteroids (ICSs) were used by 54.8% of patients. Many patients had not received an influenza vaccination during the previous year (20.7%) or a pneumococcal vaccination during their lifetime (28.3%). Some patients continue to smoke on a regular basis (11.8%). A majority of patients reported that they do not feel knowledgeable about their disease (52.2%) or therapy (53.2%). In summary, significant gaps exist between COPD treatment guidelines and clinical practice, including underuse of inhaled bronchodilators, extensive use of ICSs, and underuse of vaccinations. To reduce the condition's clinical and economic impacts, COPD disease management programs need to target four key areas: pharmacotherapy, vaccination rates, smoking cessation, and patient education.</t>
  </si>
  <si>
    <t>Entry Date: 20030103. Revision Date: 20150820. Publication Type: Journal Article; research; tables/charts. Journal Subset: Health Services Administration; Peer Reviewed; USA. Instrumentation: AQ30 Instrument for Assessing Respiratory QOL; St. George's Respiratory Questionnaire (SGRQ). NLM UID: 9802539.; ID: 1873</t>
  </si>
  <si>
    <t>1093-507X</t>
  </si>
  <si>
    <t>Department of Medical Affairs, Medco Health, 100 Parsons Pond Drive, F2-2, Franklin Lakes, NJ 07417; richard_feifer@medcohealth.com</t>
  </si>
  <si>
    <t>http://proxy.lib.umich.edu/login?url=http://search.ebscohost.com/login.aspx?direct=true&amp;db=ccm&amp;AN=106793065&amp;site=ehost-live&amp;scope=site</t>
  </si>
  <si>
    <t>ccm; EBSCOhost; Disease management opportunities for chronic obstructive pulmonary disease: gaps between guidelines and current practice</t>
  </si>
  <si>
    <t>Feinberg,M. V.;Michocki,R. J.</t>
  </si>
  <si>
    <t>Clinical and regulatory concerns in Alzheimer's disease management: role of the pharmacist</t>
  </si>
  <si>
    <t>55 Suppl 2</t>
  </si>
  <si>
    <t>S26</t>
  </si>
  <si>
    <t>*Alzheimer Disease/dt Drug Therapy];Antidepressive Agents/tu Therapeutic Use];Antipsychotic Agents/tu Therapeutic Use];Caregivers;Cholinesterase Inhibitors/tu Therapeutic Use];Humans;*Pharmacists;Sleep Wake Disorders/dt Drug Therapy];0 (Antidepressive Agents);0 (Antipsychotic Agents);0 (Cholinesterase Inhibitors)</t>
  </si>
  <si>
    <t>The role of the pharmacist in managing Alzheimer's disease (AD) is discussed. Health-system pharmacists can play a critical role in the management of AD, provided they remain up-to-date on new drug therapies, recent clinical findings, and educational resources for caregivers and families. Pharmacists in a long-term-care setting must know and apply the federal regulations set forth in the Omnibus Budget Reconciliation Act of 1987. Pharmacists have an excellent opportunity to optimize pharmacotherapy by carefully reviewing treatment regimens to identify potential drug-related problems. These might include improper drug selection, inappropriate dosage, adverse drug reactions, and interactions. Pharmacists should encourage the use of cholinesterase inhibitors in patients with mild to moderate AD and should monitor such therapy by interacting with nurses, physicians, and caregivers. AD patients not only suffer cognitive decline but may have psychiatric and behavioral disturbances, which can be especially problematic for the caregiver. When possible, these disturbances should be managed by nonpharmacologic strategies, such as environmental changes and behavior modification. The pharmacist can recommend and monitor the use of psychotropic agents for psychiatric and behavioral symptoms that do not respond to nonpharmacologic strategies. These drugs must be carefully selected and monitored, and gradual dosage reductions must be periodically attempted. Finally, pharmacists should provide caregivers and families with education, emotional support, and referrals. Pharmacists who are well-grounded in the regulatory and clinical issues surrounding AD can play a major role in managing this illness. References: 23]</t>
  </si>
  <si>
    <t>J2: Am J Health-Syst Pharm; Feinberg, M V Michocki, R J; ID: 576</t>
  </si>
  <si>
    <t>Feinberg,M V. Department of Pharmacy Practice and Science, University of Maryland, Baltimore 21201, USA. feinberg@pharmacy.ab.umd.edu</t>
  </si>
  <si>
    <t>http://ovidsp.ovid.com/ovidweb.cgi?T=JS&amp;CSC=Y&amp;NEWS=N&amp;PAGE=fulltext&amp;D=med4&amp;AN=9809109</t>
  </si>
  <si>
    <t>MEDLINE; Ovid Technologies; Clinical and regulatory concerns in Alzheimer's disease management: role of the pharmacist</t>
  </si>
  <si>
    <t>Ferketich,A. K.;Gallus,S.;Colombo,P.;Apolone,G.;Rossi,S.;Zuccaro,P.;La Vecchia,C.</t>
  </si>
  <si>
    <t>Use of pharmacotherapy while attempting cessation among Italian smokers</t>
  </si>
  <si>
    <t>European Journal of Cancer Prevention</t>
  </si>
  <si>
    <t>Adolescent;Adult;Aged;*Drug Therapy/ut Utilization];Female;Humans;Italy/ep Epidemiology];Male;Middle Aged;Prevalence;*Smoking/ep Epidemiology];Smoking/th Therapy];*Smoking Cessation/mt Methods];Smoking Cessation/sn Statistics &amp; Numerical Data];*Tobacco Use Disorder/dt Drug Therapy];Tobacco Use Disorder/ep Epidemiology];Young Adult</t>
  </si>
  <si>
    <t>The objective of this study was to examine the use of pharmacotherapy while attempting smoking cessation among current smokers and also the prevalence of use among former smokers in Italy. The data for this study were collected as part of six Italian tobacco surveys conducted between the years 2002 and 2007 on a total of 19 459 Italians aged 15 years and older. These surveys were designed to be representative of the Italian population with respect to age and sex. The current smoker analysis involved estimating the prevalence and the 95% confidence interval of use of pharmacotherapy among smokers in any previous quit attempt. Age-adjusted and sex-adjusted odds ratios and 95% confidence intervals were also estimated. The former smoker analysis involved estimating the prevalence of use of pharmacotherapy to assist in cessation for smokers who quit between 1995 and 2006 in an attempt to determine if it was being used with increasing frequency over time. Among 1854 smokers who had made at least one quit attempt in the past, 9.4% reported using pharmacotherapy during at least one attempt. Use of pharmacotherapy was related to smoking intensity, education level, and age. Among former smokers, pharmacotherapy use for cessation ranged between 0 and 4.9%. Methods to increase the use of pharmacotherapy for smoking cessation need to be enhanced in Italy because these products are not reaching a large majority of smokers. One possible solution is to add pharmacotherapy to the list of medications covered by the National Health Service.</t>
  </si>
  <si>
    <t>J2: Eur J Cancer Prev; Ferketich, Amy K Gallus, Silvano Colombo, Paolo Apolone, Giovanni Rossi, Silvia Zuccaro, Piergiorgio La Vecchia, Carlo; ID: 344</t>
  </si>
  <si>
    <t>1473-5709</t>
  </si>
  <si>
    <t>Ferketich,Amy K. Division of Epidemiology, The Ohio State University College of Public Health, Columbus, Ohio 43210, USA. aferketich@cph.osu.edu</t>
  </si>
  <si>
    <t>http://ovidsp.ovid.com/ovidweb.cgi?T=JS&amp;CSC=Y&amp;NEWS=N&amp;PAGE=fulltext&amp;D=med5&amp;AN=19077570</t>
  </si>
  <si>
    <t>http://dx.doi.org/10.1097/CEJ.0b013e328305a0d9</t>
  </si>
  <si>
    <t>MEDLINE; Ovid Technologies; Use of pharmacotherapy while attempting cessation among Italian smokers</t>
  </si>
  <si>
    <t>Fernandes,O.;Gorman,S.;Slavik,R.;Semchuk,W.;Doucette,D.;Bannerman,H.;Lo,J.;Shukla,S.;Chan,W.;Benninger,N.;MacKinnon,N.;Bell,C.;Slobodan,J.;Lyder,C.;Zed,P.;Toombs,K.;Author,Addresses;University,Health Network;Interior,Health Authority;Regina Qu'Appelle,Health Region;Horizon,Health Network;University,of;Toronto,Toronto Canada;University of Arizona, Tucson,United States;Mount,Sinai Hospital;Alberta Health Services, Red,Deer Canada;Canadian Society of,Hospital Pharmacists;University of,British Columbia;Capital District,Health Authority;Correspondence,Address;Fernandes, University Health Network Toronto Canada,O.</t>
  </si>
  <si>
    <t>What are the appropriate clinical pharmacy key performance indicators for hospital pharmacists?</t>
  </si>
  <si>
    <t>e208</t>
  </si>
  <si>
    <t>American;clinical pharmacy;college;hospital;human;pharmacist;Canadian;consensus;Delphi study;drug therapy;education;health care;hospital pharmacy;Internet;Likert scale;medication therapy management;patient;patient care;pharmaceutical care</t>
  </si>
  <si>
    <t>PURPOSE: Key performance indicators are quantifiable measures of quality. There are currently no published, systematicallyderived clinical pharmacy key performance indicators (cpKPI). A working group of Canadian hospital pharmacists aimed to develop national cpKPI to advance clinical pharmacy practice and improve patient care. METHODS: A cpKPI working group systematically and sequentially established a cpKPI consensus definition, eight evidencederived cpKPI critical activity areas, 26 candidate cpKPI, and 11 cpKPI ideal attributes in addition to one overall consensus criterion. Over a 3-month period, 26 clinical pharmacists and hospital pharmacy leaders participated in a 3-round modified Delphi survey. Using an Internet-based, pre-tested survey instrument, panelists independently rated the 26 candidate cpKPI using the 11 cpKPI ideal attributes and one overall consensus criterion on a 9- point Likert scale. A meeting was facilitated between rounds 2 and 3 to debate the merits of each candidate cpKPI and clarify wording. Consensus was reached if 75% or more of the panelists assigned a score of 7-9 on the consensus criterion during the third Delphi round. RESULTS: All panelists completed the three Delphi rounds and 25/26 (96%) attended the meeting. Eight candidate cpKPI of activities performed by pharmacists met the consensus definition after the third Delphi round: (i) performing admission medication reconciliation (including best possible medication history); (ii) participating in inter-professional patient care rounds; (iii) completing pharmaceutical care plans; (iv) resolving drug therapy problems; (v) providing in- person disease and medication education to patients (vi) providing discharge patient medication education; (vii) performing discharge medication reconciliation; and (viii) providing bundled, proactive direct patient care activities. CONCLUSIONS: A Delphi panel of hospital pharmacists was successful in determining eight consensus cpKPI. Measurement and assessment of these cpKPI, which are believed to be generalizable to other health systems, will serve to advance clinical pharmacy practice and improve patient care.</t>
  </si>
  <si>
    <t>(Fernandes O.) (Gorman S.; Slavik R.) (Semchuk W.) (Doucette D.) (Bannerman H.; Lo J.; Shukla S.; Chan W.; Benninger N.) (MacKinnon N.) (Bell C.) (Slobodan J.) (Lyder C.) (Zed P.) (Toombs K.) 2013 Annual Meeting of the American College of Clinical Pharmacy, ACCP 2013 Albuquerque, NM, United States 2013-10-13 to 2013-10-16 Pharmacotherapy Publications Inc.; ID: 981</t>
  </si>
  <si>
    <t>Fernandes,O.;Gorman,S. K.;Slavik,R. S.;Semchuk,W. M.;Shalansky,S.;Bussieres,J. F.;Doucette,D.;Bannerman,H.;Lo,J.;Shukla,S.;Chan,W. W.;Benninger,N.;MacKinnon,N. J.;Bell,C. M.;Slobodan,J.;Lyder,C.;Zed,P. J.;Toombs,K.</t>
  </si>
  <si>
    <t>Development of clinical pharmacy key performance indicators for hospital pharmacists using a modified Delphi approach</t>
  </si>
  <si>
    <t>Consensus;Delphi Technique;Humans;*Medication Reconciliation/mt Methods];Patient Discharge;*Pharmacists/og Organization &amp; Administration];Pharmacists/st Standards];*Pharmacy Service, Hospital/og Organization &amp; Administration];Pharmacy Service, Hospital/st Standards]</t>
  </si>
  <si>
    <t>BACKGROUND: Key performance indicators (KPIs) are quantifiable measures of quality. There are no published, systematically derived clinical pharmacy KPIs (cpKPIs). OBJECTIVE: A group of hospital pharmacists aimed to develop national cpKPIs to advance clinical pharmacy practice and improve patient care. METHODS: A cpKPI working group established a cpKPI definition, 8 evidence-derived cpKPI critical activity areas, 26 candidate cpKPIs, and 11 cpKPI ideal attributes in addition to 1 overall consensus criterion. Twenty-six clinical pharmacists and hospital pharmacy leaders participated in an internet-based 3-round modified Delphi survey. Panelists rated 26 candidate cpKPIs using 11 cpKPI ideal attributes and 1 overall consensus criterion on a 9-point Likert scale. A meeting was facilitated between rounds 2 and 3 to debate the merits and wording of candidate cpKPIs. Consensus was reached if 75% or more of panelists assigned a score of 7 to 9 on the consensus criterion during the third Delphi round. RESULTS: All panelists completed the 3 Delphi rounds, and 25/26 (96%) attended the meeting. Eight candidate cpKPIs met the consensus definition: (1) performing admission medication reconciliation (including best-possible medication history), (2) participating in interprofessional patient care rounds, (3) completing pharmaceutical care plans, (4) resolving drug therapy problems, (5) providing in-person disease and medication education to patients, (6) providing discharge patient medication education, (7) performing discharge medication reconciliation, and (8) providing bundled, proactive direct patient care activities. CONCLUSIONS: A Delphi panel of hospital pharmacists was successful in determining 8 consensus cpKPIs. Measurement and assessment of these cpKPIs will serve to advance clinical pharmacy practice and improve patient care.Copyright ‚î¨‚åê The Author(s) 2015.</t>
  </si>
  <si>
    <t>J2: Ann Pharmacother; Fernandes, Olavo Gorman, Sean K Slavik, Richard S Semchuk, William M Shalansky, Steve Bussieres, Jean-Francois Doucette, Douglas Bannerman, Heather Lo, Jennifer Shukla, Simone Chan, Winnie W Y Benninger, Natalie MacKinnon, Neil J Bell, Chaim M Slobodan, Jeremy Lyder, Catherine Zed, Peter J Toombs, Kent; ID: 24</t>
  </si>
  <si>
    <t>Fernandes,Olavo. University Health Network Pharmacy Department, Toronto, ON, Canada University of Toronto, Toronto, ON, Canada. Gorman,Sean K. Interior Health Pharmacy Services, Kelowna, BC, Canada The University of British Columbia, Vancouver, BC, Canada cpKPICollaborative@gmail.com. Slavik,Richard S. Interior Health Pharmacy Services, Kelowna, BC, Canada The University of British Columbia, Vancouver, BC, Canada. Semchuk,William M. Regina Qu'Appelle Health Region Pharmacy Services, Regina, SK, Canada University of Saskatchewan, Saskatoon, SK, Canada. Shalansky,Steve. The University of British Columbia, Vancouver, BC, Canada Lower Mainland Pharmacy Services, Providence Healthcare, Vancouver, BC, Canada. Bussieres,Jean-Francois. Departement de pharmacie et unite de recherche en pratique pharmaceutique, CHU Sainte-Justine, Montreal, QC, Canada Universite de Montreal, QC, Canada. Doucette,Douglas. Horizon Health Network Pharmacy Services, Moncton, NB, Canada Dalhousie University, Halifax, NS, Canada. Bannerman,Heather. McMaster University, Hamilton, ON, Canada. Lo,Jennifer. Sunnybrook Health Sciences Centre Pharmacy Department, Toronto, ON, Canada. Shukla,Simone. Foothills Medical Centre Pharmacy Department, Calgary, AB, Canada. Chan,Winnie W Y. St Michael's Hospital Pharmacy Department, Toronto, ON, Canada. Benninger,Natalie. University Health Network-Toronto Rehabilitation Institute Pharmacy Department, Toronto, ON, Canada. MacKinnon,Neil J. James L Winkle College of Pharmacy, University of Cincinnati, Cincinnati, OH, USA. Bell,Chaim M. University of Toronto, Toronto, ON, Canada Mount Sinai Hospital, Toronto, ON, Canada Institute for Clinical Evaluative Sciences (ICES), Toronto, ON, Canada. Slobodan,Jeremy. Alberta Health Services Pharmacy Services, Red Deer, AB, Canada. Lyder,Catherine. Canadian Society of Hospital Pharmacists, Ottawa, ON, Canada. Zed,Peter J. The University of British Columbia, Vancouver, BC, Canada. Toombs,Kent. Capital District Health (TRUNCATED)</t>
  </si>
  <si>
    <t>http://ovidsp.ovid.com/ovidweb.cgi?T=JS&amp;CSC=Y&amp;NEWS=N&amp;PAGE=fulltext&amp;D=medl&amp;AN=25780250</t>
  </si>
  <si>
    <t>http://dx.doi.org/10.1177/1060028015577445</t>
  </si>
  <si>
    <t>MEDLINE; Ovid Technologies; Development of clinical pharmacy key performance indicators for hospital pharmacists using a modified Delphi approach</t>
  </si>
  <si>
    <t>Ferreri,S.;Roth,M. T.;Casteel,C.;Demby,K. B.;Blalock,S. J.</t>
  </si>
  <si>
    <t>Methodology of an ongoing, randomized controlled trial to prevent falls through enhanced pharmaceutical care</t>
  </si>
  <si>
    <t>American Journal of Geriatric Pharmacotherapy</t>
  </si>
  <si>
    <t>*Accidental Falls/pc Prevention &amp; Control];Aged;Aged, 80 and over;Algorithms;*Community Pharmacy Services;Female;Follow-Up Studies;Humans;Male;Multicenter Studies as Topic;*Randomized Controlled Trials as Topic/mt Methods];Research Design</t>
  </si>
  <si>
    <t>BACKGROUND: Falls are the leading cause of both fatal and nonfatal injuries among adults aged &gt; or =65 years in the United States. Past research suggests that individuals taking multiple medications are at increased risk of falls. Central nervous system-active drugs in particular have been associated with increased risk. OBJECTIVE: The goal of this research was to describe the design of a study evaluating the effectiveness of a community pharmacy-based falls prevention program. Also presented are the algorithms used to identify high-risk patients based on their prescription profile records and to deliver the experimental intervention. METHODS: The study is a randomized controlled trial. The target population was community-dwelling older adults (aged &gt; or =65 years) at high risk for future falls because: (1) they had experienced &gt; or =1 fall within the 12-month period preceding study enrollment; (2) they were currently using &gt; or =4 chronic prescription medications; and (3) they were taking &gt; or =1 of the high-risk medications targeted by the intervention. Participants were recruited using pharmacy prescription profile records. Individuals in the intervention group received a face-to-face medication consultation provided by a community pharmacy resident. Identification of drug therapy problems and therapeutic recommendations was guided by a series of algorithms developed for this study. All participants were followed up for 24 months. The primary study end points were: (1) time to first fall; and (2) proportion of participants who experienced &gt; or =1 fall during the first year of follow-up. RESULTS: Participant enrollment began in September 2005 and was completed in August 2007. A total of 186 individuals were enrolled in the study (mean SD] age, 74.8 6.9] years; 132 women, 54 men), and 67 have completed the first year of follow-up. CONCLUSIONS: The study is using a rigorous randomized controlled research design, which will enhance the internal validity of its findings. Results of the study, which will be reported after the completion of follow-up data collection activities, will enable us to assess the effects of the intervention on both medication use and the incidence of falls. If the intervention is found to be effective, it will provide a resource for community pharmacists working with older adults at high risk of medication-related falls.</t>
  </si>
  <si>
    <t>J2: Am J Geriatr Pharmacother; Ferreri, Stefanie Roth, Mary T Casteel, Carri Demby, Karen B Blalock, Susan J R49 CE000196 (United States NCIPC CDC HHS); ID: 357</t>
  </si>
  <si>
    <t>1543-5946</t>
  </si>
  <si>
    <t>Ferreri,Stefanie. Division of Pharmacy Practice and Experiential Education, School of Pharmacy, University of North Carolina at Chapel Hill, Chapel Hill, North Carolina 27599-7360, USA.</t>
  </si>
  <si>
    <t>http://ovidsp.ovid.com/ovidweb.cgi?T=JS&amp;CSC=Y&amp;NEWS=N&amp;PAGE=fulltext&amp;D=med5&amp;AN=18675765</t>
  </si>
  <si>
    <t>http://dx.doi.org/10.1016/j.amjopharm.2008.06.005</t>
  </si>
  <si>
    <t>MEDLINE; Ovid Technologies; Methodology of an ongoing, randomized controlled trial to prevent falls through enhanced pharmaceutical care</t>
  </si>
  <si>
    <t>Feutrier,C.;Pasquier,F.;Charpiat,B.;Ducerf,C.;Bailly,F.;Leboucher,G.;Author,Addresses;Department,of;Pharmacy,France;Department,of Surgery;Department of Digestive Diseases, Hospices Civils de,Lyon Lyon;France;Correspondence,Address;Feutrier, Department of Pharmacy France,C.</t>
  </si>
  <si>
    <t>Identifying the needs of liver-transplant patients concerning therapeutic education</t>
  </si>
  <si>
    <t>immunosuppressive agent;clinical pharmacy;education;human;liver graft;patient;patient education;quality of life;addiction;competence;consultation;death;education program;health care;health care personnel;hospital;hospitalization;informed consent;interpersonal communication;interview;personal experience;risk;satisfaction;semi structured interview;side effect;skill;surgery;transplantation;welfare</t>
  </si>
  <si>
    <t>Introduction Since March 1999, a pharmaceutical therapeutic education consultation has been held to liver-transplant patients (35 patients/year) within our hospital. Educational and communication techniques based on Calgary- Cambridge interview are used. However, given the complexity of the situation of these patients, educational care cannot be limited to pharmaceutical competences. The aim of our work was to identify educational fields mentioned by patients. Materials &amp; Methods A semi-structured interview was proposed to pre and post-transplanted patients during a hospital stay or a consultation in the hepatology or surgery departments. Open questions were related to their real-life experiences through the health system since the announcement of the transplantation project. 40 Questions related to the disease, transplant, treatments and daily life allows us to specify their needs. Patients answered on a four levels appreciation scale (fully, rather, not really, not at all). Results 14 patients (average age: 53) interviewed. 86% transplanted. 93% Declared their satisfaction by the overall care they get. 43% Told that it is or was hard to consider the transplantation plan (risk of death, complications, addiction). Among the transplant patients 92% mentioned their immunosuppressant treatment (75% named the drugs). 50% Expressed that they didn't know how to cope with side effects and 57% would like to have more knowledge. 70% declared their will to deepen their knowledge of the disease, 36% the transplant (informed consent, potential adverse events). During the pre-transplant period, these needs are rather of practical order (welfare payments) or involved knowledge of the disease and future treatments. Patients who have been transplanted for less than 3 months express their difficulties dealing with the side effects of drugs, the lack of psychological support... The other patients evoked their difficulties to overcome the posttransplant complications from which they didn't receive sufficient information. The families also expressed their need to be accompanied by attending talking groups. 79% would like to benefit from therapeutic education consultation. Discussion &amp; Conclusion This work highlights that educational needs are still different and strongly related to the patient status regarding the pre- or post-transplantation phase. The possibility to have a privileged interlocutor among the therapeutic educational team seems to be important. This work allowed us to create a framework of skills truly based on patients' needs. Keeping in mind the necessity of coordinating the discourse within professionals, we now have to define the needs required to implement an extension of the initial education program (nature and amount of health care professional resources, training, tools and evaluation).</t>
  </si>
  <si>
    <t>(Feutrier C.; Pasquier F.; Charpiat B.; Leboucher G.) (Ducerf C.) (Bailly F.) 39th ESCP European Symposium on Clinical Pharmacy and 13th SFPC Congress: Clinical Pharmacy at the Front Line of Innovations Lyon, France 2010-10-21 to 2010-10-23 Springer Netherlands; ID: 1283</t>
  </si>
  <si>
    <t>Fincham,J. E.</t>
  </si>
  <si>
    <t>PMC3508478; Importance of alcohol awareness and issues in curricula</t>
  </si>
  <si>
    <t>Alcohol Drinking/ae Adverse Effects];*Alcohol Drinking/ep Epidemiology];Alcohol-Related Disorders/ep Epidemiology];*Curriculum;*Education, Pharmacy/mt Methods];Faculty/og Organization &amp; Administration];Humans;Pharmaceutical Services/og Organization &amp; Administration];Pharmacists/og Organization &amp; Administration];*Public Health;Students, Pharmacy;United States/ep Epidemiology]</t>
  </si>
  <si>
    <t>J2: Am J Pharm Educ; Fincham, Jack E; ID: 161</t>
  </si>
  <si>
    <t>Fincham,Jack E. School of Pharmacy, The University of Missouri Kansas City, Kansas City, MO 64108, USA. finchamj@umkc.edu</t>
  </si>
  <si>
    <t>http://ovidsp.ovid.com/ovidweb.cgi?T=JS&amp;CSC=Y&amp;NEWS=N&amp;PAGE=fulltext&amp;D=medl&amp;AN=23193328</t>
  </si>
  <si>
    <t>http://dx.doi.org/10.5688/ajpe769164</t>
  </si>
  <si>
    <t>MEDLINE; Ovid Technologies; Importance of alcohol awareness and issues in curricula</t>
  </si>
  <si>
    <t>Fine,R. L.</t>
  </si>
  <si>
    <t>PMC1769525; Ethical and practical issues with opioids in life-limiting illness</t>
  </si>
  <si>
    <t>Baylor University Medical Center Proceedings</t>
  </si>
  <si>
    <t>Effective pain relief, especially at the end of life, is a primary ethical obligation based upon the principles of beneficence, nonmaleficence, patient autonomy, and particularly the concept of double effect. The pragmatic foundation of pain management begins with a complete assessment, which incorporates "WILDA" (words, intensity, location, duration, aggravating/alleviating factors) and considers the components of total pain: physical, emotional, social, and spiritual pain. Opioids are the pharmacologic sine qua non of pain management in life-limiting illness and should be prescribed based on the severity of pain, considering the functional and psychological significance of that severity. Numerous misunderstandings present a barrier to effective pain management. These misconceptions include the idea that opioids are highly addictive, that dependence or tolerance are forms of addiction, that respiratory depression is common with opioids, that opioids have a narrow therapeutic range, and that opioids are ineffective by mouth and cause too much nausea. In reality, opioids are the safest and most effective pain medicine for most moderate to severe pain in most patients. Aspects of basic opioid pharmacology, such as dosage, route of administration, rotation of drugs, and the avoidance of toxicity and complications, should be considered when initiating and maintaining therapy. Failure to pay attention to the basic rules can lead to errors in opioid management.</t>
  </si>
  <si>
    <t>J2: Baylor Univ Med Cent Proc; Fine, Robert L; ID: 256</t>
  </si>
  <si>
    <t>0899-8280</t>
  </si>
  <si>
    <t>Fine,Robert L. Office of Clinical Ethics, Baylor Health Care System, and Palliative Care Consultation Service, Baylor University Medical Center, Dallas, Texas.</t>
  </si>
  <si>
    <t>http://ovidsp.ovid.com/ovidweb.cgi?T=JS&amp;CSC=Y&amp;NEWS=N&amp;PAGE=fulltext&amp;D=prem&amp;AN=17256034</t>
  </si>
  <si>
    <t>MEDLINE; Ovid Technologies; Ethical and practical issues with opioids in life-limiting illness</t>
  </si>
  <si>
    <t>Finlay,A. K.;Binswanger,I. A.;Smelson,D.;Sawh,L.;McGuire,J.;Rosenthal,J.;Blue-Howells,J.;Timko,C.;Blodgett,J. C.;Harris,A. H.;Asch,S. M.;Frayne,S.</t>
  </si>
  <si>
    <t>Sex differences in mental health and substance use disorders and treatment entry among justice-involved Veterans in the Veterans Health Administration</t>
  </si>
  <si>
    <t>Medical care</t>
  </si>
  <si>
    <t>Med.Care</t>
  </si>
  <si>
    <t>S105</t>
  </si>
  <si>
    <t>Adult;Female;Humans;Male;*Mental Disorders/ep Epidemiology];Middle Aged;Prevalence;*Prisoners;Retrospective Studies;Risk Factors;Sex Factors;*Substance-Related Disorders/ep Epidemiology];United States/ep Epidemiology];*United States Department of Veterans Affairs;*Veterans;*Women's Health</t>
  </si>
  <si>
    <t>BACKGROUND: Over half of veterans in the criminal justice system have mental health or substance use disorders. However, there is a critical lack of information about female veterans in the criminal justice system and how diagnosis prevalence and treatment entry differ by sex. OBJECTIVES: To document prevalence of mental health and substance use disorder diagnoses and treatment entry rates among female veterans compared with male veterans in the justice system. RESEARCH DESIGN: Retrospective cohort study using national Veterans Health Administration clinical/administrative data from veterans seen by Veterans Justice Outreach Specialists in fiscal years 2010-2012. SUBJECTS: A total of 1535 females and 30,478 male veterans were included. MEASURES: Demographic characteristics (eg, sex, age, residence, homeless status), mental health disorders (eg, depression, post-traumatic stress disorder), substance use disorders (eg, alcohol and opioid use disorders), and treatment entry (eg, outpatient, residential, pharmacotherapy). RESULTS: Among female veterans, prevalence of mental health and substance use disorders was 88% and 58%, respectively, compared with 76% and 72% among male veterans. Women had higher odds of being diagnosed with a mental health disorder adjusted odds ratio (AOR)=1.98; 95% confidence interval (CI), 1.68-2.34] and lower odds of being diagnosed with a substance use disorder (AOR=0.50; 95% CI, 0.45-0.56) compared with men. Women had lower odds of entering mental health residential treatment (AOR=0.69; 95% CI, 0.57-0.83). CONCLUSIONS: Female veterans involved in the justice system have a high burden of mental health disorders (88%) and more than half have substance use disorders (58%). Entry to mental health residential treatment for women is an important quality improvement target.</t>
  </si>
  <si>
    <t>J2: Med Care; Finlay, Andrea K Binswanger, Ingrid A Smelson, David Sawh, Leon McGuire, Jim Rosenthal, Joel Blue-Howells, Jessica Timko, Christine Blodgett, Janet C Harris, Alex H S Asch, Steven M Frayne, Susan; ID: 46</t>
  </si>
  <si>
    <t>1537-1948</t>
  </si>
  <si>
    <t>Finlay,Andrea K. *Center for Innovation to Implementation (Ci2i), Substance Use Disorder Quality Research Enhancement Initiative, VA Palo Alto Health Care System, Menlo Park, CA +Division of General Internal Medicine University of Colorado School of Medicine, Community Health Services, Denver Health Medical Center, Denver, CO ++National Center on Homelessness Among Veterans, Edith Nourse Rogers Memorial Veterans Hospital, Bedford, MA Department of Psychiatry, University of Massachusetts Medical School, Worcester, MA School of Criminology and Justice Studies, University of Massachusetts, Lowell, Bedford, MA PDepartment of Veterans Affairs, Veterans Justice Programs #Center for Innovation to Implementation (Ci2i), VA Palo Alto Health Care System, Menlo Park, CA **Department of Psychiatry and Behavioral Sciences ++Division of General Medical Disciplines, Stanford University School of Medicine, Menlo Park, CA.</t>
  </si>
  <si>
    <t>http://ovidsp.ovid.com/ovidweb.cgi?T=JS&amp;CSC=Y&amp;NEWS=N&amp;PAGE=fulltext&amp;D=medl&amp;AN=25767963</t>
  </si>
  <si>
    <t>http://dx.doi.org/10.1097/MLR.0000000000000271</t>
  </si>
  <si>
    <t>MEDLINE; Ovid Technologies; Sex differences in mental health and substance use disorders and treatment entry among justice-involved Veterans in the Veterans Health Administration</t>
  </si>
  <si>
    <t>Finlay,A. K.;Bowe,T.;Harris,A. S. H.;Author,Addresses;Veteran Aairs,Substance Use;Quality Enhancement Research Initiative, V A Palo Alto Health,Care System;Menlo Park,United States;Correspondence,Address;AK Finlay, Veteran Aairs Substance Use Disorder,Quality Enhancement;Research Initiative, V A Palo Alto Health Care System Menlo,Park United;States</t>
  </si>
  <si>
    <t>Access to and engagement in substance use disorder specialty treatment: Comparing justice-involved and other veterans</t>
  </si>
  <si>
    <t>67A</t>
  </si>
  <si>
    <t>alcohol;alcoholism;human;justice;society;substance abuse;veteran;criminal justice;diagnosis;diseases;drug therapy;drug use;employment;health;health care management;homelessness;housing;mental health;model;opiate addiction;outpatient;patient;risk;veterans health;vulnerable population</t>
  </si>
  <si>
    <t>Purpose: More than half of all Veterans involved in the criminal justice system have an alcohol or drug use disorder, andmany have other mental health conditions, medical conditions, and employment and housing challenges. Veterans Health Administration (VHA) has programs dedicated to connecting justice-involved Veterans with VHA services to treat substance use disorder (SUD) and mental health symptoms and reduce their risk for criminal justice recidivismand homelessness, but the success of these programs in achieving these goals is unknown. We examined the effectiveness of VHA linkage programs on access to and engagement in VHA SUD treatment among justiceinvolved Veterans with SUD conditions compared to non-justice-involved Veterans with SUD conditions. Methods: Among VHA patients who received a SUD diagnosis in fiscal year 2012, 28,608 justiceinvolved Veterans were compared with 472,985 non-justice involved Veterans in terms of access to and engagement in SUD specialty treatment within one year of initial diagnosis. The multi-level models of these outcomes included justice-involved status, demographics, type of SUD condition, presence of a co-occurringmental health, and a random effect for VHA facility (N=130) . Results: Justice-involved Veterans were more likely to access at least some SUD treatment compared to non-justice-involved Veterans (OR=3.54, 95%CI: 3.44-3.64). Engagement in addictionrelated treatment, defined as the number of visits, for outpatient sessions (b=0.83, p&lt;0.001) and inpatient/residential stays (b=0.63, p&lt;0.001) was greater for justice-involved Veterans. Among Veterans with alcohol dependence, utilization of pharmacotherapy was greater among justice-involved Veterans (OR=1.39, 95% CI: 1.33-1.46). However, among Veterans with opioid dependence, utilization of pharmacotherapy was lower among justice-involved Veterans (OR=0.82, 95%CI: 0.76-0.88). Conclusions: Despite the complex needs of this vulnerable population, VHA appears to be effectively connecting justice-involved Veterans with SUD outpatient and inpatient/residential treatment as well as pharmacotherapy for alcohol dependence compared to other Veterans with SUD conditions. Determining the key aspects of the linkage programs and expanding them to other Veterans would help increase access to and engagement in VHA SUD treatment services.</t>
  </si>
  <si>
    <t>(Finlay A.K.; Bowe T.; Harris A.S.H.) 37th Annual Scientific Meeting of the Research Society on Alcoholism, RSA 2014 Bellevue, WA, United States 2014-06-21 to 2014-06-25 Blackwell Publishing Ltd; ID: 901</t>
  </si>
  <si>
    <t>Finlay,A. K.;Smelson,D.;Timko,C.;McGuire,J.;Rosenthal,J.;Bowe,T.;Harris,A. H. S.;Author,Addresses;Veteran Aairs Substance Use,Disorder Quality;Research Initiative, V A Palo Alto Health Care System Menlo,Park United;States;Correspondence,Address;AK Finlay, Veteran Aairs Substance Use Disorder,Quality Enhancement;Research Initiative, V A Palo Alto Health Care System Menlo,Park United;States</t>
  </si>
  <si>
    <t>Justice-involved veterans: Substance use disorder conditions and utilization of care</t>
  </si>
  <si>
    <t>alcohol;alcoholism;human;justice;society;substance abuse;veteran;addiction;alcohol use disorder;community;criminal justice;diseases;drug therapy;drug use;health;health care;health care management;homelessness;mental health;outpatient;prevalence;prison;recidivism;risk;rural area;substance use;therapy;urban area;veterans health;vulnerable population</t>
  </si>
  <si>
    <t>Purpose: We examined alcohol and drug use disorders, co-occurrence with other mental health disorders, and utilization rates of substance use disorder (SUD) treatment among Veterans involved with the criminal justice system. Veterans comprise 10% of those in prison and other criminal justice settings and over half have SUD and mental health treatment needs. The Veterans Health Administration (VHA) connects justice-involved Veterans with VHA services through Veterans JusticeOutreach (VJO) for Veterans entering the justice system through arrests or courts, and Health Care for Reentry Veterans (HCRV) for Veterans transitioning back to the community following incarceration in prison. Connecting Veterans to SUD treatment services can help reduce criminal justice recidivism and homelessness; thus, we examine whether these programs provide treatment access and linkage for these vulnerable populations. Methods: Using VHA health records from fiscal years 2008-2012, we describe and compared 36,758 VJO Veterans with 26,293 HCRV Veterans in terms of diagnosed prevalence of alcohol and drug use disorders disorder, co-occurrence with mental health conditions, and utilization of addiction-related inpatient/residential treatment, outpatient treatment, or pharmacotherapy services. Results: Justice-involved Veterans had high rates of alcohol use disorders (50% among VJO, 23% among HCRV), drug use disorders (41%VJO, 22%HCRV), and co-occurring mental health conditions (45%VJO, 21%HCRV), with VJO Veterans more likely to have these conditions (p&lt;0.001). Of those with SUD, 58% received at least some SUD treatment. VJO Veterans had more outpatient sessions (M=13, SD=28), inpatient/residential stays (M=2, SD=12), and pharmacotherapy visits (M=0.7, SD=11) compared to HCRV Veterans (outpatient visits: M=5, SD=17; inpatient/residential stays: M=1</t>
  </si>
  <si>
    <t>(Finlay A.K.; Smelson D.; Timko C.; McGuire J.; Rosenthal J.; Bowe T.; Harris A.H.S.) 37th Annual Scientific Meeting of the Research Society on Alcoholism, RSA 2014 Bellevue, WA, United States 2014-06-21 to 2014-06-25 Blackwell Publishing Ltd; ID: 902</t>
  </si>
  <si>
    <t>Fiske,A.;Anderson,D.;Friesner,D.;Taylor,S.;Author,Addresses;Thrifty White,Pharmacy;France;Sanford,Medical Center;North Dakota,State University;Correspondence,Address;Fiske, Thrifty White Pharmacy France Email afiske thriftywhite com,A.</t>
  </si>
  <si>
    <t>Correlation between identified and resolved drug therapy problems to rehospitalization rates and patient outcomes discovered through a pharmacist-led transitional care unit patient discharge education program</t>
  </si>
  <si>
    <t>e175</t>
  </si>
  <si>
    <t>drug therapy;education program;hospital discharge;hospital readmission;human;patient;pharmacist;adverse drug reaction;caregiver;drug cost;drug interaction;hospital;immunization;information processing;low drug dose;medicaid;medicare;model;monitoring;patient education;physician;pilot study;therapy;treatment duration</t>
  </si>
  <si>
    <t>Objective: According to the Centers for Medicaid and Medicare Services, one in five Medicare patients (2.6 million individuals) is readmitted to the hospital within 30 days post discharge, accounting for nearly $26 billion per year. From admission to discharge and through continuance of care, pharmacists assist patients and caregivers by coordinating medication handoffs, eliminating medication discrepancies, and improving adherence. The goal of this research project is to evaluate how a pharmacist-led transitional care unit (TCU) patient discharge education program affects rehospitalization rates and patient outcomes through identified and resolved drug therapy problems (DTPs). Methods: The study is an observational pilot project using data collected from an existing patient discharge education program. The type, quantity of identified and resolved DTPs, and time at which the DTP was identified will be analyzed. DTPs include: (1) missing therapy, (2) unnecessary therapy, (3) suboptimal drug, (4) cost efficacy, (5) adverse drug reaction, (6) drug-drug interaction, (7) drug-condition interaction, (8) dose too low, (9) dose too high, (10) proper monitoring of drug, (11) appropriate duration of therapy, (12) underuse of medication, (13) overuse of medication, (14) inappropriate administration, and (15) immunization history. Data will be analyzed using ‚ïß√ß(2) tests and 5% significance levels. Data collection and analysis are ongoing. Results: Currently, data collected from July 1, 2014 to September 17, 2014 yields 15 patients completing the program. Pharmacists identified 43 DTPs with an average number of 2.86 DTPs per patient. DTPs identified range from 0 per patient to 8 per patient. There have been 37 DTPs addressed by the patient/ physician and 32 interventions were implemented (86% success rate). This pharmacist-led TCU patient education discharge program is a realistic model to incorporate pharmacists in helping to bridge the care gap during patient transitions of care.</t>
  </si>
  <si>
    <t>(Fiske A., afiske@thriftywhite.com; Taylor S.) (Anderson D.) (Friesner D.) APhA2015 San Diego, CA, United States 2015-03-27 to 2015-03-30 American Pharmacists Association; ID: 837</t>
  </si>
  <si>
    <t>Fit,K. E.;Burkiewicz,J. S.;Sweeney,B. L.</t>
  </si>
  <si>
    <t>PDA-based documentation of medication interventions in an ambulatory care setting</t>
  </si>
  <si>
    <t>15 7p</t>
  </si>
  <si>
    <t>Computerized Patient Record;Computers, Hand-Held;Outpatients;Aged;Data Analysis Software;Descriptive Statistics;Female;Logistic Regression;Male;Medication Errors -- Prevention and Control;Middle Age;Multivariate Analysis;Physician Attitudes;Prescribing Patterns;Human</t>
  </si>
  <si>
    <t>BACKGROUND: Although personal digital assistant (PDA)-based documentation systems are available for documentation of clinical pharmacy services, none is specific to documentation of drug-related problems (DRPs) in the ambulatory care setting.OBJECTIVE: To describe types of medication interventions performed by pharmacists in an urban ambulatory care clinic within a teaching hospital, determine predictors of preselected DRPs, and describe physician acceptance rates.METHODS: Following development of a PDA-based documentation system, this 6 month prospective study documented interventions performed by a clinical pharmacy team. Descriptive statistics were employed to describe the type and frequency of interventions and physician acceptance rates. Multivariate logistic regression analysis was used to determine significant predictors for preselected DRPs.RESULTS: Over a 6 month period, 965 interventions were documented. The patients' mean +/- SD age was 61.8 +/- 15.51 years, 72.3% of patients were female, and the mean number of medications was 7.1 +/- 3.95 per intervention. The most common interventions were laboratory monitoring (56.2%), patient education (14.5%), and changes in drug therapy (12.4%). The use of antihypertensive agents was a predictor for the DRPs 'dose too high' and 'dose too low' (p = 0.001 and p = 0.003, respectively). Of the applicable interventions, 89.8% (246/274) were accepted by the physician.CONCLUSIONS: Pharmacists in this urban ambulatory care clinic offered a variety of recommendations that were well received by physicians.</t>
  </si>
  <si>
    <t>Entry Date: 20080418. Revision Date: 20150711. Publication Type: Journal Article; research; tables/charts. Journal Subset: Biomedical; Blind Peer Reviewed; Double Blind Peer Reviewed; Expert Peer Reviewed; Peer Reviewed; USA. Special Interest: Public Health. NLM UID: 8504643.; ID: 1973</t>
  </si>
  <si>
    <t>Assistant Professor, Chicago College of Pharmacy, Midwestern University, Downers Grove, IL</t>
  </si>
  <si>
    <t>http://proxy.lib.umich.edu/login?url=http://search.ebscohost.com/login.aspx?direct=true&amp;db=ccm&amp;AN=105889202&amp;site=ehost-live&amp;scope=site</t>
  </si>
  <si>
    <t>ccm; EBSCOhost; PDA-based documentation of medication interventions in an ambulatory care setting</t>
  </si>
  <si>
    <t>Fitzgerald,N.;Watson,H.;McCaig,D.;Stewart,D.</t>
  </si>
  <si>
    <t>Developing and evaluating training for community pharmacists to deliver interventions on alcohol issues</t>
  </si>
  <si>
    <t>*Alcohol-Related Disorders/th Therapy];Attitude of Health Personnel;Community Pharmacy Services;Competency-Based Education;*Education, Pharmacy, Continuing/mt Methods];Health Knowledge, Attitudes, Practice;Humans;Professional Competence;*Psychotherapy, Brief/ed Education];Surveys and Questionnaires</t>
  </si>
  <si>
    <t>OBJECTIVE: To evaluate community pharmacists' readiness to provide brief interventions on alcohol and to use study findings to develop training to enable them to screen for hazardous or harmful drinking and intervene appropriately. SETTING: Community pharmacies in Scotland. METHOD: Eight community pharmacies in Greater Glasgow, Scotland were purposively selected on the basis of pharmacy (independent, multiple), population deprivation index, location (rural, urban, suburban), and local level of hospital admissions for alcohol misuse. Baseline pharmacist telephone interviews covered: current practice; attitudes towards a proactive role; and perceived training needs. A two-day course was designed focusing on: consequences of problem alcohol use; attitudes; sensible drinking; familiarity with client screening using the Fast Alcohol Screening Tool; brief interventions and motivational interviewing. MAIN OUTCOME MEASURES: Knowledge of problem alcohol use and brief interventions; attitudes; competence. Results Participants felt it was feasible for trained pharmacists to provide brief interventions. Core training needs centred on communication and alcohol related knowledge. The training course was positively evaluated and led to increases in knowledge, attitudinal scores and self related competence. CONCLUSION: A training programme for pharmacists to deliver brief interventions to problem drinkers was successfully delivered resulting in enhanced knowledge, attitudinal scores and self related competence.</t>
  </si>
  <si>
    <t>J2: Pharm World Sci; Fitzgerald, Niamh Watson, Hazel McCaig, Dorothy Stewart, Derek; ID: 333</t>
  </si>
  <si>
    <t>Fitzgerald,Niamh. Director, Create Consultancy, Glasgow, G51 3BA, Scotland/Senior Research Fellow, School of Pharmacy, The Robert Gordon University, Schoolhill, Aberdeen AB10 1FR, Scotland, UK.</t>
  </si>
  <si>
    <t>http://ovidsp.ovid.com/ovidweb.cgi?T=JS&amp;CSC=Y&amp;NEWS=N&amp;PAGE=fulltext&amp;D=med5&amp;AN=19199073</t>
  </si>
  <si>
    <t>http://dx.doi.org/10.1007/s11096-009-9284-1</t>
  </si>
  <si>
    <t>MEDLINE; Ovid Technologies; Developing and evaluating training for community pharmacists to deliver interventions on alcohol issues</t>
  </si>
  <si>
    <t>Flavio,M.;Martin,E.;Pascal,B.;Stephanie,C.;Gabriela,S.;Merle,K.;Anita,R. R.</t>
  </si>
  <si>
    <t>Suicide attempts in the county of Basel: results from the WHO/EURO Multicentre Study on Suicidal Behaviour</t>
  </si>
  <si>
    <t>Swiss Medical Weekly</t>
  </si>
  <si>
    <t>w13759</t>
  </si>
  <si>
    <t>Adolescent;Adult;Age Distribution;Aged;Aged, 80 and over;*Drug Overdose/ep Epidemiology];Educational Status;Female;Humans;Male;Marital Status/sn Statistics &amp; Numerical Data];Mental Disorders/ep Epidemiology];Middle Aged;*Mood Disorders/ep Epidemiology];Retrospective Studies;Risk Factors;Sex Distribution;*Substance-Related Disorders/ep Epidemiology];*Suicide, Attempted/sn Statistics &amp; Numerical Data];Switzerland/ep Epidemiology];Unemployment/sn Statistics &amp; Numerical Data];World Health Organization;Young Adult</t>
  </si>
  <si>
    <t>BACKGROUND: This article presents epidemiological and clinical findings from the Basel research centre parti-cipating in the WHO/EURO Multicentre Study on Suicidal Behaviour. METHODS: Between January 2003 and December 2006, 984 suicide attempts were documented for patients presenting at medical institutions with a suicide attempt. RESULTS: The mean suicide attempt rate was 164/100,000 inhabitants. Women attempted suicide nearly twice as often as men. The highest suicide attempt rates were found for women aged 20-24 years, for men aged 30-34 years, and for people who were unmarried, of foreign nationality, and of low education or low employment status. 'Soft methods' were used significantly more often than 'hard methods'. Of the suicide attempt methods employed, a relatively high proportion was accounted for by self-poisoning with drugs (X60-64), especially with non-steroidal anti-inflammatory drugs, benzodiazepines and antidepressants. Significant gender differences were found in the various methods and in the frequency of psychiatric diagnoses. A total of 98.7% of the attempters were diagnosed with a psychiatric disorder according to ICD-10; 35% suffered from an affective disorder. Men were significantly more frequently affected by substance abuse disorder or psychosis, whereas in women adjustment disorders and personality disorders were diagnosed significantly more often. CONCLUSIONS: This study offers the first published representative data of an entire Swiss county. Established sociodemographic and clinical risk factors for suicide attempts were reproduced. The identification of risk factors contributes to developing local targeted prevention strategies, for example education of risk groups and caregivers, and pharmacolegal consequences for package sizes. Gender- and age-specific prevention and aftercare programmes are indicated.</t>
  </si>
  <si>
    <t>J2: Swiss Med Wkly; Flavio, Muheim Martin, Eichhorn Pascal, Berger Stephanie, Czernin Gabriela, Stoppe Merle, Keck Anita, Riecher-Rossler Swiss Med Wkly. 2013;143:w13759; ID: 125</t>
  </si>
  <si>
    <t>1424-3997</t>
  </si>
  <si>
    <t>Flavio,Muheim. University of Basel Psychiatric Clinics, Center for Gender Research and Early Recognition, c/o UniversitAtsspital Basel, Switzerland. flavio.muheim@upkbs.ch</t>
  </si>
  <si>
    <t>http://ovidsp.ovid.com/ovidweb.cgi?T=JS&amp;CSC=Y&amp;NEWS=N&amp;PAGE=fulltext&amp;D=medl&amp;AN=23740165</t>
  </si>
  <si>
    <t>http://dx.doi.org/10.4414/smw.2013.13759</t>
  </si>
  <si>
    <t>MEDLINE; Ovid Technologies; Suicide attempts in the county of Basel: results from the WHO/EURO Multicentre Study on Suicidal Behaviour</t>
  </si>
  <si>
    <t>Fleischhacker,W. W.;Barnas,C.;Stuppack,C.</t>
  </si>
  <si>
    <t>Benzodiazepines: utilization and patterns of use in a university hospital</t>
  </si>
  <si>
    <t>Anti-Anxiety Agents/ae Adverse Effects];*Anti-Anxiety Agents/tu Therapeutic Use];Benzodiazepines;Drug Utilization;Female;Hospitals, University;Humans;Length of Stay;Male;Substance Withdrawal Syndrome/pp Physiopathology];Substance Withdrawal Syndrome/px Psychology];0 (Anti-Anxiety Agents);12794-10-4 (Benzodiazepines)</t>
  </si>
  <si>
    <t>Information on the number of benzodiazepine prescriptions in all the departments of the Innsbruck University Clinics in 1985 was obtained from the hospital pharmacy. Expenditure on benzodiazepines amounted to 0.5% of total medication costs. In a second step, the authors questioned 264 patients from the five largest departments about benzodiazepine use. On the day of the interview, 24.1% of all investigated male patients and 20.5% of the female patients were taking benzodiazepines. Of the patients found to take benzodiazepines, 34.5% had already been using these before hospital admission. One-fifth of these patients reported problems when trying to stop medication.</t>
  </si>
  <si>
    <t>J2: Pharmacopsychiatry; Fleischhacker, W W Barnas, C Stuppack, C; ID: 683</t>
  </si>
  <si>
    <t>Fleischhacker,W W. Department of Psychiatry, Innsbruck University Clinics, Austria.</t>
  </si>
  <si>
    <t>http://ovidsp.ovid.com/ovidweb.cgi?T=JS&amp;CSC=Y&amp;NEWS=N&amp;PAGE=fulltext&amp;D=med3&amp;AN=2568644</t>
  </si>
  <si>
    <t>MEDLINE; Ovid Technologies; Benzodiazepines: utilization and patterns of use in a university hospital</t>
  </si>
  <si>
    <t>Fleming,M.;Olsen,D.;Stathes,H.;Boteler,L.;Grossberg,P.;Pfeifer,J.;Schiro,S.;Banning,J.;Skochelak,S.</t>
  </si>
  <si>
    <t>NIHMS92946 PMC2709742; Virtual reality skills training for health care professionals in alcohol screening and brief intervention</t>
  </si>
  <si>
    <t>Journal of the American Board of Family Medicine: JABFM</t>
  </si>
  <si>
    <t>Adult;*Alcoholism/di Diagnosis];*Clinical Competence;*Computer Simulation;Female;*Health Personnel;Humans;Male;*Mass Screening/st Standards];Middle Aged;*User-Computer Interface;Wisconsin</t>
  </si>
  <si>
    <t>BACKGROUND: Educating physicians and other health care professionals about the identification and treatment of patients who drink more than recommended limits is an ongoing challenge. METHODS: An educational randomized controlled trial was conducted to test the ability of a stand-alone training simulation to improve the clinical skills of health care professionals in alcohol screening and intervention. The "virtual reality simulation" combined video, voice recognition, and nonbranching logic to create an interactive environment that allowed trainees to encounter complex social cues and realistic interpersonal exchanges. The simulation included 707 questions and statements and 1207 simulated patient responses. RESULTS: A sample of 102 health care professionals (10 physicians; 30 physician assistants or nurse practitioners; 36 medical students; 26 pharmacy, physican assistant, or nurse practitioner students) were randomly assigned to a no training group (n = 51) or a computer-based virtual reality intervention (n = 51). Professionals in both groups had similar pretest standardized patient alcohol screening skill scores: 53.2 (experimental) vs 54.4 (controls), 52.2 vs 53.7 alcohol brief intervention skills, and 42.9 vs 43.5 alcohol referral skills. After repeated practice with the simulation there were significant increases in the scores of the experimental group at 6 months after randomization compared with the control group for the screening (67.7 vs 58.1; P &lt; .001) and brief intervention (58.3 vs 51.6; P &lt; .04) scenarios. CONCLUSIONS: The technology tested in this trial is the first virtual reality simulation to demonstrate an increase in the alcohol screening and brief intervention skills of health care professionals.</t>
  </si>
  <si>
    <t>J2: J Am Board Fam Med; Fleming, Michael Olsen, Dale Stathes, Hilary Boteler, Laura Grossberg, Paul Pfeifer, Judie Schiro, Stephanie Banning, Jane Skochelak, Susan 1R42 AA016486-01 (United States NIAAA NIH HHS) R42 AA016486 (United States NIAAA NIH HHS) R42 AA016486-01 (United States NIAAA NIH HHS); ID: 320</t>
  </si>
  <si>
    <t>1557-2625</t>
  </si>
  <si>
    <t>Fleming,Michael. Department of Family Medicine, University of Wisconsin, Madison, WI 53715, USA. mike.fleming@fammed.wisc.edu</t>
  </si>
  <si>
    <t>http://ovidsp.ovid.com/ovidweb.cgi?T=JS&amp;CSC=Y&amp;NEWS=N&amp;PAGE=fulltext&amp;D=medc&amp;AN=19587253</t>
  </si>
  <si>
    <t>http://dx.doi.org/10.3122/jabfm.2009.04.080208</t>
  </si>
  <si>
    <t>MEDLINE; Ovid Technologies; Virtual reality skills training for health care professionals in alcohol screening and brief intervention</t>
  </si>
  <si>
    <t>Fleming,M. L.;Barner,J. C.;Brown,C. M.;Shepherd,M. D.;Strassels,S. A.;Novak,S.</t>
  </si>
  <si>
    <t>Pharmacists' training, perceived roles, and actions associated with dispensing controlled substance prescriptions</t>
  </si>
  <si>
    <t>Analgesics, Opioid/ad Administration &amp; Dosage];Analgesics, Opioid/ae Adverse Effects];*Attitude of Health Personnel;Community Pharmacy Services;*Controlled Substances/ad Administration &amp; Dosage];Controlled Substances/ae Adverse Effects];Cross-Sectional Studies;Data Collection;*Drug Monitoring;*Drug Prescriptions;*Education, Pharmacy, Continuing;Female;Humans;Male;Middle Aged;Pharmacies;*Pharmacists/px Psychology];Prescription Drugs/ad Administration &amp; Dosage];Prescription Drugs/ae Adverse Effects];Substance-Related Disorders/pc Prevention &amp; Control];Texas;0 (Analgesics, Opioid);0 (Controlled Substances);0 (Prescription Drugs)</t>
  </si>
  <si>
    <t>OBJECTIVES: To examine situations that prompt pharmacists to access a prescription drug monitoring program (PDMP) database and management of opioid abuse/addiction; assess pharmacists' actions when abuse is suspected; describe pharmacists' tasks when dispensing controlled substance prescriptions (CSPs); and their continuing pharmacy education (CPE). DESIGN Cross-sectional mail survey of 1,000 randomly selected pharmacists. SETTING: Texas from February 2012 to April 2012. PARTICIPANTS: 1,000 Texas community pharmacists. INTERVENTION: Mail survey instrument. MAIN OUTCOME MEASURES: Prompts to use a PDMP and pharmacists' views actions, and related CPE programs. RESULTS The usable response rate was 26.2%. Pharmacists were more supportive of mandated PDMP use by physicians than by pharmacists (mean +/- SD 4.1 +/- 1.2 versus 3.2 +/- 1.5; P 50 years of age reported a greater number of CPE hours related to prescription opioid abuse and pain management. An analysis of variance showed that pharmacy owners reported significantly more (P &lt;0.05) CPE compared with manager and staff pharmacists. CONCLUSION: Older pharmacists with a BSPharm degree may be more willing to provide counseling to patients with opioid addiction based on their work experience and additional CPE related to controlled substances. As PDMP use becomes more prevalent, pharmacists should be prepared to interact and counsel patients identified with aberrant controlled prescription drug use and properly deliver pain management care. Additionally, schools of pharmacy curricula must prepare new pharmacists to prevent abuse and diversion, as well as intervene when aberrant use is identified.</t>
  </si>
  <si>
    <t>J2: J Am Pharm Assoc (2003); Fleming, Marc L Barner, Jamie C Brown, Carolyn M Shepherd, Marv D Strassels, Scott A Novak, Suzanne; ID: 51</t>
  </si>
  <si>
    <t>http://ovidsp.ovid.com/ovidweb.cgi?T=JS&amp;CSC=Y&amp;NEWS=N&amp;PAGE=fulltext&amp;D=medl&amp;AN=24816350</t>
  </si>
  <si>
    <t>http://dx.doi.org/10.1331/JAPhA.2014.13168</t>
  </si>
  <si>
    <t>MEDLINE; Ovid Technologies; Pharmacists' training, perceived roles, and actions associated with dispensing controlled substance prescriptions</t>
  </si>
  <si>
    <t>Flockhart,D. A.;Usdin Yasuda,S.;Pezzullo,J. C.;Knollmann,B. C.</t>
  </si>
  <si>
    <t>Teaching rational prescribing: a new clinical pharmacology curriculum for medical schools</t>
  </si>
  <si>
    <t>Curriculum;*Drug Prescriptions;*Education, Medical, Undergraduate/mt Methods];Medication Errors/pc Prevention &amp; Control];*Pharmacology/ed Education]</t>
  </si>
  <si>
    <t>In most U.S. and Canadian medical schools, pharmacology is taught during the preclinical year 2 of the 4-year-long curriculum. This is despite the fact that medical school graduates and residency directors have identified teaching rational therapeutics as a priority. Hence, we have developed a core curriculum in clinical pharmacology for 4th-year medical students that builds on the core principles of rational therapeutics described by Nierenberg 10 years ago (Nierenberg, DW. Clin Pharmacol Ther 1990; 48:606-610). Here we report on our 3-year experience teaching this course, which addresses the following teaching objectives: to teach medical students on how to (1) critically evaluate medications; (2) obtain a complete medication history including herbal and over-the-counter medications; (3) apply pharmacokinetic principles to clinical practice; (4) recognize and report adverse drug events and interactions; (5) optimize pain management; (6) recognize and treat substance abuse and poisoning; and (7) prescribe rationally regardless of prescribing environment. Student assessment was in the form of multiple-choice and formative oral examinations, which were validated against the clinical part of the U.S. medical licensing examination. The course significantly increased the student rating of clinical pharmacology teaching measured by a national survey of U.S. medical school graduates. We conclude that this course may be useful for teaching rational prescribing to medical students. With the guidance and educational material provided by this article, a successful implementation of such a course should be possible in most medical schools.</t>
  </si>
  <si>
    <t>J2: Naunyn Schmiedebergs Arch Pharmacol; Flockhart, David A Usdin Yasuda, Sally Pezzullo, John C Knollmann, Bjorn C U18 HS 10385-01 (United States AHRQ HHS); ID: 513</t>
  </si>
  <si>
    <t>0028-1298</t>
  </si>
  <si>
    <t>Flockhart,David A. Division of Clinical Pharmacology, Department of Medicine, Indiana University School of Medicine, Indianapolis, Ind., USA.</t>
  </si>
  <si>
    <t>http://ovidsp.ovid.com/ovidweb.cgi?T=JS&amp;CSC=Y&amp;NEWS=N&amp;PAGE=fulltext&amp;D=med4&amp;AN=12107631</t>
  </si>
  <si>
    <t>MEDLINE; Ovid Technologies; Teaching rational prescribing: a new clinical pharmacology curriculum for medical schools</t>
  </si>
  <si>
    <t>Floor-Schreudering,A.;De Smet,P. A.;Buurma,H.;Egberts,A. C.;Bouvy,M. L.</t>
  </si>
  <si>
    <t>Documentation quality in community pharmacy: completeness of electronic patient records after patients' first visits</t>
  </si>
  <si>
    <t>Adolescent;Adult;Aged;Aged, 80 and over;Child;Child, Preschool;*Community Pharmacy Services/st Standards];Continuity of Patient Care/st Standards];Documentation/mt Methods];*Documentation/st Standards];*Electronic Health Records/st Standards];Female;Humans;Infant;Infant, Newborn;Male;Middle Aged;Netherlands;*Office Visits;Young Adult</t>
  </si>
  <si>
    <t>BACKGROUND: When patients visit a community pharmacy for the first time, the creation of an electronic patient record (EPR) with relevant and up-to-date data is a prerequisite for adequate medication surveillance and patient counseling. OBJECTIVE: To investigate the level of completeness of documentation in the EPR after a patient's first visit to a Dutch community pharmacy. METHODS: In each participating pharmacy, newly enlisted (&lt;3 mo) patients to whom at least one medication had been dispensed were enrolled in this survey. For each patient who could be interviewed, pharmacy master students used a structured questionnaire to gather relevant, mandatory patient data (ie, basic characteristics, current drugs used, diseases, intolerabilities, specific conditions) and nonmandatory patient data (eg, diagnostic and monitoring data, personal experiences and habits, drug use problems) from the patient's EPR and from a structured telephone interview with the patient. Data retrieved from the patient's EPR were compared with data provided by the patient during the telephone interview. RESULTS: Of 403 selected patients, 154 (38.2%) could be interviewed by telephone. Poor documentation of telephone numbers in the EPR was the main reason for nonresponse (134/249). Interviewers found that 67.7% of prescription drugs, 0% of over-the-counter drugs, 19.6% of diseases, 3.7% of intolerabilities, and none of the specific conditions reported by patients had been documented in the EPR. Nonmandatory data (personal experiences and habits, drug use problems) reported during the patient interview had not been documented in the EPR. CONCLUSIONS: The EPR after a patient's first visit to the community pharmacy is often incomplete. For new patients, the pharmacist should more proactively and systematically gather patient information, and all relevant information should be recorded, preferably in coded form, in the pharmacy information system to allow more adequate clinical risk management.</t>
  </si>
  <si>
    <t>J2: Ann Pharmacother; Floor-Schreudering, Annemieke De Smet, Peter A G M Buurma, Henk Egberts, Antoine C G Bouvy, Marcel L; ID: 293</t>
  </si>
  <si>
    <t>Floor-Schreudering,Annemieke. SIR Institute for Pharmacy Practice and Policy, Leiden, Netherlands.</t>
  </si>
  <si>
    <t>http://ovidsp.ovid.com/ovidweb.cgi?T=JS&amp;CSC=Y&amp;NEWS=N&amp;PAGE=fulltext&amp;D=med5&amp;AN=19843832</t>
  </si>
  <si>
    <t>http://dx.doi.org/10.1345/aph.1M242</t>
  </si>
  <si>
    <t>MEDLINE; Ovid Technologies; Documentation quality in community pharmacy: completeness of electronic patient records after patients' first visits</t>
  </si>
  <si>
    <t>Florit,M.;Barrantes,M.;Luque,S.;Berenguer,N.;Com‚îú¬°n-Colet,J.;Carmona,A.;Salas,E.;Author,Addresses;Hospital de Mar, Pharmacy,Barcelona Spain;Correspondence,Address;Florit, Hospital de Mar Pharmacy Barcelona Spain,M.</t>
  </si>
  <si>
    <t>Pharmacist educational interventions program for outpatients with chronic heart failure</t>
  </si>
  <si>
    <t>European Journal of Hospital Pharmacy: Science and Practice</t>
  </si>
  <si>
    <t>heart failure;hospital;human;outpatient;pharmacist;adverse drug reaction;alcohol consumption;cardiovascular risk;diet;disease management;drug self administration;heart;heart ejection fraction;intoxication;male;motivation;observational study;patient;self care;smoking;Student t test;United States</t>
  </si>
  <si>
    <t>Background: Patients with chronic heart failure (CHF) take several medicines and frequently manage their medicines inappropriately. In our hospital, a postdischarge pharmacist educational interventions program (PEIP) has been introduced as a part of a multidisciplinary CHF disease management program. Purpose: To describe CHF patient profiles, adherence, treatment knowledge and detection of drug-related problems (DRP) through the PEIP. To analyse the relation between DRPs detected and CHF patient characteristics. Materials and methods: Prospective observational study including all CHF patients attending the PEIP from May 2010 to August 2011. Data: demographics; New York Heart Association (NYHA) class; mean ejection fraction (EF); cardiovascular risk factors (CRF); self-administration of medicine (SA); self-reported adherence to diet (AD) and medicine (AM) and motivation (M) (Modified Morisky Scale); knowledge of CHF medicines: %dose (D), frequency (F) and indication (I); contraindicated drugs (CID) and DRP (DRP1: did not use a needed medicine; DRP2: used a medicine not needed; DRP3: ineffective treatment; DRP4: infradose; DRP5: overdose; DRP6: adverse reaction) and cases of acute decompensation. Statistical test: ‚ïß√ß(2) and Fischer exact test for dichotomous variables and t-test for continuous variables. Results: Patients: 75. Patient profile: 54 (72%) male; age: 71.8‚î¨‚ñí1.3; patients/NYHA class: I: 2 (2.7%); II: 58 (77.3%); III: 14 (18.7%);</t>
  </si>
  <si>
    <t>(Florit M.; Barrantes M.; Luque S.; Berenguer N.; Com‚îú¬°n-Colet J.; Carmona A.; Salas E.) 2012 European Association of Hospital Pharmacists, EAHP Congress Milan, Italy 2012-03-21 to 2012-03-23 BMJ Publishing Group; ID: 1171</t>
  </si>
  <si>
    <t>Follin,S. L.;Kwong,N. M.</t>
  </si>
  <si>
    <t>Enhancement of a pharmacy consultation program on a transitional care unit</t>
  </si>
  <si>
    <t>Data Collection;Hospital Units;Hospitals, Community;Humans;*Patient Care Team/og Organization &amp; Administration];Pharmacy Service, Hospital/ec Economics];*Pharmacy Service, Hospital/og Organization &amp; Administration];*Referral and Consultation</t>
  </si>
  <si>
    <t>The revision and outcomes of a pharmacy consultation program on a transitional care unit (TCU) are described. In 1996, the pharmacy consultation program for the TCU at a 550-bed, tertiary care, community teaching hospital was revised. The changes included increasing the number and depth of medication reviews, mandating pharmacist attendance at interdisciplinary meetings, simplifying the medication review form, and expanding physician education. Data collected during the final two years of the original program (May 1994 to April 1996) and the first two years of the revised program (July 1996 to August 1998) were compared. The number of drug-related problems identified per admission was 0.80 for the revised program (versus 0.32 for the original program), the percentage of patients receiving at least one pharmacy medication review was 99% (versus 70%), the number of pharmacist recommendations made was 726 (versus 140), and the percentage of recommendations accepted was 82% (versus 55%). The program required up to 15 hours of pharmacist time per week. Cost savings were estimated at $15,000 for the first year of the revised program and $23,000 for the second year. Revision of the pharmacy consultation program for a TCU increased the identification of drug-related problems and the number of pharmacist recommendations, helped integrate pharmacists into the interdisciplinary care team, and produced a modest estimated cost savings.</t>
  </si>
  <si>
    <t>J2: Am J Health-Syst Pharm; Follin, S L Kwong, N M; ID: 547</t>
  </si>
  <si>
    <t>Follin,S L. Department of Pharmacy Practice, University of Colorado, Denver, USA. sheryl.follin@uchsc.edu</t>
  </si>
  <si>
    <t>http://ovidsp.ovid.com/ovidweb.cgi?T=JS&amp;CSC=Y&amp;NEWS=N&amp;PAGE=fulltext&amp;D=med4&amp;AN=11094653</t>
  </si>
  <si>
    <t>MEDLINE; Ovid Technologies; Enhancement of a pharmacy consultation program on a transitional care unit</t>
  </si>
  <si>
    <t>Fornoff,A.;Author,Addresses;Drake University,College,of Pharmacy;and,Health Sciences;Correspondence,Address;Fornoff, Drake University College of Pharmacy,A.;Health,Sciences;United States Email, anisa fornoff,drake edu</t>
  </si>
  <si>
    <t>Medication reviews in 24-hour group homes for patients with intellectual and developmental disabilities</t>
  </si>
  <si>
    <t>glucagon;developmental disorder;drug therapy;human;patient;residential home;community;counseling;data base;devices;diabetes education;diagnosis;documentation;education;health literacy;medication error;patient education;pharmacist;pharmacy;prevention;self medication;side effect;staff training;student</t>
  </si>
  <si>
    <t>Objective: To (1) identify and solve drug therapy problems, (2) provide patient education at the appropriate health literacy level, and (3) provide staff education. Methods: Patients live in a 24-hour supervised group home and have the diagnosis of an intellectual or developmental disability (ID/DD). Medications are delivered by a community pharmacy, and limited counseling is provided. Medication reviews are performed quarterly at the Home and Community Based Service (HCBS) sites by pharmacy faculty and a student pharmacist. This activity allows the review of the appropriateness of the medication regimen and to identify potential drug therapy problems. Possible issues include decreases in the following: overuse of medications to control behavior, improper administration of medications, inappropriate use of as-needed medications, and expired and discontinued medications available. Staff is instructed on how to solve the identified errors and error prevention education is completed. Patients are counseled on medications, asked about potential side effects, and review the efficacy of their treatment. An evaluation tool was created to aid in this activity and a computerized medication error database is utilized for tracking. Results: During a 5-month period, 18 reviews were completed with 102 interventions identified. Of those interventions, 22.5% are directly related to patient training, including topics such as device and medication counseling, diabetes education, and creating self-medication plans. Staff training interventions have accounted for 12.7% of the interventions. Training includes issues such as how to use a glucagon kit, appropriate documentation of as-needed medications, and recognizing side effects. Over 30% of interventions include expired and discontinued medications still present at the site. Medication site reviews conduction by a pharmacist can have an impact on the services provided in group homes for patients with ID/DD and their staff. Conclusion: NA (research in progress).</t>
  </si>
  <si>
    <t>(Fornoff A., anisa.fornoff@drake.edu) APhA2010 Washington, DC, United States 2010-03-12 to 2010-03-15 American Pharmacists Association; ID: 1393</t>
  </si>
  <si>
    <t>Forum,Amcp Partnership</t>
  </si>
  <si>
    <t>Proceedings of the AMCP Partnership Forum: Breaking the Link Between Pain Management and Opioid Use Disorder</t>
  </si>
  <si>
    <t>Journal of Managed Care &amp; Specialty Pharmacy</t>
  </si>
  <si>
    <t>Prescription drug misuse and abuse, especially with opioid analgesics, is the fastest growing drug problem in the United States. Addressing this public health crisis demands the coordinated efforts and actions of all stakeholders to establish a process of improving patient care and decreasing misuse and abuse. On September 9, 2014, the Academy of Managed Care Pharmacy (AMCP) convened a meeting of multiple stakeholders to recommend activities and programs that AMCP can promote to improve pain management, prevent opioid use disorder (OUD), and improve medication-assisted treatment outcomes. The speakers and panelists recommended that efforts to improve pain management outcomes and reduce the potential for OUD should rely on demonstrated evidence and best practices. It was recommended that AMCP promote a more holistic and evidence-based approach to pain management and OUD treatment that actively engages the patient in the decision-making process and includes care coordination with medical, pharmacy, behavioral, and mental health aspects of organizations, all of which is seamlessly supported by a technology infrastructure. To accomplish this, it was recommended that AMCP work to collaborate with organizations representing these stakeholders. Additionally, it was recommended that AMCP conduct continuing pharmacy education programs, develop a best practices toolkit on pain management, and actively promote quality standards for OUD prevention and treatment.</t>
  </si>
  <si>
    <t>J2: J Manag Care Spec Pharm; AMCP Partnership Forum; ID: 747</t>
  </si>
  <si>
    <t>2376-1032</t>
  </si>
  <si>
    <t>http://ovidsp.ovid.com/ovidweb.cgi?T=JS&amp;CSC=Y&amp;NEWS=N&amp;PAGE=fulltext&amp;D=prem&amp;AN=26679961</t>
  </si>
  <si>
    <t>MEDLINE; Ovid Technologies; Proceedings of the AMCP Partnership Forum: Breaking the Link Between Pain Management and Opioid Use Disorder</t>
  </si>
  <si>
    <t>Foster,S. L.;Smith,E. B.</t>
  </si>
  <si>
    <t>Patient consultation in a managed care setting: guiding pharmacy into the future</t>
  </si>
  <si>
    <t>American Journal of Managed Care</t>
  </si>
  <si>
    <t>Am.J.Manag.Care</t>
  </si>
  <si>
    <t>46; quiz 1047-8</t>
  </si>
  <si>
    <t>Cost Control;Counseling/og Organization &amp; Administration];*Drug Therapy/px Psychology];Education, Pharmacy, Continuing;Health Care Costs;Humans;*Managed Care Programs;Patient Compliance;Patient Education as Topic/ec Economics];*Patient Education as Topic/og Organization &amp; Administration];*Pharmacists;United States</t>
  </si>
  <si>
    <t>Managed care organizations are excellent environments for pharmaceutical care programs to demonstrate their impact on patient care outcomes and to decrease costs. Patient consultation is the cornerstone in implementing pharmaceutical care because it increases patient contact with the pharmacists while improving patient compliance with drug therapy (adherence). Implementation of a patient consultation program that verifies patients' understanding of their disease and therapy gives the pharmacist information necessary to monitor drug therapy. Use of strategic planning to overcome barriers, followed by the development of local standards of practice, will refocus the practice philosophy to one of improving patient outcomes. Pharmacy managers must demonstrate and document the value that patient consultation brings to the patient and the healthcare system. Then, they must integrate their counseling effort with other health education efforts of the managed care system. Pharmacists will gain the support of other disciplines by reinforcing their efforts. Together they can work to decrease the problems that are inherent with drug therapy. These goals can be accomplished with minimal expense and have the potential to produce significant savings in healthcare costs.</t>
  </si>
  <si>
    <t>J2: Am J Manag Care; Foster, S L Smith, E B; ID: 586</t>
  </si>
  <si>
    <t>1088-0224</t>
  </si>
  <si>
    <t>Foster,S L. University of Tennessee College of Pharmacy, Memphis, TN 38163, USA.</t>
  </si>
  <si>
    <t>http://ovidsp.ovid.com/ovidweb.cgi?T=JS&amp;CSC=Y&amp;NEWS=N&amp;PAGE=fulltext&amp;D=med4&amp;AN=10181993</t>
  </si>
  <si>
    <t>MEDLINE; Ovid Technologies; Patient consultation in a managed care setting: guiding pharmacy into the future</t>
  </si>
  <si>
    <t>Foulon,V.;Desplenter,F.;Spinewine,A.;Lacour,V.;De Lepeleire,J.;Author,Addresses;Research Centre for,Pharmaceutical Care;Pharmaco-Economics,K.;Cliniques Universitaires de Mont-Godinne, Centre,de Pharmacie;Clinique,Belgium;Centre de Pharmacie Clinique, Universit‚îú‚åê Catholique,de Louvain;Bruxelles,Belgium;Academisch Centrum,Voor Huisartsgeneeskunde;Leuven,Belgium;Correspondence,Address;Foulon, Research Centre for Pharmaceutical Care,V.;Pharmaco,Economics;K.U. Leuven,Leuven Belgium</t>
  </si>
  <si>
    <t>Identification of problems and solutions in seamless care: A qualitative study</t>
  </si>
  <si>
    <t>clinical pharmacy;drug therapy;information processing;qualitative research;caregiver;consultation;education;electronic prescribing;environment;health care personnel;health care system;human;occupation;patient;patient care;pharmaceutical care;physician;reimbursement;responsibility</t>
  </si>
  <si>
    <t>Introduction Seamless care is the desirable continuity of care delivered to a patient in the health care system across the spectrum of caregivers and environments. Despite the desirability of such continuity, patients often experience drug-related problems as a result of discontinuity of care 1-2]. The objectives of this study were to make an inventory of: a) the main problems in medication management at transition between settings of care, as experienced by health care professionals (HCPs) and patients; b) solutions to improve medication management, as proposed by HCPs, patients and stakeholders Materials &amp; Methods Two sets of focus group discussions were organized between December 2009 and February 2010; nine focus groups with HCPs and patients, and two with stakeholders. Focus group discussions were tape recorded, transcribed and analyzed using the thematic framework approach. Results The focus groups provided a long list of problems related to discontinuity of care, that could be summarized in five different clusters, according to the phase in the transition process or the people involved: (1) problems at admission, e.g. an incomplete list of medicines; (2) problems at discharge, e.g. a patient not (sufficiently) informed; (3) problems as to professions, e.g. GP's opinion different to that of the specialized physician; (4) problems as to patients and family, e.g. failure to understand treatment; (5) problems as to processes, e.g. documents difficult to read. There was overall agreement about the need for a comprehensive package of solutions. Important parts for this package, are: (1) a national information campaign; (2) an up-to-date (paper-based or electronic) medication list / plan; (3) a comprehensive discharge file; (4) a centralized national electronic patient file including medical, pharmaceutical, care and social information; (5) electronic prescribing; (6) reimbursement for assisting patients in their medication management; (7) therapeutic education for patients; (8) clinical pharmacy, (9) local consultation to enhance cooperation between settings of care and HCPs, and (10) coordination of medication management. An important factor mentioned in most groups was the need for responsibility on the part of the various care providers involved. When coordination is required, the GP was often mentioned as the most appropriate health care provider. The participants to the focus groups also agreed on the necessity of seamless care with regard to medications for every patient. However, they stressed that certain vulnerable groups require special attention. Discussion &amp; Conclusion Important problems exist as to medications at transition moments. The involved healthcare professionals identified feasible and desirable solutions, that are multifaceted and multileveled, incorporating the input of many professionals and organisations.</t>
  </si>
  <si>
    <t>(Foulon V.; Desplenter F.) (Spinewine A.) (Lacour V.) (De Lepeleire J.) 39th ESCP European Symposium on Clinical Pharmacy and 13th SFPC Congress: Clinical Pharmacy at the Front Line of Innovations Lyon, France 2010-10-21 to 2010-10-23 Springer Netherlands; ID: 1299</t>
  </si>
  <si>
    <t>Fournier,M. E.;Levy,S.</t>
  </si>
  <si>
    <t>Recent trends in adolescent substance use, primary care screening, and updates in treatment options</t>
  </si>
  <si>
    <t>Current opinion in pediatrics</t>
  </si>
  <si>
    <t>Curr.Opin.Pediatr.</t>
  </si>
  <si>
    <t>Adolescent;Ambulatory Care/td Trends];Behavior, Addictive/di Diagnosis];Behavior, Addictive/ep Epidemiology];Behavior, Addictive/et Etiology];Behavior, Addictive/th Therapy];Counseling/td Trends];Humans;*Primary Health Care/td Trends];*Substance Abuse Detection/td Trends];Substance Abuse Treatment Centers/td Trends];*Substance-Related Disorders/di Diagnosis];Substance-Related Disorders/ep Epidemiology];Substance-Related Disorders/et Etiology];*Substance-Related Disorders/th Therapy];United States/ep Epidemiology]</t>
  </si>
  <si>
    <t>PURPOSE OF REVIEW: To provide a brief overview on trends in common substances of abuse in adolescents, a summary of tools to evaluate adolescent substance abuse in an outpatient setting, and an update of outpatient and inpatient treatment options. RECENT FINDINGS: Recent national data suggest an overall slight decline in the use of tobacco, crystal methamphetamine, heroin, and club drugs. No significant change was noted in the use of alcohol, marijuana, and cocaine. Yearly screening of all adolescents for substance use is recommended. This can be accomplished in an office setting using mnemonics, structured interview techniques, and brief screens for substance abuse. If a problem is identified, various outpatient and inpatient treatments are available. Individual, family, and group therapy methods are available. Other options include acute detoxification programs, partial hospitalization, acute residential treatment, residential treatment centers and wilderness programs. Pharmacological treatments are available for nicotine, alcohol, and opioid addiction. SUMMARY: Tobacco, alcohol, marijuana, and other drugs remain a significant problem among adolescents in the United States. Pediatricians should screen and assess all adolescents on a yearly basis. If a problem is identified, there are many options for treatment, including pharmacologic treatment as well as individual, family, or group therapy in an inpatient or outpatient setting. References: 41]</t>
  </si>
  <si>
    <t>J2: Curr Opin Pediatr; Fournier, Mary E Levy, Sharon 5T71MC00009-13 (United States PHS HHS); ID: 415</t>
  </si>
  <si>
    <t>1040-8703</t>
  </si>
  <si>
    <t>Fournier,Mary E. Division of Adolescent/Young Adult Medicine, Children's Hospital Boston, Boston, Massachusetts 02115, USA. Mary.Fournier@childrens.harvard.edu</t>
  </si>
  <si>
    <t>http://ovidsp.ovid.com/ovidweb.cgi?T=JS&amp;CSC=Y&amp;NEWS=N&amp;PAGE=fulltext&amp;D=med5&amp;AN=16914986</t>
  </si>
  <si>
    <t>MEDLINE; Ovid Technologies; Recent trends in adolescent substance use, primary care screening, and updates in treatment options</t>
  </si>
  <si>
    <t>Fowler,J.;Paulsen,J.;Liu,D.;Zeier,K.;Kijewski,V.;Gingerich,M.;Author,Addresses;University of,Iowa Hospitals;Clinics,United States;University of Iowa, College,of Pharmacy;United,States;Chillicothe Veterans Affairs,Medical Center;Correspondence,Address;Fowler, University of Iowa Hospitals,J.;Clinics,United States</t>
  </si>
  <si>
    <t>Implementation of a symptom-triggered benzodiazepine protocol for alcohol withdrawal on a combined internal medicine-psychiatry unit</t>
  </si>
  <si>
    <t>(MAJOR FOCUS);benzodiazepine;alcohol;alcohol withdrawal;college;human;internal medicine;pharmacist;psychiatry;alcohol blood level;blood pressure;comparative effectiveness;delirium tremens;gender;hospital;individualization;logistic regression analysis;medical record review;multiple linear regression analysis;outcome variable;patient;pulse rate;rating scale;safety;seizure;Student t test;temperature;therapy;treatment withdrawal;United States;university;withdrawal seizure;withdrawal syndrome</t>
  </si>
  <si>
    <t>Background: Use of a symptomtriggered benzodiazepine administration strategy for treatment of alcohol withdrawal allows for individualization of dosing based on the severity of alcohol withdrawal symptoms. The majority of previous studies evaluating symptom-triggered dosing strategies used the Clinical Institute Withdrawal Assessment for Alcohol (CIWA-Ar) rating scale as a basis for benzodiazepine dosing. The CIWA-Ar is well validated for use in evaluating alcohol withdrawal symptoms, though many of the items could be considered subjective measurements. The University of Iowa Hospitals and Clinics (UIHC) uses a locally-developed alcohol withdrawal scale, which incorporates more objective measures such as blood pressure, pulse, and temperature into the total score. Objectives: The purpose of this study is to evaluate the comparative effectiveness of a symptom-triggered benzodiazepine dosing protocol that is based on a locally-developed alcohol withdrawal scale in patients admitted to a combined internal medicine-psychiatry service. Methods: A retrospective chart review was conducted for all patients receiving a fixed-dose benzodiazepine taper for the treatment of alcohol withdrawal on the internal medicine-psychiatry unit from 7/1/ 2009 to 06/30/2011. The symptom-triggered dosing protocol was implemented on this service in July 2011, and an additional chart review will be conducted of patients who received alcohol withdrawal treatment according to this protocol from 7/1/2011 to 12/31/2011. Key variables used to compare the effectiveness and safety of the two benzodiazepine dosing strategies will include cumulative benzodiazepine dose, total number of benzodiazepine doses administered, duration of benzodiazepine therapy, and occurrence of seizure or development of alcohol withdrawal delirium after initiation of treatment. Independent samples t-tests and Chi-squared analyses will be used to compare variables between symptom-triggered and fixed-schedule dosing groups. If significant differences exist between the groups on baseline variables (age, gender, blood ethanol level at admission, history of alcohol withdrawal seizures, and history of alcohol withdrawal delirium), multiple linear regression and logistic regression equations will be used to control for the influence of these variables in comparisons between treatment groups on outcome variables. Outcomes: We will report comparisons of demographic, effectiveness, and safety variables between patients receiving a symptom-triggered benzodiazepine dosing strategy for alcohol withdrawal and those receiving a fixed-dose benzodiazepine taper.</t>
  </si>
  <si>
    <t>(Fowler J.; Kijewski V.; Gingerich M.) (Fowler J.; Paulsen J.; Liu D.) (Zeier K.) 15th Annual Meeting of the College of Psychiatric and Neurologic Pharmacists, CPNP 2012 Tampa, FL, United States 2012-04-29 to 2012-05-02 SAGE Publications Inc.; ID: 1165</t>
  </si>
  <si>
    <t>Frail,C. K.;Garza,O. W.;Huet,A. L.;Author,Addresses;Pharmaceutical,Care;Health Systems,University;of Minnesota, College of Pharmacy Minneapolis,United States;Jackson,Pharmacy;Wellness Center,Jackson,Center United;States;Correspondence,Address;C.K. Frail,Pharmaceutical Care;Health Systems,University,of Minnesota;College of Pharmacy, Minneapolis,United States</t>
  </si>
  <si>
    <t>Development of an innovative technology-driven transitions of care service to improve medication use in rural populations</t>
  </si>
  <si>
    <t>e216</t>
  </si>
  <si>
    <t>American;clinical pharmacy;college;drug therapy;human;rural population;technology;computer;education;follow up;hospital;hospital department;hospital discharge;medication therapy management;model;packaging;patient;patient education;patient satisfaction;pharmacist;pharmacy;population;primary medical care;rural area;tablet;United States;videoconferencing</t>
  </si>
  <si>
    <t>PURPOSE: Pharmacist-driven transitions of care have demonstrated the ability to reduce hospital re-admissions and improve patient outcomes. However, access to pharmacy services in rural areas limit opportunities for patients to benefit from face-to-face pharmacist care within the critical time period immediately following discharge. An innovative approach to in-home medication reconciliation and patient education supported by technology is one solution to increasing access to care for this population. METHODS: This service is based on a partnership between a community pharmacy organization and nearby hospitals in rural Ohio. Upon discharge, the pharmacist reconciles and coordinates the hospital discharge orders with their community pharmacy records, the primary care provider, and the patient. Post-discharge medications are dispensed in a calendarized adherence packaging system. Medications are delivered to the patient's home by the community pharmacy's delivery service. At delivery, the patient receives education from the pharmacist via videoconferencing on a computer tablet. Unneeded medications are removed from the patient's home to prevent confusion. Pharmacists follow up with patients as needed based on their specific needs. RESULTS: Data is currently being collected in order to empirically evaluate this process. Outcomes include re-admissions at 30 and 180 days following discharge and patient satisfaction with the service. Pharmacists also document drug therapy problems identified during medication reconciliation. CONCLUSION: This innovative pharmacist care model may offer a solution to increasing access to pharmacy services for underserved patients during a critical transition in care.</t>
  </si>
  <si>
    <t>(Frail C.K.; Garza O.W.) (Huet A.L.) 2015 Annual Meeting of the American College of Clinical Pharmacy, ACCP 2015 San Francisco, CA, United States 2015-10-17 to 2015-10-21 Pharmacotherapy Publications Inc.; ID: 805</t>
  </si>
  <si>
    <t>Franchin,G.;Bolcato,J.;Caparrotta,L.;Terrazzani,G.;Chinellato,A.;Author,Addresses;Servizio Farmaceutico Territoriale Aulss, Treviso Dipartimento,di scienze;del Farmaco, Universit‚îú√° degli Studi di Padova,Padova Italy;Correspondence,Address;Franchin, Servizio Farmaceutico Territoriale Aulss Treviso,G.;Dipartimento di scienze del Farmaco, Universit‚îú√° degli Studi,di Padova;Padova,Italy</t>
  </si>
  <si>
    <t>Clinical pharmacist to improve the pharmacological appropriateness in residential social care for elderly</t>
  </si>
  <si>
    <t>European Geriatric Medicine</t>
  </si>
  <si>
    <t>4 SUPPL. 1</t>
  </si>
  <si>
    <t>S164</t>
  </si>
  <si>
    <t>S165</t>
  </si>
  <si>
    <t>bisphosphonic acid derivative;aged;European Union;geriatrics;human;pharmacist;social care;society;blood;bone;cardiovascular system;computer program;disability;diseases;drug therapy;gastrointestinal tract;gender;health;health care;health care need;metabolism;nervous system;nursing home;observational study;paramedical personnel;patient;pharmaceutical care;polypharmacy;risk;therapy</t>
  </si>
  <si>
    <t>Introduction.- Elderly residents in Nursing Homes (NHs) are affected by disorders that often lead to permanent disability with significant health care needs and expenditure. This study presents a project of a computerized management of therapies supported by a pharmacist placed by side of the medical and paramedical staff in NHs to improve the pharmacological end points by drug appropriateness. Methods.- One year observational study of 2050 residents (mean age 83 years, 23%Mvs 77% F), in 25 NHs of the Local Health Authority (LHA) of Treviso. A clinical pharmacist by a dedicated software recorded age, gender, and medications for each NH residents, to identify elderly in severe polypharmacy. Drugs were classified by the Anatomical Therapeutic Chemical (ATC) code (ATC5) to identify chemical/therapeutic subgroup. Results.- The therapies mainly involved the blood and bloodforming organs (4053 DDD/1000/day), the cardiovascular system (1861 DDD/1000/day), the gastro-intestinal tract and metabolism (1355 DDD/1000/day), the nervous system (735 DDD/1000/day), the bone remineralization, mostly bisphosphonates (96 DDD/1000/day). The 73% of patients were in polypharmacy, prescribed on a number of drugs equal or greater than six: to 56.5% of them were prescribed 6-9 medications, to 22.5% 10-11 medications, while the remaining 21% from 12-21. Conclusion.- Considering the frailty of most elderly examined in this study and the extensive use of drugs, the pharmacist collaboration with NHs staff improved the therapeutic effectiveness and over that reduced the risk of drug-induced problems. Furthermore, as 'pharmaceutical care provider', the pharmacist improved the use of health care resources.</t>
  </si>
  <si>
    <t>(Franchin G.; Bolcato J.; Caparrotta L.; Terrazzani G.; Chinellato A.) 9th Congress of the European Union Geriatric Medicine Society, EUGMS 2013 Venice, Italy 2013-10-02 to 2013-10-04 Elsevier Masson SAS; ID: 1005</t>
  </si>
  <si>
    <t>1878-7649</t>
  </si>
  <si>
    <t>Franke,A. G.;Bonertz,C.;Christmann,M.;Huss,M.;Fellgiebel,A.;Hildt,E.;Lieb,K.</t>
  </si>
  <si>
    <t>Non-medical use of prescription stimulants and illicit use of stimulants for cognitive enhancement in pupils and students in Germany</t>
  </si>
  <si>
    <t>Adult;*Central Nervous System Stimulants/ad Administration &amp; Dosage];Female;Germany;Humans;Male;Middle Aged;*Nootropic Agents/ad Administration &amp; Dosage];*Street Drugs;Students;*Substance-Related Disorders/ep Epidemiology];Surveys and Questionnaires;Universities;Young Adult;0 (Central Nervous System Stimulants);0 (Nootropic Agents);0 (Street Drugs)</t>
  </si>
  <si>
    <t>INTRODUCTION: The aim of this study was to assess for the first time the prevalence and factors associated with stimulant use exclusively for cognitive enhancement among pupils and university students in Germany. METHODS: A sample of 1 035 pupils (vocational and grammar schools) in small and big cities and 512 university students of 3 Departments (Medicine, Pharmacy, Economics) completed a questionnaire regarding knowledge and use of stimulants for cognitive enhancement and factors associated with their use. RESULTS: Lifetime prevalence for use of prescription stimulants (methylphenidate, amphetamines) for cognitive enhancement in pupils was 1.55% and in students 0.78%. Last-year and last-month prevalence rates were significantly lower. 2.42% of pupils and 2.93% of students reported lifetime illicit use of stimulants (amphetamines, cocaine, ecstasy) for cognitive enhancement with lower last-year and last-month rates. Prevalence was higher in male pupils, pupils from vocational schools and pupils with bad marks. DISCUSSION: The illicit use of stimulants for cognitive enhancement is significantly higher than non-medical use of prescription stimulants among pupils and students. Stimulant use is determined by gender, school type, and school marks. The potential risks associated with stimulant use require early awareness and intervention strategies.Copyright ‚î¨‚åê Georg Thieme Verlag KG Stuttgart . New York.</t>
  </si>
  <si>
    <t>J2: Pharmacopsychiatry; Franke, A G Bonertz, C Christmann, M Huss, M Fellgiebel, A Hildt, E Lieb, K; ID: 246</t>
  </si>
  <si>
    <t>Franke,A G. Department of Psychiatry and Psychotherapy, University Medical Centre, Mainz, Germany. afranke@uni-mainz.de</t>
  </si>
  <si>
    <t>http://ovidsp.ovid.com/ovidweb.cgi?T=JS&amp;CSC=Y&amp;NEWS=N&amp;PAGE=fulltext&amp;D=med5&amp;AN=21161883</t>
  </si>
  <si>
    <t>http://dx.doi.org/10.1055/s-0030-1268417</t>
  </si>
  <si>
    <t>MEDLINE; Ovid Technologies; Non-medical use of prescription stimulants and illicit use of stimulants for cognitive enhancement in pupils and students in Germany</t>
  </si>
  <si>
    <t>Franks,Andrea S.;Givens,Carrie B.;Barger-Stevens,Amy</t>
  </si>
  <si>
    <t>Pharmacy residents and students as an adjunct to current smoking cessation education</t>
  </si>
  <si>
    <t>Pharmacy Practice (18863655)</t>
  </si>
  <si>
    <t>96 5p</t>
  </si>
  <si>
    <t>Smoking Cessation -- Education;Students, Pharmacy -- Utilization;Pharmacists -- Utilization;Academic Medical Centers;Human;Odds Ratio;Confidence Intervals;United States;Smoking -- Complications;Joint Commission;Prospective Studies;T-Tests;Mann-Whitney U Test;Chi Square Test;Fisher's Exact Test;Male;Female;Patient Attitudes;Adult;Middle Age;Aged</t>
  </si>
  <si>
    <t>Entry Date: 20130109. Revision Date: 20150711. Publication Type: Journal Article; research; tables/charts. Journal Subset: Biomedical; Continental Europe; Europe; Peer Reviewed. Special Interest: Public Health.; ID: 1993</t>
  </si>
  <si>
    <t>1886-3655</t>
  </si>
  <si>
    <t>Associate Professor, Department of Clinical Pharmacy, College of Pharmacy; and Department of Family Medicine, Graduate School of Medicine, University of Tennessee. Knoxville, TN (United States) Clinical Staff Pharmacist, Department of Pharmacy, University of Tennessee Medical Center. Knoxville, TN (United States) Associate Professor, Department of Family Medicine, Graduate School of Medicine, University of Tennessee, Knoxville, TN (United States)</t>
  </si>
  <si>
    <t>http://proxy.lib.umich.edu/login?url=http://search.ebscohost.com/login.aspx?direct=true&amp;db=ccm&amp;AN=104355730&amp;site=ehost-live&amp;scope=site</t>
  </si>
  <si>
    <t>ccm; EBSCOhost; Pharmacy residents and students as an adjunct to current smoking cessation education</t>
  </si>
  <si>
    <t>Fried,J. L.;Reid,B. C.;DeVore,L. E.</t>
  </si>
  <si>
    <t>A comparison of health professions student attitudes regarding tobacco curricula and interventionist roles</t>
  </si>
  <si>
    <t>Adult;*Attitude of Health Personnel;*Curriculum;Dental Hygienists/ed Education];Dental Hygienists/sn Statistics &amp; Numerical Data];*Education, Professional/sn Statistics &amp; Numerical Data];Ethics, Professional;Female;Health Knowledge, Attitudes, Practice;Humans;Male;Patient Education as Topic;Physical Therapy Specialty/ed Education];*Professional Role;Smoking/ep Epidemiology];Students, Dental/sn Statistics &amp; Numerical Data];Students, Medical/sn Statistics &amp; Numerical Data];Students, Nursing/sn Statistics &amp; Numerical Data];Students, Pharmacy/sn Statistics &amp; Numerical Data];*Tobacco Use Cessation/mt Methods];*Tobacco Use Disorder/pc Prevention &amp; Control]</t>
  </si>
  <si>
    <t>Health care providers who feel prepared are more apt to assume tobacco interventionist roles; therefore, educational preparation is critical. A nonprobability sample of health professions students at an urban academic health center were asked to respond to a twenty-two-item survey eliciting demographic, behavioral, and tobacco-related attitudinal information. Frequency distributions were assessed with Pearson chi-square statistics. The overall response rate was 76.7 percent, and final sample size was 319. Current use of spit tobacco (ST) was 2.5 percent and current smoking 5.6 percent. In comparing current smokers to nonsmokers and current ST users to nonusers, we found that no differences in proportion agreeing with any of the five questions about attitudes and opinions were statistically significant at p-value 0.05. At least 70 percent of students from each of six health professions programs agreed it was their professional responsibility to help smokers quit, and at least 65 percent agreed to the same responsibility for helping ST users quit. The proportion agreeing that their programs had course content describing their role in helping patients quit tobacco use varied widely by program from 100 percent agreement among dental hygiene and pharmacy students to 14.6 percent of physical therapy students (p-value &lt;0.001). When asked whether their program adequately prepared them to help smokers quit, agreement ranged from 100 percent among dental hygiene students to only 5.5 percent among physical therapy students (p-value &lt;0.001). Almost 90 percent of dental hygiene students agreed that they were adequately trained to help ST users quit, but no other program had a percentage of agreement above 34 percent (p-value &lt;0.001). Consistent and comprehensive multidisciplinary tobacco-related curricula could offer desirable standardization.</t>
  </si>
  <si>
    <t>J2: J Dent Educ; Fried, Jacquelyn L Reid, Britt C DeVore, Linda E; ID: 488</t>
  </si>
  <si>
    <t>0022-0337</t>
  </si>
  <si>
    <t>Fried,Jacquelyn L. Dental Hygiene Program, Department of Health Promotion and Policy, School of Dentistry, University of Maryland, Baltimore 21201, USA. jlf001@dental.umaryland.edu</t>
  </si>
  <si>
    <t>http://ovidsp.ovid.com/ovidweb.cgi?T=JS&amp;CSC=Y&amp;NEWS=N&amp;PAGE=fulltext&amp;D=med5&amp;AN=15038638</t>
  </si>
  <si>
    <t>MEDLINE; Ovid Technologies; A comparison of health professions student attitudes regarding tobacco curricula and interventionist roles</t>
  </si>
  <si>
    <t>Fugh-Berman,A.</t>
  </si>
  <si>
    <t>Source: KIE. 129969 PMC1490131; The corporate coauthor</t>
  </si>
  <si>
    <t>Journal of General Internal Medicine</t>
  </si>
  <si>
    <t>Anticoagulants;*Authorship;*Conflict of Interest;*Disclosure;*Drug Industry/es Ethics];Humans;Marketing/es Ethics];Marketing/mt Methods];Peer Review, Research;Periodicals as Topic;*Publishing/es Ethics];Warfarin;0 (Anticoagulants);5Q7ZVV76EI (Warfarin)</t>
  </si>
  <si>
    <t>Drug marketing techniques include the sponsorship of articles signed by academic physicians or researchers and submitted to peer-reviewed medical journals. Some of these articles are authored or coauthored by ghostwriters who work for pharmaceutical companies or medical education companies hired by pharmaceutical companies. Conflicts of interest may be difficult to detect in the subset of articles and presentations sponsored by pharmaceutical companies that never mention the targeted drug, but focus on stimulating the perceived need for the targeted drug or highlighting problems with competing drugs. The current voluntary standards for declaring conflicts of interest to readers of medical journals and audiences at medical conferences are inadequate. A public database that contains conflicts of interest of physicians and researchers would be useful.</t>
  </si>
  <si>
    <t>J2: J Gen Intern Med; Fugh-Berman, Adriane Comment in: J Gen Intern Med. 2005 Jun;20(6):550-1; PMID: 15987334 Comment in: J Gen Intern Med. 2006 Jan;21(1):102; PMID: 16423136 Comment in: J Gen Intern Med. 2005 Oct;20(10):972; author reply 972-3; PMID: 16191155 Comment in: J Gen Intern Med. 2005 Jul;20(7):672; PMID: 16050869; ID: 433</t>
  </si>
  <si>
    <t>1525-1497</t>
  </si>
  <si>
    <t>Fugh-Berman,Adriane. Department of Physiology and Biophysics, Georgetown University School of Medicine, Washington, DC 20051-1460, USA. ajf29@georgetown.edu</t>
  </si>
  <si>
    <t>http://ovidsp.ovid.com/ovidweb.cgi?T=JS&amp;CSC=Y&amp;NEWS=N&amp;PAGE=fulltext&amp;D=med5&amp;AN=15987332</t>
  </si>
  <si>
    <t>MEDLINE; Ovid Technologies; The corporate coauthor</t>
  </si>
  <si>
    <t>Fulk,L. J.;Kane,B. E.;Phillips,K. D.;Bopp,C. M.;Hand,G. A.</t>
  </si>
  <si>
    <t>Depression in HIV-infected patients: allopathic, complementary, and alternative treatments</t>
  </si>
  <si>
    <t>Journal of psychosomatic research</t>
  </si>
  <si>
    <t>J.Psychosom.Res.</t>
  </si>
  <si>
    <t>Acupuncture Therapy;Anti-HIV Agents/ae Adverse Effects];Anti-HIV Agents/tu Therapeutic Use];Antidepressive Agents/ae Adverse Effects];Antidepressive Agents/tu Therapeutic Use];*Complementary Therapies;Depressive Disorder, Major/di Diagnosis];Depressive Disorder, Major/px Psychology];*Depressive Disorder, Major/th Therapy];Drug Interactions;HIV Infections/dt Drug Therapy];*HIV Infections/px Psychology];Humans;Massage;Psychotherapy;0 (Anti-HIV Agents);0 (Antidepressive Agents)</t>
  </si>
  <si>
    <t>OBJECTIVES: The purpose of this review article is to synthesize the current knowledge related to depression and HIV disease. METHODS: The research literature was critically evaluated for several selected therapies that are prescribed for HIV-infected persons to treat depression. These therapies included pharmacotherapy, psychotherapy, alternative, and complementary therapies. RESULTS: Several therapies are currently available for the treatment of depression in HIV disease. When prescribing treatments, clinicians should be aware of problems associated with diagnoses, drug-drug interactions, and the benefits of some of the new therapies that are now available. Treatment regimes should be carefully designed to meet the individual needs of the patient and will optimally include a combination of approaches including psychotherapy, pharmacotherapy, education, and/or complementary therapies. CONCLUSIONS: Although HIV is now a treatable disease, the prevalence of depression in the HIV population remains high and should be continually addressed. References: 123]</t>
  </si>
  <si>
    <t>J2: J Psychosom Res; Fulk, L J Kane, B E Phillips, K D Bopp, C M Hand, G A; ID: 463</t>
  </si>
  <si>
    <t>0022-3999</t>
  </si>
  <si>
    <t>Fulk,L J. Department of Exercise Science, University of South Carolina, 1300 Wheat Street, Columbia, SC 29208, USA.</t>
  </si>
  <si>
    <t>http://ovidsp.ovid.com/ovidweb.cgi?T=JS&amp;CSC=Y&amp;NEWS=N&amp;PAGE=fulltext&amp;D=med5&amp;AN=15518668</t>
  </si>
  <si>
    <t>MEDLINE; Ovid Technologies; Depression in HIV-infected patients: allopathic, complementary, and alternative treatments</t>
  </si>
  <si>
    <t>Fuller,D. E.;Hornfeldt,C. S.;Kelloway,J. S.;Stahl,P. J.;Anderson,T. F.</t>
  </si>
  <si>
    <t>The Xyrem risk management program</t>
  </si>
  <si>
    <t>Administration, Oral;Drug Utilization;Drug and Narcotic Control/lj Legislation &amp; Jurisprudence];*Drug and Narcotic Control/og Organization &amp; Administration];Humans;Product Surveillance, Postmarketing;Risk Management/lj Legislation &amp; Jurisprudence];*Risk Management/og Organization &amp; Administration];Sodium Oxybate/ad Administration &amp; Dosage];*Sodium Oxybate/sd Supply &amp; Distribution];Sodium Oxybate/tu Therapeutic Use];Street Drugs/lj Legislation &amp; Jurisprudence];*Street Drugs/sd Supply &amp; Distribution];United States;United States Food and Drug Administration;0 (Street Drugs);7G33012534 (Sodium Oxybate)</t>
  </si>
  <si>
    <t>Sodium oxybate, also known as gamma-hydroxybutyric acid (GHB), was discovered in 1960 and has been described both as a therapeutic agent with high medical value and, more recently, a substance of abuse. The naturally occurring form of this drug is found in various body tissues but has been studied most extensively in the CNS where its possible function as a neurotransmitter continues to be studied. Sodium oxybate has been approved in different countries for such varied uses as general anaesthesia, the treatment of alcohol withdrawal and addiction, and, most recently, cataplexy associated with narcolepsy. During the 1980s, easy access to GHB-containing products led to various unapproved uses, including weight loss, bodybuilding and the treatment of sleeplessness, sometimes with serious long-term effects. The availability of these unapproved and unregulated forms of the drug led to GHB and its analogues being popularised as substances of abuse and subsequent notoriety as agents used in drug-facilitated sexual assault, or 'date rape', eventually leading to the prohibition of GHB sales in the US. Legal efforts to control the sale and distribution of GHB and its analogues nearly prevented the clinical development of sodium oxybate for narcolepsy in the US. However, following extensive discussions with a variety of interested parties, a satisfactory solution was devised, including legislative action and the development of the Xyrem Risk Management Program. Amendments to the US Controlled Substances Act made GHB a schedule I drug, but also contained provisions that allow US FDA-approved products to be placed under schedule III. This unique, bifurcated schedule for sodium oxybate/GHB allowed the clinical development of sodium oxybate to proceed and, in July 2002, it was approved by the FDA as an orphan drug for the treatment of cataplexy in patients with narcolepsy as Xyrem(sodium oxybate) oral solution. To promote the safe use of sodium oxybate, as well as alleviate concerns over possible diversion and abuse following product approval, a proprietary restricted drug distribution system was created, called the Xyrem Success Program. Components of the programme include a centralised distribution and dispensing system, a physician and patient registry, compulsory educational materials for patients and physicians, a specially trained pharmacy staff, a method for tracking prescription shipments, and an initial post-marketing surveillance programme. The system has created a unique opportunity to provide both physician and patient education and ongoing patient counselling, promoting greater drug safety and enhanced patient compliance. References: 37]</t>
  </si>
  <si>
    <t>J2: Drug Saf; Fuller, David E Hornfeldt, Carl S Kelloway, Judy S Stahl, Pamela J Anderson, Todd F; ID: 477</t>
  </si>
  <si>
    <t>Fuller,David E. Orphan Medical Inc., Minnetonka, Minnesota 55305, USA.</t>
  </si>
  <si>
    <t>http://ovidsp.ovid.com/ovidweb.cgi?T=JS&amp;CSC=Y&amp;NEWS=N&amp;PAGE=fulltext&amp;D=med5&amp;AN=15061684</t>
  </si>
  <si>
    <t>MEDLINE; Ovid Technologies; The Xyrem risk management program</t>
  </si>
  <si>
    <t>Furbish,S.;Trinkley,K. E.;Nelson,J.;Kroehl,M.;Mindy Lam,H.;Lewis,C.;Loeb,D.;Chow,Z.;Author,Addresses;University,of Colorado;of,Pharmacy;Pharmaceutical Sciences,Aurora,United States;University;of Colorado Hospital, Aurora,United States;Correspondence,Address;Furbish, University of Colorado Skaggs School of Pharmacy and,S.;Pharmaceutical Sciences,Aurora,United States</t>
  </si>
  <si>
    <t>A pharmacist-physician collaboration to optimize benzodiazepine use and anxiety/sleep symptom control in primary care</t>
  </si>
  <si>
    <t>e290</t>
  </si>
  <si>
    <t>e291</t>
  </si>
  <si>
    <t>(MAJOR FOCUS);benzodiazepine;benzodiazepine derivative;American;clinical pharmacy;college;human;pharmacist;physician;primary medical care;abuse;addiction;anxiety;confidence interval;drug therapy;hospital;internal medicine;medical record review;patient;pharmacy;prescription;risk;sleep;Student t test;therapy;Wilcoxon signed ranks test</t>
  </si>
  <si>
    <t>PURPOSE: Benzodiazepines are often prescribed inappropriately, leading to increased risk of preventable adverse events, potential for abuse and addiction and suboptimal anxiety symptom relief. The purpose of this study is to (1) increase the proportion of patients who are appropriately prescribed a benzodiazepine; and (2) improve anxiety and sleep symptom control. METHODS: Patients who receive care at an academic internal medicine clinic were screened for inappropriate benzodiazepine use. Patients prescribed an inappropriate benzodiazepine, determined by chart review, were referred to the clinic's clinical pharmacy team, pending provider approval. The pharmacy team was the intervention, who assessed their benzodiazepine use and symptom control and managed therapy under protocol. Outcomes include proportion of appropriate prescriptions and symptom severity measured by validated instruments. The Clopper- Pearson exact method will be used to estimate the confidence interval around the estimate of patients who were switched to an appropriate prescription. Change in symptom scores will be assessed as continuous data using the paired t-test for parametric data and Wilcoxon signed rank test for nonparametric data. RESULTS: Of 1156 patients prescribed a benzodiazepine, 280 prescriptions were deemed potentially inappropriate and 88 referrals were approved. To date, 19 patients were seen once, and two patients were seen twice. Across 21 visits, there were 15 medication changes, including 5 (26%) benzodiazepine discontinuations, 2 (11%) benzodiazepines switched to a more preferred/safer benzodiazepine; and 8 (42%) optimizations of non-benzodiazepine therapy. Eight (42%) patients had no regimen changes because therapy was deemed appropriate or the patient was resistant. Symptom improvement is not able to be assessed yet. CONCLUSIONS: These preliminary results support the role of pharmacists as members of the primary care team, specifically in decreasing inappropriate benzodiazepine prescribing. When recruitment ends October 2015, we will be able to assess the impact on symptom improvement.</t>
  </si>
  <si>
    <t>(Furbish S.; Trinkley K.E.; Kroehl M.) (Nelson J.; Kroehl M.; Mindy Lam H.; Lewis C.; Loeb D.; Chow Z.) 2015 Annual Meeting of the American College of Clinical Pharmacy, ACCP 2015 San Francisco, CA, United States 2015-10-17 to 2015-10-21 Pharmacotherapy Publications Inc.; ID: 789</t>
  </si>
  <si>
    <t>Furlong,T. M.;Pan,M. J.;Corbit,L. H.</t>
  </si>
  <si>
    <t>The effects of compound stimulus extinction and inhibition of noradrenaline reuptake on the renewal of alcohol seeking</t>
  </si>
  <si>
    <t>Transl Psychiatry Psychiatry</t>
  </si>
  <si>
    <t>e630</t>
  </si>
  <si>
    <t>Alcohol-related stimuli can trigger relapse of alcohol-seeking behaviors even after extended periods of abstinence. Extinction of such stimuli can reduce their impact on relapse; however, the expression of extinction can be disrupted when testing occurs outside the context where extinction learning took place, an effect termed renewal. Behavioral and pharmacological methods have recently been shown to augment extinction learning; yet, it is not known whether the improved expression of extinction following these treatments remains context-dependent. Here we examined whether two methods, compound-stimulus extinction and treatment with the noradrenaline reuptake inhibitor atomoxetine, would reduce the vulnerability of extinction to a change in context. Following alcohol self-administration, responding was extinguished in a distinct context. After initial extinction, further extinction was given to a target stimulus presented in compound with another alcohol-predictive stimulus intended to augment prediction error (Experiment 1) or after a systemic injection of atomoxetine (1.0 mg kg(-1); Experiment 2). A stimulus extinguished as part of a compound elicited less responding than a stimulus receiving equal extinction alone regardless of whether animals were tested in the training or extinction context; however, reliable renewal was not observed in this paradigm. Importantly, atomoxetine enhanced extinction relative to controls even in the presence of a reliable renewal effect. Thus, extinction of alcohol-seeking behavior can be improved by extinguishing multiple alcohol-predictive stimuli or enhancing noradrenaline neurotransmission during extinction training. Importantly, both methods improve extinction even when the context is changed between extinction training and test, and thus could be utilized to enhance the outcome of extinction-based treatments for alcohol-use disorders.</t>
  </si>
  <si>
    <t>J2: Transl Psychiatry; Furlong, T M Pan, M J Corbit, L H; ID: 768</t>
  </si>
  <si>
    <t>2158-3188</t>
  </si>
  <si>
    <t>Furlong,T M. School of Psychology, University of Sydney, Sydney, NSW, Australia. Pan,M J. School of Psychology, University of Sydney, Sydney, NSW, Australia. Corbit,L H. School of Psychology, University of Sydney, Sydney, NSW, Australia.</t>
  </si>
  <si>
    <t>http://ovidsp.ovid.com/ovidweb.cgi?T=JS&amp;CSC=Y&amp;NEWS=N&amp;PAGE=fulltext&amp;D=prem&amp;AN=26327688</t>
  </si>
  <si>
    <t>http://dx.doi.org/10.1038/tp.2015.130</t>
  </si>
  <si>
    <t>MEDLINE; Ovid Technologies; The effects of compound stimulus extinction and inhibition of noradrenaline reuptake on the renewal of alcohol seeking</t>
  </si>
  <si>
    <t>Gable,K. N.;Author,Addresses;Southern Illinois University, Edwardsville School,of Pharmacy;Edwardsville,United States;Correspondence,Address;KN Gable, Southern Illinois University Edwardsville School,of Pharmacy;Edwardsville,United States</t>
  </si>
  <si>
    <t>Medication Therapy Services (MTS) and Assertive Community Treatment (ACT)</t>
  </si>
  <si>
    <t>college;drug therapy;group therapy;human;pharmacist;therapy;compensation;consultation;evidence based practice;funding;medical specialist;mental disease;mental health;nurse;patient care;patient compliance;physician;procedures;professional practice;psychiatric treatment;psychiatrist;substance abuse;United States;vocation</t>
  </si>
  <si>
    <t>Type: Innovative Practices. Background: Assertive Community Treatment (ACT) is an evidence-based practice consisting of a multidisciplinary treatment team providing comprehensive psychiatric and rehabilitative services to individuals with severe and persistent mental illnesses. Treatment team members include a psychiatrist, nurses, vocational specialists, substance abuse specialists, and peer specialists. Many ACT teams receive funding from the state Department of Mental Health (DMH). In August of 2012, Missouri granted pharmacists the authority to perform Medication Therapy Services (MTS). An MTS-certified pharmacist may initiate, modify and discontinue medications under a medication therapy protocol with a collaborating physician. The state of Missouri also recognizes psychiatric pharmacists as Qualified Mental Health Providers (QMHPs), and client encounters can be billed as medication or consultation services. Description of Innovative Service: An MTS-certified clinical pharmacist is functioning as a prescriber on a DMH-funded ACT team. The collaborating physician completes initial client intakes and yearly psychiatric evaluations and reviews and co-signs the electronic progress notes of the pharmacist. The pharmacist participates in daily one-hour treatment team meetings and completes an average of four to eight medication assessments per day. Most assessments occur at the client's place of residence. Home visits are typically 30 to 60 minutes in length and consist of a comprehensive review of psychiatric symptoms, medications, and treatment plan goals. Medication adjustments are completed when appropriate. Specific procedure codes allow for services to be billed at a rate of $34.86 per 15 minutes. Impact on Patient Care: The concept of a pharmacist as a prescriber on an ACT team is new and not common practice. The clinical value of a pharmacist within ACT was demonstrated in a six month retrospective review of pharmacist interventions published in 2010. A total of 80 recommendations were made involving medication adjustments, labs and adverse events. Having a pharmacist on an ACT team has the potential to significantly decrease medicationrelated complications and improve treatment adherence. Conclusion: ACT is a valuable and essential psychiatric treatment for persons with severe and persistent mental illnesses. This innovative service allows not only for the incorporation of the clinical pharmacist into evidence-based practice, but also provides financial compensation for services provided.</t>
  </si>
  <si>
    <t>(Gable K.N.) 16th Annual Meeting of the College of Psychiatric and Neurologic Pharmacists, CPNP 2013 Colorado Springs, CO, United States 2013-04-21 to 2013-04-24 SAGE Publications Inc.; ID: 1034</t>
  </si>
  <si>
    <t>Gabriele,L.;Author,Addresses;Alaro Association,Nigeria;Correspondence,Address;Gabriele,Alaro Association Nigeria,L.</t>
  </si>
  <si>
    <t>Bio-energy (prano-practice): Integrator of medical and psychological treatments-in relation to drug dependence and senile age</t>
  </si>
  <si>
    <t>European Journal of Integrative Medicine</t>
  </si>
  <si>
    <t>drug dependence;integrative medicine;anxiety;community;emotional stability;headache;health;human;human relation;humor;insomnia;mental stress;pain;patient;physician;prevention;procedures;public health;quality of life;sleep;therapy;wellbeing</t>
  </si>
  <si>
    <t>Bio-energy (prano-practice) is especially useful regarding prevention, maintenance of health, and in other cases where stress and anxiety have to be equilibrated. Analysing the results obtained through various projects in communities recovering from drug dependence and in Senior Centres, bio-energy, provided great support and is a valid technique to be integrated into the work of educators and doctors. It has an 'indirect' influence, has shown visible results as per energetic and homeopathic increase in cases of headache, cervical pain, lumbarsacral pain, anxiety, stress and insomnia and has produced interesting, important effects, as reported by patients and educators, that is, reduction of pharmaceutical products. This result should make the Public Administration consider the positive effects of bio-energy for reducing expenses of the public health sector, by introducing this natural wellness therapy into the orthodox procedures. Bio-energy (prano-practice) can be used to improve psycho-physical wellness and improve the general energetic status of the treated persons and can improve quality of life. Particularly in the Senior Centres, this method showed a reduction of anxiety and nervous stress, providing more serenity, an increase in emotional stability and capacity of concentration, an increase in psycho-energetic strength and general psychophysical tone and improvement in sleep, of the status of humour, and interpersonal relationships to more positive behaviours and socialisation. It has to be emphasised that if one person felt better, this led to the whole group having more positive relationships in harmony. Such important experiences underline the positive value of bio-energy in such particular cases of targets against stress and anxiety. Bio-energy (prano-practice) can be useful to re-equilibrate and energise cases of prevention and maintenance and thus can become an effective integrator regarding normal medical and psychological therapies. Prano-practice is part of the health disciplines regulated by the Tuscan Regional law.</t>
  </si>
  <si>
    <t>(Gabriele L.) 5th European Congress for Integrative Medicine Florence, Italy 2012-09-21 to 2012-09-22 Elsevier GmbH; ID: 1119</t>
  </si>
  <si>
    <t>1876-3820</t>
  </si>
  <si>
    <t>Gahr,M.;Freudenmann,R. W.;Connemann,B. J.;Hiemke,C.;Schonfeldt-Lecuona,C.;Author,Addresses;Department of,Psychiatry;Psychotherapy,III;University of Ulm, Leimgrubenweg,Ulm Germany;Department of,Psychiatry;Psychotherapy,University Medical;Center,of Mainz;Correspondence,Address;Gahr,Department of Psychiatry,M.;Psychotherapy Iii,University,of Ulm;Leimgrubenweg,Ulm Germany Email maximilian gahr uni-ulm de</t>
  </si>
  <si>
    <t>24037995; Abuse liability of flupirtine revisited: Implications of spontaneous reports of adverse drug reactions</t>
  </si>
  <si>
    <t>(MAJOR FOCUS);flupirtine (pharmacoeconomics);4 aminobutyric acid A receptor;adverse drug reaction;drug dependence;data base;drug surveillance program;human;medical device;review;risk factor;withdrawal syndrome;flupirtine (56995-20-1, 75507-68-5);Neurology and Neurosurgery (8);Psychiatry (32);Health Policy, Economics and Management (36);Drug Literature Index (37);Drug Dependence, Alcohol Abuse and Alcoholism (40)</t>
  </si>
  <si>
    <t>Early studies suggested that the centrally acting non]opioid and non]steroidal analgesic flupirtine (FLP) has no potential for abuse. However, FLPLs agonistic effects at the GABAA receptor might prime addictive behaviors, and literature provides some anecdotal reports on FLP abuse/dependence. To shed more light on this topic we acquired and evaluated data obtained from a national German pharmacovigilance database. We analyzed all reports of FLP abuse/dependence that were recorded in the database of the German Federal Institute for Drugs and Medical Devices (BfArM). A total of n.48 reports of FLP abuse/dependence could be identified (mean age 45 years, 62.5% female). First reports were submitted to BfArM in 1991 with increasing numbers of annual reports from the year 2006 on. Mean daily FLP dosage was 805 mg (range 200.3,000 mg). Current or previous substance abuse/ dependence was reported in 21% and 17%, respectively. Mean duration of FLP abuse/dependence until report to BfArM was 23 months (range 1.84 months). Withdrawal syndromes after discontinuation of FLP were reported in n.9 (19%). Our findings strengthen the hypothesis that FLP features a potential to cause addictive behaviors. Female sex, age 40 years, and long]term FLP]treatment may be possible risk factors for the development of FLP abuse/dependence. ‚î¨‚åê 2013, The American College of Clinical Pharmacology.</t>
  </si>
  <si>
    <t>(Gahr M., maximilian.gahr@uni-ulm.de; Freudenmann R.W.; Connemann B.J.; Schonfeldt-Lecuona C.) (Hiemke C.) Wiley-Blackwell Publishing Ltd, 9600 Garsington Rd, Chiswell Green Ln, Oxford, United Kingdom.; ID: 966</t>
  </si>
  <si>
    <t>http://www.ncbi.nlm.nih.gov/pubmed/24037995</t>
  </si>
  <si>
    <t>Abuse liability of flupirtine revisited: Implications of spontaneous reports of adverse drug reactions</t>
  </si>
  <si>
    <t>Galanter,M.;Keller,D. S.;Dermatis,H.;Biderman,D.</t>
  </si>
  <si>
    <t>Use of the Internet for addiction education. Combining network therapy with pharmacotherapy</t>
  </si>
  <si>
    <t>American Journal on Addictions</t>
  </si>
  <si>
    <t>Combined Modality Therapy;*Computer Communication Networks/ut Utilization];*Health Education;Humans;Mental Health;*Naltrexone/tu Therapeutic Use];*Narcotic Antagonists/tu Therapeutic Use];Psychotherapy;Substance-Related Disorders/pc Prevention &amp; Control];*Substance-Related Disorders/th Therapy];Surveys and Questionnaires;0 (Narcotic Antagonists);5S6W795CQM (Naltrexone)</t>
  </si>
  <si>
    <t>The authors prepared a course in addiction psychiatry for the Internet that combines a psychosocial and a medication modality for alcoholism; namely, network therapy and naltrexone. Responses of those who accessed the course revealed 679 counts (visits) at the Web Site. A group of 210 unique respondents, of whom 154 were psychiatrists, answered a demographic question set. Over half of these psychiatrists completed the course and evaluated it. The majority indicated that it helped them understand "a good deal" about the management of alcoholism and the use of network therapy and naltrexone. This result suggests the feasibility of using the Internet as a vehicle for teaching in addiction psychiatry, an area where needs for training are often unmet.</t>
  </si>
  <si>
    <t>J2: Am J Addict; Galanter, M Keller, D S Dermatis, H Biderman, D R0IDA0518 (United States NIDA NIH HHS); ID: 591</t>
  </si>
  <si>
    <t>1055-0496</t>
  </si>
  <si>
    <t>Galanter,M. Department of Psychiatry, NYU Medical Center, New York 10016, USA.</t>
  </si>
  <si>
    <t>http://ovidsp.ovid.com/ovidweb.cgi?T=JS&amp;CSC=Y&amp;NEWS=N&amp;PAGE=fulltext&amp;D=med4&amp;AN=9522002</t>
  </si>
  <si>
    <t>MEDLINE; Ovid Technologies; Use of the Internet for addiction education. Combining network therapy with pharmacotherapy</t>
  </si>
  <si>
    <t>Galt,K. A.;Rule,A. M.;Houghton,B.;Young,D. O.;Remington,G.</t>
  </si>
  <si>
    <t>PMC1082940; Personal digital assistant-based drug information sources: potential to improve medication safety</t>
  </si>
  <si>
    <t>Journal of the Medical Library Association</t>
  </si>
  <si>
    <t>Academic Medical Centers;Attitude to Computers;*Computers, Handheld/st Standards];*Drug Information Services/st Standards];*Drug Prescriptions/st Standards];*Drug Therapy, Computer-Assisted/st Standards];Humans;Medical Staff, Hospital/sn Statistics &amp; Numerical Data];Medication Errors/pc Prevention &amp; Control];*Medication Systems, Hospital/st Standards];Pharmacists/sn Statistics &amp; Numerical Data];*Point-of-Care Systems/st Standards];Surveys and Questionnaires;United States</t>
  </si>
  <si>
    <t>OBJECTIVES: This study compared the potential for personal digital assistant (PDA)-based drug information sources to minimize potential medication errors dependent on accurate and complete drug information at the point of care. METHODS: A quality and safety framework for drug information resources was developed to evaluate 11 PDA-based drug information sources. Three drug information sources met the criteria of the framework: Eprocrates Rx Pro, Lexi-Drugs, and mobileMICROMEDEX. Medication error types related to drug information at the point of care were then determined. Forty-seven questions were developed to test the potential of the sources to prevent these error types. Pharmacists and physician experts from Creighton University created these questions based on the most common types of questions asked by primary care providers. Three physicians evaluated the drug information sources, rating the source for each question: 1=no information available, 2=some information available, or 3 = adequate amount of information available. RESULTS: The mean ratings for the drug information sources were: 2.0 (Eprocrates Rx Pro), 2.5 (Lexi-Drugs), and 2.03 (mobileMICROMEDEX). Lexi-Drugs was significantly better (mobileMICROMEDEX t test; P=0.05; Eprocrates Rx Pro t test; P=0.01). CONCLUSION: Lexi-Drugs was found to be the most specific and complete PDA resource available to optimize medication safety by reducing potential errors associated with drug information. No resource was sufficient to address the patient safety information needs for all cases.</t>
  </si>
  <si>
    <t>J2: J Med Libr Assoc; Galt, Kimberly A Rule, Ann M Houghton, Bruce Young, Daniel O Remington, Gina 1-R18HS11808-01 (United States AHRQ HHS); ID: 447</t>
  </si>
  <si>
    <t>1536-5050</t>
  </si>
  <si>
    <t>Galt,Kimberly A. Department of Pharmacy Practice, School of Pharmacy and Health Professions, Creighton University, 2500 California Plaza, Omaha, Nebraska 68178, USA. kgalt@creighton.edu</t>
  </si>
  <si>
    <t>http://ovidsp.ovid.com/ovidweb.cgi?T=JS&amp;CSC=Y&amp;NEWS=N&amp;PAGE=fulltext&amp;D=med5&amp;AN=15858626</t>
  </si>
  <si>
    <t>MEDLINE; Ovid Technologies; Personal digital assistant-based drug information sources: potential to improve medication safety</t>
  </si>
  <si>
    <t>Gammaitoni,A. R.;Gallagher,R. M.;Welz,M.;Gracely,E. J.;Knowlton,C. H.;Voltis-Thomas,O.</t>
  </si>
  <si>
    <t>Palliative pharmaceutical care: a randomized, prospective study of telephone-based prescription and medication counseling services for treating chronic pain</t>
  </si>
  <si>
    <t>Pain Medicine</t>
  </si>
  <si>
    <t>OBJECTIVE: To evaluate the effects of providing a unique telephone-based pharmaceutical care program to a sample of patients enrolled at a university pain clinic in Philadelphia, Pa. We hypothesized that in comparison to routine pharmaceutical care, the telephone-based pharmaceutical care program would have a positive impact on delivery of medication, quality of life, and overall satisfaction with the pain clinic program. PATIENTS: One hundred seven pain clinic patients were randomly assigned to the control and intervention groups. Seventy-four patients (control group, n = 36; intervention group, n = 38) met inclusion criteria. METHOD: The control group continued to receive care and prescription services through the same means as prior to the study. There were 2 components to the pharmaceutical care program offered to the intervention group. The first component consisted of a palliative care pharmacy company, PainRxperts, providing specialized prescription services tailored to the needs of a pain medicine clinical practice. The second component involved the palliative-trained pharmacist's proactive monitoring of patient pharmacotherapy for potential or actual drug related problems (DRPs). RESULTS: Intervention patients perceived that they had better access to medication, more efficient processing of prescriptions, and fewer stigmatizing experiences. They also endorsed pharmacists' behavioral interventions such as medication counseling, availability to answer medication-related questions, and non-judgmental attitudes when managing opioid prescriptions. CONCLUSION: This study suggests that the palliative-trained pharmacist can play an important collaborative role in managing chronic pain. Application of the pharmaceutical care model in pain medicine centers can improve satisfaction and remove some of the barriers to good pharmaceutical care facing patients with chronic pain disorders</t>
  </si>
  <si>
    <t>J2: Pain Med; Gammaitoni, A R Gallagher, R M Welz, M Gracely, E J Knowlton, C H Voltis-Thomas, O Comment in: Pain Med. 2000 Dec;1(4):283-5; PMID: 15101871; ID: 484</t>
  </si>
  <si>
    <t>1526-2375</t>
  </si>
  <si>
    <t>Gammaitoni,A R. PainRxperts, MCP Hahnemann School of Medicine, Philadelphia, Pennsylvania, USA.</t>
  </si>
  <si>
    <t>http://ovidsp.ovid.com/ovidweb.cgi?T=JS&amp;CSC=Y&amp;NEWS=N&amp;PAGE=fulltext&amp;D=prem&amp;AN=15101878</t>
  </si>
  <si>
    <t>MEDLINE; Ovid Technologies; Palliative pharmaceutical care: a randomized, prospective study of telephone-based prescription and medication counseling services for treating chronic pain</t>
  </si>
  <si>
    <t>Gangwar,S. S.;Monisha,N.;Nachiya,J.;Parimalakrishnan,S.;Narasingarao,K.;Singh,S. P.;Author,Addresses;Department of Pharmaceutical Sciences, Gsvm,Medical College;Kanpur,India;Department of Pharmacy, Annamalai University Annamalai,Nagar India;Andhra Yuvathi Mandali, School of,Pharmacy Barkatpura;Hyderabad,India;Department of Pharmacology, Gsvm Medical,College Kanpur;India;Correspondence,Address;Parimalakrishnan, Department of Pharmacy Annamalai University Annamalai,S.;Nagar,India</t>
  </si>
  <si>
    <t>25352870; Impact of medication and psychological behaviour assessment by community pharmacists in type 2 diabetes mellitus patients after hospital stay</t>
  </si>
  <si>
    <t>African Health Sciences</t>
  </si>
  <si>
    <t>hemoglobin A1c (endogenous compound);low density lipoprotein (endogenous compound);diabetic patient;drug induced disease (prevention);medication compliance;non insulin dependent diabetes mellitus (therapy);patient education;pharmacist;prescription;adult;aged;article;blood pressure;comorbidity;controlled study;diabetic foot;drug indication;eye examination;female;foot examination;health care utilization;hemoglobin blood level;hospitalization;human;incidence;India;lipoprotein blood level;major clinical study;male;musculoskeletal system examination;outcome assessment;physical examination;professional knowledge;prospective study;randomized controlled trial;hemoglobin A1c (62572-11-6);Public Health, Social Medicine and Epidemiology (17);Endocrinology (3);Internal Medicine (6)</t>
  </si>
  <si>
    <t>Drug related problem (DRPs) is a key factor which will affect the outcome of therapy and safety. The aim of the present study is to assess the DRPs in T2DM patients and psychological aspects of patients by community pharmacists to observe the rate of DRP. Prospective randomized controlled intervention study involved T2DM patients and conducted in two community pharmacies at Kanpur from January 2012 to December 2012. The assessment of DRPs was based on the PCNE. Changes in HBA1C, LDL, BP, foot examinations, changes medical and medication utilization were studied. Using as control group, received usual care, and interventional group provided, intervened with use of the STG. Researcher provided the knowledge to community pharmacists and patients. Baseline and interventional data were collected at 0,3,6,9 and 12 months. Over 12 month study, participantsŒì√á√ñ average HBA1C reduced from 8.9% at initial visit to 7.5%. During this time, the eye examination rate was raised from 31% to 48%, and the foot examination rate was raised from 35% to 50%. It may be concluded that the intervention of pharmacists showed very less significant influence on any of the intermediate health outcomes in T2DM.</t>
  </si>
  <si>
    <t>(Gangwar S.S.) (Monisha N.; Nachiya J.; Parimalakrishnan S., gsvmssgangwar@rediffmail.com) (Narasingarao K.) (Singh S.P.) Makerere University, Medical School, pic@infocom.co.ug; ID: 935</t>
  </si>
  <si>
    <t>1680-6905</t>
  </si>
  <si>
    <t>http://www.ncbi.nlm.nih.gov/pubmed/25352870</t>
  </si>
  <si>
    <t>Impact of medication and psychological behaviour assessment by community pharmacists in type 2 diabetes mellitus patients after hospital stay</t>
  </si>
  <si>
    <t>Gardner,D. M.</t>
  </si>
  <si>
    <t>PMC4143296; Competent psychopharmacology</t>
  </si>
  <si>
    <t>Canadian Journal of Psychiatry - Revue Canadienne de Psychiatrie</t>
  </si>
  <si>
    <t>Canada;*Clinical Competence;Cooperative Behavior;Curriculum/td Trends];Education, Medical, Continuing;Education, Nursing, Continuing;Education, Pharmacy, Continuing;Humans;Interdisciplinary Communication;Off-Label Use;Patient Education as Topic/td Trends];*Psychopharmacology/ed Education];Psychotropic Drugs/ae Adverse Effects];Psychotropic Drugs/tu Therapeutic Use];0 (Psychotropic Drugs)</t>
  </si>
  <si>
    <t>There is little doubt that undergraduate and post-graduate training of physicians, pharmacists, and nurses is insufficient to prepare them to use psychotropics safely and effectively, especially in the context of their expanded off-label uses. Therefore, the development of competencies in psychotropic prescribing needs to be approached as a long-term, practice-based learning commitment. Proposed are the abilities and knowledge components necessary for safe and effective use of psychotropics. Typical challenges in prescribing for chronic and recurrent illnesses include highly variable responses and tolerability, drug interactions, and adverse effects that can be serious, irreversible, and even fatal. Prescribing psychotropics is further complicated by negative public and professional reports and growing patient concerns about the quality of care, and questions about the efficacy, safety, and addictive risks of psychotropics. Increased efforts are needed to enhance clinical training and knowledge in psychopharmacology among trainees and practising clinicians, with more comprehensive and sustained attention to the assessment of individual patients, and greater reliance on patient education and collaboration. Improved competence in psychotropic prescribing should lead to more informed, thoughtful, and better-targeted applications as one component of more comprehensive clinical care.</t>
  </si>
  <si>
    <t>J2: Can J Psychiatry; Gardner, David M; ID: 76</t>
  </si>
  <si>
    <t>0706-7437</t>
  </si>
  <si>
    <t>Gardner,David M. Professor, Department of Psychiatry and College of Pharmacy, Dalhousie University, Halifax, Nova Scotia.</t>
  </si>
  <si>
    <t>http://ovidsp.ovid.com/ovidweb.cgi?T=JS&amp;CSC=Y&amp;NEWS=N&amp;PAGE=fulltext&amp;D=medl&amp;AN=25161064</t>
  </si>
  <si>
    <t>MEDLINE; Ovid Technologies; Competent psychopharmacology</t>
  </si>
  <si>
    <t>Garfein,R. S.;Stopka,T. J.;Pavlinac,P. B.;Ross,A.;Haye,B. K.;Riley,E. D.;Bluthenthal,R. N.</t>
  </si>
  <si>
    <t>PMC2900579; Three years after legalization of nonprescription pharmacy syringe sales in California: where are we now?</t>
  </si>
  <si>
    <t>California;*Community Pharmacy Services/lj Legislation &amp; Jurisprudence];*Community Pharmacy Services/sn Statistics &amp; Numerical Data];HIV Infections/pc Prevention &amp; Control];Hepatitis C/pc Prevention &amp; Control];Humans;*Needle-Exchange Programs/lj Legislation &amp; Jurisprudence];*Needle-Exchange Programs/sn Statistics &amp; Numerical Data];*Substance Abuse, Intravenous</t>
  </si>
  <si>
    <t>In January 2005, passage of California Senate Bill 1159 enabled California's county or city governments to establish disease prevention demonstration projects (DPDPs) through which pharmacies could subsequently register to legally sell up to 10 syringes to adults without a prescription. California's 61 local health jurisdictions (LHJs) were surveyed annually in 2005-2007 to monitor the progress of DPDP implementation and assess program coverage, facilitators, and barriers. Completed surveys were returned by mail, fax, e-mail, phone, or internet. We analyzed 2007 survey data to describe current DPDP status; data from all years were analyzed for trends in approval and implementation status. By 2007, 17 (27.9%) LHJs approved DPDPs, of which 14 (82.4%) had registered 532 (17.8%) of the 2,987 pharmacies in these 14 LHJs. Although only three LHJs added DPDPs since 2006, the number of registered pharmacies increased 102% from 263 previously reported. Among the LHJs without approved DPDPs in 2007, one (2.3%) was in the approval process, seven (16.3%) planned to seek approval, and 35 (81.4%) reported no plans to seek approval. Of 35 LHJs not planning to seek approval, the top four reasons were: limited health department time (40%) or interest (34%), pharmacy disinterest (31%), and law enforcement opposition (26%). Among eight LHJs pursuing approval, the main barriers were "time management" (13%), educating stakeholders (13%), and enlisting pharmacy participation (13%). The17 LHJs with DPDP represent 52% of California's residents; they included 62% of persons living with HIV and 59% of IDU-related HIV cases, suggesting that many LHJs with significant numbers of HIV cases have approved DPDPs. Outcome studies are needed to determine whether SB 1159 had the desired impact on increasing syringe access and reducing blood-borne viral infection risk among California IDUs.</t>
  </si>
  <si>
    <t>J2: J Urban Health; Garfein, Richard S Stopka, Thomas J Pavlinac, Patricia B Ross, Alessandra Haye, B Karen Riley, Elise D Bluthenthal, Ricky N; ID: 285</t>
  </si>
  <si>
    <t>Garfein,Richard S. Department of Medicine, Division of Global Public Health, School of Medicine, University of California San Diego, San Diego, CA, USA. rgarfein@ucsd.edu</t>
  </si>
  <si>
    <t>http://ovidsp.ovid.com/ovidweb.cgi?T=JS&amp;CSC=Y&amp;NEWS=N&amp;PAGE=fulltext&amp;D=med5&amp;AN=20535641</t>
  </si>
  <si>
    <t>http://dx.doi.org/10.1007/s11524-010-9463-3</t>
  </si>
  <si>
    <t>MEDLINE; Ovid Technologies; Three years after legalization of nonprescription pharmacy syringe sales in California: where are we now?</t>
  </si>
  <si>
    <t>Garrison,K.;Mitty,E.</t>
  </si>
  <si>
    <t>Pain management and the U.S. Department of Justice</t>
  </si>
  <si>
    <t>Geriatric nursing</t>
  </si>
  <si>
    <t>Geriatr.Nurs.</t>
  </si>
  <si>
    <t>219 6p</t>
  </si>
  <si>
    <t>Drug and Narcotic Control -- Legislation and Jurisprudence -- United States;Drug Enforcement Administration;Long Term Care;Pain -- Drug Therapy;Substance Abuse -- Prevention and Control;Analgesics, Opioid -- Classification;Legislation;Pharmacy, Retail;Prescriptions, Drug;United States</t>
  </si>
  <si>
    <t>The Drug Enforcement Agency (DEA) may be restricting the ability of RNs and LPNs in assisted living communities (ALCs) in some states to provide pain relief for residents. The DEAs enforcement of the requirements of the Controlled Substances Act (CSA) to reduce diversion of controlled substances (particularly Schedule II meds) for criminal or nefarious reasons, has generated a variety of responses by pharmacies, ALCs, and practitioners. Residents are at risk for--and some residents have already experienced--inadequate pain management. The argument seems to turn on whether an ALC (or nursing home or home health nurse) is an 'agent' of the physician. The term 'agent' is poorly defined in section 1300 of the CSA. It neither confirms that an ALC/long-term care (LTC) nurse/medical aide may function as an agent of the provider nor does the definition preclude the ALC/LTC nurse/medical aide as the agent of the provider. This article is an alert to ALCs to examine their controlled drug procurement and pain management procedures and is also a call to advocacy by ALC nurses.</t>
  </si>
  <si>
    <t>Entry Date: 20100813. Revision Date: 20150818. Publication Type: Journal Article. Journal Subset: Core Nursing; Nursing; Peer Reviewed; USA. Special Interest: Gerontologic Care; Pain and Pain Management. NLM UID: 8309633. PMID: 20525527.; ID: 1964</t>
  </si>
  <si>
    <t>0197-4572</t>
  </si>
  <si>
    <t>Elite Elder Care, Portland, OR</t>
  </si>
  <si>
    <t>http://proxy.lib.umich.edu/login?url=http://search.ebscohost.com/login.aspx?direct=true&amp;db=ccm&amp;AN=105039127&amp;site=ehost-live&amp;scope=site</t>
  </si>
  <si>
    <t>10.1016/j.gerinurse.2010.04.004</t>
  </si>
  <si>
    <t>ccm; EBSCOhost; Pain management and the U.S. Department of Justice</t>
  </si>
  <si>
    <t>Gass,J. T.;Chandler,L. J.</t>
  </si>
  <si>
    <t>PMC3667556; The Plasticity of Extinction: Contribution of the Prefrontal Cortex in Treating Addiction through Inhibitory Learning</t>
  </si>
  <si>
    <t>Frontiers in psychiatry Frontiers Research Foundation</t>
  </si>
  <si>
    <t>Theories of drug addiction that incorporate various concepts from the fields of learning and memory have led to the idea that classical and operant conditioning principles underlie the compulsiveness of addictive behaviors. Relapse often results from exposure to drug-associated cues, and the ability to extinguish these conditioned behaviors through inhibitory learning could serve as a potential therapeutic approach for those who suffer from addiction. This review will examine the evidence that extinction learning alters neuronal plasticity in specific brain regions and pathways. In particular, subregions of the prefrontal cortex (PFC) and their projections to other brain regions have been shown to differentially modulate drug-seeking and extinction behavior. Additionally, there is a growing body of research demonstrating that manipulation of neuronal plasticity can alter extinction learning. Therefore, the ability to alter plasticity within areas of the PFC through pharmacological manipulation could facilitate the acquisition of extinction and provide a novel intervention to aid in the extinction of drug-related memories.</t>
  </si>
  <si>
    <t>J2: Front Psychiatr; Gass, J T Chandler, L J R00 AA020537 (United States NIAAA NIH HHS) R01 AA010983 (United States NIAAA NIH HHS) U01 AA019967 (United States NIAAA NIH HHS); ID: 158</t>
  </si>
  <si>
    <t>1664-0640</t>
  </si>
  <si>
    <t>Gass,J T. Department of Neurosciences, Medical University of South Carolina , Charleston, SC , USA.</t>
  </si>
  <si>
    <t>http://ovidsp.ovid.com/ovidweb.cgi?T=JS&amp;CSC=Y&amp;NEWS=N&amp;PAGE=fulltext&amp;D=prem&amp;AN=23750137</t>
  </si>
  <si>
    <t>http://dx.doi.org/10.3389/fpsyt.2013.00046</t>
  </si>
  <si>
    <t>MEDLINE; Ovid Technologies; The Plasticity of Extinction: Contribution of the Prefrontal Cortex in Treating Addiction through Inhibitory Learning</t>
  </si>
  <si>
    <t>Gastelurrutia,M. A.;Author,Addresses;Forum on Pharmaceutical,Care Consensus;Correspondence,Address;MA Gastelurrutia, Forum on Pharmaceutical Care,Consensus Committee</t>
  </si>
  <si>
    <t>Spanish Consensus on Pharmaceutical care. Pharmaceutical Care forum</t>
  </si>
  <si>
    <t>Pharmacy World and Science</t>
  </si>
  <si>
    <t>consensus;pharmaceutical care;community;computer program;consumer;education;follow up;health;health care;hospital pharmacy;non profit organization;organization;pharmacist;pharmacy;prescription;primary medical care;safety;society;Spain;university</t>
  </si>
  <si>
    <t>Relevance of the work As in Spain there have been different approaches and terminologies about Pharmaceutical Care (PC), making it difficult for PC to be implemented, the agreement on a Consensus defining the meaning of the common words and services, and their procedures, related to PC Practice can be considered as a great step towards the implementation of PC services. Aim To reach a consensus on PC definitions and services. Also, to describe the education needs for pharmacists and dissemination approaches for PC to be implemented and to develop some recommendations for software companies to help pharmacists to implement PC services in their pharmacies. Methods A Consensus committee including representatives from all the organizations related to PC was set up: (General Board of Pharmacy and Health Care Products of the Ministry of Health and Consumer Affairs, General Council of Professional Associations, National Royal Academy of Pharmacy, Spanish Society of Primary Care Pharmacists, Spanish Society of Community Pharmacy, Spanish Society of Hospital Pharmacy, Pharmaceutical Care Foundation, Spain, Pharmaceutical Care Research Group of the University of Granada). Results A Consensus document was produced and issued to all participant organizations to be disseminated to all Spanish pharmacists. Dispensing, OTC prescription and Medicine Management (including follow-up) were defined and presented as being the most important PC services. Also the Committee reached a consensus on definitions of Drug Related Problems (being possible causes for non expected outcomes, such as interactions, non adherence, duplicities, etc.) and Negative Outcomes related to the use of Medicines (being these categorised in three domains: indication, effectiveness and safety). Also as a result of a functional analysis that was carried out by the Committee some recommendation on procedures were agreed and proposed to Spanish software companies for its implementation in Spanish software programs for pharmacies. Conclusion With such an agreement and all the pharmaceutical organizations working together trying to reach the same objectives it seems easier to get PC services implemented in Spain in the medium term.</t>
  </si>
  <si>
    <t>(Gastelurrutia M.A.) PCNE 7th Working Conference Kluwer Academic Publishers; ID: 1417</t>
  </si>
  <si>
    <t>Gastfriend,D. R.;Rubin,A.;Sharon,E.;Turner,W. M.;Anton,R. F.;Donovan,D. M.;Gorski,T.;Marlatt,G. A.;Maisto,S.;Schultz,T. K.;Shulman,G. D.</t>
  </si>
  <si>
    <t>New constructs and assessments for relapse and continued use potential in the ASAM Patient Placement Criteria</t>
  </si>
  <si>
    <t>Adaptation, Psychological;Aggression;Diagnostic and Statistical Manual of Mental Disorders;Humans;*Patient Selection;Recurrence;Reinforcement (Psychology);*Substance Abuse Treatment Centers/ut Utilization];*Substance-Related Disorders/di Diagnosis];*Substance-Related Disorders/rh Rehabilitation];Surveys and Questionnaires</t>
  </si>
  <si>
    <t>One area of intensive study in recent years in addiction research is the characterization and prediction of relapse risk. Given the growing list of findings and assessment tools in this area, in preparation for the second edition, revised volume of the Patient Placement Criteria (PPC) of the American Society of Addiction Medicine (ASAM), a workgroup of the Coalition for National Criteria was assigned the task of creating a revised conceptual organization for Dimension 5: Relapse/Continued Use Potential. The workgroup conducted a review of the previous Dimension 5 constructs and criteria, including a decision analysis of the previous Dimension 5 decision rules. Following that analysis, field data from the ASAM Criteria Validity Study at Massachusetts General Hospital and Harvard Medical School were analyzed from a large cohort of public and indigent patients in eastern Massachusetts. After determining the concurrent validity of the Dimension 5 decision rules and their limitations, the decision rules were rewritten to gain improved validity. This exercise revealed techniques that can and should be used to improve the discrimination of levels of care among all Dimensions. Finally, the workgroup expanded and refined the constructs that should comprise a revised Dimension 5. This revised list of constructs is sequential and hierarchical. It offers face validity on several levels of current basic and clinical research knowledge: behavioral pharmacology, behavioral psychology, learning theory and psychopathology. While the Second Edition-Revised volume of the ASAM PPC (PPC-2R) does not go so far as to propose final decision rules for Dimension 5 based on these new constructs, it does recommend pilot adoption of several new assessment tools for this dimension and provides the framework incorporating those constructs and assessments in the next complete PPC edition. References: 47]</t>
  </si>
  <si>
    <t>J2: J Addict Dis; Gastfriend, David R Rubin, Amy Sharon, Estee Turner, Winston M Anton, Raymond F Donovan, Dennis M Gorski, Terence Marlatt, G Alan Maisto, Steven Schultz, Terry K Shulman, Gerald D K24-DA00427 (United States NIDA NIH HHS) R01-DA08781 (United States NIDA NIH HHS); ID: 449</t>
  </si>
  <si>
    <t>1055-0887</t>
  </si>
  <si>
    <t>Gastfriend,David R. Addiction Research Program, Department of Psychiatry, Massachusetts General Hospital, Boston, MA 02115, USA. DGastfriend@Partners.org</t>
  </si>
  <si>
    <t>http://ovidsp.ovid.com/ovidweb.cgi?T=JS&amp;CSC=Y&amp;NEWS=N&amp;PAGE=fulltext&amp;D=med4&amp;AN=15991592</t>
  </si>
  <si>
    <t>MEDLINE; Ovid Technologies; New constructs and assessments for relapse and continued use potential in the ASAM Patient Placement Criteria</t>
  </si>
  <si>
    <t>Gatch,M. B.;Lal,H.</t>
  </si>
  <si>
    <t>Pharmacological treatment of alcoholism</t>
  </si>
  <si>
    <t>Progress in neuro-psychopharmacology &amp; biological psychiatry</t>
  </si>
  <si>
    <t>Prog.Neuropsychopharmacol.Biol.Psychiatry</t>
  </si>
  <si>
    <t>*Alcohol Drinking/dt Drug Therapy];*Alcoholism/dt Drug Therapy];Animals;Disease Models, Animal;Humans</t>
  </si>
  <si>
    <t>1. Pharmacological treatments are effective as part of a treatment plan that includes substantial education, psychological therapy and social support. This paper reviews recent literature on animal models of and treatment for alcohol abuse under seven categories: agents to block craving or reduce alcohol intake, agents to induce aversion to alcohol, agents to treat acute alcohol withdrawal, agents to treat protracted alcohol withdrawal, agents to diminish drinking by treating associated psychiatric pathology, agents to decrease drinking by treating associated drug abuse, and agents to induce sobriety in intoxicated individuals. 2. The benzodiazepines provide safe and effective treatment for detoxification, although current research focuses on finding drugs with a smaller likelihood of dependence. As yet, there are no drugs that effectively reverse the intoxicating effects of alcohol. 3. Currently, only two major groups of drugs that are relatively safe have shown any effect at reducing alcohol consumption: aversives such as disulfiram, and opioid antagonists such as naltrexone. 4. Finally, it is important to customize therapy for each patient rather than putting everyone through a standard treatment plan, especially in regards to the use of antidepressant or antipsychotic medications. Tailoring the program to the patient's needs dramatically improves the outcome of therapy and reduces the risk of adverse effects. References: 192]</t>
  </si>
  <si>
    <t>J2: Prog Neuropsychopharmacol Biol Psychiatry; Gatch, M B Lal, H; ID: 578</t>
  </si>
  <si>
    <t>0278-5846</t>
  </si>
  <si>
    <t>Gatch,M B. Department of Pharmacology, University of North Texas Health Science Center, Fort Worth, USA.</t>
  </si>
  <si>
    <t>http://ovidsp.ovid.com/ovidweb.cgi?T=JS&amp;CSC=Y&amp;NEWS=N&amp;PAGE=fulltext&amp;D=med4&amp;AN=9789878</t>
  </si>
  <si>
    <t>MEDLINE; Ovid Technologies; Pharmacological treatment of alcoholism</t>
  </si>
  <si>
    <t>Gatewood,S.;Alexander,A.;Osborn,R.;Kennedy,A.;Goode,J.;Matzke,G.;Reynolds-Cane,D.;Author,Addresses;Virginia Commonwealth University, School of Pharmacy,United States;Daily Planet,United States;Correspondence,Address;Gatewood, Virginia Commonwealth University School of Pharmacy United,S.;States Email,ssgatewood,vcu edu</t>
  </si>
  <si>
    <t>Expansion of clinical pharmacy services in an underserved population through an academic-community partnership</t>
  </si>
  <si>
    <t>clinical pharmacy;community;hospital department;population;adverse drug reaction;astronomy;consultation;diagnosis;drug therapy;electronic medical record;health;health care;health care planning;hospital;human;medication therapy management;mental health;monitoring;patient;patient compliance;patient education;patient safety;pharmacist;pharmacy;school;substance abuse;therapy;United States;university</t>
  </si>
  <si>
    <t>Objective: To increase (1) resources for the provision of clinical pharmacy services and (2) availability and scope of clinical pharmacy services provided by an established academic-community partnership. Methods: The Daily Planet, Inc., a Federally Qualified Health Care for the Homeless Clinic, and Virginia Commonwealth University (VCU) School of Pharmacy have an established academic-community partnership that has provided collaborative care to homeless patients with mental health or substance abuse diagnoses since 2006. They were selected to participate in the Health Resource Services Administration Patient Safety &amp; Clinical Pharmacy Services Collaborative (PSPC), whose aim is Œì√á¬£enhancing (patient) lives by achieving optimal health outcomes,Œì√á¬• in July 2008. PSPC provided a framework for improving clinical pharmacy services at the Daily Planet, which included resources for the clinical pharmacist and development of new services, such as medication adherence interventions, patient education, medication reconciliation, and adverse drug event monitoring. Results: The resources at the Daily Planet were increased to include clinical pharmacist access to the clinic's electronic medical record for documenting pharmacists' consultations and a dedicated pharmacist consultation room. A pharmacy fellowship was developed in collaboration with the Daily Planet. Clinical pharmacy hours increased from 4 hours per week to 30 hours per week, and the number of clinical pharmacy service patient visits has increased from 24 (June 2008) to 141 (August 2009) visits per month. Clinical pharmacy services were further expanded to include medication therapy and disease state management for both mental health and medical patients. Conclusion: The academic-community partnership was key to enhancing resources and expanding the availability and scope of clinical pharmacy services. These services are now available to all patients at the Daily Planet, Inc.</t>
  </si>
  <si>
    <t>(Gatewood S., ssgatewood@vcu.edu; Alexander A.; Kennedy A.; Goode J.; Matzke G.) (Osborn R.; Reynolds-Cane D.) APhA2010 Washington, DC, United States 2010-03-12 to 2010-03-15 American Pharmacists Association; ID: 1389</t>
  </si>
  <si>
    <t>Gavaza,P.;Yan,W.;Campbell,J.</t>
  </si>
  <si>
    <t>Main challenges facing the pharmaceutical sector in Buchanan County, Virginia: a pilot study</t>
  </si>
  <si>
    <t>Rural &amp; Remote Health</t>
  </si>
  <si>
    <t>Appalachian Region;Clinical Competence/sn Statistics &amp; Numerical Data];*Community Pharmacy Services/ma Manpower];Community Pharmacy Services/st Standards];Cross-Sectional Studies;*Delphi Technique;Female;*Health Knowledge, Attitudes, Practice;*Health Personnel/px Psychology];Humans;Inappropriate Prescribing/sn Statistics &amp; Numerical Data];Male;Pilot Projects;Poverty;Prescription Drugs/sd Supply &amp; Distribution];Quality Assurance, Health Care/mt Methods];*Quality Assurance, Health Care/st Standards];Rural Health Services/st Standards];*Rural Health Services;Rural Population;Socioeconomic Factors;Substance-Related Disorders/ep Epidemiology];Surveys and Questionnaires;Virginia;0 (Prescription Drugs)</t>
  </si>
  <si>
    <t>INTRODUCTION: Little is known about the challenges facing the pharmaceutical sector in rural counties in the USA. The aim of this pilot study is to determine the main challenges facing the pharmaceutical sector and suggestions for improving the sector in Buchanan County, a poor and marginalized county in Central Appalachia, Virginia. METHODS: This cross-sectional study used the drop-by survey based on the first step of the modified Delphi Interview Technique. A convenience sample of healthcare professionals in Buchanan County were asked to complete a self-administered survey instrument between May and August 2011. RESULTS: A total of 16 healthcare professionals including six pharmacists completed the survey. The respondents had worked for an average of 13.4 (SD=10.7) years in the County (range: 1-33 years). The main challenges facing the pharmaceutical sector were drug abuse (n=11), doctor shopping by patients (n=9), early refills (n=7) and drug shortage (n=6). Respondents suggested increased patient education by pharmacists (n=6) and better coordination and communication between pharmacy and doctor (n=6) to improve the pharmaceutical sector in the County. CONCLUSIONS: Drug abuse, doctor shopping, early refills and drug shortage are the main challenges facing the pharmaceutical sector in Buchanan County. Concerted efforts are required to solve these problems. More research is required to confirm these findings.</t>
  </si>
  <si>
    <t>J2: Rural Remote Health; Gavaza, Paul Yan, Wenfei Campbell, Jennifer; ID: 168</t>
  </si>
  <si>
    <t>1445-6354</t>
  </si>
  <si>
    <t>Gavaza,Paul. Appalachian College of Pharmacy, Oakwood, Virginia, USA. pgavaza@gmail.com</t>
  </si>
  <si>
    <t>http://ovidsp.ovid.com/ovidweb.cgi?T=JS&amp;CSC=Y&amp;NEWS=N&amp;PAGE=fulltext&amp;D=medl&amp;AN=23140593</t>
  </si>
  <si>
    <t>MEDLINE; Ovid Technologies; Main challenges facing the pharmaceutical sector in Buchanan County, Virginia: a pilot study</t>
  </si>
  <si>
    <t>Gellatly,R. M.;Livingstone,C.;Bergin,P.;Author,Addresses;Alfred Hospital,Melbourne;Australia;Correspondence,Address;RM Gellatly, Alfred Hospital,Melbourne Australia</t>
  </si>
  <si>
    <t>The addition of a specialist pharmacist to heart transplant and ventricular assist device clinics-early trends in patient care</t>
  </si>
  <si>
    <t>Journal of Heart and Lung Transplantation</t>
  </si>
  <si>
    <t>S240</t>
  </si>
  <si>
    <t>S241</t>
  </si>
  <si>
    <t>heart;heart graft;hospital;hospital patient;human;lung transplantation;medical specialist;patient care;pharmacist;society;ventricular assist device;adverse drug reaction;analgesia;Australian;classification;counseling;drug therapy;education;electronic medical record;follow up;male;medication compliance;nurse;outpatient;outpatient department;patient;patient attitude;patient education;physician;statistics;therapy</t>
  </si>
  <si>
    <t>Purpose: To describe the role of a specialist heart failure/transplant pharmacist newly implemented into the outpatient ventricular assist device (VAD) and heart transplant clinics in an Australian setting. Methods: In August 2014, a specialist pharmacist was implemented into a twice weekly 4 hour outpatient clinic, consisting of short and long-term heart transplant and VAD patients. The patients for review were identified by clinic nurses, the pharmacist, and physicians. The pharmacist conducted a medication history and review for identification of drug-related problems, medication adherence assessments, and patient education. The pharmacist completed outpatient notes detailing the patient interaction, interventions made, and follow up required. Data was extracted retrospectively from the electronic health record between August to October 2014. Descriptive statistics are used to present the data. Results: Over an 11-week period, there were 86 patient encounters in 67 patients (mean age 51‚î¨‚ñí18 years, 80% male, 10 VAD patient encounters in 6 VAD patients). Patients were taking an average of 14 medications. Medication histories were taken at 85% of patient encounters. Adherence assessments were completed in 85% of patients, with non-adherence identified in 8 patients. Patient education was provided at 91% of encounters. Common education themes included counseling patients on changes to therapies made in the clinic, post-operative pain management, sun care and medication adherence strategies. Forty-six actual or potential drug-related problems (DRPs) were identified in 25 patient encounters. Common classifications of DRPs included 20 untreated indications, 8 drugs used without an indication, and 5 adverse drug reactions. Conclusion: A specialist pharmacist can be successfully implemented into Australian VAD and heart transplant clinics. Key roles include, obtaining accurate medication histories, undertaking compliance assessments, identifying DRPs, and providing patient education. Opportunities such as investigating multi-disciplinary team and patient attitudes towards the service and the expansion of the scope of service warrant further study.</t>
  </si>
  <si>
    <t>(Gellatly R.M.; Livingstone C.; Bergin P.) 35th Annual Meeting and Scientific Sessions of the International Society for Heart and Lung Transplantation, ISHLT 2015 Nice, France 2015-04-15 to 2015-04-18 Elsevier USA; ID: 831</t>
  </si>
  <si>
    <t>1053-2498</t>
  </si>
  <si>
    <t>Gerald,M. C.;Author,Addresses;Div Pharmacol, Coll Pharm Ohio State,Univ Columbus;Ohio;Correspondence,Address;Div Pharmacol, Coll Pharm Ohio State Univ,Columbus Ohio</t>
  </si>
  <si>
    <t>Pharmacological instruction to undergraduate, nonprofessional students: A general introduction to drugs</t>
  </si>
  <si>
    <t>Health communications and informatics</t>
  </si>
  <si>
    <t>Health Commun.Informatics</t>
  </si>
  <si>
    <t>health education;pharmacology;student;geographic distribution;normal human;psychological aspect;short survey;United States;Public Health, Social Medicine and Epidemiology (17);Clinical and Experimental Pharmacology (30);Health Policy, Economics and Management (36)</t>
  </si>
  <si>
    <t>Whereas in the past instruction in pharmacology was restricted to health science students, recent years have witnessed the introduction of undergraduate, nonprofessional pharmacology courses on dozens of North American college campuses. The students enrolled in these courses possess widely diverse academic backgrounds, orientations, and vocational aspirations, representing an invigorating intellectual and didactic challenge for the instructor. The author advocates a scientifically-based orientation that survey the general pharmacology of many drug classes (rather than exclusively emphasizing substances of abuse) because of its inherent flexibility in keeping pace with contemporary developments. While such courses should be bases upon a good understanding of the fundamental principles of pharmacology, the author believes that students are more interested in drugs and drug classes per se. Since the backgrounds and interests of students electing these courses fundamentally differ from those of students in required health professional pharmacology courses, the general orientation, selection of subject matter, and level of scientific sophistication must also differ to achieve an educationally successful experience.</t>
  </si>
  <si>
    <t>(Gerald M.C.); ID: 1774</t>
  </si>
  <si>
    <t>0378-9845</t>
  </si>
  <si>
    <t>Gerardin,M.;Cozian,G.;Victorri-Vigneau,C.;Jolliet,P.;Author,Addresses;Service,de;Pharmacologie Clinique, C H U de,Nantes France;Ea Biostatistiques,Recherche;Clinique,Mesures Subjectives en Sant‚îú‚åê France;Correspondence,Address;de Nantes France,M.Gerardin, Service de Pharmacologie Clinique C.H.U.</t>
  </si>
  <si>
    <t>Notifications of addictovigilance from the college of pharmacists' council</t>
  </si>
  <si>
    <t>antidepressant agent;benzodiazepine derivative;neuroleptic agent;opiate;college;drug surveillance program;pharmacist;pharmacology;physiology;society;therapy;computer;France;patient;physician;prescription;register;theft;United States</t>
  </si>
  <si>
    <t>Background: In France, pharmacists can report events related to drugs' misuse to the College of Pharmacists' Council. The regional Council disseminates the information to all pharmacists in the administration area. In the Pays de la Loire area, these local alerts are also transmitted to the Center for Evaluation and Information on Pharmacodependance (CEIP) of Nantes, who registers these reports. Objectives: We propose here to analyse the data collected via this system. Methods: All the notifications from the Council of pharmacists received by the Center for Evaluation and Information on Pharmacodependance of Nantes have been analysed. Data were available from 2005 to 2009. Results: More than 350 reports have been registered from 2005 to the end of 2009. Nearly 70% concerned the department of Loire-Atlantique, 10% concerned Vend‚îú‚åêe, 10% Maine et Loire, 6% Sarthe and 4% Mayenne. The total number of statements varies from 50 to 100 per year. The purpose of these notices is (in descending order of frequency): prescription's falsification, professional card's theft, prescription's theft, medical or pharmaceutical nomadism, professional stamp's theft, computer's theft, abusive self prescriptions from a doctor. Considering the evolution between 2005 and 2009, following trends are observed: Prescription's falsifications and thefts (all combined) increased whereas the nomadism decreased. In more than 200 cases, drugs are specified. Benzodiazepines are the most frequently cited, followed by opiates, antidepressants and neuroleptics. Conclusion: These results are representative of the ways used by patients to circumvent the law in order to get drugs. Concerning the drugs cited on the prescriptions, our results are consistent with those of other surveys. These partnership between the CEIP of Nantes and the regional College of Pharmacists'Council is original and has not been established in all French CEIP. It provides a rich compendium of information for evaluation in addictovigilance.</t>
  </si>
  <si>
    <t>(Gerardin M.; Cozian G.; Victorri-Vigneau C.; Jolliet P.) (Victorri-Vigneau C.; Jolliet P.) 14th Annual Meeting of the French Society of Pharmacology and Therapeutics, the 77th Annual Meeting of the Society of Physiology, the 31st Pharmacovigilance Meeting, the 11th APNET Seminar and the 8th CHU CIC Meeting Bordeaux, France 2010-03-23 to 2010-03-25 Blackwell Publishing Ltd; ID: 1361</t>
  </si>
  <si>
    <t>Gershman,J. A.;Fass,A. D.;Author,Addresses;Department,of Pharmacy;College of Pharmacy, Nova Southeastern University Ft,Lauderdale F.;United,States;Department of Pharmacy Practice, College of,Pharmacy Nova;Southeastern University,United States;Correspondence,Address;JA Gershman, Department of Pharmacy Practice College of,Pharmacy Nova;Southeastern University, Ft Lauderdale F L United,States Email;jennifer.gershman@nova.edu</t>
  </si>
  <si>
    <t>Dextromethorphan abuse: A literature review</t>
  </si>
  <si>
    <t>(MAJOR FOCUS);dextromethorphan (adverse drug reaction, drug toxicity);drug abuse;addiction (side effect);agitation;central nervous system depression;coma (side effect);confusion (side effect);cross-sectional study;drug half life;drug surveillance program;dyskinesia (side effect);dystonia (side effect);fatigue (side effect);hallucination (side effect);health education;heart arrest (side effect);human;hypertension (side effect);lethargy (side effect);mydriasis (side effect);myoclonus (side effect);nystagmus (side effect);pharmacist;prevalence;psychosis (side effect);QT prolongation (side effect);respiratory arrest (side effect);retrospective study;review;seizure (side effect);serotonin syndrome (side effect);sex difference;side effect (side effect);sweating;tachycardia (side effect);dextromethorphan (125-69-9, 125-71-3);Drug Literature Index (37);Adverse Reactions Titles (38)</t>
  </si>
  <si>
    <t>Objective: To review dextromethorphan abuse patterns from 2002-2012 and emphasize the pharmacist's role in prevention, education, and sales surveillance. Data Sources: A literature search was conducted through PubMed (2002-November 2012), EMBASE (2002-November 2012), and International Pharmaceutical Abstracts (2002-November 2012), using the search term dextromethorphan abuse. The Drug Enforcement Administration and National Association of Boards of Pharmacy websites were searched for dextromethorphan abuse and legislative updates. The search was limited to a 10-year period to identify the most current case reports and studies. Study Selection and Data Extraction: The limits used were studies/case reports evaluating humans and published in the English language. Only studies and case reports that assessed dextromethorphan abuse were included in the review. Eight studies and 9 case reports met the inclusion criteria. Data Synthesis: Case reports and studies demonstrate that there are patterns associated with dextromethorphan abuse. A study using data reported to the National Poison Data System identified Coricidin as the most (65.5%) commonly abused dextromethorphan product until 2006; its abuse has decreased since that time (p &lt; 0.0001). The most common abuse effects and toxicities cited in studies and case reports include agitation, confusion, central nervous system depression, tachycardia, hypertension, lethargy, psychosis, hallucinations, mydriasis, dizziness, and cardiotoxicity. One study identified that 96% of samples tested positive for other substances in addition to dextromethorphan. Coingestion of other substances is also common among dextromethorphan abusers. Conclusions: Case reports and studies demonstrate that there are patterns associated with dextromethorphan abuse. It is difficult to identify dextromethorphan as the causative agent of abuse effects because of coingestion of other substances. Studies should examine the pharmacist's role and the association between dextromethorphan sales restrictions and abuse patterns. ‚î¨‚åê 1985-2013 Harvey Whitney Books Co. All rights reserved.</t>
  </si>
  <si>
    <t>(Gershman J.A., jennifer.gershman@nova.edu) (Fass A.D.) Harvey Whitney Books Company, 8044 Montgomery Road, Suite 415, Cincinnati, United States.; ID: 1064</t>
  </si>
  <si>
    <t>Gershman,Jennifer A.</t>
  </si>
  <si>
    <t>Implementation of a substance abuse awareness program for high school students and parents</t>
  </si>
  <si>
    <t>1466 3p</t>
  </si>
  <si>
    <t>Substance Abuse -- Prevention and Control;Students, High School;Parental Role;Drugs, Prescription -- Adverse Effects;Health Promotion -- Education;Analgesics;Pharmacists;Students, Pharmacy;Teachers;Program Implementation -- Methods;Curriculum Development;Website Development;Parent-Child Relations;Interprofessional Relations</t>
  </si>
  <si>
    <t>Entry Date: 20120823. Revision Date: 20150711. Publication Type: Journal Article; letter. Journal Subset: Biomedical; Blind Peer Reviewed; Peer Reviewed; USA. NLM UID: 9503023. PMID: 22899740.; ID: 1913</t>
  </si>
  <si>
    <t>Assistant Professor, Department of Pharmacy Practice, College of Pharmacy, Nova Southeastern University, Fort Lauderdale, FL</t>
  </si>
  <si>
    <t>http://proxy.lib.umich.edu/login?url=http://search.ebscohost.com/login.aspx?direct=true&amp;db=ccm&amp;AN=104496631&amp;site=ehost-live&amp;scope=site</t>
  </si>
  <si>
    <t>10.2146/ajhp120092</t>
  </si>
  <si>
    <t>ccm; EBSCOhost; Implementation of a substance abuse awareness program for high school students and parents</t>
  </si>
  <si>
    <t>Gettig,J. P.;Grady,S. E.;Nowosadzka,I.</t>
  </si>
  <si>
    <t>Methamphetamine: putting the brakes on speed</t>
  </si>
  <si>
    <t>Journal of School Nursing</t>
  </si>
  <si>
    <t>Acute Disease;Adolescent;Amphetamine-Related Disorders/ep Epidemiology];Amphetamine-Related Disorders/pc Prevention &amp; Control];*Amphetamine-Related Disorders;Child;Child Welfare;Chronic Disease;Drug Information Services;Drug and Narcotic Control/lj Legislation &amp; Jurisprudence];Humans;Internet;*Methamphetamine/ae Adverse Effects];Methamphetamine/pk Pharmacokinetics];Methamphetamine/po Poisoning];Nurse's Role;Nursing Assessment;Population Surveillance;Public Health;Risk Factors;Rural Health;Street Drugs/lj Legislation &amp; Jurisprudence];United States/ep Epidemiology];0 (Street Drugs);44RAL3456C (Methamphetamine)</t>
  </si>
  <si>
    <t>In only recent history, illicit use of methamphetamine, once isolated to urban areas on the West Coast, has spread into rural areas of the Midwest and southern United States. Although past and current methamphetamine legislation has increased penalties for methamphetamine manufacturers and tightened restrictions on sales of known precursors, the problem still persists. In fact, a 2004 survey indicates that an alarming 6.2% of high school seniors have tried methamphetamine. A number of biological, genetic, and environmental factors influence children's and adolescents' paths to substance abuse. Nurses should recognize the symptoms of methamphetamine abuse, which include agitation; aggressive behavior; rapid mood swings; hypertension; tachycardia; and eventually lesion-marked skin, clinical depression, and paranoid psychosis. Treatment for methamphetamine addiction includes behavioral therapy. Research on pharmacologic therapy is lacking. Educating youth on methamphetamine prevention appears to be the best approach to curb the spreading use of this addictive and deadly drug. References: 42]</t>
  </si>
  <si>
    <t>J2: J Sch Nurs; Gettig, Jacob P Grady, Sarah E Nowosadzka, Izabella Comment in: J Sch Nurs. 2006 Apr;22(2):63-5; PMID: 16563027; ID: 431</t>
  </si>
  <si>
    <t>1059-8405</t>
  </si>
  <si>
    <t>Gettig,Jacob P. Midwestern University Chicago College of Pharmacy, Downers Grove, IL, USA.</t>
  </si>
  <si>
    <t>http://ovidsp.ovid.com/ovidweb.cgi?T=JS&amp;CSC=Y&amp;NEWS=N&amp;PAGE=fulltext&amp;D=med5&amp;AN=16563028</t>
  </si>
  <si>
    <t>MEDLINE; Ovid Technologies; Methamphetamine: putting the brakes on speed</t>
  </si>
  <si>
    <t>Ghahremani,D. G.;Tabibnia,G.;Monterosso,J.;Hellemann,G.;Poldrack,R. A.;London,E. D.</t>
  </si>
  <si>
    <t>PMC3077264; Effect of modafinil on learning and task-related brain activity in methamphetamine-dependent and healthy individuals</t>
  </si>
  <si>
    <t>Adult;Amphetamine-Related Disorders/co Complications];*Amphetamine-Related Disorders/pa Pathology];Analysis of Variance;*Association Learning/de Drug Effects];*Benzhydryl Compounds/tu Therapeutic Use];Brain/bs Blood Supply];*Brain/de Drug Effects];Brain Mapping;Double-Blind Method;Female;Humans;Image Processing, Computer-Assisted/mt Methods];*Learning Disorders/dt Drug Therapy];Learning Disorders/et Etiology];Magnetic Resonance Imaging/mt Methods];Male;Middle Aged;*Neuroprotective Agents/tu Therapeutic Use];Oxygen/bl Blood];Photic Stimulation;Self Report;Time Factors;Young Adult;0 (Benzhydryl Compounds);0 (Neuroprotective Agents);R3UK8X3U3D (modafinil);S88TT14065 (Oxygen)</t>
  </si>
  <si>
    <t>Methamphetamine (MA)-dependent individuals exhibit deficits in cognition and prefrontal cortical function. Therefore, medications that improve cognition in these subjects may improve the success of therapy for their addiction, especially when cognitive behavioral therapies are used. Modafinil has been shown to improve cognitive performance in neuropsychiatric patients and healthy volunteers. We therefore conducted a randomized, double-blind, placebo-controlled, cross-over study, using functional magnetic resonance imaging, to examine the effects of modafinil on learning and neural activity related to cognitive function in abstinent, MA-dependent, and healthy control participants. Modafinil (200mg) and placebo were administered orally (one single dose each), in counterbalanced fashion, 2h before each of two testing sessions. Under placebo conditions, MA-dependent participants showed worse learning performance than control participants. Modafinil boosted learning in MA-dependent participants, bringing them to the same performance level as control subjects; the control group did not show changes in performance with modafinil. After controlling for performance differences, MA-dependent participants showed a greater effect of modafinil on brain activation in bilateral insula/ventrolateral prefrontal cortex and anterior cingulate cortices than control participants. The findings suggest that modafinil improves learning in MA-dependent participants, possibly by enhancing neural function in regions important for learning and cognitive control. These results suggest that modafinil may be a suitable pharmacological adjunct for enhancing the efficiency of cognitive-based therapies for MA dependence.</t>
  </si>
  <si>
    <t>J2: Neuropsychopharmacology; Ghahremani, Dara G Tabibnia, Golnaz Monterosso, John Hellemann, Gerhard Poldrack, Russell A London, Edythe D M01 RR00865 (United States NCRR NIH HHS) P20 DA022539 (United States NIDA NIH HHS) PL1 MH083271 (United States NIMH NIH HHS) R01DA020726 (United States NIDA NIH HHS) RL1 DA024853 (United States NIDA NIH HHS) UL1 DE019580 (United States NIDCR NIH HHS) UL1DE019580 (United States NIDCR NIH HHS); ID: 257</t>
  </si>
  <si>
    <t>Ghahremani,Dara G. Department of Psychiatry and Biobehavioral Sciences, University of California, Los Angeles, CA, USA. darag@ucla.edu</t>
  </si>
  <si>
    <t>http://ovidsp.ovid.com/ovidweb.cgi?T=JS&amp;CSC=Y&amp;NEWS=N&amp;PAGE=fulltext&amp;D=med5&amp;AN=21289606</t>
  </si>
  <si>
    <t>http://dx.doi.org/10.1038/npp.2010.233</t>
  </si>
  <si>
    <t>MEDLINE; Ovid Technologies; Effect of modafinil on learning and task-related brain activity in methamphetamine-dependent and healthy individuals</t>
  </si>
  <si>
    <t>Gheewala,P. A.;Peterson,G. M.;Curtain,C. M.;Nishtala,P. S.;Hannan,P. J.;Castelino,R. L.</t>
  </si>
  <si>
    <t>Impact of the pharmacist medication review services on drug-related problems and potentially inappropriate prescribing of renally cleared medications in residents of aged care facilities</t>
  </si>
  <si>
    <t>Aged;Aged, 80 and over;*Drug Utilization Review;*Drug-Related Side Effects and Adverse Reactions/ep Epidemiology];Female;*Homes for the Aged/sn Statistics &amp; Numerical Data];Humans;*Inappropriate Prescribing/sn Statistics &amp; Numerical Data];Male;New South Wales/ep Epidemiology];*Nursing Homes/sn Statistics &amp; Numerical Data];Pharmaceutical Services/sn Statistics &amp; Numerical Data];Pharmacists;Renal Insufficiency, Chronic/dt Drug Therapy];Renal Insufficiency, Chronic/ep Epidemiology]</t>
  </si>
  <si>
    <t>BACKGROUND: Drug-related problems (DRPs) are common in aged care facilities and few studies have been conducted to determine the impact of the pharmacist-conducted medication review services. Studies determining the prevalence of chronic kidney disease (CKD) and data regarding inappropriate prescribing of renally cleared medications in aged care facilities in Australia are also lacking. OBJECTIVES: To investigate the number and nature of DRPs identified and recommendations made by pharmacists in residents of aged care facilities. To determine the prevalence of CKD and estimate the magnitude of inappropriate prescribing of renally cleared medications in residents of aged care facilities. METHODS: DRPs identified and recommendations made by pharmacists were classified using the adapted version of the DOCUMENT classification system. The modification of diet in renal disease formula was used to estimate the prevalence of CKD, and the Cockcroft-Gault formula was used to estimate the magnitude of inappropriate prescribing of renally cleared medications. RESULTS: Over 98 % of residents of aged care facilities had at least one DRP. Most (83.8 %) recommendations made by accredited pharmacists to resolve DRPs were accepted by general practitioners. CKD was prevalent in 48 % of residents, and inappropriate prescribing of renally cleared medications was identified in 28 (16 %) residents with CKD. CONCLUSIONS: DRPs are common in aged care facilities and the impact of medication review services appears to be high. CKD is also common among residents of aged care facilities, and inappropriate prescribing of renally cleared medications was also prevalent, warranting attention to regular renal function monitoring and appropriate drug and dose selection in residents of aged care facilities.</t>
  </si>
  <si>
    <t>J2: Drugs Aging; Gheewala, Pankti A Peterson, Gregory M Curtain, Colin M Nishtala, Prasad S Hannan, Paul J Castelino, Ronald L; ID: 43</t>
  </si>
  <si>
    <t>Gheewala,Pankti A. School of Medicine, University of Tasmania, Private Bag 26, Hobart, TAS, 7001, Australia, Pankti.Gheewala@utas.edu.au.</t>
  </si>
  <si>
    <t>http://ovidsp.ovid.com/ovidweb.cgi?T=JS&amp;CSC=Y&amp;NEWS=N&amp;PAGE=fulltext&amp;D=medl&amp;AN=25187228</t>
  </si>
  <si>
    <t>http://dx.doi.org/10.1007/s40266-014-0208-y</t>
  </si>
  <si>
    <t>MEDLINE; Ovid Technologies; Impact of the pharmacist medication review services on drug-related problems and potentially inappropriate prescribing of renally cleared medications in residents of aged care facilities</t>
  </si>
  <si>
    <t>Gheonea,D. I.;Vilmann,P.;Saftoiu,A.;Ciurea,T.;Pirvu,D.;Ionescu,M.</t>
  </si>
  <si>
    <t>PMC3945245; The differential diagnosis of chronic pancreatitis</t>
  </si>
  <si>
    <t>Current Health Sciences Journal</t>
  </si>
  <si>
    <t>BACKGROUND Chronic pancreatitis is an inflammatory disease of the pancreas with a physiopathology that is yet to be fully understood, with a multifactorial etiology, of which alcohol abuse causes the majority of cases. PATIENTS AND METHOD We included 80 patients diagnosed with chronic pancreatitis, admitted in the Gastroenterology Clinic of the University of Medicine and Pharmacy Craiova. In each patient, demographic parameters, family and personal history were recorded. All patients were initially evaluated by transabdominal ultrasound. In selected cases other imagistic methods were used: computed tomography, endoscopic ultrasound with fine needle aspiration, endoscopic retrograde cholangiopancreatography. RESULTS The mean age in the studied group ranged between 26 and 76 years with a mean age of 52.9 years. The male to female ratio was 3.6:1. The most frequent presenting symptom was abdominal pain (93.75%), followed by fatigue (70%), anorexia (50%); fewer patients presented with emesis, loss of weight, diarrhea, meteorism and flatulence. The most frequent etiologic factor of chronic pancreatitis in the studied group was alcohol abuse. Using imaging methods the following complications of chronic pancreatitis were diagnosed in the studied group: complicated or uncomplicated pseudocysts (31.57%), pancreatic cancer (18.75%), obstructive jaundice (10%), segmental portal hypertension (2.5%), and pseudoaneurysm (1.25%).CONCLUSSIONS Transabdominal ultrasound is quite accurate in diagnosing chronic pancreatitis and its morbidities and its non-invasiveness makes it the method of choice in the initial assessment of the disease. EUS has the advantage of visualizing not just the modifications of the pancreatic ducts, but also the parenchyma. Moreover, it can be used as EUS-FNA in order to increase the sensitivity of the differential diagnosis between pseudotumoral chronic pancreatitis and pancreatic cancer.</t>
  </si>
  <si>
    <t>J2: Curr; Gheonea, D I Vilmann, P Saftoiu, A Ciurea, T Pirvu, D Ionescu, M; ID: 105</t>
  </si>
  <si>
    <t>2067-0656</t>
  </si>
  <si>
    <t>Gheonea,D I. Department of Gastroenterology, University of Medicine and Pharmacy Craiova, Romania. Vilmann,P. Department of Surgical Gastroenterology, Gentofte University Hospital, Hellerup, Denmark. Saftoiu,A. Department of Gastroenterology, University of Medicine and Pharmacy Craiova, Romania. Ciurea,T. Department of Gastroenterology, University of Medicine and Pharmacy Craiova, Romania. Pirvu,D. Department of Gastroenterology, University of Medicine and Pharmacy Craiova, Romania. Ionescu,M. Department of Gastroenterology, University of Medicine and Pharmacy Craiova, Romania.</t>
  </si>
  <si>
    <t>http://ovidsp.ovid.com/ovidweb.cgi?T=JS&amp;CSC=Y&amp;NEWS=N&amp;PAGE=fulltext&amp;D=prem&amp;AN=24778818</t>
  </si>
  <si>
    <t>MEDLINE; Ovid Technologies; The differential diagnosis of chronic pancreatitis</t>
  </si>
  <si>
    <t>Ghorbani,A.;Rakhshandeh,H.;Sadeghnia,H. R.;Author,Addresses;Pharmacological Research Center of Medicinal Plants, School,of Medicine;Mashhad University of,Medical Sciences;Department,of Pharmacology;of Medicine, Mashhad University of Medical Sciences,Mashhad Iran;Neurocognitive Research Center, School,of Mashhad;University of,Medical Sciences;Correspondence,Address;Rakhshandeh, Pharmacological Research Center of Medicinal Plants School,H.;of Medicine, Mashhad University of Medical Sciences Mashhad,Iran Email;rakhshandehh@mums.ac.ir</t>
  </si>
  <si>
    <t>Potentiating effects of Lactuca sativa on pentobarbital-induced sleep</t>
  </si>
  <si>
    <t>(MAJOR FOCUS);Lactuca sativa extract (drug analysis, drug development, intraperitoneal;drug administration);plant extract (drug analysis, drug development, intraperitoneal drug;administration);acetic acid ethyl ester;butanol;diazepam;dimethyl sulfoxide;penicillin derivative;pentobarbital;sodium chloride;streptomycin;unclassified drug;water;hypnosis;acute toxicity;animal experiment;animal model;article;controlled study;cytotoxicity;high performance liquid chromatography;lettuce;male;mouse;neurotoxicity;nonhuman;sleep induction;sleep time;acetic acid ethyl ester (141-78-6);butanol (35296-72-1, 71-36-3);diazepam (439-14-5);dimethyl sulfoxide (67-68-5);pentobarbital (57-33-0, 76-74-4);sodium chloride (7647-14-5);streptomycin (57-92-1);water (7732-18-5);Neurology and Neurosurgery (8);Clinical and Experimental Biochemistry (29);Drug Literature Index (37)</t>
  </si>
  <si>
    <t>Traditionally, Lactuca sativa (lettuce) has been recommended for its hypnotic property. The present study was planned to investigate sleep-prolonging effect of this plant. The hydro-alcoholic extract (HAE) of lettuce and its water fraction (WF), ethyl acetate fraction (EAF), and n-butanol fraction (NBF) were administrated (IP) to mice 30 min before the pentobarbital injection. Moreover, both in-vivo and in-vitro toxicity of the extracts were determined. The quality of HAE and NBF was also evaluated using HPLC fingerprint. The HAE prolonged the pentobarbital-induced sleep duration at dose of 400 mg/Kg. The NBF was the only fraction which could increase the sleep duration and decrease sleep latency. The effects of NBF were comparable to those of induced by diazepam. The LD(50)-value for HAE was found to be 4.8 g/Kg. No neurotoxic effect was observed either by HAE or by its fractions in cultured PC12 neuron-like cells. The results suggest that lettuce potentiates pentobarbital hypnosis without major toxic effect. The main component(s) responsible for this effect is most likely to be non-polar agent(s) which found in NBF of this plant. ‚î¨‚åê 2013 by School of Pharmacy.</t>
  </si>
  <si>
    <t>(Ghorbani A.; Rakhshandeh H., rakhshandehh@mums.ac.ir; Sadeghnia H.R.) (Rakhshandeh H., rakhshandehh@mums.ac.ir) (Sadeghnia H.R.) Iranian Journal of Pharmaceutical Research, P.O. Box 14155-6153, Vali-e-Asr Avenue, Niayesh Junction, Tehran, Iran.; ID: 1012</t>
  </si>
  <si>
    <t>Giannetti,V.;Kamal,K.;Provenzano,D.;Bott,N.;Lasota,S.;Author,Addresses;Mylan,School of;Duquesne University,Pittsburgh,United States;Institute,of Pain;Care,Ohio Valley;Hospital,Pittsburgh United States;Correspondence,Address;Giannetti, Mylan School of Pharmacy Duquesne University Pittsburgh,V.;United,States</t>
  </si>
  <si>
    <t>Physician consultation with pharmacists and adherence to evidence-based medicine for chronic pain management</t>
  </si>
  <si>
    <t>prescription drug;analgesia;chronic pain;college;consultation;evidence based medicine;human;pharmacist;physician;addiction;adverse drug reaction;cancer pain;community;content validity;diagnosis;drug abuse;drug interaction;drug therapy;evidence based practice;medical specialist;neuropathic pain;pain;patient;practice guideline;risk;society;therapy</t>
  </si>
  <si>
    <t>Type: Work in Progress. Background: With the increasing use of opioids and often lack of clear guidelines for chronic pain diagnosis and treatment, patients can be at risk for inadequate treatment of pain, addiction, adverse effects, and a lack of understanding of risks and benefits of various treatment modalities. Physicians may not always be informed of the most recent evidence-based research in chronic pain management. The American Pain Society, the American Academy of Pain Medicine and recent research have recommended guidelines for chronic pain management for chronic non-cancer pain, and the Neuropathic Pain Special Interest Group of the International Association for the Study of Pain recently sponsored the development of evidence based guideline for the pharmacological treatment of neuropathic pain. Also, pharmacists are an accessible resource in the community and have specific knowledge regarding therapeutics, drug interactions, adherence and possible prescription drug abuse. Chronic pain management can be improved with increased access to pain management guidelines and consultation with pharmacists. Objectives: The study has two objectives: (i) to assess the degree to which physicians' prescribing practices for chronic pain patients are consistent with current practice guidelines and evidence-based medicine; and (ii) to assess when, to what degree, and under what circumstances do physicians consult pharmacists regarding therapeutics, drug interactions, dose, and addiction potential. Methods: Participants in the study (n = 600) will be recruited from chronic pain specialists through mailing lists of professional pain associations. The anticipated respondents will be 150. A survey will be developed and content validity will be established by expert review of the survey questions. Participants will answer questions regarding their practice and prescribing with chronic pain medications. Physician responses will be compared to practice guidelines and the degree and utility of their consultation with pharmacists will also be assessed. Outcomes: Gaps in chronic pain management will be identified and recommendations regarding improving collaboration between physicians and pharmacists and adherence to practice guidelines will be offered based upon the study results.</t>
  </si>
  <si>
    <t>(Giannetti V.; Kamal K.; Bott N.; Lasota S.) (Provenzano D.) 16th Annual Meeting of the College of Psychiatric and Neurologic Pharmacists, CPNP 2013 Colorado Springs, CO, United States 2013-04-21 to 2013-04-24 SAGE Publications Inc.; ID: 1018</t>
  </si>
  <si>
    <t>Giannetti,Vincent J.</t>
  </si>
  <si>
    <t>Education, Assistance and Prevention Program for Chemical Dependency Problems among Pharmacy Students</t>
  </si>
  <si>
    <t>Degree Requirements;Health Promotion;Higher Education;Identification;Intervention;Prevention;Professional Education;Program Descriptions;Student Motivation;(Major): College Students;Drug Addiction;Drug Education;Drug Rehabilitation;Peer Influence;Pharmaceutical Education;Identifier: Duquesne University PA</t>
  </si>
  <si>
    <t>Duquesne University (Pennsylvania) has established a chemical dependency peer intervention program with a strong education and prevention focus which involves identifying, motivating, referring for treatment and aftercare monitoring of impaired pharmacy students. The program includes a required student seminar. Student response to the seminar and intervention has been positive. (Author/MSE)</t>
  </si>
  <si>
    <t>FirstSearch indicates your institution subscribes to this publication. Libraries worldwide that own item: 1082 University of Michigan Library INDEPENDENT U-M LIBRARIES Search the Mirlyn catalog at the University of MichiganLocal Holdings Information: 1998-Local Holdings Information: 1-66,68-70,72-76; 1937-2012; 1994- Article (EJ); ID: 2077</t>
  </si>
  <si>
    <t>EJ416886</t>
  </si>
  <si>
    <t>ERIC; OCLC; Education, Assistance and Prevention Program for Chemical Dependency Problems among Pharmacy Students</t>
  </si>
  <si>
    <t>Giannini,A. J.</t>
  </si>
  <si>
    <t>Tangential symbols: using visual symbolization to teach pharmacological principles of drug addiction to international audiences</t>
  </si>
  <si>
    <t>Art;*Audiovisual Aids;Functional Laterality;Humans;Language;Pharmacists;*Pharmacology/ed Education];Physicians;*Substance-Related Disorders/px Psychology];*Teaching/mt Methods]</t>
  </si>
  <si>
    <t>Visual art was used to teach the biopsychiatric model of addiction to audiences in the Caribbean, Europe and Mideast. Art slides were tangentially linked to slides of pharmacological data. Stylistically dense art was processed by the intuitive right brain while spare notational pharmacological data was processed by the intellectual (rationalistic) left brain. Simultaneous presentation of these data enhanced attention and retention. This teaching paradigm was based on the nonliterate methods developed by Medieval architects and refined by Italian Renaissance philosopher, Marsilio Ficino.</t>
  </si>
  <si>
    <t>J2: J Clin Pharmacol; Giannini, A J; ID: 639</t>
  </si>
  <si>
    <t>Giannini,A J. Department of Corporate Medical Director, Chemical Abuse Centers, Inc., Austintown, OH.</t>
  </si>
  <si>
    <t>http://ovidsp.ovid.com/ovidweb.cgi?T=JS&amp;CSC=Y&amp;NEWS=N&amp;PAGE=fulltext&amp;D=med3&amp;AN=7510314</t>
  </si>
  <si>
    <t>MEDLINE; Ovid Technologies; Tangential symbols: using visual symbolization to teach pharmacological principles of drug addiction to international audiences</t>
  </si>
  <si>
    <t>Giannini,A. J.;Giannini,J. N.;Condon,M.</t>
  </si>
  <si>
    <t>Use of tangential visual symbols to increase the long-term learning process: applications of linkage in teaching pharmacological principles of addiction</t>
  </si>
  <si>
    <t>Adult;*Audiovisual Aids;Communication;*Education, Medical/mt Methods];Female;Humans;Learning;Male;*Memory;*Pharmacology, Clinical/ed Education];Students, Medical;Substance-Related Disorders</t>
  </si>
  <si>
    <t>Medieval and Renaissance teaching techniques using linkage between course content and tangentially related visual symbols were applied to the teaching of the pharmacological principles of addiction. Forty medical students randomly divided into two blinded groups viewed a lecture. One lecture was supplemented by symbolic slides, and the second was not. Students who viewed symbolic slides had significantly higher scores in a written 15-question multiple-choice test 30 days after the lecture. These results were consistent with learning and semiotic models. These models hypothesize a linkage between conceptual content and perception of visual symbols that thereby increases conceptual retention. Recent neurochemical research supports the existence of a linkage between two chemically distinct memory systems. Simultaneous stimulation of both chemical systems by teaching formats similar to those employed in the study can augment neurochemical signaling in the neocortex.</t>
  </si>
  <si>
    <t>J2: J Clin Pharmacol; Giannini, A J Giannini, J N Condon, M; ID: 551</t>
  </si>
  <si>
    <t>Giannini,A J. Department of Corporate Medical Director, Chemical Abuse Centers, Inc., Austintown, Ohio, USA.</t>
  </si>
  <si>
    <t>http://ovidsp.ovid.com/ovidweb.cgi?T=JS&amp;CSC=Y&amp;NEWS=N&amp;PAGE=fulltext&amp;D=med4&amp;AN=10883411</t>
  </si>
  <si>
    <t>MEDLINE; Ovid Technologies; Use of tangential visual symbols to increase the long-term learning process: applications of linkage in teaching pharmacological principles of addiction</t>
  </si>
  <si>
    <t>Giannini,A. J.;Giannini,J. N.;Melemis,S. M.</t>
  </si>
  <si>
    <t>Visual symbolization as a learning tool: teaching pharmacology to international audiences</t>
  </si>
  <si>
    <t>*Audiovisual Aids;Cross-Cultural Comparison;*Language;Learning;*Pharmacology, Clinical/ed Education];Substance Withdrawal Syndrome/dt Drug Therapy];Substance-Related Disorders/dt Drug Therapy];*Symbolism;*Teaching/mt Methods];Translating</t>
  </si>
  <si>
    <t>Medieval and Renaissance teaching techniques used linkage between course content and tangentially related visual symbols to reinforce lectures. This technique was adopted in teaching pharmacologic principles of addiction to international audiences. It produced significant results with non-English-speaking audiences using concurrent or consecutive translation. This technique may be useful for non-English-speaking audiences because of enhancement of all three areas of memory: attention, storage, and retrieval.</t>
  </si>
  <si>
    <t>J2: J Clin Pharmacol; Giannini, A J Giannini, J N Melemis, S M; ID: 603</t>
  </si>
  <si>
    <t>Giannini,A J. Chemical Abuse Centers, Inc., Columbus, Chio, USA.</t>
  </si>
  <si>
    <t>http://ovidsp.ovid.com/ovidweb.cgi?T=JS&amp;CSC=Y&amp;NEWS=N&amp;PAGE=fulltext&amp;D=med4&amp;AN=9243348</t>
  </si>
  <si>
    <t>MEDLINE; Ovid Technologies; Visual symbolization as a learning tool: teaching pharmacology to international audiences</t>
  </si>
  <si>
    <t>Gidman,W.;Coggans,N.;Author,Addresses;University of Strathclyde, Glasgow,United Kingdom;Correspondence,Address;Gidman, University of Strathclyde Glasgow United Kingdom,W.</t>
  </si>
  <si>
    <t>Community pharmacy users' opinions of methadone substitution services</t>
  </si>
  <si>
    <t>(MAJOR FOCUS);methadone;diamorphine;opiate;community;health care organization;pharmacy;abstinence;city;crime;Europe;female;gender;harm reduction;health care policy;male;morbidity;mortality;organization and management;pharmacist;policy;professional standard;questionnaire;residential area;sampling;statistics;structured questionnaire;substitution therapy;United Kingdom;university;worker</t>
  </si>
  <si>
    <t>Introduction Heroin has accounted for most of the drug related morbidity and mortality in Europe since the 1970s1. Rates of problem opioid use are higher in Scotland than much of the world2. National comparisons indicate that methadone substitution therapy decreases mortality rates amongst opioid users and health policy supports these services1. Community pharmacists' involvement in providing methadone substitution services has increased over time3; the total bill for dispensing methadone rose in Scotland by 84% since 2003/4 to ‚î¨√∫16,637,636 in 2008/9. Potentially the expansion of this service could affect other community pharmacy service users. To date few studies have considered pharmacy users' attitudes to methadone substitution services. Qualitative data from 2004 demonstrated that the majority of community pharmacy customers questioned were supportive of the methadone programme and understood why it was required4. Aim This study aimed to explore the attitudes of pharmacy users to methadone substitution services in Glasgow and Lanarkshire. Methods This study has university ethics committee approval. A short semi-structured questionnaire was developed on the basis of published literature to evaluate pharmacy customer's opinions on community pharmacy methadone substitution services. Researchers administered the questionnaire to 50 pharmacy users at six study sites (n = 300) in February 2009. The sampling strategy aimed to gather representative data from pharmacy users in Glasgow and Lanarkshire. Study sites were purposively selected on the basis of deprivation ranking, pharmacy ownership (chainstore vs independent) and locality (city centre/residential). Data were entered into SPSS and descriptive statistics were generated. Chi squared tests were conducted to explore the effect of gender, age and study site on respondents' attitudes. (Table presented) Results The sample comprised 190 females (63%) and 110 males (37%); mean age was 45 years (range 17-87 years). The majority of pharmacy customers were supportive of the methadone programme. Most considered that the aim of the service was to achieve abstinence (73%) or to prevent crime (26%). Only 1% thought substitution therapy would prevent the spread of disease. Attitudes varied with gender and study site location. Males were more knowledgeable about harm reduction services in general. Females were more likely to stop using a pharmacy if it provided methadone services. Awareness of methadone services was higher in pharmacies located in deprived and residential areas. Support for community pharmacy methadone services was highest in city centre pharmacies in relatively affluent locations. Discussion Policy makers should consider whether providing methadone services in community pharmacies has a detrimental impact on other service users in some localities. It is not clear from this study whether respondents' attitudes are based on negative experiences or preconceived ideas. Future studies should further explore the impact of community pharmacy methadone services on neighbourhoods, pharmacy users, pharmacy workers and service uptake.</t>
  </si>
  <si>
    <t>(Gidman W.; Coggans N.) Royal Pharmaceutical Society Conference 2011 London, United Kingdom 2011-09-11 to 2011-09-12 Pharmaceutical Press; ID: 1234</t>
  </si>
  <si>
    <t>Gifford,E. V.;Tavakoli,S.;Wang,R.;Hagedorn,H. J.;Hamlett-Berry,K.</t>
  </si>
  <si>
    <t>Tobacco dependence diagnosis and treatment in Veterans Health Administration residential substance use disorder treatment programs</t>
  </si>
  <si>
    <t>Adult;Aged;Antidepressive Agents, Second-Generation/tu Therapeutic Use];Bupropion/tu Therapeutic Use];Female;Humans;Male;Mental Disorders/co Complications];Middle Aged;Residential Treatment;Retrospective Studies;Substance-Related Disorders/co Complications];*Tobacco Use Cessation Products;Tobacco Use Disorder/co Complications];*Tobacco Use Disorder/di Diagnosis];Tobacco Use Disorder/th Therapy];United States;Veterans Health;0 (Antidepressive Agents, Second-Generation);01ZG3TPX31 (Bupropion)</t>
  </si>
  <si>
    <t>AIMS: To explore tobacco dependence (TD) diagnosis and treatment utilization, and identify predictors of nicotine replacement therapy (NRT) among veterans with substance use disorders (SUDs) enrolled in Veterans Health Administration (VHA) SUD residential treatment programs (SRTPs). DESIGN: Retrospective cohort study. SETTING: VHA SRTPs, which treat veterans with SUD and multiple severe psychosocial deficits, from 1 October 2009 to 31 September 2010. PARTICIPANTS: Identified tobacco users among veterans with SUD treated in SRTPs during fiscal year 2010 (FY10). MEASUREMENTS: Rates of documented TD diagnosis and pharmacotherapy were assessed nationally, regionally and by facility. Patient-level predictors of NRT were examined using a mixed-effects logistic regression model with facility as a random effect. FINDINGS: A total of 12097 of the 15320 veterans in SRTPs in FY10 (79%) were identified as probable tobacco users. Among these, 33% had a documented TD diagnosis, 34% were treated with pharmacotherapy and only 11% were both diagnosed and treated for TD while in SRTP. NRT was more common among patients with a current documented TD diagnosis, recent history of TD treatment, comorbid mental health disorder, age 55 years or younger and identified as white. CONCLUSIONS: Most veterans in Veterans Health Administration substance use disorders residential treatment programs appear to use tobacco, yet only one in 10 receives a documented ICD-9 TD diagnosis and pharmacotherapy while in a substance use disorders residential treatment program.Copyright ‚î¨‚åê 2013 Society for the Study of Addiction.</t>
  </si>
  <si>
    <t>J2: Addiction; Gifford, Elizabeth V Tavakoli, Sara Wang, Ruey Hagedorn, Hildi J Hamlett-Berry, Kim W; ID: 130</t>
  </si>
  <si>
    <t>1360-0443</t>
  </si>
  <si>
    <t>Gifford,Elizabeth V. Center for Health Care Evaluation, VA Palo Alto Health Care System and Stanford University School of Medicine, 795 Willow Road, Menlo Park, CA 94025,USA. elizabeth.gifford@va.gov</t>
  </si>
  <si>
    <t>http://ovidsp.ovid.com/ovidweb.cgi?T=JS&amp;CSC=Y&amp;NEWS=N&amp;PAGE=fulltext&amp;D=medl&amp;AN=23297756</t>
  </si>
  <si>
    <t>http://dx.doi.org/10.1111/add.12105</t>
  </si>
  <si>
    <t>MEDLINE; Ovid Technologies; Tobacco dependence diagnosis and treatment in Veterans Health Administration residential substance use disorder treatment programs</t>
  </si>
  <si>
    <t>Giner-Pons,R.;Bl‚îú√≠zquez-Ferrer,M. A.;M‚îú√≠‚îú‚ñíez-Ali‚îú‚ñío,S.;Author,Addresses;Departament,of;Pharmacology,School of Pharmacy University of Valencia Valencia Spain;Correspondence,Address;RM Giner-Pons, Departament of Pharmacology School of,Pharmacy University;of Valencia,Valencia Spain</t>
  </si>
  <si>
    <t>Facebook as an educational tool in pharmacognosy</t>
  </si>
  <si>
    <t>109 SUPPL. 2</t>
  </si>
  <si>
    <t>pharmacognosy;pharmacology;society;community;feedback system;human;interpersonal communication;learning;metabolite;methodology;pharmacy;plant;social network;student;teacher;university</t>
  </si>
  <si>
    <t>Facebook is one of the most popular social networking that can be applied as an innovative educational methodology to improve communication between teachers and learners and enhance learning competencies. The aim of the present study was to explore the use of Facebook as an online communication tool and its effectiveness to provide learning outcomes in Pharmacognosy, a compulsory subject in the third year of the Degree of Pharmacy of the University of Valencia. The study was conducted under a group of 45 students, three quarters of the registered ones. Once the Facebook group was created, different questions and problems on natural drugs, mainly on isolation and characterization of active plant secondary metabolites as well as their pharmacological properties, were formulated in the virtual classroom section. Members of the group try to solve them, what results in sharing knowledge. The methodology provided insight into the students reflections as they emerged in the questions delivered to them. The teacher regularly responded, and the immediate messages imply checking the social network very frequently, so giving feedback to students. This tool was also applied to dispel doubts about the exam; to give detailed corrections and the marks obtained, therefore it extended the classroom to the virtual interface. A survey evaluated the students? experiences that joined the group. Overall, the community gained a positive experience from using Facebook. Provided that it is a persuasive strategy to improve professor-student and student-student relationships, it could work effectively as a complementary learning tool.</t>
  </si>
  <si>
    <t>(Giner-Pons R.M.; Bl‚îú√≠zquez-Ferrer M.A.; M‚îú√≠‚îú‚ñíez-Ali‚îú‚ñío S.) 33rd Conference of the Spanish Society of Pharmacology Malaga, Spain 2011-10-03 to 2011-10-05 Blackwell Publishing Ltd; ID: 1231</t>
  </si>
  <si>
    <t>Ginzel,K. H.;Author,Addresses;Department of,Pharmacology;Interdisciplinary,Toxicology;University of Arkansas for Medical Sciences, Little,Rock A.;Correspondence,Address;Department of,Pharmacology;Interdisciplinary Toxicology,University of;Arkansas for Medical Sciences, Little,Rock A.</t>
  </si>
  <si>
    <t>3862986; The underemphasis on smoking in medical education</t>
  </si>
  <si>
    <t>New York state journal of medicine</t>
  </si>
  <si>
    <t>N.Y.State J.Med.</t>
  </si>
  <si>
    <t>curriculum;medical education;smoking;textbook;education;human;intoxication;priority journal;United States;Public Health, Social Medicine and Epidemiology (17);Toxicology (52)</t>
  </si>
  <si>
    <t>Wynder has expressed concern about 'the general apathy of the medical and scientific professions toward tobacco related issues', a sentiment echoed by others. Since cigarette smoking is the leading preventable cause of disease, disability, and death, this apathy is a serious matter. What is its origin? Is the exposure of the student in the health professions to the tobacco issue inadequate? How does it compare to the coverage of alcohol-related problems and drug abuse? The unfortunate exemption of tobacco from the Food and Drug Act of 1906 and its subsequent revisions and extensions detracts from the fact that tobacco is not less dependence-producing than other addictive drugs. The same is true for alcohol. As a preliminary probe, the following analysis focuses on a regular constituent of every medical school curriculum - the pharmacology course - which deals exclusively with drugs and traditionally covers the topic of substance abuse.</t>
  </si>
  <si>
    <t>(Ginzel K.H.); ID: 1749</t>
  </si>
  <si>
    <t>0028-7628</t>
  </si>
  <si>
    <t>http://www.ncbi.nlm.nih.gov/pubmed/3862986</t>
  </si>
  <si>
    <t>The underemphasis on smoking in medical education</t>
  </si>
  <si>
    <t>Gleghorn,A. A.;Gee,G.;Vlahov,D.;Author,Addresses;Dept,of Hlth;Management,Johns Hopkins;University,School of Public Health Baltimore M.D.United States;Department of Epidemiology, Johns Hopkins University,School of;Public Health,Baltimore,M.D.United States;of Public Health, Community Substance,S.Francisco Dept;Abuse Services, Howard Avenue San Francisco,C.A.United States;Correspondence,Address;AA Gleghorn, San Francisco Dept of Public Health,Community Substance;Abuse Services, Howard Avenue San Francisco,C.A.United States</t>
  </si>
  <si>
    <t>9663630; Pharmacists' attitudes about pharmacy sale of needles/syringes and needle exchange programs in a city without needle/syringe prescription laws</t>
  </si>
  <si>
    <t>Journal of Acquired Immune Deficiency Syndromes and Human Retrovirology</t>
  </si>
  <si>
    <t>S93</t>
  </si>
  <si>
    <t>Human immunodeficiency virus infection (epidemiology, prevention);intravenous drug abuse;article;attitude;health program;human;infection prevention;infection risk;law;needle;pharmacist;pharmacy;prescription;priority journal;syringe;Microbiology: Bacteriology, Mycology, Parasitology and Virology (4);Public Health, Social Medicine and Epidemiology (17);Drug Dependence, Alcohol Abuse and Alcoholism (40);Forensic Science Abstracts (49)</t>
  </si>
  <si>
    <t>We assessed pharmacists' practices for needle and syringe (NS) sales and their attitudes toward a needle exchange program through a telephone survey of 75 randomly selected pharmacies in Baltimore, Maryland, where possession of drug paraphernalia is illegal but where NS can be purchased without a prescription. Pharmacists' (n = 46) procedures for NS sales included asking for picture identification (54%), requiring a prescription (34%), or requiring a diabetic identification (DID, 34%) for NS purchase; multiple responses were allowed. The median number of prescription and nonprescription NS sold per month was 950. Most (86.6%) pharmacists reported selling NS without prescriptions at their discretion. Pharmacists sold a median of 16 nonprescription NS per month. Pharmacists who required prescriptions or DID (56.5%) sold nonprescription NS significantly less often than those who did not require prescriptions or DID (p = .007). Most pharmacists (87%) were aware of the needle exchange program, 78.3% supported the program, and 67.4% supported selling nonprescription NS in pharmacies. Although there was no difference in anticipated effects of needle exchange or in support for needle exchange between pharmacists who did or did not require prescriptions, DID, or both, pharmacists who did require then items were significantly less likely to support pharmacy sales of nonprescription</t>
  </si>
  <si>
    <t>(Gleghorn A.A.; Gee G.) (Vlahov D.) (Gleghorn A.A.) Lippincott Williams and Wilkins, 530 Walnut Street, Philadelphia, United States.; ID: 1665</t>
  </si>
  <si>
    <t>http://www.ncbi.nlm.nih.gov/pubmed/9663630</t>
  </si>
  <si>
    <t>Pharmacists' attitudes about pharmacy sale of needles/syringes and needle exchange programs in a city without needle/syringe prescription laws</t>
  </si>
  <si>
    <t>Glintborg,B.;Hillestr‚îú‚ïïm,P. R.;Holm Olsen,L.;Dalhoff,K. P.;Enghusen Poulsen,H.;Author,Addresses;Department of,Clinical Pharmacology;Copenhagen,Denmark;Clinical,Pharmacologic Department;Copenhagen,Denmark;Department,of Clinical;Q,Rigshospitalet Blegdamsvej D. K. Copenhagen Denmark;Correspondence,Address;Rigshospitalet,B.Glintborg, Department of Clinical Pharmacology Q.;Blegdamsvej,D. K. C.</t>
  </si>
  <si>
    <t>17962430; Are patients reliable when self-reporting medication use? Validation of structured drug interviews and home visits by drug analysis and prescription data in acutely hospitalized patients</t>
  </si>
  <si>
    <t>(MAJOR FOCUS);amlodipine (drug concentration, drug therapy);bendroflumethiazide (drug concentration, drug therapy);digoxin (drug concentration, drug therapy);glimepiride (drug concentration, drug therapy);simvastatin (drug concentration, drug therapy);drug use;prescription;self report;adult;aged;alcoholism;ambulatory care;article;atrial fibrillation;blood analysis;blood sampling;chronic obstructive lung disease;chronic pancreatitis;constipation;controlled study;coronary artery atherosclerosis (drug therapy);Cushing disease;depression;diabetes mellitus (drug therapy);drug determination;drug storage;epilepsy;female;heart failure;hospital admission;hospital discharge;hospital patient;human;hypercholesterolemia (drug therapy);hypertension (drug therapy);lung cancer;major clinical study;male;medical documentation;osteoporosis;patient compliance;patient information;pharmacy;professional practice;reliability;sample size;screening test;sensitivity and specificity;structured interview;university hospital;amlodipine (88150-42-9);bendroflumethiazide (73-48-3);digoxin (20830-75-5, 57285-89-9);glimepiride (93479-97-1);simvastatin (79902-63-9);Endocrinology (3);Internal Medicine (6);Public Health, Social Medicine and Epidemiology (17);Cardiovascular Diseases and Cardiovascular Surgery (18);Drug Literature Index (37)</t>
  </si>
  <si>
    <t>The medication history among hospitalized patients often relies on patients' self-reports due to insufficient communication between health care professionals. The aim of the present study was to estimate the reliability of patients' self-reported medication use. Five hundred patients admitted to an acute medical department at a Danish university hospital were interviewed on the day of admission about their recent medication use. Blood samples drawn immediately after admission were screened for contents of 5 drugs (digoxin, bendroflumethiazide, amlodipine, simvastatin, glimepiride), and the results were compared to the patients' self-reported medication history. Information on prescribed drugs dispensed from any Danish pharmacy was collected from nationwide real-time pharmacy records. The authors performed home visits in a subgroup of 115 patients 4 weeks after their discharge. Stored drugs were inspected, and patients were interviewed about their drug use. Additional blood samples were drawn for drug analysis. The median age of included patients was 72 years, and 298 patients (60%) were women. Patients reported use of 3 (median) prescription-only medications (range, 0-14) during the structured interview. The congruence between self-report and drug analysis was high for all 5 drugs measured (all kappa &gt;0.8). However, 9 patients (2%) reported use of drugs that were not detected in their blood samples. In 29 patients (6%), the blood samples contained drugs not reported during the structured interview, but 14 of these drugs were registered in either hospital files or pharmacy records. Overall, the sensitivity of information from hospital files, structured interviews, and pharmacy records in identifying drug users was 87% to 93%, with no significant differences between methods. In conclusion, patients' self-reports are reliable when estimating recent use of cardiovascular and antidiabetic drugs. ‚î¨‚åê 2007 the American College of Clinical Pharmacology.</t>
  </si>
  <si>
    <t>(Glintborg B., glintborg@dadlnet.dk; Hillestr‚îú‚ïïm P.R.; Holm Olsen L.; Enghusen Poulsen H.) (Dalhoff K.P.) (Glintborg B., glintborg@dadlnet.dk) SAGE Publications Inc., 2455 Teller Road, Thousand Oaks, United States.; ID: 1485</t>
  </si>
  <si>
    <t>http://www.ncbi.nlm.nih.gov/pubmed/17962430</t>
  </si>
  <si>
    <t>Are patients reliable when self-reporting medication use? Validation of structured drug interviews and home visits by drug analysis and prescription data in acutely hospitalized patients</t>
  </si>
  <si>
    <t>Glover,E. D.;Schroeder,K. L.;Henningfield,J. E.;Severson,H. H.;Christen,A. G.</t>
  </si>
  <si>
    <t>An interpretative review of smokeless tobacco research in the United States: Part II</t>
  </si>
  <si>
    <t>Adolescent;Health Education;Humans;Male;Nicotine/pd Pharmacology];*Plants, Toxic;Research;Substance-Related Disorders/pp Physiopathology];Substance-Related Disorders/px Psychology];*Tobacco;*Tobacco Use Disorder/di Diagnosis];Tobacco Use Disorder/et Etiology];Tobacco Use Disorder/px Psychology];*Tobacco, Smokeless;United States;6M3C89ZY6R (Nicotine)</t>
  </si>
  <si>
    <t>This is the second part of a two-part series reviewing the published literature of smokeless tobacco in the United States. The article explores smokeless tobacco as a pharmacologically addicting substance, educational interventions designed to prevent use or help users quit, and outlines areas of future research. References: 79]</t>
  </si>
  <si>
    <t>J2: J Drug Educ; Glover, E D Schroeder, K L Henningfield, J E Severson, H H Christen, A G; ID: 685</t>
  </si>
  <si>
    <t>http://ovidsp.ovid.com/ovidweb.cgi?T=JS&amp;CSC=Y&amp;NEWS=N&amp;PAGE=fulltext&amp;D=med3&amp;AN=2656965</t>
  </si>
  <si>
    <t>MEDLINE; Ovid Technologies; An interpretative review of smokeless tobacco research in the United States: Part II</t>
  </si>
  <si>
    <t>Godin,E. A.;Sikes,S. S.;Halpin,M. J.;Reiter,J. P.;Schwartz-Bloom,R.;Author,Addresses;Duke;University Medical Center, Durham,United States;Correspondence,Address;EA Godin, Duke University Medical Center Durham,United States</t>
  </si>
  <si>
    <t>The alcohol pharmacology education partnership: Educating high school students about alcohol</t>
  </si>
  <si>
    <t>251A</t>
  </si>
  <si>
    <t>(MAJOR FOCUS);alcohol;alcoholism;education;high school student;human;pharmacology;society;abuse;adolescent;alcohol consumption;brain;curriculum;drinking;health;learning;professional development;student;suicide;teacher;teaching;technology;workshop</t>
  </si>
  <si>
    <t>The Alcohol Pharmacology Education Partnership (APEP) was developed to help high school students learn about different aspects of alcohol pharmacology while reviewing concepts in biology and chemistry. A series of 4 teaching modules and an instructional curriculum (www.rise.duke.edu/apep) were developed that contained topics of interest to high school students such as Œì√á¬£Alcohol, Cell Suicide, and the Adolescent BrainŒì√á¬•. Previously, a small study showed that using a science-oriented curriculum to teach high school students about alcohol resulted in increased knowledge about alcohol, more negative attitudes toward drinking, and decreased alcohol consumption (Weiss and Moore, 1988). In the current study, we recruited 156 US teachers for professional development and to field-test the APEP modules in their classes. Before the teachers received any training, control data were obtained by testing approximately 7000 students for knowledge of basic biology and chemistry concepts as well as advanced biology and chemistry knowledge involving alcohol. The following year, we provided teacher training workshops through Distance Learning (DL) technology or at the National Science Teachers Association meeting. The teachers then field-tested the modules in their classes, and another 7000 students were tested as described above. Thus, each teacher served as her/his own control. Results indicate that the more APEP modules that the teachers used, the better their students scored on the two knowledge assessment tests. Furthermore, biology students (most of whom had no previous chemistry) in classes using all 4 modules scored better on chemistry questions than chemistry students in the standard curriculum (i.e., using no modules). In addition, teachers who were provided with 6 hours of professional development in a one-day session or via DL had the same increase in knowledge of biology and chemistry, which persisted for at least a year. The results of the current study support our previous findings with the Pharmacology Education Partnership (PEP), which focused on drugs of abuse (Kwiek et al, 2007). While most drug and alcohol-based curricula are taught in health class, we have shown here that incorporating alcohol education into biology and chemistry classes increases knowledge of basic science concepts as well as alcohol pharmacology. Future studies will demonstrate whether such a curriculum will impact teenager's decisions about alcohol use/abuse.</t>
  </si>
  <si>
    <t>(Godin E.A.; Sikes S.S.; Halpin M.J.; Reiter J.P.; Schwartz-Bloom R.D.) 35th Annual Scientific Meeting of the Research Society on Alcoholism, RSA 2012 San Francisco, CA, United States 2012-06-23 to 2012-06-27 Blackwell Publishing Ltd; ID: 1142</t>
  </si>
  <si>
    <t>Goff,J.;Veach,S.;Author,Addresses;University,of Iowa;States;Correspondence,Address;Goff, University of Iowa United States Email jessica-goff uiowa edu,J.</t>
  </si>
  <si>
    <t>A student pharmacist's role in medication therapy management within a medication synchronization program</t>
  </si>
  <si>
    <t>e212</t>
  </si>
  <si>
    <t>e213</t>
  </si>
  <si>
    <t>drug therapy;human;medication therapy management;pharmacist;student;drug information;observational study;patient;patient care;pharmacy;statistics;therapy;workflow</t>
  </si>
  <si>
    <t>Objective: The goal of this study is to demonstrate the ability of a student pharmacist working with a pharmacist to identify and resolve drug therapy problems for patients enrolled in a medication synchronization program. Methods: This is an observational report of a student pharmacist's involvement in a pharmacy's medication synchronization program. This observation will take place at an independent community pharmacy that has 65 patients enrolled in its medication synchronization program. A student pharmacist was incorporated into the pharmacy's medication synchronization program and is responsible for contacting patients by phone to review their medications for refill on a monthly or 3-month basis. Prior to the patient phone call, the student pharmacist reviews the patient's medication list and notes any additional information needed from the patient. The student then records each patient interaction that occurs during routine phone calls and identifies potential drug therapy problems. If a potential problem is identified, the student further investigates the issue by using drug information resources and consults with a licensed pharmacist. Based on the conclusions drawn from the investigation process, the student pharmacist counsels the patient on the issue or makes a recommendation for change in therapy to the patient's prescriber. Each intervention is recorded. Data collected for this observational study will include the number of patient interventions initiated by a student pharmacist and the category of drug therapy problem identified. Descriptive statistics will be used to report the results. Results: Research in progress. The preliminary findings have demonstrated the student pharmacist's ability to identify and take action to correct drug therapy problems such as noncompliance and the need for additional therapy. By providing quantitative evidence of the student pharmacist's ability to identify patients in need of medication therapy management, this project could serve to improve the efficiency of workflow within the community pharmacy and improve patient care.</t>
  </si>
  <si>
    <t>(Goff J., jessica-goff@uiowa.edu; Veach S.) APhA2015 San Diego, CA, United States 2015-03-27 to 2015-03-30 American Pharmacists Association; ID: 843</t>
  </si>
  <si>
    <t>Golden,A. G.;Silverman,M. A.;Preston,R. A.</t>
  </si>
  <si>
    <t>University of Miami division of clinical pharmacology therapeutic rounds: issues in prescribing for geriatric patients and emerging practice guidelines</t>
  </si>
  <si>
    <t>American Journal of Therapeutics</t>
  </si>
  <si>
    <t>Am.J.Ther.</t>
  </si>
  <si>
    <t>Aged;Aged, 80 and over;Health Services for the Aged;Humans;Male;*Polypharmacy;Practice Guidelines as Topic;*Practice Patterns, Physicians';*Treatment Refusal</t>
  </si>
  <si>
    <t>The geriatric population accounts for over 12% of the United States population and consumes over 25% of all prescription medications. Polypharmacy and patient noncompliance are often encountered in caring for these patients. These issues along with a variety of age-related physiologic changes and the presence of multiple medical illnesses place the elderly at an increased risk for adverse drug reactions. Especially worrisome is the use of long-acting benzodiazepines and anticholinergic medications in this population. The problem of adverse drug reactions is a common clinical problem that is of great public concern as the number of older persons in the United States continues to grow. In response, a variety of proactive measures have been developed. These measures include the development of consensus criteria for inappropriate medications, federal government regulation, expansion of the role of clinical pharmacists, and computer-assisted prescribing protocols.</t>
  </si>
  <si>
    <t>J2: Am J Ther; Golden, A G Silverman, M A Preston, R A; ID: 542</t>
  </si>
  <si>
    <t>1075-2765</t>
  </si>
  <si>
    <t>Golden,A G. Division of Gerontology and Geriatric Medicine, Miami, FL, USA.</t>
  </si>
  <si>
    <t>http://ovidsp.ovid.com/ovidweb.cgi?T=JS&amp;CSC=Y&amp;NEWS=N&amp;PAGE=fulltext&amp;D=med4&amp;AN=11329119</t>
  </si>
  <si>
    <t>MEDLINE; Ovid Technologies; University of Miami division of clinical pharmacology therapeutic rounds: issues in prescribing for geriatric patients and emerging practice guidelines</t>
  </si>
  <si>
    <t>Goldstein,A.;Author,Addresses</t>
  </si>
  <si>
    <t>9489042; Journal interview - 40. Conversation with Avram Goldstein</t>
  </si>
  <si>
    <t>clinical research;drug dependence;health care policy;human;interview;medical school;review;Public Health, Social Medicine and Epidemiology (17);Drug Dependence, Alcohol Abuse and Alcoholism (40)</t>
  </si>
  <si>
    <t>In this occasional series we record the views and personal experience of people who have specially contributed to the evolution of ideas in the Journal's field of interest. Avram Goldstein, MD, is Professor Emeritus of Pharmacology at Stanford University. He is a pharmacologist and neuroscientist who has made fundamental contributions to research on addictive drugs. He has contributed substantially to clinical research, to technological advances and to thinking on policy. In the midst of these activities he found time to qualify as a pilot and write books on flying. Our interview tries to probe the question of how so productively he finds time to lead several lives at once.</t>
  </si>
  <si>
    <t>(Goldstein A.) Blackwell Publishing Ltd, 9600 Garsington Road, Oxford, United Kingdom.; ID: 1671</t>
  </si>
  <si>
    <t>http://www.ncbi.nlm.nih.gov/pubmed/9489042</t>
  </si>
  <si>
    <t>Journal interview - 40. Conversation with Avram Goldstein</t>
  </si>
  <si>
    <t>Goniewicz,M. L.;Lingas,E. O.;Czogala,J.;Koszowski,B.;Zielinska-Danch,W.;Sobczak,A.</t>
  </si>
  <si>
    <t>The role of pharmacists in smoking cessation in poland</t>
  </si>
  <si>
    <t>Evaluation &amp; the health professions</t>
  </si>
  <si>
    <t>Eval.Health Prof.</t>
  </si>
  <si>
    <t>95 15p</t>
  </si>
  <si>
    <t>Pharmacy, Retail;Pharmacists;Professional Role;Smoking -- Prevention and Control;Smoking Cessation;Adult;Age Factors;Counseling;Female;Surveys;Attitude to Health;Human;Male;Patient Education;Poland;Sex Factors;Smoking -- Drug Therapy;Smoking -- Epidemiology;Students, Pharmacy</t>
  </si>
  <si>
    <t>In Poland, 38.0% of men and 25.6% of women smoke daily. One method for expanding access to smoking cessation services is through community-based pharmacists. Surveys were administered in 2007-2008 to (a) current smokers, (b) members of a pharmacy association, and (c) pharmacy students in their final year of training. Pharmacists were the highest ranked health professionals to whom Polish smokers reported they would turn for information about pharmacological support for smoking cessation. Most pharmacists (79%) reported their knowledge allowed them to provide basic smoking cessation information to their patients. Pharmacy students reported being more able to provide information about the health consequences of tobacco smoking than to help patients quit smoking (85% vs. 61%). In Poland, community-based pharmacists are positioned to provide smoking cessation interventions to all segments of the population. To extend and promote smoking cessation efforts, comprehensive tobacco cessation training should be a required component of the pharmacy school curriculum.</t>
  </si>
  <si>
    <t>Entry Date: 20101112. Revision Date: 20150711. Publication Type: Journal Article; research. Journal Subset: Health Services Administration; Peer Reviewed; USA. Special Interest: Quality Assurance. NLM UID: 7805992. PMID: 20042417.; ID: 2054</t>
  </si>
  <si>
    <t>0163-2787</t>
  </si>
  <si>
    <t>Medical University of Silesia, Katowice, Poland. mgoniewicz@wp.pl.</t>
  </si>
  <si>
    <t>http://proxy.lib.umich.edu/login?url=http://search.ebscohost.com/login.aspx?direct=true&amp;db=ccm&amp;AN=105128520&amp;site=ehost-live&amp;scope=site</t>
  </si>
  <si>
    <t>10.1177/0163278709356190</t>
  </si>
  <si>
    <t>ccm; EBSCOhost; The role of pharmacists in smoking cessation in poland</t>
  </si>
  <si>
    <t>Gonzalez,M. L.;Royce,M. E.;Author,Addresses;Southern Illinois University, Edwardsville,School of;Pharmacy,United States;Southern,Illinois University;Medicine,Division of Medicine Psychiatry United States;Correspondence,Address;ML Gonzalez, Southern Illinois University Edwardsville,School of;Pharmacy,United States</t>
  </si>
  <si>
    <t>Tonic-clonic seizures associated with K2 use: A case report</t>
  </si>
  <si>
    <t>cannabinoid;cannabis;etiracetam;case report;college;human;pharmacist;tonic clonic seizure;adolescent;adverse drug reaction;anxiety;anxiety disorder;Caucasian;diseases;drug therapy;father;focal epilepsy;follow up;hallucination;head injury;health care personnel;heart palpitation;hypokalemia;incense;insomnia;loudness recruitment;male;medical history;Medline;mental health;neurology;paranoia;paresthesia;patient;psychiatry;seizure;serotonin syndrome;spice;stimulus;substance abuse;tachycardia;thorax pain;toxicity;toxicology;tremor;urine</t>
  </si>
  <si>
    <t>Background: Synthetic cannabinoids are available in many states in the US and are sold as K2, Spice, or incense products labeled Œì√á¬£not for human consumption.Œì√á¬• They have become a popular alternative to marijuana, partly because they are not detected by common urine toxicology screens and they may produce more potent effects than marijuana. Acute concerns with synthetic cannabinoid use include potential for serotonin syndrome, anxiety, paranoia, hallucinations, paresthesias, tremors, hypokalemia, tachycardia, chest pain, heart palpitations, and seizures. Patient History: This patient is a 28 year-old Caucasian male with a past medical history significant for partial seizures secondary to a closed-head injury sustained as a teenager. He presented to the ED with confusion and altered mental status. The patient experienced one episode of a generalized tonic-clonic seizure in the ED. The patient reported using K2 intermittently for the past several months. During the past week, he reported hyperacusis, paresthesias, extreme sensitivity to external stimuli, anxiety, and insomnia after K2 use. Supplemental history was given by his father at bed-side. Home medications include levetiracetam 750 mg daily for partial onset seizures, which was well controlled for several months. Urine toxicology was negative. He was transferred to the ICU for observation, and experienced two to three more 10 to 15 second seizures. After 48 hours with no significant events he was discharged with levetiracetam 500 mg twice daily and follow up appointments with neurology and psychiatry for seizure disorder and anxiety disorder, respectively. He refused substance abuse follow up. Review of Literature: A PubMed search1 revealed two case reports of seizures associated with confirmed synthetic cannabinoid use and several review articles citing possibility of seizures with synthetic cannabinoid use. Conclusion: Synthetic cannabinoids may be more readily available may produce more toxic effects than marijuana. Healthcare providers and individuals should be aware of these adverse effects.</t>
  </si>
  <si>
    <t>(Gonzalez M.L.) (Gonzalez M.L.; Royce M.E.) 15th Annual Meeting of the College of Psychiatric and Neurologic Pharmacists, CPNP 2012 Tampa, FL, United States 2012-04-29 to 2012-05-02 SAGE Publications Inc.; ID: 1162</t>
  </si>
  <si>
    <t>Goodfellow,L. T.;Waugh,J. B.</t>
  </si>
  <si>
    <t>Tobacco treatment and prevention: what works and why</t>
  </si>
  <si>
    <t>Respiratory care</t>
  </si>
  <si>
    <t>Respir.Care</t>
  </si>
  <si>
    <t>*Central Nervous System Stimulants/tu Therapeutic Use];*Health Promotion;Humans;*Nicotine/tu Therapeutic Use];Nicotinic Agonists/tu Therapeutic Use];Pulmonary Disease, Chronic Obstructive/pc Prevention &amp; Control];*Respiratory Therapy;Smoking Cessation/lj Legislation &amp; Jurisprudence];*Smoking Cessation/mt Methods];Social Control, Formal;0 (Central Nervous System Stimulants);0 (Nicotinic Agonists);6M3C89ZY6R (Nicotine)</t>
  </si>
  <si>
    <t>Tobacco abuse is one of the main reasons that chronic obstructive pulmonary disease is the fourth leading cause of death in the United States. Many people kick the habit easily, while others struggle through a difficult cycle of addiction. Respiratory therapists often have contact with patients with chronic lung disease who want to quit smoking but do not know where to begin. Smoking bans and clean air laws are in place across the United States, but this is not enough for a complete tobacco treatment and prevention program. For any successful disease-management program, tobacco-control education and support must be included. Studies show that when pharmacologic interventions are used along with the appropriate counseling and other resources, the success of tobacco cessation increases. This must be understood, because if the regulatory efforts of our governing bodies are not enough and if patients do not receive the care that is essential for disease management and rehabilitation, then how will our role as respiratory therapist matter in any health-care system of the future? The respiratory therapist plays a key role in asking patients, especially newly diagnosed patients with chronic lung disease, if they are smokers and if they are interested in tobacco use interventions. This is a role that should not be taken lightly. References: 44]</t>
  </si>
  <si>
    <t>J2: Respir Care; Goodfellow, Lynda T Waugh, Jonathan B; ID: 318</t>
  </si>
  <si>
    <t>0020-1324</t>
  </si>
  <si>
    <t>Goodfellow,Lynda T. Respiratory Care Program, Georgia State University, Atlanta, GA 30302, USA. ltgoodfellow@gsu.edu</t>
  </si>
  <si>
    <t>http://ovidsp.ovid.com/ovidweb.cgi?T=JS&amp;CSC=Y&amp;NEWS=N&amp;PAGE=fulltext&amp;D=med5&amp;AN=19650948</t>
  </si>
  <si>
    <t>MEDLINE; Ovid Technologies; Tobacco treatment and prevention: what works and why</t>
  </si>
  <si>
    <t>Gorman,S.;Toombs,K.;Shukla,S.;Lo,J.;Bannerman,H.;Slavik,R.;Semchuk,B.;Doucette,D.;Chan,W.;Benninger,N.;MacKinnon,N.;Bell,C.;Slobodan,J.;Lyder,C.;Fernandes,O.;Author,Addresses;Interior,Health Authority;Capital Health,Halifax Canada;Leslie;Dan Faculty of Pharmacy, University of Toronto,Toronto Canada;Regina Qu'Appelle,Health Region;Horizon,Health Network;University of Arizona, Tucson,United States;Mount,Sinai Hospital;Alberta Health Services, Red,Deer Canada;Canadian Society of,Hospital Pharmacists;Canadian Society of,Hospital Pharmacists;University,Health Network;Correspondence,Address;Gorman, Interior Health Authority Kelowna Canada,S.</t>
  </si>
  <si>
    <t>Round 2 delphi results of the national hospital clinical pharmacy key performance indicators consensus process</t>
  </si>
  <si>
    <t>clinical pharmacy;consensus;hospital;human;pharmacist;society;summer;counseling;Delphi study;diseases;drug therapy;education;health care quality;Likert scale;medication therapy management;patient;patient care;pharmaceutical care</t>
  </si>
  <si>
    <t>Background: Key performance indicators (KPI) are quantifiable measures of healthcare quality. A working group of Canadian hospital pharmacists developed national consensus selection criteria and candidate clinical pharmacy key performance indicators (cpKPIs) that may be suitable for advancing clinical pharmacy practice. Description/Action: Objective-to report Round 2 Delphi quantitative cpKPI rankings from a systematic, evidence-informed, national consensus building process. A modified Delphi approach was utilized and a Delphi panel comprising of 26 hospital pharmacists from ten provinces was convened. Two of 3 rounds of an electronic Delphi survey instrument and a live Delphi meeting were conducted. Panelists ranked twenty-nine candidate cpKPIs on 11 predetermined critical KPI attributes using a 9-point Likert scale. Additionally, an overall score was assigned to determine whether the cpKPI would be useful for advancing clinical pharmacy practice to improve the quality of patient care. The a-priori consensus criterion was attained if 75% of the panelists assigned an overall rating Œì√´√ë 7 on the Likert scale. Evaluation: Eight candidate cpKPIs met the consensus definition after round two of the Delphi process: 1) pharmacist admission medication reconciliation; 2) pharmacist participation in interprofessional patient care rounds; 3) the number of drug therapy problems (DTPs) resolved; 4) patients who received in-person pharmacist education about their diseases and medications; 5) pharmacist discharge medication counseling; 6) pharmacist discharge medication reconciliation; 7) combined BPMH admission medication reconciliation; and 8) Œì√á¬£bundledŒì√á¬• proactive direct patient care provided by a pharmacist. Notably, an additional cpKPI evaluating the number (or proportion) of patients for whom pharmacists have completed a pharmaceutical care plan was developed after round two. Implications: Eight candidate cpKPI met the consensus criteria after round 2 of 3 in a modified Delphi process. The measurement of performance indicators at a national level may serve to advance clinical pharmacy practice and improve patient outcomes.</t>
  </si>
  <si>
    <t>(Gorman S.; Slavik R.) (Toombs K.) (Shukla S.; Lo J.; Bannerman H.; Chan W.; Benninger N.; Fernandes O.) (Semchuk B.) (Doucette D.) (MacKinnon N.) (Bell C.) (Slobodan J.) (Lyder C.) (Fernandes O.) 2013 Summer Educational Sessions, SES of the Canadian Society of Hospital Pharmacists, CSHP 2013 Calgary , AB, Canada 2013-08-10 to 2013-08-13 Canadian Society of Hospital Pharmacists; ID: 1011</t>
  </si>
  <si>
    <t>Gourley,S. L.;Olevska,A.;Warren,M. S.;Taylor,J. R.;Koleske,A. J.</t>
  </si>
  <si>
    <t>NIHMS384417 PMC3386297; Arg kinase regulates prefrontal dendritic spine refinement and cocaine-induced plasticity</t>
  </si>
  <si>
    <t>Action Potentials/ge Genetics];Age Factors;Animals;Arginine Kinase/df Deficiency];*Arginine Kinase/ph Physiology];*Cocaine/pd Pharmacology];Dendritic Spines/de Drug Effects];*Dendritic Spines/en Enzymology];Female;Male;Mice;Mice, 129 Strain;Mice, Inbred C57BL;Mice, Knockout;Mice, Transgenic;Motor Activity/de Drug Effects];Motor Activity/ge Genetics];Neurogenesis/de Drug Effects];Neurogenesis/ge Genetics];Neuronal Plasticity/de Drug Effects];Neuronal Plasticity/ge Genetics];*Neuronal Plasticity;Prefrontal Cortex/de Drug Effects];*Prefrontal Cortex/en Enzymology];EC 2-7-3-3 (Arginine Kinase);I5Y540LHVR (Cocaine)</t>
  </si>
  <si>
    <t>Adolescence is characterized by vulnerability to the development of neuropsychiatric disorders including drug addiction, as well as prefrontal cortical refinement that culminates in structural stability in adulthood. Neuronal refinement and stabilization are hypothesized to confer resilience to poor decision making and addictive-like behaviors, although intracellular mechanisms are largely unknown. We characterized layer V prefrontal dendritic spine development and refinement in adolescent wild-type mice and mice lacking the cytoskeletal regulatory protein Abl-related gene (Arg) kinase. Relative to hippocampal CA1 pyramidal neurons, which exhibited a nearly linear increase in spine density up to postnatal day 60 (P60), wild-type prefrontal spine density peaked at P31, and then declined by 18% by P56-P60. In contrast, dendritic spines in mice lacking Arg destabilized by P31, leading to a net loss in both structures. Destabilization corresponded temporally to the emergence of exaggerated psychomotor sensitivity to cocaine. Moreover, cocaine reduced dendritic spine density in wild-type orbitofrontal cortex and enlarged remaining spine heads, but arg(-/-) spines were unresponsive. Local application of Arg or actin polymerization inhibitors exaggerated cocaine sensitization, as did reduced gene dosage of the Arg substrate, p190RhoGAP. Genetic and pharmacological Arg inhibition also retarded instrumental reversal learning and potentiated responding for reward-related cues, providing evidence that Arg regulates both psychomotor sensitization and decision-making processes implicated in addiction. These findings also indicate that structural refinement in the adolescent orbitofrontal cortex mitigates psychostimulant sensitivity and support the emerging perspective that the structural response to cocaine may, at any age, have behaviorally protective consequences.</t>
  </si>
  <si>
    <t>J2: J Neurosci; Gourley, Shannon L Olevska, Anastasia Warren, M Sloan Taylor, Jane R Koleske, Anthony J 1RL5DA024858 (United States NIDA NIH HHS) AA017537 (United States NIAAA NIH HHS) CA133346 (United States NCI NIH HHS) DA011717 (United States NIDA NIH HHS) DA027844 (United States NIDA NIH HHS) NS039475 (United States NINDS NIH HHS) R01 DA011717 (United States NIDA NIH HHS) R01 DA015222 (United States NIDA NIH HHS) R01 GM100411 (United States NIGMS NIH HHS) R01 GM100411-01A1 (United States NIGMS NIH HHS) R01 NS039475 (United States NINDS NIH HHS) R01 NS039475-09A1 (United States NINDS NIH HHS) R01 NS039475-10 (United States NINDS NIH HHS) R01 NS039475-11 (United States NINDS NIH HHS) R01 NS039475-11S1 (United States NINDS NIH HHS) R01 NS039475-12 (United States NINDS NIH HHS) R01 NS039475-13 (United States NINDS NIH HHS) UL1-DE19586 (United States NIDCR NIH HHS); ID: 223</t>
  </si>
  <si>
    <t>Gourley,Shannon L. Department of Psychiatry, Division of Molecular Psychiatry, Yale University, New Haven, Connecticut 06520, USA.</t>
  </si>
  <si>
    <t>http://ovidsp.ovid.com/ovidweb.cgi?T=JS&amp;CSC=Y&amp;NEWS=N&amp;PAGE=fulltext&amp;D=medl&amp;AN=22396406</t>
  </si>
  <si>
    <t>http://dx.doi.org/10.1523/JNEUROSCI.2730-11.2012</t>
  </si>
  <si>
    <t>MEDLINE; Ovid Technologies; Arg kinase regulates prefrontal dendritic spine refinement and cocaine-induced plasticity</t>
  </si>
  <si>
    <t>Grabe,Darren W.;Bailie,George R.;Manley,Harold J.;Yeaw,Barbara F.</t>
  </si>
  <si>
    <t>The Early Patient-Oriented Care Program as an Educational Tool and Service</t>
  </si>
  <si>
    <t>Allied Health Occupations Education;Course Content;Higher Education;Information Retrieval;Undergraduate Study;(Major): Clinical Experience;Drug Therapy;Health Services;Patients;Pharmaceutical Education;Identifier: Hemodialysis</t>
  </si>
  <si>
    <t>The Early Patient-Oriented Care Program provides early clinical education for pharmacy students and clinical services for patients. Six students were assigned to visit 12-15 hemodialysis patients monthly under preceptor supervision. Topics covered include approach to patient, medical information retrieval, pharmaceutical care philosophy, medication reviews, and identification of drug-related problems targeted on anemia and renal bone disease. (Author/MSE)</t>
  </si>
  <si>
    <t>FirstSearch indicates your institution subscribes to this publication. Libraries worldwide that own item: 1082 University of Michigan Library INDEPENDENT U-M LIBRARIES Search the Mirlyn catalog at the University of MichiganLocal Holdings Information: 1998-Local Holdings Information: 1-66,68-70,72-76; 1937-2012; 1994- Article (EJ); ID: 2125</t>
  </si>
  <si>
    <t>EJ575715</t>
  </si>
  <si>
    <t>ERIC; OCLC; The Early Patient-Oriented Care Program as an Educational Tool and Service</t>
  </si>
  <si>
    <t>Grabowski,K.;Sostmann,K.;Plener,J.;Avila,J.;Harms,T.;Buron,S.;Douros,A.;Kreutz,R.;Peters,H.;Bolbrinker,J.;Author,Addresses;Charit‚îú‚åê-Universit‚îú√±tsmedizin Berlin, Institut f‚îú‚ïùr Klinische,Pharmakologie und;Toxikologie,Germany;Charit‚îú‚åê;Universit‚îú√±tsmedizin Berlin, Dieter Scheffner,Fachzentrum F.;Hochschullehre und,Evidenzbasierte Ausbildungsforschung;Correspondence,Address;Grabowski, Charit‚îú‚åê-Universit‚îú√±tsmedizin Berlin Institut f‚îú‚ïùr Klinische,K.;Pharmakologie,und Toxikologie</t>
  </si>
  <si>
    <t>Effective and safe drug prescribing - Implementation of a novel teaching concept for undergraduate medical students</t>
  </si>
  <si>
    <t>Naunyn-Schmiedeberg's archives of pharmacology</t>
  </si>
  <si>
    <t>Naunyn Schmiedebergs Arch.Pharmacol.</t>
  </si>
  <si>
    <t>387 SUPPL. 1</t>
  </si>
  <si>
    <t>S44</t>
  </si>
  <si>
    <t>human;medical student;prescription;teaching;clinical pharmacology;clinical practice;curriculum;data base;drug therapy;Germany;knowledge management;learning;patient;physician;skill;student;summer;teacher;therapy;vignette</t>
  </si>
  <si>
    <t>Introduction Drug prescribing is an essential therapeutic intervention in clinical practice but often medical students and junior doctors feel poorly prepared for this professional skill. Thus, appropriate teaching concepts for safe and effective prescribing need to be implemented in the undergraduate medical curriculum. Here we present the design, implementation, and evaluation of a web-based practical training tool for pharmacological database search and collaborative knowledge management using a Wikisystem in a Clinical Pharmacology and Therapeutics teaching course. Methods The course - based on a Blended Learning-concept - was designed as a regular course for third-year medical students at the Charit‚îú‚åê - Universit‚îú√±tsmedizin Berlin. An initial facultative eLearning part provided an introduction to databases and websites relevant for drug therapy focusing on content and navigation. In the following mandatory course students were able to focus their practical skills training on solving problems related to drug prescribing as presented in a case vignette. Results In summer term 2013 174 students attended the mandatory course. Of these 78% accessed the online-course prior to the mandatory training. 80% of the students (n=85) who evaluated the overall course - including facultative online-course and mandatory course - rated this teaching concept as Œì√á¬£excellentŒì√á¬• or Œì√á¬£very goodŒì√á¬•. 82% stated that the two parts of the course represented a very reasonable complementary teaching approach. Discussion Compared to traditional teaching and eLearning approaches the adherence of 78% of the students to the online modul shows the need to implement eLearning into a Blended Learning scenario. We successfully implemented a curricular teaching course in Clinical Pharmacology and Therapeutics focusing on searching and handling of reliable pharmacological databases and websites. Web-based training provides an opportunity to enhance the students' ability to initiate, monitor, and modify pharmacotherapy in an appropriate and state-of-the-art fashion for a specific patient. The Blended Learningdesign offers the advantage of concentrating on practical skills training under teacher guidance during the time of the mandatory course.</t>
  </si>
  <si>
    <t>(Grabowski K.; Douros A.; Kreutz R.; Bolbrinker J.) (Sostmann K.; Plener J.; Avila J.; Harms T.; Buron S.; Peters H.) 80th Annual Meeting of the Deutsche Gesellschaft fur Experimentelle und Klinische Pharmakologie und Toxikologie e.V. Hannover, Germany 2014-04-01 to 2014-04-03 Springer Verlag; ID: 921</t>
  </si>
  <si>
    <t>Graham,A.;Pfeifer,J.;Trumble,J.;Nelson,E. D.</t>
  </si>
  <si>
    <t>A pilot project: continuing education for pharmacists on substance abuse prevention</t>
  </si>
  <si>
    <t>43 11p</t>
  </si>
  <si>
    <t>Substance Abuse -- Prevention and Control;Education, Pharmacy;Pilot Studies;Convenience Sample;Interviews;Education, Continuing;Health Education;Male;Female;Funding Source;Human</t>
  </si>
  <si>
    <t>The American Association of Colleges of Pharmacy advocates that pharmacists can have a significant impact on substance abuse prevention provided they receive adequate training. Continuing education programs are needed to enable practicing pharmacists to augment their limited education. This paper examines the process the Society of Teachers of Family Medicine (STFM) used to develop a pilot continuing education program for pharmacists. With limited literature and a small number of pharmacy teaching about substance abuse, input on topics and training methods was obtained from a convenience sample of practicing pharmacists to enhance the information from the pharmacist faculty regarded as content experts. Results of this pilot study revealed lack of agreement between faculty and practicing pharmacists regarding the prioritizing of content and educational methods. Consequently, input must be obtained from targeted audiences instead of relying solely on the advice of identified academic content experts when designing continuing educational programs. Other professions should consider this process when designing continuing education programs. Pharmacists are poised to play an important role in the prevention of substance abuse problems, but they need continuing education about substance abuse.</t>
  </si>
  <si>
    <t>Entry Date: 19990801. Revision Date: 20150711. Publication Type: Journal Article; research; tables/charts. Journal Subset: Biomedical; Peer Reviewed; USA. Grant Information: Supported in part by Contract 277-93-1029 from the Center for Substance Abuse Prevention. NLM UID: 8808537.; ID: 1795</t>
  </si>
  <si>
    <t>Department of Family Medicine, Case Western Reserve University, 10900 Euclid Ave., Cleveland, Ohio 44106-4950</t>
  </si>
  <si>
    <t>http://proxy.lib.umich.edu/login?url=http://search.ebscohost.com/login.aspx?direct=true&amp;db=ccm&amp;AN=107202174&amp;site=ehost-live&amp;scope=site</t>
  </si>
  <si>
    <t>ccm; EBSCOhost; A pilot project: continuing education for pharmacists on substance abuse prevention</t>
  </si>
  <si>
    <t>Graham,R. L.;Lacro,J. P.;Endow-Eyer,R.;Author,Addresses;Department,of Pharmacy;Veterans Affairs San Diego Healthcare System, San Diego,United States;Correspondence,Address;RL Graham, Department of Pharmacy Service Veterans Affairs,San Diego;Healthcare System, San Diego,United States</t>
  </si>
  <si>
    <t>Effect of concomitant benzodiazepine use in veterans receiving psychotherapy for the treatment of post-traumatic stress disorder: Efficacy and healthcare utilization outcomes</t>
  </si>
  <si>
    <t>(MAJOR FOCUS);benzodiazepine;antidepressant agent;benzodiazepine derivative;college;health care utilization;human;pharmacist;posttraumatic stress disorder;psychotherapy;veteran;anxiety disorder;army;checklist;cognitive therapy;compliance (physical);diseases;drug therapy;health;health care system;hospitalization;information processing;injury;long term exposure;medical record review;monotherapy;parameters;patient;prescription;processing;psychiatric diagnosis;safety;substance abuse;therapy;treatment duration</t>
  </si>
  <si>
    <t>Background: While many studies have evaluated the use of benzodiazepines in conjunction with psychotherapy for the treatment of anxiety disorders, the efficacy of this combination remains unclear in PTSD. To our knowledge, there are currently no published studies to determine the efficacy of this combination with only a few studies evaluating benzodiazepine monotherapy in the treatment of PTSD. Alternatively, psychotherapy as monotherapy in PTSD has been studied in multiple trials with well-established efficacy. In patients with other disorders, such as panic, the efficacy data for this combination has been controversial with deleterious effects shown in some studies. Objectives: 1. Evaluate the effect of concomitant benzodiazepine use (overall; scheduled vs. as needed) on the treatment efficacy of psychotherapy (cognitive processing therapy (CPT), cognitive-behavioral therapy (CBT), prolonged exposure (PE)) in Veterans with PTSD, 2. Determine the effect of concomitant benzodiazepine use on healthcare utilization in Veterans with PTSD. Methods: We are conducting a retrospective chart review from March 1, 2010 through March 1, 2011 of Veterans treated at VA San Diego Healthcare System (VASDHS) with CPT, CBT, or PE for PTSD. Exclusion criteria include active substance dependence recorded within 6 months prior to psychotherapy. In terms of data collection, demographic (age, sex, race, other psychiatric diagnoses, type of trauma, combat era) and healthcare utilization (behavioral health hospitalizations 1 year pre-psychotherapy) data will be collected prior to psychotherapy. Psychotherapy (CPT, PE, CBT), medication (benzodiazepine therapy, scheduled vs. PRN dosing, therapy duration, antidepressant prescriptions, antidepressant type), and efficacy parameters (PTSD Checklist - Military Version (PCL-M) scores, compliance to psychotherapy) will be collected during psychotherapy with additional healthcare utilization data (behavioral health hospitalizations) collected within the one year post- psychotherapy completion. Outcomes: We will report the results of our comparisons of percentage of psychotherapy sessions completed, change from baseline and final PCL-M scores, and behavioral health hospitalizations both pre- and post-psychotherapy in Veterans both with and without concomitant benzodiazepine therapy. Because benzodiazepines are widely used to treat PTSD in combination with psychotherapy within the VASDHS, it is important to evaluate the efficacy and safety of this combination to determine if a treatment effect is present.</t>
  </si>
  <si>
    <t>(Graham R.L.; Lacro J.P.; Endow-Eyer R.A.) 15th Annual Meeting of the College of Psychiatric and Neurologic Pharmacists, CPNP 2012 Tampa, FL, United States 2012-04-29 to 2012-05-02 SAGE Publications Inc.; ID: 1157</t>
  </si>
  <si>
    <t>Grana Morales,C. G.;M‚îú√≠rquez,J.;Rivera,S.;Ruiz,J.;Avil‚îú‚åês,J.;Albizu-Garc‚îú¬°a,C.;Author,Addresses;University of Puerto Rico, San Juan,United States;Correspondence,Address;CG Grana Morales, University of Puerto Rico San Juan,United States</t>
  </si>
  <si>
    <t>Expanding access to mat in Puerto Rico: Attitudes, perceptions and training needs of pharmacists and technicians toward dispensing buprenorphine for patients with opioid dependence</t>
  </si>
  <si>
    <t>Drug and alcohol dependence</t>
  </si>
  <si>
    <t>Drug Alcohol Depend.</t>
  </si>
  <si>
    <t>e126</t>
  </si>
  <si>
    <t>e127</t>
  </si>
  <si>
    <t>(MAJOR FOCUS);buprenorphine;opiate;college;drug dependence;human;opiate addiction;patient;pharmacist;Puerto Rico;bivariate analysis;data analysis software;drug therapy;drug use;fear;medicaid;personnel;pharmacy;questionnaire;safety;theft;univariate analysis</t>
  </si>
  <si>
    <t>Aims: Previous studies have found that pharmacy personnel may have negative perceptions and fears regarding opioid dependent patients and may be unwilling to stock medications for their treatment. In this study we identify knowledge, attitudes and perceptions towards dispensing buprenorphine for patients with opioid dependence in a representative sample of pharmacists and technicians in Puerto Rico. We explore if these differ by whether or not the pharmacy accepts Medicaid. Methods: A Probabilistic sample with 118 participants from 61 pharmacies (65% response rate) responded to a self-administered questionnaire in 2011. A univariate analysis was conducted using SPSS version 17.0 to describe the attitudes, knowledge and training needs. Bivariate analysis was conducted to assess if these differed by acceptance of Medicaid. Results: 80% agreed they would provide service to a person with opioid dependence; 90% were willing to dispense the medication. In spite of this, 48% believe that participants can carry out thefts in the pharmacy and 50% fear for their safety. Knowledge scores did not differ by Medicaid acceptance but negative attitudes towards drug users was significantly greater among pharmacies accepting Medicaid (p &lt; 0.000). Conclusions: MAT expansion efforts must take into account the knowledge and attitudes of pharmacists as an important component of the system of care. Efforts to address negative attitudes towards drug users should initiate in pharmacies serving Medicaid beneficiaries.</t>
  </si>
  <si>
    <t>(Grana Morales C.G.; M‚îú√≠rquez J.; Rivera S.; Ruiz J.; Avil‚îú‚åês J.; Albizu-Garc‚îú¬°a C.) 2014 Annual Meeting of the College on Problems of Drug Dependence San Juan, Puerto Rico 2014-06-14 to 2014-06-19 Elsevier Ireland Ltd; ID: 855</t>
  </si>
  <si>
    <t>Grant,George F.;Alexander,William E.</t>
  </si>
  <si>
    <t>Problem Solving Strategies for Pharmaceutical/Chemical Technology College Students</t>
  </si>
  <si>
    <t>Chemistry;Classroom Research;College Freshmen;Foreign Countries;Higher Education;Medical Education;Teaching Methods;Technology Education;(Major): College Science;Problem Solving;Science Instruction</t>
  </si>
  <si>
    <t>Teaching problem solving strategies and steps to first year college students enrolled in the pharmaceutical/chemical technology program as a part of their first year chemistry course focused on teaching the students the basic steps in problem solving and encouraging them to plan carefully and focus on the problem solving process rather than to feel a sense of helplessness and panic. The paper attempted to understand students' problem solving patterns, and to provide them with some strategies to enhance their problem solving skills. It was found that after showing the students basic problem solving strategies/steps, their mean test scores, as compared to a control group was significantly higher at 0.95 probability level. Contains 23 references. (Author)</t>
  </si>
  <si>
    <t>Connect to the Mirlyn catalog at the University of Michigan Level: 1; RP: Connect to the Mirlyn catalog at the University of Michigan Level: 1; ID: 2088</t>
  </si>
  <si>
    <t>ED362383</t>
  </si>
  <si>
    <t>ERIC; OCLC; Problem Solving Strategies for Pharmaceutical/Chemical Technology College Students</t>
  </si>
  <si>
    <t>Granville-Garcia,A.;Sarmento,D. J.;Santos,J. A.;Pinto,T. A.;de Sousa,R. V.;Cavalcanti,A. L.</t>
  </si>
  <si>
    <t>Smoking among undergraduate students in the area of health</t>
  </si>
  <si>
    <t>Ciencia &amp; Saude Coletiva</t>
  </si>
  <si>
    <t>Adolescent;Adult;Brazil;Cross-Sectional Studies;Female;Health Occupations;Humans;Male;Middle Aged;*Smoking/ep Epidemiology];Socioeconomic Factors;*Students/sn Statistics &amp; Numerical Data];Surveys and Questionnaires;Universities;Young Adult</t>
  </si>
  <si>
    <t>The aim of this study was to evaluate the relationship between smoking and socio-demographic and behavioral factors among undergraduate students in the area of health at the State University of Paraiba, Brazil. An analytical cross-sectional study was conducted with a representative sample from each of the following courses: Dentistry, Nursing, Psychology, Pharmacy, Physical Therapy and Physical Education. A total of 492 students were interviewed using a structured questionnaire. The chi-square and Fisher's Exact tests were used for statistical analysis at a 5% level of significance. Smoking prevalence was 5.7% and stress was the main reason for starting the habit (36.8%). In the multivariate analysis by logistic regression, the variables of gender, religious persuasion, semester attended in the course, and alcohol consumption were significantly associated with smoking (p&lt;0.05). Although other studies reported a strong relationship between university students and smoking, the prevalence of smokers was low. Most of the variables studied revealed a correlation with smoking. Since smoking and alcohol consumption are the two major human addictions, this study suggests a bidirectional relationship between these variables.</t>
  </si>
  <si>
    <t>J2: Cienc; Granville-Garcia, Ana Flavia Sarmento, Dmitry Jose de Santana Santos, Jalber Almeida Pinto, Tassia Almeida de Sousa, Raulison Vieira Cavalcanti, Alessandro Leite S1413-81232012000200013; ID: 216</t>
  </si>
  <si>
    <t>1678-4561</t>
  </si>
  <si>
    <t>Granville-Garcia,Ana Flavia. Departamento de odontologia, Universidade Estadual da Paraiba, Campina Grande, Paraiba. anaflaviagg@hotmail.com</t>
  </si>
  <si>
    <t>http://ovidsp.ovid.com/ovidweb.cgi?T=JS&amp;CSC=Y&amp;NEWS=N&amp;PAGE=fulltext&amp;D=medl&amp;AN=22267034</t>
  </si>
  <si>
    <t>MEDLINE; Ovid Technologies; Smoking among undergraduate students in the area of health</t>
  </si>
  <si>
    <t>Gray,D. R.;Namikas,E. A.;Sax,M. J.;Brinkman,J.;Cheung,A.;Gordon,M.;Parker,A. G.;Welch 3rd,P. H.;Author,Addresses;Correspondence,Address;Gray,D. R.</t>
  </si>
  <si>
    <t>10242843; Clinical pharmacists as allied health care providers to psychiatric patients</t>
  </si>
  <si>
    <t>Contemporary pharmacy practice</t>
  </si>
  <si>
    <t>Contemp.Pharm.Pract.</t>
  </si>
  <si>
    <t>hospital pharmacy;mental disease (drug therapy);patient education;pharmacist;article;day care;group process;hospital bed capacity;human;organization and management;patient care planning;public hospital;United States;utilization review</t>
  </si>
  <si>
    <t>The effect of clinical pharmacy services on the quality and economy of health care provided to psychiatric patients at a Veterans Administration outpatient clinic was evaluated. Twenty-one patients were selected from the Day Treatment Center, of these, 19 patients completed the study. In providing health care to these psychiatric patients, the clinical pharmacist used a systemized approach including data gathering, evaluation, plan of action, and follow-up. In addition, medication groups and weekly staff meetings were incorporated into the patient treatment plan. Following a 3-month study period, the impact of clinical pharmacy services was evaluated. The provision of allied health care to psychiatric patients by clinical pharmacists resulted in a decreased incidence and severity of adverse drug effects, fewer drug use problems, a reduction in the total number of drugs prescribed, improved patient drug knowledge, and reduced expenditures for health care without compromising the patient's mental functioning.</t>
  </si>
  <si>
    <t>(Gray D.R.; Namikas E.A.; Sax M.J.; Brinkman J.; Cheung A.; Gordon M.; Parker A.G.; Welch 3rd. P.H.); ID: 1777</t>
  </si>
  <si>
    <t>0162-3761</t>
  </si>
  <si>
    <t>http://www.ncbi.nlm.nih.gov/pubmed/10242843</t>
  </si>
  <si>
    <t>Clinical pharmacists as allied health care providers to psychiatric patients</t>
  </si>
  <si>
    <t>Gray,E. N.;Hieber,R. N.;Zacher,J. L.;Author,Addresses;Captain James, A Lovell,Federal Health;Care Center,United States;Midwestern University, Chicago College of,Pharmacy United;States;Correspondence,Address;EN Gray, Captain James A Lovell Federal Health Care,Center United;States</t>
  </si>
  <si>
    <t>Comparison of continuation electroconvulsive therapy, antidepressant alone, and combination therapy for treatment of depression in the veteran population</t>
  </si>
  <si>
    <t>(MAJOR FOCUS);antidepressant agent;college;electroconvulsive therapy;human;pharmacist;population;therapy;veteran;arm;brain;convulsion;depressive psychosis;diagnosis;diseases;drug therapy;electric current;health care;hospital admission;major depression;medical record review;mental disease;mental hospital;monotherapy;pathology;patient;psychosis;relapse;sample size;substance abuse;suicide;suicide attempt;tobacco dependence;treatment resistant depression</t>
  </si>
  <si>
    <t>Type: Work in Progress. Background: Electroconvulsive therapy (ECT) involves the induction of a convulsion by the application of electrical current to the brain for therapeutic purposes. The practice of ECT is established as an effective and safe treatment for acute episodes of severe major depressive disorder (MDD) and other mental disorders. Studies of ECT for patients with MDD have demonstrated response rates of 70% to 90% when used first line, and 40% to 60% when used to manage treatment-resistant depression. The American Psychiatric Association (APA) states that continuation ECT (C-ECT) occurs within 6 months of acute treatment to prevent relapse, whereas maintenance ECT continues beyond the six-month point to prevent recurrence. For the purposes of this research, only patients on C-ECT were evaluated. Objectives: The primary objective of this study is to compare the outcomes of the three treatment modalities: patients on C-ECT monotherapy; patients on C-ECT with pharmacotherapy; and patients on pharmacotherapy monotherapy. Comparing patient's number of psychiatric hospital admissions, suicide attempts, and suicides will assess outcomes. Methods: A retrospective chart review from 1 January 2001 to 31 December 2011 will be used to identify patients who received C-ECT in conjunction to antidepressant treatment, patients who only received antidepressant therapy, and patients who received C-ECT monotherapy alone. All Captain James A. Lovell Federal Health Care Center (FHCC) veteran patients aged 18 years or older receiving CECT with or without antidepressants or patients on antidepressants, with a diagnosis of depression will be eligible for inclusion. Excluded patients will be those who have a history of substance abuse, patients with psychosis, patients with psychotic depression, meeting DSM-IV-TR criteria for another axis I or axis II disorder (except nicotine dependence); neurological pathology on axis III; and having already participated in a C-ECT program. Eligible patients will be enrolled consecutively to a target sample size of up to 62 patients in each arm. Results will be used to identify differences in outcomes, overall efficacy between treatments, and the possible need for practice changes. Results: Pending.</t>
  </si>
  <si>
    <t>(Gray E.N.; Hieber R.N.; Zacher J.L.) (Hieber R.N.) 16th Annual Meeting of the College of Psychiatric and Neurologic Pharmacists, CPNP 2013 Colorado Springs, CO, United States 2013-04-21 to 2013-04-24 SAGE Publications Inc.; ID: 1026</t>
  </si>
  <si>
    <t>Grazzi,L.;Prunesti,A.;Bussone,G.</t>
  </si>
  <si>
    <t>Proposal of a model for multidisciplinary treatment program of chronic migraine with medication overuse: preliminary study</t>
  </si>
  <si>
    <t>Neurological Sciences</t>
  </si>
  <si>
    <t>36 Suppl 1</t>
  </si>
  <si>
    <t>Adult;*Analgesics/ae Adverse Effects];Chronic Disease;Disabled Persons;Female;Humans;Interdisciplinary Studies;Middle Aged;*Migraine Disorders/dt Drug Therapy];*Migraine Disorders/et Etiology];Prescription Drug Overuse/cl Classification];*Prescription Drug Overuse;*Substance-Related Disorders/th Therapy];0 (Analgesics)</t>
  </si>
  <si>
    <t>The treatment of patients with chronic migraine associated with medication overuse is challenging in clinical practice; different strategies of treatment have been recently developed, multidisciplinary treatment approaches have been developed in academic headache centers. Education and support of patients are necessary to improve patients' adherence to pharmacological treatments as well as to non-pharmacological therapies. This study reports a clinical experience conducted at our Headache center with a group of female patients, suffering from chronic migraine complicated by medication overuse, treated by a multidisciplinary approach and followed for a period of 1 year after withdrawal. Results confirm the efficacy of a multifaceted treatment to manage this problematic category of patients.</t>
  </si>
  <si>
    <t>J2: Neurol Sci; Grazzi, L Prunesti, A Bussone, G; ID: 8</t>
  </si>
  <si>
    <t>1590-3478</t>
  </si>
  <si>
    <t>Grazzi,L. Headache Center, C. Besta Neurological Institute and Foundation, Via Celoria 11, 20133, Milan, Italy, grazzi.l@istituto-besta.it.</t>
  </si>
  <si>
    <t>http://ovidsp.ovid.com/ovidweb.cgi?T=JS&amp;CSC=Y&amp;NEWS=N&amp;PAGE=fulltext&amp;D=medl&amp;AN=26017536</t>
  </si>
  <si>
    <t>http://dx.doi.org/10.1007/s10072-015-2177-2</t>
  </si>
  <si>
    <t>MEDLINE; Ovid Technologies; Proposal of a model for multidisciplinary treatment program of chronic migraine with medication overuse: preliminary study</t>
  </si>
  <si>
    <t>Grech,L.;Coleiro,B.;Borg,A. A.;Inglott,A. S.;Azzopardi,L. M.;Author,Addresses;Department of Pharmacy, Faculty,of Medicine;Surgery;University,of Malta;Correspondence,Address;Grech, Department of Pharmacy Faculty of Medicine,L.;Surgery;University of Malta, Malta Email louise grech um,edu mt</t>
  </si>
  <si>
    <t>Identification of pharmaceutical care needs for a sample population of rheumatoid arthritis patients on methotrexate</t>
  </si>
  <si>
    <t>(MAJOR FOCUS);methotrexate;biological product;human;patient;pharmaceutical care;population;rheumatoid arthritis;adult;classification;drug monitoring;drug therapy;hospital;monitoring;outpatient;pharmaceutics;pharmacy;physician;public hospital;rheumatology;university</t>
  </si>
  <si>
    <t>Background Effective and safe pharmacological management of rheumatoid arthritis patients depends the safe prescribing, monitoring and administration of disease modifying anti-rheumatic drugs and biological agent. Pharmaceutical care services implemented within a multidisciplinary team can further improve medication monitoring. Purpose To assess the impact of a pharmaceutical care service offered to patients within the rheumatology department out-patient setting in a general public hospital. Method Rheumatoid arthritis adult patients who were on methotrexate regularly attending the rheumatology out-patient clinic (RC) were eligible to participate in the study. Pharmaceutical care issues identified during visits at the RC were documented. The drug therapy problems identified were categorized into an amended classification developed by colleagues (McAnaw, 2003) at the Strathclyde Institute of Pharmacy and Biomedical Sciences. Each of the pharmaceutical care issue identified was categorized as either an actual or potential drug therapy problem. Actions (checks or changes) needed to resolve each care issue problem were documented in the care plan within the patient's medical file. Findings A total of 88 patients were recruited in the study. The mean (SD) age of the patients was 60.8 (11.6) years. The mean number of years on methotrexate was 10 years. A total of 106 pharmaceutical care issues were identified for the 88 patients giving a mean of 1.2 per patient where 72 % (n = 76) were actual drug therapy problems requiring alteration of the therapeutic plan and 28 % (n = 30) were potential drug therapy problems requiring resolution by reference back to the therapeutic plan. The most common actual drug therapy problem identified was inappropriate compliance (28.8 %) followed by additional medication needs (18.2 %) and unnecessary medication prescribed (16.7 %). The most common potential drug therapy problem identified was related to potential adverse events (70 %) followed by inappropriate compliance (16.7 %). Conclusion The pharmaceutical care intervention led to the identification of drug therapy problems which were subsequently discussed with the physicians. References: McAnaw JJ. Development of novel approaches to demonstrate the quality of drug therapy use. PhD thesis. Department of Pharmaceutical Sciences. Glasgow: University of Strathclyde. 2003.</t>
  </si>
  <si>
    <t>(Grech L., louise.grech@um.edu.mt; Coleiro B.; Borg A.A.; Inglott A.S.; Azzopardi L.M.) PCNE Working Symposium 2014 Sliema, Malta 2014-03-14 to 2014-03-15 Kluwer Academic Publishers; ID: 898</t>
  </si>
  <si>
    <t>Green,T. C.;Mann,M. R.;Bowman,S. E.;Zaller,N.;Soto,X.;Gadea,J.;Cordy,C.;Kelly,P.;Friedmann,P. D.</t>
  </si>
  <si>
    <t>How does use of a prescription monitoring program change pharmacy practice?</t>
  </si>
  <si>
    <t>Adult;*Analgesics, Opioid/ad Administration &amp; Dosage];Analgesics, Opioid/ae Adverse Effects];Connecticut;Education, Pharmacy, Continuing/mt Methods];Female;Health Care Surveys;Humans;Male;Middle Aged;Opioid-Related Disorders/pc Prevention &amp; Control];Patient Acceptance of Health Care/sn Statistics &amp; Numerical Data];*Pharmaceutical Services/og Organization &amp; Administration];*Pharmacists/og Organization &amp; Administration];Practice Patterns, Physicians';*Prescription Drug Misuse;Rhode Island;Substance-Related Disorders/pc Prevention &amp; Control];0 (Analgesics, Opioid)</t>
  </si>
  <si>
    <t>OBJECTIVES: To assess differences in prescription monitoring program (PMP) use between two states with different PMP accessibility (Connecticut CT] and Rhode Island RI]), to explore use of PMPs in pharmacy practice, and to examine associations between PMP use and pharmacists' responses to suspected diversion or "doctor shopping." DESIGN: Descriptive nonexperimental study. SETTING: CT and RI from March through August 2011. PARTICIPANTS: Licensed pharmacists in CT and RI. INTERVENTION: Anonymous surveys e-mailed to pharmacists MAIN OUTCOME MEASURES: PMP use, use of patient reports in pharmacy practice, and responses to suspected doctor shopping or diversion. RESULTS: Responses from 294 pharmacists were received (CT: 198; RI: 96). PMP users were more likely to use the PMP to detect drug abuse (CT: 79%; RI: 21.9%; P &lt; 0.01) and doctor shopping (67%; 7%; P &lt; 0.01). When faced with suspicious medication use behavior, PMP users were less likely than nonusers to discuss their concerns with the patient (adjusted odds ratio 0.48 95% CI 0.25-0.92]) but as likely to contact the provider (0.86 0.21-3.47]), refer the patient back to the prescriber (1.50 0.79-2.86]), and refuse to fill the prescription (0.63 0.30-1.30]). PMP users were less likely to state they were out of stock of the drug (0.27 0.12-0.60]) compared with nonusers. Pharmacists reported high interest in attending continuing education on safe dispensing (72.8%). CONCLUSION: Pharmacists are important participants in the effort to address prescription drug misuse and abuse. Current PMP use with prevailing systems had limited influence on pharmacy practice. Findings point to future research and needed practice and education innovations to improve patient safety and safer opioid dispensing for pharmacists.</t>
  </si>
  <si>
    <t>J2: J Am Pharm Assoc (2003); Green, Traci C Mann, Marita R Bowman, Sarah E Zaller, Nickolas Soto, Xaviel Gadea, John Cordy, Catherine Kelly, Patrick Friedmann, Peter D 5R21CE001846 (United States NCIPC CDC HHS); ID: 138</t>
  </si>
  <si>
    <t>Green,Traci C. Rhode Island Hospital, 55 Claverick St., 2nd floor, Providence, RI 02903, USA. traci.c.green@gmail.com</t>
  </si>
  <si>
    <t>http://ovidsp.ovid.com/ovidweb.cgi?T=JS&amp;CSC=Y&amp;NEWS=N&amp;PAGE=fulltext&amp;D=medl&amp;AN=23699676</t>
  </si>
  <si>
    <t>http://dx.doi.org/10.1331/JAPhA.2013.12094</t>
  </si>
  <si>
    <t>MEDLINE; Ovid Technologies; How does use of a prescription monitoring program change pharmacy practice?</t>
  </si>
  <si>
    <t>Greene,S. L.;Dargan,P. I.;Leman,P.;Jones,A. L.</t>
  </si>
  <si>
    <t>PMC2585716; Paracetamol availability and recent changes in paracetamol poisoning: is the 1998 legislation limiting availability of paracetamol being followed?</t>
  </si>
  <si>
    <t>Postgraduate medical journal</t>
  </si>
  <si>
    <t>Postgrad.Med.J.</t>
  </si>
  <si>
    <t>Acetaminophen/po Poisoning];*Acetaminophen/sd Supply &amp; Distribution];Adolescent;Adult;Aged;Aged, 80 and over;Anti-Inflammatory Agents, Non-Steroidal/po Poisoning];*Anti-Inflammatory Agents, Non-Steroidal/sd Supply &amp; Distribution];Drug Overdose/pc Prevention &amp; Control];Female;Humans;Legislation, Drug;London;Male;Middle Aged;Nonprescription Drugs/po Poisoning];Nonprescription Drugs/sd Supply &amp; Distribution];Prospective Studies;Suicide, Attempted;0 (Anti-Inflammatory Agents, Non-Steroidal);0 (Nonprescription Drugs);362O9ITL9D (Acetaminophen)</t>
  </si>
  <si>
    <t>OBJECTIVE: To determine the degree of adherence to legislation introduced in 1998 restricting the availability of over the counter paracetamol. DESIGN: A prospective observational study. SETTING: An emergency department in an inner city London teaching hospital. Pharmacy and non-pharmacy outlets in south London. MAIN OUTCOME MEASURES: (1) The source of paracetamol ingested by 107 patients presenting with an acute paracetamol overdose (2001-2003) and (2) the ability to purchase paracetamol from pharmacy and non-pharmacy outlets in a manner contravening paracetamol pack size legislation (2004). RESULTS: Potentially toxic amounts of paracetamol in excess of pack size restrictions were purchased in 70% (17 of 24) of outlets. Forty six per cent of patients who had ingested a potentially toxic dose of paracetamol obtained the tablets in a manner contravening the 1998 legislation. CONCLUSION: Legislation limiting the availability of over the counter paracetamol is not being adhered to in south London. A significant number of patients ingesting a potentially toxic dose of paracetamol report purchasing the tablets in a manner contravening the legislation. Studies that attempt to assess the impact of the legislation need to be interpreted in the context of these results. Measures to enforce current legislation may help to reduce the severity of paracetamol poisoning in the UK.</t>
  </si>
  <si>
    <t>J2: Postgrad Med J; Greene, S L Dargan, P I Leman, P Jones, A L; ID: 419</t>
  </si>
  <si>
    <t>1469-0756</t>
  </si>
  <si>
    <t>Greene,S L. Guy's and St Thomas's Poisons Unit, Avonley Road, New Cross, London SE14 5ER UK. Shaun.Greene@gstt.nhs.uk</t>
  </si>
  <si>
    <t>http://ovidsp.ovid.com/ovidweb.cgi?T=JS&amp;CSC=Y&amp;NEWS=N&amp;PAGE=fulltext&amp;D=med5&amp;AN=16891443</t>
  </si>
  <si>
    <t>MEDLINE; Ovid Technologies; Paracetamol availability and recent changes in paracetamol poisoning: is the 1998 legislation limiting availability of paracetamol being followed?</t>
  </si>
  <si>
    <t>Greenham,S. L.;Persi,J.;Author,Addresses;Children's Hospital,of Eastern;Ottawa,O. N. C.;North Bay Regional Health Center, Sudbury Campus,Sudbury O.;Canada;Correspondence,Address;Canada,S.L.Greenham, Children's Hospital of Eastern Ontario Ottawa O.N.;Email,greenham cheo on ca</t>
  </si>
  <si>
    <t>The state of inpatient psychiatry for youth in Ontario: Results of the ONCAIPS benchmarking survey</t>
  </si>
  <si>
    <t>Journal of the Canadian Academy of Child and Adolescent Psychiatry</t>
  </si>
  <si>
    <t>child psychiatry;hospitalization;psychiatric department;quality control;adolescent;anxiety disorder (diagnosis);article;attention deficit disorder (diagnosis);behavior disorder (diagnosis);drug therapy;DSM-IV;eating disorder;family assessment;female;health care quality;health education;hospital admission;hospital bed;hospital bed capacity;hospital bed utilization;hospital management;hospital personnel;hospital service;human;ICD-10;intellectual impairment;length of stay;male;mental health;mood disorder (diagnosis);psychosis (diagnosis);psychosocial care;risk assessment;risk reduction;substance abuse;suicidal ideation;Pediatrics and Pediatric Surgery (7);Public Health, Social Medicine and Epidemiology (17);Psychiatry (32)</t>
  </si>
  <si>
    <t>Objective: Little is known about inpatient psychiatry settings and the services they provide for children and adolescents in Ontario. This paper provides the first broad description of unit characteristics, services provided, and patient characteristics in these settings. Method: Nominated representatives from Ontario hospitals with generic mental health beds (i.e., providing inpatient care across diagnostic groups) for children and adolescents were surveyed regarding data from April 2009 to March 2010. Response rate was 93%. Additional data were extracted from the Ontario Network of Child and Adolescent Inpatient Psychiatry Services (ONCAIPS) Directory and Ministry of Health and Long Term Care (MOHLTC) website. Results: Settings provided primarily crisis services with some planned elective admissions. Higher rates of involuntary admissions, briefer stays, lower interdisciplinary diversity, and lower occupancy were typical of settings with higher proportions of crisis admissions. Services most commonly provided included stabilization, assessment, pharmacotherapy, and mental health education. Bed numbers provincially, beds per staff, and prominence of suicide risk, mood disorders, and utilization of cognitive and behavioural approaches were comparable to trends internationally. Intersetting disparities were observed in access to inpatient services for different age and diagnostic groups, and availability of psychiatry and different professions. Conclusions: Lack of consistent performance and outcome evaluation, common measures, availability of psychiatry and interdisciplinary supports, and dissimilar treatments provincially, suggest the need to consider potential improvements through systematic monitoring of setting performance and outcomes, and development of provincial best practice standards for staffing and treatment. ‚î¨‚åê 2013 Shire Canada Inc. All rights reserved.</t>
  </si>
  <si>
    <t>(Greenham S.L., greenham@cheo.on.ca) (Persi J.) Canadian Academy of Child and Adolescent Psychiatry, 701-141 Laurier Ave. West, Ottawa, Canada.; ID: 920</t>
  </si>
  <si>
    <t>1719-8429</t>
  </si>
  <si>
    <t>Greenhill,L. L.</t>
  </si>
  <si>
    <t>The science of stimulant abuse</t>
  </si>
  <si>
    <t>Pediatric annals</t>
  </si>
  <si>
    <t>Pediatr.Ann.</t>
  </si>
  <si>
    <t>Animals;*Attention Deficit Disorder with Hyperactivity/dt Drug Therapy];Central Nervous System Stimulants/me Metabolism];Central Nervous System Stimulants/pd Pharmacology];*Central Nervous System Stimulants/tu Therapeutic Use];Child;Dextroamphetamine/me Metabolism];Dextroamphetamine/pd Pharmacology];*Dextroamphetamine/tu Therapeutic Use];Humans;Methylphenidate/me Metabolism];Methylphenidate/pd Pharmacology];*Methylphenidate/tu Therapeutic Use];*Substance-Related Disorders;0 (Central Nervous System Stimulants);207ZZ9QZ49 (Methylphenidate);TZ47U051FI (Dextroamphetamine)</t>
  </si>
  <si>
    <t>Stimulant medications, although classified by the US Drug Enforcement Agency as controlled with a Schedule IIa rating, are ubiquitous in our society because of their popularity as an effective treatment for childhood ADHD. The number of stimulant products available for practitioners has tripled in the last decade. Although stimulants' action on central dopamine systems can be reinforcing, especially when delivered via intraperitoneal or intravenous routes in laboratory animals, they are far less addicting when taken orally by children in the context of a medical treatment. Fortunately, the therapeutic stimulants, available orally, have different pharmacodynamic and pharmacokinetic properties than the illicit stimulants, methamphetamine and cocaine. The lack of intravenous forms of the therapeutic stimulants acts as a natural barrier and tends to prevent addiction. Furthermore, MPH produces dysphoria in school age children, further limiting its reinforcing properties. These pharmacokinetics and pharmacodynamics of methylphenidate and amphetamine treatments for ADHD thus are less addicting because of their delivery systems. Future products, employing novel methods that only allow the drug molecule to be available if ingested, should further increase the safety of these important therapeutic agents. References: 16]</t>
  </si>
  <si>
    <t>J2: Pediatr Ann; Greenhill, Laurence L; ID: 420</t>
  </si>
  <si>
    <t>0090-4481</t>
  </si>
  <si>
    <t>Greenhill,Laurence L. New York State Psychiatric Institute, New York, NY 10032, USA. larrylgreenhill@cs.com</t>
  </si>
  <si>
    <t>http://ovidsp.ovid.com/ovidweb.cgi?T=JS&amp;CSC=Y&amp;NEWS=N&amp;PAGE=fulltext&amp;D=med5&amp;AN=16986449</t>
  </si>
  <si>
    <t>MEDLINE; Ovid Technologies; The science of stimulant abuse</t>
  </si>
  <si>
    <t>Greydanus,D. E.;Pratt,H. D.;Patel,D. R.</t>
  </si>
  <si>
    <t>Attention deficit hyperactivity disorder across the lifespan: the child, adolescent, and adult</t>
  </si>
  <si>
    <t>Disease-A-Month</t>
  </si>
  <si>
    <t>Adolescent;Adult;Antidepressive Agents, Tricyclic/ae Adverse Effects];*Antidepressive Agents, Tricyclic/tu Therapeutic Use];Attention Deficit Disorder with Hyperactivity/dt Drug Therapy];Attention Deficit Disorder with Hyperactivity/pp Physiopathology];Attention Deficit Disorder with Hyperactivity/th Therapy];*Attention Deficit Disorder with Hyperactivity;Central Nervous System Stimulants/ae Adverse Effects];*Central Nervous System Stimulants/tu Therapeutic Use];Child;Child Behavior;Female;Humans;Male;Methylphenidate/ae Adverse Effects];*Methylphenidate/tu Therapeutic Use];Prevalence;*Psychotherapy/mt Methods];*Students/px Psychology];Substance-Related Disorders/ep Epidemiology];0 (Antidepressive Agents, Tricyclic);0 (Central Nervous System Stimulants);207ZZ9QZ49 (Methylphenidate)</t>
  </si>
  <si>
    <t>Management of a child, adolescent, college student, or adult with ADD/ADHD (ADHD) is reviewed with emphasis on pharmacologic approaches in the adult. Psychological treatment includes psychotherapy, cognitive-behavior therapy, support groups, parent training, biofeedback, meditation, and social skills training. Medications are reviewed that research has revealed can improve the core symptomatology of a child or adolescent with ADHD. These medications include stimulants (psychostimulants), antidepressants, alpha-2 agonists, and a norepinephrine reuptake inhibitor. Psychopharmacology approved and/or used in pediatric patients are also used in adults with ADHD, though most are not officially FDA-approved. It is emphasized that ADHD management should include a multi-modal approach, involving appropriate educational interventions, appropriate psychological management of the patient of any age, and judicious use of medications. Such an approach is recommended to benefit those with ADHD achieve their maximum potential across the human life span. References: 210]</t>
  </si>
  <si>
    <t>J2: Dis Mon; Greydanus, Donald E Pratt, Helen D Patel, Dilip R; ID: 400</t>
  </si>
  <si>
    <t>Greydanus,Donald E. Pediatrics and Human Development, Michigan State University College of Human Medicine, Sindecuse College Health Center, USA.</t>
  </si>
  <si>
    <t>http://ovidsp.ovid.com/ovidweb.cgi?T=JS&amp;CSC=Y&amp;NEWS=N&amp;PAGE=fulltext&amp;D=med5&amp;AN=17386306</t>
  </si>
  <si>
    <t>MEDLINE; Ovid Technologies; Attention deficit hyperactivity disorder across the lifespan: the child, adolescent, and adult</t>
  </si>
  <si>
    <t>Grgas,M.;Author,Addresses;Department of Veterans Affairs, White River,Junction United;States;Correspondence,Address;Grgas, Department of Veterans Affairs White River Junction United,M.;States</t>
  </si>
  <si>
    <t>Treatment of schizophrenia and comorbid diphenhydramine dependence with clozapine: A case report</t>
  </si>
  <si>
    <t>(MAJOR FOCUS);clozapine;diphenhydramine;alcohol;antidepressant agent;antihistaminic agent;aripiprazole;atypical antipsychotic agent;benzatropine;cocaine;dimenhydrinate;olanzapine;placebo;risperidone;case report;college;human;pharmacist;schizophrenia;abuse;agitation;alcohol abuse;allergic reaction;brain;double blind procedure;drinking;drug megadose;drug therapy;hallucination;insomnia;involuntary movement;male;medical history;mood;outpatient;patient;psychosis;risk;sleep;stimulus;wine;withdrawal syndrome</t>
  </si>
  <si>
    <t>Background: Diphenhydramine, an antihistamine medication, is used for allergic reactions and can be found in sleep-promoting products. At high doses, it can cause paradoxical insomnia, agitation, and hallucinations. Diphenhydramine has a high abuse potential, hypothesized to mimic cocaine in the brain. Patients with psychotic disorders are at higher risk of abusing substances, including diphenhydramine and alcohol. Studies have shown that clozapine, an atypical antipsychotic, may help decrease the abuse of substances in patients with psychotic disorders. Patient History: The patient is a 33-year-old male with a history of schizophrenia, alcohol abuse, and diphenhydramine dependence. He started using diphenhydramine as a way to elevate his mood, finding antidepressants ineffective in this manner. Over a period of 10 years, he increased his diphenhydramine intake to 1350 mg daily. He also reported drinking up to 2 bottles of wine each day. His antipsychotic treatment trials included olanzapine 25 mg/d and risperidone 3 mg/d. Treatment was discontinued secondary to intolerance. He was started on aripiprazole and dose was increased to 20 mg/d. In addition, benztropine was started to treat involuntary movements and potentially replace diphenhydramine. Patient continued to use diphenhydramine after several weeks of treatment and appeared to be responding to internal stimuli. At that time, decision was made to initiate clozapine treatment in addition to aripiprazole to address the psychotic symptoms. Patient was started on clozapine as an outpatient at 50 mg/d and increased monthly by 50 mg. Patient achieved a therapeutic level at 350 mg/d. Once stabilized at a therapeutic dose of 350 mg/d, patient discontinued using diphenhydramine and alcohol. No withdrawal symptoms were present. Patient continues to deny using and craving diphenhydramine. Review of Literature: To date, there are no placebo-controlled, double-blind trials, nor case reports examining the effects of clozapine on diphenhydramine use. There are two published cases of clozapine treatment for dimenhydrinate abuse, an antihistamine similar to diphenhydramine. Conclusion: Clozapine may be a viable treatment option for patients with schizophrenia and comorbid diphenhydramine dependence.</t>
  </si>
  <si>
    <t>(Grgas M.) 14th Annual Meeting of the College of Psychiatric and Neurologic Pharmacists, CPNP 2011 Phoenix, AZ, United States 2011-05-01 to 2011-05-04 Sage Publications; ID: 1280</t>
  </si>
  <si>
    <t>Grgas,M.;Author,Addresses;Department of Veterans Affairs, White River,Junction Vermont;United,States;Correspondence,Address;Grgas, Department of Veterans Affairs White River Junction Vermont,M.;United,States</t>
  </si>
  <si>
    <t>Clinical psychiatric pharmacist involvement in an outpatient buprenorphine program</t>
  </si>
  <si>
    <t>(MAJOR FOCUS);buprenorphine;opiate;college;human;outpatient;pharmacist;clinical pharmacy;drug monitoring;drug therapy;health care management;interpersonal communication;patient;patient care;patient counseling;pharmacy;population;prescriptive authority;prevalence;river;substance abuse;toxicology;United States;urine;veteran;veterans health</t>
  </si>
  <si>
    <t>Type: Innovative Practices. Background: Approximately 19 million individuals in the United States are diagnosed with a substance use disorder (SUD), including many veterans enrolled in the Veterans Health Administration (VHA). The prevalence of SUD within the veteran population has been steadily increasing, resulting in increased utilization of substance abuse services, such as buprenorphine programs for opioid dependence. As this population grows, there is an increased need for multidisciplinary services. Clinical psychiatric pharmacists do not have prescriptive authority for buprenorphine, but can play a vital role in outpatient buprenorphine programs. Description of Innovative Service: The clinical psychiatric pharmacist is involved in many aspects of the outpatient buprenorphine program. There are over 100 patients enrolled in the buprenorphine program at the White River Junction VAMC. The clinical pharmacist devotes approximately 10 hours per week to the program, which includes dispensing the medication, monitoring lab values and patient counseling. A spreadsheet is maintained and updated weekly to monitor doses, refill dates and urine toxicology results. Some patients, who struggle with buprenorphine overuse, are provided a locked medication dispenser, which is refilled and locked by the clinical pharmacist. The clinical pharmacist is also involved in the dispensing process in the outpatient pharmacy; this allows for open communication between the clinical pharmacist and patient. Impact on Patient Care: The clinical psychiatric pharmacist has been involved in the outpatient buprenorphine program at the White River Junction VAMC for approximately eighteen months. Prior to this, the program included less than 100 patients, pharmacy wait times were over sixty minutes, early refills were frequent and no patients utilized a locked medication dispenser. Since clinical pharmacy involvement, the pharmacy wait time is approximately 30 minutes or less, early refills are infrequent and five patients receive their buprenorphine in a locked medication dispenser. The clinical pharmacist has helped open the lines of communication between the patient, the pharmacy and the prescriber. Conclusion: Substance use disorder programs, such as buprenorphine programs, can benefit from clinical pharmacy involvement. Even with limited prescriptive authority, clinical psychiatric pharmacists can play an important and active role in outpatient buprenorphine programs.</t>
  </si>
  <si>
    <t>(Grgas M.) 16th Annual Meeting of the College of Psychiatric and Neurologic Pharmacists, CPNP 2013 Colorado Springs, CO, United States 2013-04-21 to 2013-04-24 SAGE Publications Inc.; ID: 1027</t>
  </si>
  <si>
    <t>Griffin,J. B., J.;Hill,I. K.;Jones,J. J.;Keeley,K. A.;Krug,R. S.;Pokorny,A.</t>
  </si>
  <si>
    <t>Evaluating alcoholism and drug abuse knowledge in medical education: a collaborative project</t>
  </si>
  <si>
    <t>Journal of medical education</t>
  </si>
  <si>
    <t>J.Med.Educ.</t>
  </si>
  <si>
    <t>*Alcoholism;Curriculum;*Education, Medical, Undergraduate;*Educational Measurement/mt Methods];Humans;*Substance-Related Disorders</t>
  </si>
  <si>
    <t>A series of six modular examinations, each representing a substance abuse problem, were developed by a National Institute on Drug Abuse task force working with consultants from the National Board of Medical Examiners (NBME). Each examination contained a patient management problem and multiple-choice questions. The examinations were administered to 629 third- and fourth-year U.S. medical students, and the results indicated that students performed less well in this area than on the traditional content of the NBME examinations. Students performed better on items related to pharmacologic effects of drugs of abuse, Alcoholics Anonymous, and the treatment of delirium tremens. Students did less well on items related to metabolic and biochemical areas; emergency room treatment of drug-overdosed, comatose patients; and legal issues in substance abuse. As a result of these data, a syllabus explaining each item in the available modules was developed, score-reporting to participating schools was modified, and the modules were shortened. Implications for medical education in substance abuse are discussed.</t>
  </si>
  <si>
    <t>J2: J Med Educ; Griffin, J B Jr Hill, I K Jones, J J Keeley, K A Krug, R S Pokorny, A 3 T15 DA07320-01S1 (United States NIDA NIH HHS); ID: 710</t>
  </si>
  <si>
    <t>0022-2577</t>
  </si>
  <si>
    <t>http://ovidsp.ovid.com/ovidweb.cgi?T=JS&amp;CSC=Y&amp;NEWS=N&amp;PAGE=fulltext&amp;D=med2&amp;AN=6631924</t>
  </si>
  <si>
    <t>MEDLINE; Ovid Technologies; Evaluating alcoholism and drug abuse knowledge in medical education: a collaborative project</t>
  </si>
  <si>
    <t>Grinage,B. D.</t>
  </si>
  <si>
    <t>Diagnosis and management of post-traumatic stress disorder</t>
  </si>
  <si>
    <t>American Family Physician</t>
  </si>
  <si>
    <t>Am.Fam.Physician</t>
  </si>
  <si>
    <t>Humans;Prevalence;Prognosis;Stress Disorders, Post-Traumatic/co Complications];*Stress Disorders, Post-Traumatic/di Diagnosis];Stress Disorders, Post-Traumatic/ep Epidemiology];*Stress Disorders, Post-Traumatic/th Therapy];United States/ep Epidemiology]</t>
  </si>
  <si>
    <t>Although post-traumatic stress disorder (PTSD) is a debilitating anxiety disorder that may cause significant distress and increased use of health resources, the condition often goes undiagnosed. The lifetime prevalence of PTSD in the United States is 8 to 9 percent, and approximately 25 to 30 percent of victims of significant trauma develop PTSD. The emotional and physical symptoms of PTSD occur in three clusters: re-experiencing the trauma, marked avoidance of usual activities, and increased symptoms of arousal. Before a diagnosis of PTSD can be made, the patient's symptoms must significantly disrupt normal activities and last for more than one month. Approximately 80 percent of patients with PTSD have at least one comorbid psychiatric disorder. The most common comorbid disorders include depression, alcohol and drug abuse, and other anxiety disorders. Treatment relies on a multidimensional approach, including supportive patient education, cognitive behavior therapy, and psychopharmacology. Selective serotonin reuptake inhibitors are the mainstay of pharmacologic treatment. References: 35]</t>
  </si>
  <si>
    <t>J2: Am Fam Physician; Grinage, Bradley D Comment in: Am Fam Physician. 2004 Sep 15;70(6):1031; PMID: 15456111 Comment in: Am Fam Physician. 2005 Sep 1;72(5):758, 761; PMID: 16156334 Comment on: Am Fam Physician. 2003 Dec 15;68(12):2409; PMID: 14705760; ID: 490</t>
  </si>
  <si>
    <t>0002-838X</t>
  </si>
  <si>
    <t>Grinage,Bradley D. Department of Psychiatry and Behavioral Sciences, University of Kansas School of Medicine-Wichita, Wichita, Kansas 67214-3199, USA. bgrinage@kumc.edu</t>
  </si>
  <si>
    <t>http://ovidsp.ovid.com/ovidweb.cgi?T=JS&amp;CSC=Y&amp;NEWS=N&amp;PAGE=fulltext&amp;D=med4&amp;AN=14705759</t>
  </si>
  <si>
    <t>MEDLINE; Ovid Technologies; Diagnosis and management of post-traumatic stress disorder</t>
  </si>
  <si>
    <t>Grossman,S. A.;Sheidler,V. R.;Author,Addresses;Johns Hopkins,Oncology Center;University School,of Medicine;Correspondence,Address;Johns Hopkins Oncology Center, Johns Hopkins University School,of Medicine;Baltimore,M. D.</t>
  </si>
  <si>
    <t>4009670; Skills of medical students and house officers in prescribing narcotic medications</t>
  </si>
  <si>
    <t>(MAJOR FOCUS);hydromorphone;morphine;narcotic agent;oxycodone;paracetamol;pethidine;alternative medicine;drug abuse;house officer;medical student;prescription;human;normal human;pain;priority journal;theoretical study;hydromorphone (466-99-9, 71-68-1);morphine (52-26-6, 57-27-2);oxycodone (124-90-3, 76-42-6);paracetamol (103-90-2);pethidine (28097-96-3, 50-13-5, 57-42-1);Drug Literature Index (37);Public Health, Social Medicine and Epidemiology (17);Health Policy, Economics and Management (36)</t>
  </si>
  <si>
    <t>Eighty-eight medical students and house officers were given patient management questions to assess their ability to convert from one narcotic regimen to an approximately equal analgesic dose of a second regimen. Only 8% of their answers were within the correct range, even though commonly used reference material was supplied to assist them in answering the questions. There were no significant differences in the responses of house officers from different medical specialities or among all the individuals at different educational levels. Correct answers to the patient management questions markedly increased after instruction on the use of a narcotic equivalency table. More emphasis on the importance of adequate pain control, better teaching of the pharmacology of narcotic analgesic drugs, and additional instruction on the use of narcotic equivalency tables are needed in medical school and house staff training programs.</t>
  </si>
  <si>
    <t>(Grossman S.A.; Sheidler V.R.); ID: 1748</t>
  </si>
  <si>
    <t>http://www.ncbi.nlm.nih.gov/pubmed/4009670</t>
  </si>
  <si>
    <t>Skills of medical students and house officers in prescribing narcotic medications</t>
  </si>
  <si>
    <t>Grymonpre,R. E.;Vercaigne,L. M.;Author,Addresses;Faculty,of Pharmacy;Manitoba,Sifton Rd Winnipeg Man R.T.N.Canada;Correspondence,Address;RE Grymonpre, Faculty of Pharmacy University of Manitoba,Sifton Rd;Winnipeg,Man R. T. N. Canada</t>
  </si>
  <si>
    <t>Community-based geriatric pharmaceutical care: From theory to practice</t>
  </si>
  <si>
    <t>43+50</t>
  </si>
  <si>
    <t>geriatric care;pharmaceutical care;community care;education;health care delivery;health service;pharmacist;review;Gerontology and Geriatrics (20);Pharmacy (39)</t>
  </si>
  <si>
    <t>The goal of this project was to motivate and educate participating pharmacists in the delivery of community-based geriatric pharmaceutical care and to initiate change within the profession towards this philosophy of practice. After an initial training period and meetings with project support staff, pharmacists began providing pharmaceutical care services to patients. Over 9 months, 29 clients were recruited by 5 pharmacists. When outliers were excluded, 24 clients had an average of 3.7 drug-related problems each. Of the 112 issues identified in all patients, 62 (55%) were favorably resolved, 17 (15%) were partially resolved and 15 (13%) were not resolved, i.e., where the intervention did not result in the desired endpoint change. At the time of this report, follow-up was incomplete on 18 (16%) of the interventions. Non-institutionalized seniors significantly benefited from the provision of pharmeceutical care services in the community setting.</t>
  </si>
  <si>
    <t>(Grymonpre R.E.; Vercaigne L.M.); ID: 1647</t>
  </si>
  <si>
    <t>Gudmundsdottir,T. K.;Josteinsdottir,O. A.;Gunnarsdottir,A. I.;Gunnthorsdottir,I.;Almarsdottir,A. B.;Author,Addresses;Pharmacy;Landspitali - National Univ, Hospital of Iceland,Reykjavik Ireland;Faculty,of Pharmaceutical;University,of Iceland;Correspondence,Address;TK Gudmundsdottir, Pharmacy Landspitali National Univ,Hospital of;Iceland,Reykjavik Ireland</t>
  </si>
  <si>
    <t>The impact of pharmacists interventions and the attitudes of other health care providers at Landspitali</t>
  </si>
  <si>
    <t>clinical pharmacy;health care personnel;human;pharmacist;classification;consultation;documentation;drug therapy;hospital;hospital department;hospital patient;Iceland;information processing;interview;medication error;nurse;patient;patient care;physician;scientist;university hospital;ward</t>
  </si>
  <si>
    <t>Introduction Clinical pharmacy services in Iceland are provided by pharmacists at Landspitali - The National University Hospital of Iceland (LSH). Three pharmacists provide clinical pharmacy services for in-patients at the hospital. Documentation and evaluation of clinical and economic impact of the services is necessary to study existing services and provide indications of their returns. Materials &amp; Methods The main objective were to redesign and test a documentation system for pharmacists interventions at LSH, and to evaluate clinical and economic impact of the interventions. A further objective was to establish attitudes to clinical pharmacy services provided by pharmacists at LSH. The documentation system was redesigned using an older form as a base. Three pharmacists documented and classified patient care details from four in-patient wards. Drug therapy problems were classified according to Cipolle et. al, medication errors were classified according to Tam et al and other problems were classified according to Blix et al combined with in-house classification. The pharmacists assessed the clinical importance of the interventions according to Overhage &amp; Lukes and combined according to Bosma et. al. The researcher assessed economic impact. The attitudes of nurses, senior house officers and consultants were assessed using focus group interviews. Results In a four week period, 185 interventions were documented for 78 patients. The majority of interventions (83%), were at the initiative of pharmacists and accepted (80%) by physicians. The most common drug therapy problem identified was Œì√á¬£needs additional drug therapyŒì√á¬• (13%). The most common medication error was omission (17%). Patient care discussion (16%) was the most common patient care detail documented as other problems. Interventions were significant in 64.5% of cases and extremely or very significant in 13.1% of cases. Calculations of the direct medical cost showed savings, although not very significant. The attitudes of nurses and senior house officers to pharmacists is generally more positive than those of consultants. Focus group participants consider that clinical activities of pharmacists in hospital departments do have an increasing impact, or could have, on the quality of services and could support savings, when considering the whole picture. Discussions, Conclusion Pharmacists document both clinical and economic significant interventions when providing clinical pharmacy services at LSH. The economic assessment is only an indication of savings, so further economic assessment is worthwhile. It is important to recognize the attitudes and beliefs of other health care providers, for further development of clinical pharmacy services at LSH.</t>
  </si>
  <si>
    <t>(Gudmundsdottir T.K.; Gunnarsdottir A.I.; Gunnthorsdottir I.) (Josteinsdottir O.A.; Almarsdottir A.B.) ESCP 40th International Symposium on Clinical Pharmacy. Clinical Pharmacy: Connecting Care and Outcomes Dublin, Ireland 2011-10-19 to 2011-10-21 Springer Netherlands; ID: 1202</t>
  </si>
  <si>
    <t>Gulyas,B.</t>
  </si>
  <si>
    <t>The receptor fingerprint of the human brain and its changes during life</t>
  </si>
  <si>
    <t>Bulletin et Memoires de l Academie Royale de Medecine de Belgique</t>
  </si>
  <si>
    <t>37; discussion 237-8</t>
  </si>
  <si>
    <t>*Aging/ph Physiology];Animals;*Behavior;Brain/gd Growth &amp; Development];*Brain/ph Physiology];Brain/ri Radionuclide Imaging];Humans;Personality;Positron-Emission Tomography;Primates;Receptors, Catecholamine/ph Physiology];*Receptors, Cell Surface/ph Physiology];Temperament;0 (Receptors, Catecholamine);0 (Receptors, Cell Surface)</t>
  </si>
  <si>
    <t>With the help of PET one can explore the various neurotransmitter-neuroreceptor systems, their interactive balance and their changes during life, i.e., the human brain receptor fingerprint: the highly individual composition of, and balance among, the various receptor systems can be measured both qualitatively (the presence of various receptors in different brain regions) and quantitatively (the density of the receptors, their binding potential, occupancy, etc.). The understanding of the normal constitution of the primate brain neurotransmitter-receptor systems and their pathological changes requires multiligand receptor mapping, using various PET radioligands. Some major components of our brain receptor fingerprint strictly correlate with personality traits, character and temperament, and most probably, with "cognitive styles", as well. The brain receptor fingerprint is continuously changing during our normal life (maturation, ageing) and short term physiological or pharmacological challenges (sensory or cognitive processes, drug administration etc.) can also modify it. Social interactions, learning, habituation and other lasting interactions with our social and physical environment can significantly modify the receptor fingerprint. Pathological conditions, including neurological and psychiatric diseases strongly affect the normal neuroreceptor-neurotransmitter balance of the brain, as do pharmacological treatments or drug abuse.</t>
  </si>
  <si>
    <t>J2: Bull Mem Acad R Med Belg; Gulyas, B; ID: 375</t>
  </si>
  <si>
    <t>0377-8231</t>
  </si>
  <si>
    <t>Gulyas,B. Department of Clinical Neuroscience, Karolinska Institute, Stockholm, Sweden. balazs.gulyas@ki.se</t>
  </si>
  <si>
    <t>http://ovidsp.ovid.com/ovidweb.cgi?T=JS&amp;CSC=Y&amp;NEWS=N&amp;PAGE=fulltext&amp;D=med5&amp;AN=18075053</t>
  </si>
  <si>
    <t>MEDLINE; Ovid Technologies; The receptor fingerprint of the human brain and its changes during life</t>
  </si>
  <si>
    <t>Gunderson,Erik W.;Levin,Frances R.;Kleber,Herbert D.;Fiellin,David A.;Sullivan,Lynn E.</t>
  </si>
  <si>
    <t>Evaluation of a Combined Online and in Person Training in the Use of Buprenorphine</t>
  </si>
  <si>
    <t>Physicians;Online Courses;Training Methods;Participant Satisfaction;Program Effectiveness;Intermode Differences;Conventional Instruction;Likert Scales;Medical Education;Pharmaceutical Education;Drug Addiction;Professional Development;Blended Learning</t>
  </si>
  <si>
    <t>To evaluate buprenorphine training methodology, we surveyed physicians who had completed a combined online and in person buprenorphine curriculum. Of 53/70 (76%) survey respondents, 57% were psychiatrists and 40% generalists. On a scale of 1 (very poor) to 7 (superlative), the overall training rated a mean of 5.8. The online course (5.0) rated lower than in person training components (p less than 0.001) except for material that addressed the logistics of office practice. The in person patient interview received the highest rating (mean 6.3, p less than 0.001). The 67% of physicians who intended to prescribe buprenorphine after the training were more likely than hesitant physicians to agree that the course provided enough information (p less than 0.05) and that telephone access to experienced providers would improve their confidence (p less than 0.05). Physicians hesitant to prescribe cited lack of experience as the main barrier (41%), with 24% concerned about induction difficulty and reimbursement. Overall, physicians preferred in person instruction and may benefit from additional experiential training and support after curriculum participation. (Contains 2 tables.)</t>
  </si>
  <si>
    <t>FirstSearch indicates your institution subscribes to this publication. Libraries worldwide that own item: 426 University of Michigan Library Search the Mirlyn catalog at the University of Michigan 7 pages Education Level: Adult Education Article (EJ); ID: 2112</t>
  </si>
  <si>
    <t>Routledge. Available from: Taylor &amp; Francis, Ltd. 325 Chestnut Street Suite 800, Philadelphia, PA 19106. Tel: 800-354-1420; Fax: 215-625-2940; Web site: http://www.tandf.co.uk/journals; http://www.informaworld.com/openurl?genre=article&amp;id=doi:10.1300/J465v27n03_06</t>
  </si>
  <si>
    <t>EJ942591</t>
  </si>
  <si>
    <t>ERIC; OCLC; Evaluation of a Combined Online and in Person Training in the Use of Buprenorphine</t>
  </si>
  <si>
    <t>Guo,H.;Zhang,D.;Li,T.;Li,C.;Guo,Y.;Liu,G.;Hao,L.;Shen,J.;Qi,L.;Liu,X.;Luan,J.;Zhang,Q.</t>
  </si>
  <si>
    <t>In vitro and in vivo study of Gal-OS self-assembled nanoparticles for liver-targeting delivery of doxorubicin</t>
  </si>
  <si>
    <t>Journal of pharmaceutical sciences</t>
  </si>
  <si>
    <t>J.Pharm.Sci.</t>
  </si>
  <si>
    <t>Animals;*Antibiotics, Antineoplastic/ad Administration &amp; Dosage];Antibiotics, Antineoplastic/ch Chemistry];Antibiotics, Antineoplastic/me Metabolism];Antibiotics, Antineoplastic/pk Pharmacokinetics];*Chitosan/aa Analogs &amp; Derivatives];Chitosan/ch Chemistry];*Doxorubicin/ad Administration &amp; Dosage];Doxorubicin/ch Chemistry];Doxorubicin/me Metabolism];Doxorubicin/pk Pharmacokinetics];*Drug Carriers/ad Administration &amp; Dosage];Drug Carriers/ch Chemistry];Drug Compounding;*Galactose/ch Chemistry];Glycosylation;Hydrogen-Ion Concentration;*Liver/me Metabolism];Male;Mice;Mice, Inbred Strains;Myocardium/me Metabolism];*Nanoparticles/ch Chemistry];Nanoparticles/ul Ultrastructure];Random Allocation;Rats;Rats, Wistar;Solubility;Spleen/me Metabolism];*Stearates/ch Chemistry];Stearic Acids/ch Chemistry];Tissue Distribution;0 (Antibiotics, Antineoplastic);0 (Drug Carriers);0 (O-carboxymethylchitosan);0 (Stearates);0 (Stearic Acids);4ELV7Z65AP (stearic acid);80168379AG (Doxorubicin);9012-76-4 (Chitosan);X2RN3Q8DNE (Galactose)</t>
  </si>
  <si>
    <t>A liver-targeting drug delivery system for doxorubicin (DOX), that is, DOX-loaded self-assembled nanoparticles based on galactosylated O-carboxymethyl chitosan-graft-stearic acid conjugates (Gal-OS/DOX), has been prepared. The objective of the present study was to investigate the preparation, in vitro release, in vivo pharmacokinetics, and tissue distribution of Gal-OS/DOX nanoparticles. The drug-loaded nanoparticles were spherical in shape with mean size of 181.9 nm. In vitro release profiles indicated that the release of DOX from Gal-OS/DOX nanoparticles behaved with a sustained and pH-dependent drug release. Pharmacokinetics study revealed Gal-OS/DOX nanoparticles exhibited a higher AUC value and a prolonged residence time of drug in the blood circulation than those of DOX solution. Furthermore, Gal-OS/DOX nanoparticles increased the uptake of DOX in liver and spleen, but decreased uptake in heart, lung, and kidney in the tissue distribution study. These results suggested that the Gal-OS/DOX nanoparticles could prolong blood circulation time, enhance the liver accumulation, and reduce the side effect especially the cardiotoxicity of DOX. In conclusion, Gal-OS/DOX nanoparticles could be a promising drug delivery system for liver cancer therapy.Copyright ‚î¨‚åê 2014 Wiley Periodicals, Inc. and the American Pharmacists Association.</t>
  </si>
  <si>
    <t>J2: J Pharm Sci; Guo, Hejian Zhang, Dianrui Li, Tingting Li, Caiyun Guo, Yuanyuan Liu, Guangpu Hao, Leilei Shen, Jingyi Qi, Lisi Liu, Xinquan Luan, Jingjing Zhang, Qiang; ID: 65</t>
  </si>
  <si>
    <t>1520-6017</t>
  </si>
  <si>
    <t>Guo,Hejian. Department of Pharmaceutics, School of Pharmaceutical Sciences, Shandong University, Jinan, 250012, People's Republic China.</t>
  </si>
  <si>
    <t>http://ovidsp.ovid.com/ovidweb.cgi?T=JS&amp;CSC=Y&amp;NEWS=N&amp;PAGE=fulltext&amp;D=medl&amp;AN=24549734</t>
  </si>
  <si>
    <t>http://dx.doi.org/10.1002/jps.23875</t>
  </si>
  <si>
    <t>MEDLINE; Ovid Technologies; In vitro and in vivo study of Gal-OS self-assembled nanoparticles for liver-targeting delivery of doxorubicin</t>
  </si>
  <si>
    <t>Gupta,S. K.;Sellers,E.;Somoza,E.;Angles,L.;Kolz,K.;Cutler,D. L.;Author,Addresses;Schering,Plough;Research Institute,Kenilworth,N.J.United States;Ventana Clinical Research Corporation, Toronto,Ont Canada;Cincinnati Addiction,Research Center;States;Heart of America Research, Shawnee Mission,K.S.United States;Schering-Plough Research,Institute;K,Galloping Hill Road Kenilworth N.J.United States;Correspondence,Address;SK Gupta, Schering-Plough Research,Institute K.;Hill Road, Kenilworth N J United,States Email;samir.gupta@spcorp.com</t>
  </si>
  <si>
    <t>17400820; The effect of multiple doses of peginterferon alfa-2b on the steady-state pharmacokinetics of methadone in patients with chronic hepatitis C undergoing methadone maintenance therapy</t>
  </si>
  <si>
    <t>(MAJOR FOCUS);methadone (clinical trial, drug concentration, drug dose, drug interaction,;drug therapy, oral drug administration, pharmacokinetics);peginterferon alpha2b (adverse drug reaction, clinical trial, drug;concentration, drug dose, drug interaction, drug therapy, pharmacokinetics,;subcutaneous drug administration);paracetamol (drug therapy);hepatitis C (drug therapy);abdominal pain (side effect);adult;anorexia (side effect);anxiety;area under the curve;article;asthenia (side effect);bioequivalence;blood sampling;blurred vision (side effect);clinical article;clinical trial;cold sensation;confidence interval;confusion (side effect);depression (side effect);dose response;drug dependence (drug therapy);drug effect;drug eruption (side effect);drug fatality (side effect);drug fever (side effect);drug induced headache (side effect);drug safety;drug tolerability;fatigue (side effect);female;flu like syndrome (drug therapy);herpes simplex (side effect);hot flush (side effect);human;hyperhidrosis (side effect);hypertriglyceridemia (side effect);hypesthesia (side effect);injection site contusion (side effect);injection site inflammation (side effect);injection site reaction (side effect);insomnia (side effect);intravenous drug abuse;irritability;leukopenia (side effect);maintenance therapy;male;maximum plasma concentration;musculoskeletal pain (side effect);nausea (side effect);neutropenia (side effect);repeated drug dose;retching (side effect);rhinorrhea (side effect);rigor (side effect);side effect (side effect);somnolence (side effect);thrombocytopenia (side effect);treatment duration;treatment response;tremor (side effect);vomiting (side effect);weakness (side effect);withdrawal syndrome (side effect);methadone (1095-90-5, 125-56-4, 23142-53-2, 297-88-1, 76-99-3);paracetamol (103-90-2);peginterferon alpha2b (215647-85-1);Microbiology: Bacteriology, Mycology, Parasitology and Virology (4);Clinical and Experimental Pharmacology (30);Drug Literature Index (37);Adverse Reactions Titles (38);Drug Dependence, Alcohol Abuse and Alcoholism (40)</t>
  </si>
  <si>
    <t>This multicenter, open-label study evaluated the effects of multiple doses of peginterferon alfa-2b on the steady-state pharmacokinetics of methadone in 20 adults with hepatitis C virus infection who were enrolled in a methadone maintenance program. All subjects received peginterferon alfa-2b 1.5 ‚ï¨‚ïùg/kg/wk for 4 weeks and maintained their normal methadone regimen. Serial blood samples were collected immediately before the first and after the fourth peginterferon alfa-2b dose (day 23). At day 23, exposure to the active methadone R-enantiomer increased by approximately 15% following administration of peginterferon alfa-2b, with 90% confidence intervals just outside the bioequivalence criteria (range, 80%-125%). Similar increases in exposure (C(max), AUC (0-24), and AUC(last)) were observed with S-methadone and total methadone. Peginterferon alfa-2b was well tolerated. Peginterferon alfa-2b is associated with minor increases in exposure to methadone in individuals with hepatitis C virus infection; however, these increases are unlikely to be clinically meaningful and are not associated with any safety concerns. ‚î¨‚åê2007 the American College of Clinical Pharmacology.</t>
  </si>
  <si>
    <t>(Gupta S.K., samir.gupta@spcorp.com; Kolz K.; Cutler D.L.) (Sellers E.) (Somoza E.) (Angles L.) (Gupta S.K., samir.gupta@spcorp.com) SAGE Publications Inc., 2455 Teller Road, Thousand Oaks, United States.; ID: 1499</t>
  </si>
  <si>
    <t>http://www.ncbi.nlm.nih.gov/pubmed/17400820</t>
  </si>
  <si>
    <t>The effect of multiple doses of peginterferon alfa-2b on the steady-state pharmacokinetics of methadone in patients with chronic hepatitis C undergoing methadone maintenance therapy</t>
  </si>
  <si>
    <t>Gustavsson,A.;Svensson,M.;Jacobi,F.;Allgulander,C.;Alonso,J.;Beghi,E.;Dodel,R.;Ekman,M.;Faravelli,C.;Fratiglioni,L.;Gannon,B.;Jones,D. H.;Jennum,P.;Jordanova,A.;Jonsson,L.;Karampampa,K.;Knapp,M.;Kobelt,G.;Kurth,T.;Lieb,R.;Linde,M.;Ljungcrantz,C.;Maercker,A.;Melin,B.;Moscarelli,M.;Musayev,A.;Norwood,F.;Preisig,M.;Pugliatti,M.;Rehm,J.;Salvador-Carulla,L.;Schlehofer,B.;Simon,R.;Steinhausen,H. C.;Stovner,L. J.;Vallat,J. M.;Van,den Bergh;van Os,J.;Vos,P.;Xu,W.;Wittchen,H. U.;Jonsson,B.;Olesen,J.;Group,C. DBES</t>
  </si>
  <si>
    <t>Cost of disorders of the brain in Europe 2010.Erratum appears in Eur Neuropsychopharmacol. 2012 Mar;22(3):237-8 Note: den Bergh, Peter Van corrected to Van den Bergh, Peter]]</t>
  </si>
  <si>
    <t>Adolescent;Adult;Aged;Aged, 80 and over;*Brain Diseases/ec Economics];Brain Diseases/ep Epidemiology];Child;Child, Preschool;*Cost of Illness;Europe/ep Epidemiology];Female;*Health Care Costs;Health Expenditures;Humans;Infant;Infant, Newborn;Male;*Mental Disorders/ec Economics];Mental Disorders/ep Epidemiology];Middle Aged;Prevalence;*Public Health/ec Economics]</t>
  </si>
  <si>
    <t>BACKGROUND: The spectrum of disorders of the brain is large, covering hundreds of disorders that are listed in either the mental or neurological disorder chapters of the established international diagnostic classification systems. These disorders have a high prevalence as well as short- and long-term impairments and disabilities. Therefore they are an emotional, financial and social burden to the patients, their families and their social network. In a 2005 landmark study, we estimated for the first time the annual cost of 12 major groups of disorders of the brain in Europe and gave a conservative estimate of 386 billion for the year 2004. This estimate was limited in scope and conservative due to the lack of sufficiently comprehensive epidemiological and/or economic data on several important diagnostic groups. We are now in a position to substantially improve and revise the 2004 estimates. In the present report we cover 19 major groups of disorders, 7 more than previously, of an increased range of age groups and more cost items. We therefore present much improved cost estimates. Our revised estimates also now include the new EU member states, and hence a population of 514 million people. AIMS: To estimate the number of persons with defined disorders of the brain in Europe in 2010, the total cost per person related to each disease in terms of direct and indirect costs, and an estimate of the total cost per disorder and country. METHODS: The best available estimates of the prevalence and cost per person for 19 groups of disorders of the brain (covering well over 100 specific disorders) were identified via a systematic review of the published literature. Together with the twelve disorders included in 2004, the following range of mental and neurologic groups of disorders is covered: addictive disorders, affective disorders, anxiety disorders, brain tumor, childhood and adolescent disorders (developmental disorders), dementia, eating disorders, epilepsy, mental retardation, migraine, multiple sclerosis, neuromuscular disorders, Parkinson's disease, personality disorders, psychotic disorders, sleep disorders, somatoform disorders, stroke, and traumatic brain injury. Epidemiologic panels were charged to complete the literature review for each disorder in order to estimate the 12-month prevalence, and health economic panels were charged to estimate best cost-estimates. A cost model was developed to combine the epidemiologic and economic data and estimate the total cost of each disorder in each of 30 European countries (EU27+Iceland, Norway and Switzerland). The cost model was populated with national statistics from Eurostat to adjust all costs to 2010 values, converting all local currencies to Euro, imputing costs for countries where no data were available, and aggregating country estimates to purchasing power parity adjusted estimates for the total cost of disorders of the brain in Europe 2010. RESULTS: The total cost of disorders of the brain was estimated at 798 billion in 2010. Direct costs constitute the majority of costs (37% direct healthcare costs and 23% direct non-medical costs) whereas the remaining 40% were indirect costs associated with patients' production losses. On average, the estimated cost per person with a disorder of the brain in Europe ranged between 285 for headache and 30,000 for neuromuscular disorders. The European per capita cost of disorders of the brain was 1550 on average but varied by country. The cost (in billion PPP 2010) of the disorders of the brain included in this study was as follows: addiction: 65.7; anxiety disorders: 74.4; brain tumor: 5.2; child/adolescent disorders: 21.3; dementia: 105.2; eating disorders: 0.8; epilepsy: 13.8; headache: 43.5; mental retardation: 43.3; mood disorders: 113.4; multiple sclerosis: 14.6; neuromuscular disorders: 7.7; Parkinson's disease: 13.9; personality disorders: 27.3; psychotic disorders: 93.9; sleep disorders: 35.4; somatoform disorder: 21.2; stroke: 64.1; traumatic brain injury: 33.0. It should be noted that the revised estimate of those disorders included in the previous 2004 report constituted 477 billion, by and large confirming our previous study results after considering the inflation and population increase since 2004. Further, our results were consistent with administrative data on the health care expenditure in Europe, and comparable to previous studies on the cost of specific disorders in Europe. Our estimates were lower than comparable estimates from the US. DISCUSSION: This study was based on the best currently available data in Europe and our model enabled extrapolation to countries where no data could be found. Still, the scarcity of data is an important source of uncertainty in our estimates and may imply over- or underestimations in some disorders and countries. Even though this review included many disorders, diagnoses, age groups and cost items that were omitted in 2004, there are still remaining disorders that could not be included due to limitations in the available data. We therefore consider our estimate of the total cost of the disorders of the brain in Europe to be conservative. In terms of the health economic burden outlined in this report, disorders of the brain likely constitute the number one economic challenge for European health care, now and in the future. Data presented in this report should be considered by all stakeholder groups, including policy makers, industry and patient advocacy groups, to reconsider the current science, research and public health agenda and define a coordinated plan of action of various levels to address the associated challenges. RECOMMENDATIONS: Political action is required in light of the present high cost of disorders of the brain. Funding of brain research must be increased; care for patients with brain disorders as well as teaching at medical schools and other health related educations must be quantitatively and qualitatively improved, including psychological treatments. The current move of the pharmaceutical industry away from brain related indications must be halted and reversed. Continued research into the cost of the many disorders not included in the present study is warranted. It is essential that not only the EU but also the national governments forcefully support these initiatives.Copyright ‚î¨‚åê 2011. Published by Elsevier B.V.</t>
  </si>
  <si>
    <t>J2: Eur Neuropsychopharmacol; Gustavsson, Anders Svensson, Mikael Jacobi, Frank Allgulander, Christer Alonso, Jordi Beghi, Ettore Dodel, Richard Ekman, Mattias Faravelli, Carlo Fratiglioni, Laura Gannon, Brenda Jones, David Hilton Jennum, Poul Jordanova, Albena Jonsson, Linus Karampampa, Korinna Knapp, Martin Kobelt, Gisela Kurth, Tobias Lieb, Roselind Linde, Mattias Ljungcrantz, Christina Maercker, Andreas Melin, Beatrice Moscarelli, Massimo Musayev, Amir Norwood, Fiona Preisig, Martin Pugliatti, Maura Rehm, Juergen Salvador-Carulla, Luis Schlehofer, Brigitte Simon, Roland Steinhausen, Hans-Christoph Stovner, Lars Jacob Vallat, Jean-Michel Van den Bergh, Peter den Bergh, Peter Van van Os, Jim Vos, Pieter Xu, Weili Wittchen, Hans-Ulrich Jonsson, Bengt Olesen, Jes CDBE2010Study Group; ID: 208</t>
  </si>
  <si>
    <t>1873-7862</t>
  </si>
  <si>
    <t>Gustavsson,Anders. OptumInsight, Stockholm, Sweden.</t>
  </si>
  <si>
    <t>http://ovidsp.ovid.com/ovidweb.cgi?T=JS&amp;CSC=Y&amp;NEWS=N&amp;PAGE=fulltext&amp;D=med5&amp;AN=21924589</t>
  </si>
  <si>
    <t>http://dx.doi.org/10.1016/j.euroneuro.2011.08.008</t>
  </si>
  <si>
    <t>MEDLINE; Ovid Technologies; Cost of disorders of the brain in Europe 2010.[Erratum appears in Eur Neuropsychopharmacol. 2012 Mar;22(3):237-8 Note: den Bergh, Peter Van [corrected to Van den Bergh, Peter]]</t>
  </si>
  <si>
    <t>Gwee,X. A.;Cheen,H. H. M.;Chow,M. Y. M.;Khee,G. Y.;Lim,Y. L. C.;Wan,C. N.;Chang,W. T.;Choong,H. L. L.;Lim,P. S.;Author,Addresses;Department of Pharmacy, Singapore,General Hospital;Singapore,Singapore;Department of Renal Medicine, Singapore,General Hospital;Singapore,Singapore;Correspondence,Address;XA Gwee, Department of Pharmacy Singapore General,Hospital Singapore;Singapore</t>
  </si>
  <si>
    <t>Evaluation of a collaborative care model with pharmacist-led medication reviews for adults on haemodialysis</t>
  </si>
  <si>
    <t>e177</t>
  </si>
  <si>
    <t>mineral;reducing agent;adult;American;clinical pharmacy;college;drug therapy;hemodialysis;human;model;pharmacist;anemia;bone disease;cardiovascular disease;data base;disease management;ethnicity;health care utilization;hospital;hospital admission;Indian;multiple linear regression analysis;nephrologist;observational study;patient;pill;prevalence;statistics;Student t test</t>
  </si>
  <si>
    <t>PURPOSE: This study aimed to determine the prevalence of drugrelated problems (DRPs) in patients seen at the haemodialysis (HD) disease management clinic at an academic medical centre, and evaluate the effectiveness of a collaborative care (CC) model comprising of nephrologists and pharmacists in resolving DRPs and reducing pill burden. Secondary aims included identifying medication classes implicated in DRPs, evaluating the impact of CC on hospital admissions and exploring factors associated with DRPs. METHODS: This retrospective observational study included all patients managed by CC between January 2013 and April 2014. Study data was obtained from the clinic's electronic database. Patient characteristics, prevalence and types of DRPs and pharmacist interventions were summarized using descriptive statistics. Changes in number of medications and pill burden were compared using paired t-test. Hospital admissions were analyzed using Poisson regression. Factors associated with DRPs were identified using multiple linear regression. RESULTS: The study included 113 patients aged 61.5 ‚î¨‚ñí 10.9 years. Twenty-six (23.0%) patients were newly initiated on HD within 3 months, and mean HD duration was 3.4 ‚î¨‚ñí 4.1 years. A total of 390 DRPs (mean = 3.5 ‚î¨‚ñí 2.3) were identified, with patients' failure to receive medication (42.8%), medication use without indication (15.9%) and untreated indication (11.5%) being the most common. Pharmacists resolved 75.6% of DRPs and reduced mean pill burden by 2.0 ‚î¨‚ñí 3.6 (p &lt; 0.001). Nephrologists accepted 69.8% of the 258 recommendations made by pharmacists. Medications for cardiovascular disease (23.5%), mineral and bone disorders control (15.9%) and anaemia control (15.4%) were commonly implicated in DRPs. A non-statistically significant reduction in hospital admissions was observed post-review (IRR 0.74; 95% CI: 0.49-1.10). Baseline number of medications (b = 0.205; 95% CI: 0.042-0.369) and Indian ethnicity (b = 3.502; 95% CI: 1.791-5.213) were positively associated with DRPs. CONCLUSION: DRPs are highly prevalent in adults on HD. A CC model can resolve DRPs and reduce pill burden, translating to decreased health care utilization.</t>
  </si>
  <si>
    <t>(Gwee X.A.; Cheen H.H.M.; Chow M.Y.M.; Khee G.Y.; Lim Y.L.C.; Wan C.N.; Chang W.T.; Lim P.S.) (Choong H.L.L.) 2015 Annual Meeting of the American College of Clinical Pharmacy, ACCP 2015 San Francisco, CA, United States 2015-10-17 to 2015-10-21 Pharmacotherapy Publications Inc.; ID: 795</t>
  </si>
  <si>
    <t>Habibzadeh,A.;Alizadeh,M.;Malek,A.;Maghbooli,L.;Shoja,M. M.;Ghabili,K.</t>
  </si>
  <si>
    <t>PMC3038997; Illicit methylphenidate use among Iranian medical students: prevalence and knowledge</t>
  </si>
  <si>
    <t>Drug design, development &amp; therapy</t>
  </si>
  <si>
    <t>Adolescent;Adult;Age Factors;*Central Nervous System Stimulants/ad Administration &amp; Dosage];Female;Health Knowledge, Attitudes, Practice;Humans;Iran/ep Epidemiology];Male;*Methylphenidate/ad Administration &amp; Dosage];Prevalence;Sex Factors;*Students, Medical/sn Statistics &amp; Numerical Data];*Substance-Related Disorders/ep Epidemiology];Surveys and Questionnaires;Young Adult;0 (Central Nervous System Stimulants);207ZZ9QZ49 (Methylphenidate)</t>
  </si>
  <si>
    <t>BACKGROUND: Methylphenidate, a medication prescribed for individuals suffering from attention-deficit/hyperactivity disorder, is increasingly being misused by students. OBJECTIVE: The aims of this study were to evaluate the frequency of methylphenidate use among a group of Iranian medical students and to assess their knowledge of methylphenidate. METHODS: Anonymous, self-administered questionnaires were completed by all medical students entering the university between 2000 and 2007. RESULTS: Methylphenidate users' mean knowledge score was higher than that of nonusers (15.83 +/- 3.14 vs 13.66 +/- 3.10, P = 0.008). Age, gender, and school year were positively correlated with knowledge score (P &lt; 0.05). Data analysis demonstrated that 27 participants (8.7%) had taken methylphenidate at least once in their lifetime. The respondents believed that the most common motive for methylphenidate use among youths was that it aided concentration and therefore ability to study. CONCLUSION: This study indicates a relatively low level of knowledge about methylphenidate among Iranian medical students. More educational programs regarding the use of methylphenidate are required and should be focused on the student suppliers, clinicians, pharmacists, and medical students.</t>
  </si>
  <si>
    <t>J2: Drug Des Devel Ther; Habibzadeh, Afshin Alizadeh, Mahasti Malek, Ayoub Maghbooli, Leili Shoja, Mohammadali M Ghabili, Kamyar; ID: 268</t>
  </si>
  <si>
    <t>1177-8881</t>
  </si>
  <si>
    <t>Habibzadeh,Afshin. Students' Research Committee, Tabriz University of Medical Sciences, Tabriz, Iran.</t>
  </si>
  <si>
    <t>http://ovidsp.ovid.com/ovidweb.cgi?T=JS&amp;CSC=Y&amp;NEWS=N&amp;PAGE=fulltext&amp;D=med5&amp;AN=21340040</t>
  </si>
  <si>
    <t>http://dx.doi.org/10.2147/DDDT.S13818</t>
  </si>
  <si>
    <t>MEDLINE; Ovid Technologies; Illicit methylphenidate use among Iranian medical students: prevalence and knowledge</t>
  </si>
  <si>
    <t>Hagemeier,N. E.;Alamian,A.;Murawski,M. M.;Pack,R. P.</t>
  </si>
  <si>
    <t>Factors associated with provision of addiction treatment information by community pharmacists</t>
  </si>
  <si>
    <t>Journal of substance abuse treatment</t>
  </si>
  <si>
    <t>J.Subst.Abuse Treat.</t>
  </si>
  <si>
    <t>*Access to Information;*Attitude of Health Personnel;*Behavior, Addictive/th Therapy];Female;*Health Knowledge, Attitudes, Practice;Humans;Male;Pharmacists;Self Efficacy;*Substance-Related Disorders/th Therapy]</t>
  </si>
  <si>
    <t>Community pharmacists in the United States have significant opportunity to engage in community-level prescription substance abuse prevention and treatment efforts, including dissemination of information specific to available addiction treatment options. Our cross-sectional study of Tennessee community pharmacists noted that 26% had previously provided addiction treatment facility information to one or more patients in the past. The purpose of this study was to employ multivariate modeling techniques to investigate associations between community pharmacist and community pharmacy factors and past provision of addiction treatment information to pharmacy patients. Multivariate logistic regression indicated having addiction treatment facility information in a pharmacy setting (aOR=8.19; 95% CI=4.36-15.37), having high confidence in ability to discuss treatment facility options (aOR=4.16; 95% CI=2.65-6.52), having participated in prescription opioid abuse-specific continuing education (aOR=2.90; 95% CI=1.70-4.97), being male (aOR=2.23; 95% CI=1.38-3.59), and increased hours per week in the practice setting (aOR=1.02; 95% CI=1.004-1.05) were all significantly associated with provision of information about addiction treatment. Dissemination of addiction treatment information, improvements in communicative self-efficacy beliefs, and dissemination of prescription opioid abuse-specific continuing education are modifiable factors significantly associated with increased provision of addiction treatment information by community pharmacists. Copyright ‚î¨‚åê 2015 Elsevier Inc. All rights reserved.</t>
  </si>
  <si>
    <t>J2: J Subst Abuse Treat; Hagemeier, Nicholas E Alamian, Arsham Murawski, Matthew M Pack, Robert P S0740-5472(14)00231-1; ID: 19</t>
  </si>
  <si>
    <t>1873-6483</t>
  </si>
  <si>
    <t>Hagemeier,Nicholas E. East Tennessee State University Gatton College of Pharmacy, Johnson City, Tennessee. Electronic address: hagemeier@etsu.edu. Alamian,Arsham. East Tennessee State University College of Public Health, Johnson City, Tennessee. Murawski,Matthew M. Purdue University College of Pharmacy, West Lafayette, Indiana. Pack,Robert P. East Tennessee State University College of Public Health, Johnson City, Tennessee.</t>
  </si>
  <si>
    <t>http://ovidsp.ovid.com/ovidweb.cgi?T=JS&amp;CSC=Y&amp;NEWS=N&amp;PAGE=fulltext&amp;D=medl&amp;AN=25491734</t>
  </si>
  <si>
    <t>http://dx.doi.org/10.1016/j.jsat.2014.11.006</t>
  </si>
  <si>
    <t>MEDLINE; Ovid Technologies; Factors associated with provision of addiction treatment information by community pharmacists</t>
  </si>
  <si>
    <t>Hagemeier,N. E.;Alamian,A.;Murawski,M. M.;Pack,R. P.;Author,Addresses;Pharmacy Practice, East Tennessee State,University Johnson;City,United States;Biostatistics;Epidemiology,East Tennessee State;University,Johnson City United States;Pharmacy Administration, Purdue University,West Lafayette;United,States;Community;Behavioral Health,East,Tennessee State;University,Johnson City United States;Correspondence,Address;NE Hagemeier, Pharmacy Practice East Tennessee State,University Johnson;City,United States</t>
  </si>
  <si>
    <t>Correlates of prescription opioid legitimacy estimations among community pharmacists in tennessee</t>
  </si>
  <si>
    <t>e87</t>
  </si>
  <si>
    <t>(MAJOR FOCUS);opiate;college;drug dependence;human;pharmacist;prescription;United States;abuse;cross-sectional study;employer;employment;fear;female;gender;logistic regression analysis;pharmacy;responsibility</t>
  </si>
  <si>
    <t>Aims: Community pharmacists have a corresponding responsibility to evaluate and verify prescription legitimacy prior to dispensing. Yet, our previous research indicates pharmacists dispense prescriptions perceived to be illegitimate. We examined practice- and pharmacist-specific correlates of prescription opioid (PO) legitimacy estimations among Tennessee community pharmacists. Methods: A cross-sectional study of 2000 Tennessee pharmacists was conducted to elicit pharmacists' self-reported attitudes, beliefs, and behaviors specific to PO dispensing and legitimacy. Pharmacist (e.g., gender, years in practice, hours worked per week) and practice (e.g., prescription volume, setting, geographic region) characteristics were obtained. PO legitimacy estimations were defined in tertiles as Œì√á¬£lowŒì√á¬• (0-29%), Œì√á¬£moderateŒì√á¬• (30-79%), and Œì√á¬£highŒì√á¬• (80-100%) legitimacy. Multinomial logistic regression techniques were used to investigate correlates of low and moderate perceived legitimacy against the reference of high perceived legitimacy. Results: Being female, practicing in a chain or independent practice setting, fear of employer disciplinary action if PO legitimacy is questioned, and self-confidence in one's ability to detect PO abuse increased the odds of low (vs. high) PO legitimacy estimation. Employment in chain and independent pharmacies, having POs as a greater percent of total prescriptions filled, and having the perception of PO abuse as a problem in the practice setting were significant positive correlates of moderate (vs high) PO legitimacy estimation. Conclusions: Both modifiable and non-modifiable correlates were statistically significantly associated with</t>
  </si>
  <si>
    <t>(Hagemeier N.E.) (Alamian A.) (Murawski M.M.) (Pack R.P.) 2015 Annual Meeting of the College on Problems of Drug Dependence, CPDD 2015 Phoenix, AZ, United States 2015-06-13 to 2015-06-18 Elsevier Ireland Ltd; ID: 793</t>
  </si>
  <si>
    <t>Hahn,Kathryn L.</t>
  </si>
  <si>
    <t>Strategies to Prevent Opioid Misuse, Abuse, and Diversion That May Also Reduce the Associated Costs</t>
  </si>
  <si>
    <t>American Health &amp; Drug Benefits</t>
  </si>
  <si>
    <t>113 7p</t>
  </si>
  <si>
    <t>Analgesics, Opioid -- Adverse Effects;Substance Abuse -- Prevention and Control;Health Care Costs;Substance Abuse -- Risk Factors;Pain -- Drug Therapy;Analgesics, Opioid -- Therapeutic Use;Health Resource Utilization -- Economics;United States;Substance Abuse Detection;Physician-Patient Relations;Substance Abuse -- Education;Patient Education;Prescribing Patterns;Contracts;Medication Compliance;Insurance, Health;Treatment Errors -- Prevention and Control;Narcotics -- Antagonists and Inhibitors;Dosage Forms;Naltrexone -- Therapeutic Use</t>
  </si>
  <si>
    <t>Background: The use of prescription opioid drugs has the potential to lead to patient abuse of these medications, addiction, and diversion. Such an abuse is associated with increased costs because of excessive healthcare utilization. Finding ways to minimize the risk for abuse and addiction can enhance patient outcomes and reduce costs to patients and to payers. Objective: To review current strategies that may reduce the risk for misuse and abuse of opioid medications, which in turn can enhance patient outcomes and lower costs to health insurers and patients. Discussion: Implementing approaches that will encourage the use of safe practices (universal precautions) in pain management by providers can reduce the risk for abuse and misuse associated with chronic pain medications, especially opioids. These approaches include, but are not limited to, extensive physician and patient education regarding these medications and their associated risks for abuse; the development of prescription monitoring programs to detect physician or pharmacy shopping; the detection of inappropriate prescribing and medical errors; the use of physician-patient contracts concerning opioid treatment; the requirement of presenting a photo identification to pick up an opioid prescription at the pharmacy; urine drug toxicology screening; provisions for safe disposal of unused opioids; referrals to pain and addiction specialists; and potentially encouraging the use of opioid formulations aimed at reducing abuse. Conclusion: Supporting such approaches by health insurers and educating providers and patients on the risks associated with chronic pain medications can help minimize the risk of prescription opioid abuse, addiction, and diversion; reduce health services utilization associated with opioid abuse; improve patient outcomes; and reduce overall costs.</t>
  </si>
  <si>
    <t>Entry Date: 20110927. Revision Date: 20150819. Publication Type: Journal Article; tables/charts. Journal Subset: Biomedical; Blind Peer Reviewed; Editorial Board Reviewed; Expert Peer Reviewed; Health Services Administration; Peer Reviewed; USA.; ID: 2034</t>
  </si>
  <si>
    <t>1942-2962</t>
  </si>
  <si>
    <t>Affiliate Faculty, Oregon State University College of Pharmacy; Pharmacy Manager, Bi-Mart Corp, Springfield, OR</t>
  </si>
  <si>
    <t>http://proxy.lib.umich.edu/login?url=http://search.ebscohost.com/login.aspx?direct=true&amp;db=ccm&amp;AN=104689274&amp;site=ehost-live&amp;scope=site</t>
  </si>
  <si>
    <t>ccm; EBSCOhost; Strategies to Prevent Opioid Misuse, Abuse, and Diversion That May Also Reduce the Associated Costs</t>
  </si>
  <si>
    <t>Haidari,F.;Omidian,K.;Rafei,H.;Zarei,M.;Shahi,M. M.;Author,Addresses;Nutrition;Metabolic Disease,Research Center;University of,Medical Sciences;Diabetes Research Center, Ahvaz Jundishapur,University of;Medical Sciences,Ahvaz Iran;Diabetes Research Center, Ahvaz Jundishapur University,of Medical;Sciences,Ahvaz Iran;Department of Food Hygiene, Shahid Chamran University,of Ahvaz;Ahvaz,Iran;Hyperlipidemia,Research Center;Jundishapur University of,Medical Sciences;Correspondence,Address;Shahi, Hyperlipidemia Research Center Ahvaz Jundishapur University of,M.M.;Medical Sciences, Ahvaz Iran Email shahi,gmail com</t>
  </si>
  <si>
    <t>Green tea (Camellia sinensis) supplementation to diabetic rats improves serum and hepatic oxidative stress markers</t>
  </si>
  <si>
    <t>(MAJOR FOCUS);biological marker (endogenous compound);green tea extract (drug development, drug therapy, oral drug administration);dimethyl sulfoxide;diabetes mellitus (drug therapy, drug therapy);animal experiment;animal model;antidiabetic activity;antioxidant activity;article;chemical analysis;controlled study;drug dose comparison;general condition improvement;male;nonhuman;oxidative stress;prophylaxis;rat;streptozotocin-induced diabetes mellitus;tea;dimethyl sulfoxide (67-68-5);Endocrinology (3);Clinical and Experimental Biochemistry (29);Drug Literature Index (37)</t>
  </si>
  <si>
    <t>Diabetes is one of the most common metabolic disorders and is interrelated to oxidative stress-induced diseases. According to the role of dietary antioxidants in control and prevention of diabetes, this study was aimed to evaluate the effect of green tea extract on serum glucose levels and serum and hepatic total antioxidant capacity (TAC) and lipid (MDA) in diabetic rats. Experimental diabetes in rats was induced by intraperitoneal injection of streptozotocin (55 mg/Kg). Alcoholic extract of green tea (100, 200 mg/Kg) was given by oral gavage to normal and diabetic rats for 4 weeks. Finally, serum glucose and serum and hepatic levels of MDA and TAC were measured and analyzed statistically. Data showed that green tea extract at dose of 200 mg/Kg significantly decreased the serum glucose levels, serum and hepatic MDA concentration and increased the total antioxidant capacity in diabetic rats (p &lt; 0.05). Green tea supplementation also increased hepatic TAC in normal rats (p &lt; 0.05). The antihyperglycemic and antioxidative features of green tea make it an attractive candidate for the prophylactic treatment of diabetes, although further investigation is needed to determine exact dose and duration of supplementation. ‚î¨‚åê 2013 by School of Pharmacy.</t>
  </si>
  <si>
    <t>(Haidari F.) (Omidian K.) (Rafei H.) (Zarei M.) (Shahi M.M., shahi334@gmail.com) Iranian Journal of Pharmaceutical Research, P.O. Box 14155-6153, Vali-e-Asr Avenue, Niayesh Junction, Tehran, Iran.; ID: 1053</t>
  </si>
  <si>
    <t>Haire-Joshu,D.</t>
  </si>
  <si>
    <t>Smoking, cessation and the diabetes health care team</t>
  </si>
  <si>
    <t>Beta Release</t>
  </si>
  <si>
    <t>53 11p</t>
  </si>
  <si>
    <t>Smoking;Smoking Cessation;Diabetes Mellitus -- Education;Nicotine -- Adverse Effects;Multidisciplinary Care Team;Substance Withdrawal Syndrome</t>
  </si>
  <si>
    <t>Cigarette smoking is a major risk factor in diabetes and contributes to the development of microvascular and macrovascular complications. Despite this, approximately one third of patients with diabetes smoke. Nicotine is physically and psychologically addictive, with multiple factors contributing to the initiation and continuation of the habit. Cessation is a process in which the smoker progresses through several stages of change, including precontemplation, contemplation, action, maintenance, and relapse. Knowledge of this process is needed for the diabetes health care team to effectively individualize smoking prevention and cessation strategies. This stepped care approach includes preventive, behavioral, and pharmacologic strategies as a component of routine diabetes education.</t>
  </si>
  <si>
    <t>Entry Date: 19921001. Revision Date: 20150712. Publication Type: Journal Article; questionnaire/scale; review. Journal Subset: Biomedical; Canada; Peer Reviewed. NLM UID: 9426094.; ID: 2032</t>
  </si>
  <si>
    <t>0710-0248</t>
  </si>
  <si>
    <t>Ctr Health Behavior Research, Washington Univ School Med, St Louis, MO</t>
  </si>
  <si>
    <t>http://proxy.lib.umich.edu/login?url=http://search.ebscohost.com/login.aspx?direct=true&amp;db=ccm&amp;AN=107491432&amp;site=ehost-live&amp;scope=site</t>
  </si>
  <si>
    <t>ccm; EBSCOhost; Smoking, cessation and the diabetes health care team</t>
  </si>
  <si>
    <t>Smoking, cessation, and the diabetes health care team</t>
  </si>
  <si>
    <t>Diabetes Educator</t>
  </si>
  <si>
    <t>Diabetes Educ.</t>
  </si>
  <si>
    <t>*Diabetes Complications;Education, Nursing, Continuing;Humans;*Patient Care Team;*Patient Education as Topic/mt Methods];Prevalence;Self Care;Smoking/ae Adverse Effects];Smoking/ep Epidemiology];*Smoking/pc Prevention &amp; Control]</t>
  </si>
  <si>
    <t>J2: Diabetes Educ; Haire-Joshu, D 5P-60-DK20579-11 (United States NIDDK NIH HHS); ID: 676</t>
  </si>
  <si>
    <t>0145-7217</t>
  </si>
  <si>
    <t>http://ovidsp.ovid.com/ovidweb.cgi?T=JS&amp;CSC=Y&amp;NEWS=N&amp;PAGE=fulltext&amp;D=med3&amp;AN=1986905</t>
  </si>
  <si>
    <t>MEDLINE; Ovid Technologies; Smoking, cessation, and the diabetes health care team</t>
  </si>
  <si>
    <t>Hajhashemi,V.;Minaiyan,M.;Seyedabadi,M.;Author,Addresses;Department of Pharmacology, The Isfahan Pharmaceutical,Science Research;Center,Isfahan University of Medical Sciences Isfahan Iran;Correspondence,Address;Hajhashemi, Department of Pharmacology The Isfahan Pharmaceutical,V.;Science Research Center, Isfahan University of Medical,Sciences Isfahan;Iran Email, hajhashemi pharm mui,ac ir</t>
  </si>
  <si>
    <t>Effect of tizanidine, rilmenidine, and yohimbine on naloxon-induced morphine withdrawal syndrome in mice</t>
  </si>
  <si>
    <t>Spring</t>
  </si>
  <si>
    <t>(MAJOR FOCUS);morphine;rilmenidine (drug comparison, drug dose, drug therapy, intraperitoneal drug;administration, pharmacology);tizanidine (drug comparison, drug dose, drug therapy, intraperitoneal drug;yohimbine (drug comparison, drug therapy, intraperitoneal drug;alpha 2 adrenergic receptor (endogenous compound);clonidine (drug comparison, drug therapy, intraperitoneal drug;imidazoline receptor (endogenous compound);naloxone;morphine addiction (drug therapy, etiology);withdrawal syndrome (drug therapy, etiology);alpha adrenergic receptor blocking;animal experiment;animal model;article;controlled study;diarrhea;dose response;drug dose comparison;drug mechanism;jumping;male;mouse;nonhuman;pathogenesis;protein function;ptosis;reflex;tremor;DRUG MANUFACTURERS;(Switzerland)Novartis;(United States)Sigma;clonidine (4205-90-7, 4205-91-8, 57066-25-8);morphine (52-26-6, 57-27-2);naloxone (357-08-4, 465-65-6);rilmenidine (54187-04-1);tizanidine (51322-75-9, 64461-82-1);yohimbine (146-48-5, 65-19-0);Clinical and Experimental Biochemistry (29);Clinical and Experimental Pharmacology (30);Psychiatry (32);Drug Literature Index (37);Drug Dependence, Alcohol Abuse and Alcoholism (40)</t>
  </si>
  <si>
    <t>In this study using clonidine (a mixed ‚ï¨‚ñí(2)/ I(1), receptors agonist), tizanidine (pure ‚ï¨‚ñí (2)-receptor agonist), rilmenidine (I(1), receptor agonist) and yohimbine (‚ï¨‚ñí(2)-receptor antagonist), we tried to clarify the role of imidazoline and ‚ï¨‚ñí (2)-receptors in morphine withdrawal syndrome. Morphine-dependence was induced by administration of increasing doses of morphine in mice. After the last administration of morphine, clonidine (0.3 mg/kg, i.p.), tizanidine (1 and 2 mg/kg, i.p.) and rilmenidine (1.5 and 3 mg/kg, i.p.), with/without pretreatment with yohimbine (1 mg/kg, i.p.) were administered 30 min before naloxone (5 mg/kg, i.p.) challenge. Withdrawal symptoms including: jumping, ptosis, piloerection, tremor and diarrhea were recorded. Rilmenidine (3 mg/kg) decreased naloxone-induced jumping and this effect was partially inhibited by yohimbine. Rilmenidine (1.5 mg/kg), tizanidine and clonidine had no significant effect on jumping. None of drugs influenced ptosis. All drugs increased piloerection and decreased diarrhea. Clonidine and tizanidine decreased tremor. We conclude that Imidazoline receptors as well as ‚ï¨‚ñí(2) receptors are involved in morphine withdrawal symptoms and yohimbine as an ‚ï¨‚ñí2-antagonist can suppress at least some effects of imidazoline agonists. It is suggested that ‚ï¨‚ñí2-receptors are located down-stream to imidazoline receptors and their blockade can inhibit imidazoline effects. Copyright ‚î¨‚åê 2007 by School of Pharmacy Shaheed Beheshti University of Medical Sciences and Health Services.</t>
  </si>
  <si>
    <t>(Hajhashemi V., hajhashemi@pharm.mui.ac.ir; Minaiyan M.; Seyedabadi M.) Iranian Journal of Pharmaceutical Research, P.O. Box 14155-6153, Tehran, Iran.; ID: 1506</t>
  </si>
  <si>
    <t>Hale,K.;Author,Addresses;University of,Montana Skaggs;of Pharmacy,United States;Correspondence,Address;Hale, University of Montana Skaggs School of Pharmacy United States,K.;Email,katherine hale umontana edu</t>
  </si>
  <si>
    <t>Identification of DRPs and recommendations made by P4 pharmacy students completing MTM activities during required community pharmacy APPEs</t>
  </si>
  <si>
    <t>non prescription drug;community;pharmacy;pharmacy student;adverse drug reaction;chronic disease;counseling;drug interaction;drug therapy;gender;human;medication therapy management;patient;prescription;school;student;therapy;United States;university</t>
  </si>
  <si>
    <t>Objective: Evaluate the number and type of drug-related problems (DRPs) identified, and subsequent recommendations made, by fourth-year pharmacy students completing medication therapy management (MTM) activities during required community advanced pharmacy practice experiences (CAPPEs). Methods: Students completing required CAPPEs at the University of Montana Skaggs School of Pharmacy are required to complete two MTM cases and submit relevant care plans during the 4-week rotation. Care plans were included for analysis if they were submitted during academic year 2008-2009, complete, followed SOAP note format, and the patient was 18 years or older. The CAPPE coordinator coded and examined each care plan for the presence of predetermined categories of DRPs and recommendations. Patient demographics including age, gender, number of chronic diseases, and number of prescription and overthe-counter medications were gathered. Results: Fifty-five students submitted 86 care plans. The average patient was 65 years (range, 25-96); had seven chronic diseases (range, 1-16); took 10 prescription medications (range, 2-25); and took two over-the-counter medications (range, 0-35). Students identified 511 total DRPs and made 638 recommendations. An average of six DRPs were identified and seven recommendations made per patient. The most commonly reported DRPs included: drug-drug interactions (26.4%); duplicate therapies (12.1%); untreated medical indication (11.5%); and drug adverse effect (11.1%). The most common recommendations were: no change, monitor therapy (31.5%); medication counseling (20.2%); add new medication (11.4%); and discontinue medication (10.5%). Conclusion: By reviewing the ability of students to identify actual DRPs and make relevant recommendations to resolve them, information about the preparation of pharmacy students for their final professional year can be gathered. Although the findings may be specific to University of Montana, the methods can be generalized to other pharmacy programs.</t>
  </si>
  <si>
    <t>(Hale K., katherine.hale@umontana.edu) APhA2011 Seattle, WA, United States 2010-03-25 to 2010-03-28 American Pharmacists Association; ID: 1307</t>
  </si>
  <si>
    <t>Hale,K.;Brown,S.;Author,Addresses;University of,Montana;Skaggs School,of Pharmacy;Correspondence,Address;Hale, University of Montana Skaggs School of Pharmacy United States,K.;Email,katherine hale umontana edu</t>
  </si>
  <si>
    <t>Final results of student self-assessment of medication therapy management activities in required community advanced pharmacy practice experiences</t>
  </si>
  <si>
    <t>e139</t>
  </si>
  <si>
    <t>community;human;medication therapy management;pharmacy;self evaluation;student;interpersonal communication;patient;pharmacist;primary medical care;skill</t>
  </si>
  <si>
    <t>Objective: The purpose of this study is to evaluate the change in student knowledge, skills, and ability to identify, assess, and resolve drug-related problems in medication therapy management (MTM) encounters during a required community advanced pharmacy practice experience (APPE). Methods: Student pharmacists participating in required community APPEs must perform the core elements of an MTM encounter with a minimum of 1 patient. A survey administered at the end of the 4-week APPE evaluated student self-assessment of pre- and post- APPE knowledge, skills, and ability to perform an MTM encounter based on 13 defined competencies. The survey also collected information on student MTM encounters, such as number and type of encounters as well as time spent on each encounter. Surveys were administered over a 2-year period from May 2010 through May 2012. Results: Over 2 years, 229 MTM encounters were completed by 95 student pharmacists. Most students (43%) spent 5 to 8 hours on a single encounter. The activity was rated as effective to very effective by 94% of students. Self-assessment scores improved significantly from baseline for all items (P&lt;0.05), with the highest change in communication with primary care providers. Students rating their ability as medium-high to high increased by 62% following the completion of the community APPE. Conclusion: Implementation of MTM activities in a required community APPE significantly increased student pharmacists' knowledge, skills, and ability to perform an MTM encounter.</t>
  </si>
  <si>
    <t>(Hale K., katherine.hale@umontana.edu; Brown S.) APhA2014 Orlando, FL, United States 2014-03-28 to 2014-03-31 American Pharmacists Association; ID: 915</t>
  </si>
  <si>
    <t>Halikas,J. A.;Kuhn,K. L.;Crea,F. S.;Carlson,G. A.;Crosby,R.</t>
  </si>
  <si>
    <t>Treatment of crack cocaine use with carbamazepine</t>
  </si>
  <si>
    <t>American Journal of Drug &amp; Alcohol Abuse</t>
  </si>
  <si>
    <t>Adult;*Carbamazepine/tu Therapeutic Use];Crack Cocaine/ae Adverse Effects];*Crack Cocaine;Day Care, Medical;Female;Follow-Up Studies;Heroin Dependence/rh Rehabilitation];Humans;Male;Methadone/tu Therapeutic Use];Substance Abuse Treatment Centers;Substance Abuse, Intravenous/rh Rehabilitation];Substance Withdrawal Syndrome/rh Rehabilitation];*Substance-Related Disorders/rh Rehabilitation];0 (Crack Cocaine);33CM23913M (Carbamazepine);UC6VBE7V1Z (Methadone)</t>
  </si>
  <si>
    <t>Crack is a rock crystalline alkaloid form of cocaine which can be smoked. At the University of Minnesota, we have developed an experimental pharmacologic treatment for cocaine abusers. Of 26 patients treated to date, 16 have been crack cocaine users. During the hundred days preceding treatment, the 16 crack subjects used cocaine by all routes an average of 71 days each. Improvement was based on a self-reported decrease in cocaine frequency of use. Using carbamazepine, seven highly successful and six partially successful patients reduced their use to 0.7 days and 26 days per 100 days, respectively. These results, though hopeful, must be viewed with caution and considered preliminary and tentative.</t>
  </si>
  <si>
    <t>J2: Am J Drug Alcohol Abuse; Halikas, J A Kuhn, K L Crea, F S Carlson, G A Crosby, R; ID: 660</t>
  </si>
  <si>
    <t>0095-2990</t>
  </si>
  <si>
    <t>Halikas,J A. University of Minnesota School of Medicine, Minneapolis.</t>
  </si>
  <si>
    <t>http://ovidsp.ovid.com/ovidweb.cgi?T=JS&amp;CSC=Y&amp;NEWS=N&amp;PAGE=fulltext&amp;D=med3&amp;AN=1314015</t>
  </si>
  <si>
    <t>MEDLINE; Ovid Technologies; Treatment of crack cocaine use with carbamazepine</t>
  </si>
  <si>
    <t>Hall,A. J.;Logan,J. E.;Toblin,R. L.;Kaplan,J. A.;Kraner,J. C.;Bixler,D.;Crosby,A. E.;Paulozzi,L. J.</t>
  </si>
  <si>
    <t>Patterns of abuse among unintentional pharmaceutical overdose fatalities</t>
  </si>
  <si>
    <t>Adolescent;Adult;*Analgesics, Opioid/po Poisoning];Drug Overdose/mo Mortality];*Drug Prescriptions/sn Statistics &amp; Numerical Data];Drug and Narcotic Control;Female;Humans;Male;Middle Aged;*Narcotics/po Poisoning];*Opioid-Related Disorders/mo Mortality];*Prescription Drugs/po Poisoning];Risk;Socioeconomic Factors;West Virginia/ep Epidemiology];Young Adult;0 (Analgesics, Opioid);0 (Narcotics);0 (Prescription Drugs)</t>
  </si>
  <si>
    <t>CONTEXT: Use and abuse of prescription narcotic analgesics have increased dramatically in the United States since 1990. The effect of this pharmacoepidemic has been most pronounced in rural states, including West Virginia, which experienced the nation's largest increase in drug overdose mortality rates during 1999-2004. OBJECTIVE: To evaluate the risk characteristics of persons dying of unintentional pharmaceutical overdose in West Virginia, the types of drugs involved, and the role of drug abuse in the deaths. DESIGN, SETTING, AND PARTICIPANTS: Population-based, observational study using data from medical examiner, prescription drug monitoring program, and opiate treatment program records. The study population was all state residents who died of unintentional pharmaceutical overdoses in West Virginia in 2006. MAIN OUTCOME MEASURES: Rates and rate ratios for selected demographic variables. Prevalence of specific drugs among decedents and proportion that had been prescribed to decedents. Associations between demographics and substance abuse indicators and evidence of pharmaceutical diversion, defined as a death involving a prescription drug without a documented prescription and having received prescriptions for controlled substances from 5 or more clinicians during the year prior to death (ie, doctor shopping). RESULTS: Of 295 decedents, 198 (67.1%) were men and 271 (91.9%) were aged 18 through 54 years. Pharmaceutical diversion was associated with 186 (63.1%) deaths, while 63 (21.4%) were accompanied by evidence of doctor shopping. Prevalence of diversion was greatest among decedents aged 18 through 24 years and decreased across each successive age group. Having prescriptions for a controlled substance from 5 or more clinicians in the year prior to death was more common among women (30 30.9%]) and decedents aged 35 through 44 years (23 30.7%]) compared with men (33 16.7%]) and other age groups (40 18.2%]). Substance abuse indicators were identified in 279 decedents (94.6%), with nonmedical routes of exposure and illicit contributory drugs particularly prevalent among drug diverters. Multiple contributory substances were implicated in 234 deaths (79.3%). Opioid analgesics were taken by 275 decedents (93.2%), of whom only 122 (44.4%) had ever been prescribed these drugs. CONCLUSION: The majority of overdose deaths in West Virginia in 2006 were associated with nonmedical use and diversion of pharmaceuticals, primarily opioid analgesics.</t>
  </si>
  <si>
    <t>J2: Jama; Hall, Aron J Logan, Joseph E Toblin, Robin L Kaplan, James A Kraner, James C Bixler, Danae Crosby, Alex E Paulozzi, Leonard J Comment in: JAMA. 2008 Dec 10;300(22):2672-3; PMID: 19066389 Comment in: JAMA. 2009 May 6;301(17):1766-7; author reply 1767-9; PMID: 19417188 Comment in: JAMA. 2009 May 6;301(17):1766; author reply 1767-8; PMID: 19417189 Comment in: JAMA. 2009 May 6;301(17):1767; author reply 1767-9; PMID: 19417191; ID: 351</t>
  </si>
  <si>
    <t>Hall,Aron J. Epidemic Intelligence Service, Centers for Disease Control and Prevention, Atlanta, Georgia 30333, USA. ajhall@cdc.gov</t>
  </si>
  <si>
    <t>http://ovidsp.ovid.com/ovidweb.cgi?T=JS&amp;CSC=Y&amp;NEWS=N&amp;PAGE=fulltext&amp;D=med5&amp;AN=19066381</t>
  </si>
  <si>
    <t>http://dx.doi.org/10.1001/jama.2008.802</t>
  </si>
  <si>
    <t>MEDLINE; Ovid Technologies; Patterns of abuse among unintentional pharmaceutical overdose fatalities</t>
  </si>
  <si>
    <t>Hall,D. L.;Pater,K. S.;Author,Addresses;Department,of Pharmacy;Therapeutics,School of Pharmacy University of Pittsburgh Lothrop;Street,Pittsburgh P. A. United States;University,of Pittsburgh;Center,Pittsburgh P. A. United States;Correspondence,Address;DL Hall,Department,of Pharmacy;Therapeutics,School of Pharmacy;University of Pittsburgh, Lothrop Street,Pittsburgh P.;States Email,halldl,upmc edu</t>
  </si>
  <si>
    <t>Implementation of a medication therapy management program in a hospital-based outpatient pharmacy</t>
  </si>
  <si>
    <t>Hospital pharmacy</t>
  </si>
  <si>
    <t>Hosp.Pharm.</t>
  </si>
  <si>
    <t>prescription drug (adverse drug reaction, drug dose);drug induced disease;medication therapy management;adult;article;asthma;chronic obstructive lung disease;diabetes mellitus;drug safety;dyslipidemia;electronic medical record;female;heart failure;human;hypertension;major clinical study;male;medicare;outpatient;patient safety;pharmacy;smoking;unspecified side effect (side effect);Public Health, Social Medicine and Epidemiology (17);Health Policy, Economics and Management (36);Drug Literature Index (37);Adverse Reactions Titles (38)</t>
  </si>
  <si>
    <t>Purpose: To describe the integration of a medication therapy management (MTM) service in a hospital-based outpatient pharmacy, including adapting Medicare-based screening criteria to target a primarily non-Medicare population, integrating data into the medical center's electronic medical record, and designing a method to track identified drug-related problems (DRPs).Methods: The hospital-based outpatient pharmacy at the University of Pittsburgh Medical Center (UPMC) established an MTM service to enhance patient medication safety. Identification criteria were developed in accordance with the Medicare Modernization Act of 2003 and institutional practices: older than 65 years, more than 5 chronic medications, more than 3 chronic disease states, presence of diabetes, tobacco use, or possible adverse drug event (ADE). As this was a proof of concept pilot, both Medicare and non-Medicare patients were included. Additionally, an intervention tracking form was developed to use in conjunction with the medical center's electronic medical record.Results: During an 18-month period, 319 patients met the criteria upon random screening. Sixty-eight patients enrolled in the MTM program, resulting in 234 patient visits. One hundred and seventy DRPs were identified, with 2.5 DRP per patient. The most common problems found were the need for additional drug therapy and nonadherence. The overall physician acceptance rate for recommendations was 69%.Conclusion: MTM programs are adaptable to a hospital-based outpatient pharmacy utilizing Medicare-based screening criteria in a primarily non-Medicare population resulting in identification of DRPs. ‚î¨‚åê 2011 Thomas Land Publishers, Inc.</t>
  </si>
  <si>
    <t>(Hall D.L., halldl@upmc.edu; Pater K.S.) Facts and Comparisons, 111 W. Port Plaza, Ste. 300, St. Louis, United States.; ID: 1256</t>
  </si>
  <si>
    <t>0018-5787 1945-1253 (electronic)</t>
  </si>
  <si>
    <t>2011382346 FULL TEXT LINK http://dx.doi.org/10.1310/hpj4607-512</t>
  </si>
  <si>
    <t>Hall,J.;Hughes,J.;Parmar,H.;Rhodes,M.;Crabtree,V.;Smith,I.;Author,Addresses;The University,of Manchester;Correspondence,Address;Hughes, The University of Manchester United Kingdom Email,J.;jenny.k.hughes@manchester.ac.uk</t>
  </si>
  <si>
    <t>Health promotion and public engagement: an alternative to the traditional final year project</t>
  </si>
  <si>
    <t>alcohol;education;health promotion;learning;teaching;achievement;asthma;cardiovascular disease;human;Human immunodeficiency virus;Human immunodeficiency virus infection;neoplasm;pharmacy;pharmacy student;shopping;smoking cessation;student;substance abuse;undergraduate student</t>
  </si>
  <si>
    <t>Introduction: Pharmacy undergraduate students must demonstrate a systematic and critical awareness of current knowledge and bring originality to their application of this knowledge.(GPhC, 2011) In the past, this has been achieved by students completing traditional research projects but the task of finding meaningful individual project titles and supervising these is becoming more challenging with increasing student numbers. This abstract describes work in progress as we attempt to achieve the above learning outcomes supervising student-led health promotion initiatives. Methods: Eight groups of final year pharmacy students selected their own area of health promotion. Students individually conducted a literature review on their chosen area. Systematic and critical awareness was assessed. Each group of students planned and carried out two separate health promotion events and the originality in application was assessed via a self-reflection diary they completed during the events. The student reports will be graded using the standard project grading form. Results: The topics selected by the students were: smoking cessation, asthma, substance abuse, cardiovascular disease, HIV infection, alcohol, and cancer awareness. The health promotion events included displays in train stations, shopping centres, and the studentsŒì√á√ñ union. Compared with previous projects, the staff supervising these projects found the students engaged more fully with the activities and they demonstrated high levels of originality in their execution of the health promotion events. Conclusion: Upon completion, the work will be evaluated by ascertaining staff and studentsŒì√á√ñ views on their experience and investigating student achievement of the learning objectives.</t>
  </si>
  <si>
    <t>(Hall J.; Hughes J., jenny.k.hughes@manchester.ac.uk; Parmar H.; Rhodes M.; Crabtree V.; Smith I.) Monash Pharmacy Education Symposium 2013 - Teaching for Learning Prato, Italy 2013-07-08 to 2013-07-10 FIP; ID: 1010</t>
  </si>
  <si>
    <t>Hall,R. C. W.;Hall,R. C. W.;Chapman,M. J.;Author,Addresses;University,of South;Department of Psychiatry, University,of Florida;Department of,Psychiatry;Behavioral Medicine,University;of South Florida, Tampa,F.L.United States;Correspondence,Address;Hall, University of South Florida,R.C.W.</t>
  </si>
  <si>
    <t>Nursing home violence: Occurrence, risks, and interventions</t>
  </si>
  <si>
    <t>Annals of Long-Term Care</t>
  </si>
  <si>
    <t>January</t>
  </si>
  <si>
    <t>anxiolytic agent (drug therapy);aripiprazole (clinical trial, drug therapy);benzodiazepine (adverse drug reaction, drug therapy, pharmacokinetics);carbamazepine (drug therapy);cholinesterase inhibitor (drug therapy);citalopram (drug therapy);fluphenazine (drug therapy);haloperidol (clinical trial, drug therapy);hypnotic agent (drug therapy);lorazepam (drug therapy, pharmacokinetics);memantine (drug therapy);neuroleptic agent (adverse drug reaction, clinical trial);olanzapine (adverse drug reaction, clinical trial, drug therapy);oxazepam (drug therapy, pharmacokinetics);placebo;risperidone (adverse drug reaction, clinical trial, drug therapy);serotonin uptake inhibitor (drug therapy);sertraline (drug therapy);trazodone (drug therapy);valproic acid (clinical trial, drug therapy);nursing home;occupational accident (epidemiology);workplace violence;aggression;agitation;akathisia (side effect);behavior disorder (drug therapy);cerebrovascular accident (side effect);clinical trial;closed angle glaucoma (side effect);daily life activity;delirium (side effect);drug dependence (side effect);drug efficacy;drug half life;drug safety;dystonia (side effect);extrapyramidal symptom (side effect);fall risk;family interaction;fever (side effect);heart muscle conduction disturbance (side effect);human;hypotension (side effect);memory disorder (side effect);neuroleptic malignant syndrome (side effect);nursing home personnel;occupational hazard;occupational safety;orthostatic hypotension (side effect);paradoxical drug reaction (side effect);patient assessment;patient care;peripheral edema (side effect);placebo effect;prevalence;review;risk assessment;risk factor;sedation;side effect (side effect);somnolence (side effect);staff training;treatment indication;treatment planning;unspecified side effect (side effect);urinary dysfunction (side effect);violence;aripiprazole (129722-12-9);benzodiazepine (12794-10-4);carbamazepine (298-46-4, 8047-84-5);citalopram (59729-33-8);fluphenazine (146-56-5, 69-23-8);haloperidol (52-86-8);lorazepam (846-49-1);memantine (19982-08-2, 41100-52-1);olanzapine (132539-06-1);oxazepam (604-75-1);risperidone (106266-06-2);sertraline (79617-96-2);trazodone (19794-93-5, 25332-39-2);valproic acid (1069-66-5, 99-66-1);Public Health, Social Medicine and Epidemiology (17);Psychiatry (32);Occupational Health and Industrial Medicine (35);Drug Literature Index (37);Adverse Reactions Titles (38)</t>
  </si>
  <si>
    <t>Nursing assistants working in long-term care facilities are the most likely American worker to be attacked while on the job. Thus, it is important for nursing home staff to understand the risks they face and the potential interventions available to them and their management to diminish that risk. Both resident and staff risk factors for violence can be specifically addressed to improve nursing home safety. In addition to environmental changes and staff education/training, pharmacologic interventions may be considered for residents with severe dementia and agitation/ aggression. Due to the FDA black box warning for neuroleptic medications, knowing when to start these agents and which medications to begin has become more difficult. Residents who put staff and other residents at clear risk require removal to a more secure environment for further diagnosis and medical stabilization.</t>
  </si>
  <si>
    <t>(Hall R.C.W.) (Chapman M.J.) HMP Communications LLP, 4365 U.S. Highway 1 Suite 250, Princeton, United States.; ID: 1447</t>
  </si>
  <si>
    <t>1524-7929</t>
  </si>
  <si>
    <t>Haller,D. L.;Miles,D. R.</t>
  </si>
  <si>
    <t>Psychopathology is associated with completion of residential treatment in drug dependent women</t>
  </si>
  <si>
    <t>Adolescent;Adult;Cluster Analysis;Diagnostic and Statistical Manual of Mental Disorders;Female;Humans;Mental Disorders/di Diagnosis];Mental Disorders/ep Epidemiology];*Mental Disorders/et Etiology];Pregnancy;Prenatal Care;Prevalence;*Residential Treatment;Substance-Related Disorders/ep Epidemiology];*Substance-Related Disorders/px Psychology];*Substance-Related Disorders/rh Rehabilitation]</t>
  </si>
  <si>
    <t>This study characterized drug dependent women based on current psychopathology (MCMI-III) and then examined the relationship between psychopathology and treatment retention. Participants included 97 pregnant (88%), African-American (78%), single (90%) 30-year old women enrolled in a 6-month residential drug treatment program for women and children. Clustering on personality test scores using Ward's technique identified three subgroups with mild (24%), moderate (59%) and severe (18%) psychopathology. Treatment completion rates varied by group (66%, 45% and 29%), with half of the high severity group leaving against medical advice (AMA) within 60 days. Although the majority of low severity women completed the program as scheduled, they may also have done well in a less intensive treatment modality. Conversely, it appears that women with severe psychopathology may require a more flexible, psychiatrically-oriented approach than is found in most residential settings including greater emphasis on psychiatric issues, individual psychotherapy, and pharmacotherapy.</t>
  </si>
  <si>
    <t>J2: J Addict Dis; Haller, Deborah L Miles, Donna R DA 14041 (United States NIDA NIH HHS) HS4 TI00555 (United States AHRQ HHS); ID: 478</t>
  </si>
  <si>
    <t>Haller,Deborah L. Department of Psychiatry, St. Luke's-Roosevelt Hospital Center, New York, NY 10025, USA. dhaller@chpnet.org</t>
  </si>
  <si>
    <t>http://ovidsp.ovid.com/ovidweb.cgi?T=JS&amp;CSC=Y&amp;NEWS=N&amp;PAGE=fulltext&amp;D=med5&amp;AN=15077837</t>
  </si>
  <si>
    <t>MEDLINE; Ovid Technologies; Psychopathology is associated with completion of residential treatment in drug dependent women</t>
  </si>
  <si>
    <t>Hallman,J.;von Knorring,L.;Edman,G.;Oreland,L.</t>
  </si>
  <si>
    <t>Personality traits and platelet monoamine oxidase activity in alcoholic women</t>
  </si>
  <si>
    <t>*Alcoholism/bl Blood];Alcoholism/px Psychology];Alcoholism/th Therapy];Extraversion (Psychology);Female;Hospitalization;Hostility;Humans;Impulsive Behavior;Male;*Monoamine Oxidase/bl Blood];*Personality;Sex Factors;EC 1-4-3-4 (Monoamine Oxidase)</t>
  </si>
  <si>
    <t>Twenty-nine women, sent to an inpatient treatment facility for rehabilitation and social training after treatment for heavy alcohol abuse, were compared with 29 female students of pharmacy or medicine with regard to platelet monoamine oxidase (MAO) activity and extraversion-impulsivity and anxiety-proneness personality traits. The alcoholic females were found to have slightly lower platelet MAO activity than the controls, the difference being considerably smaller than that previously found between male alcoholics and male controls. The personality pattern of the female alcoholics is in line with that previously found in alcoholic males. Thus, the female alcoholics were characterized by high anxiety proneness, impulsive acting-out behaviour, sensation seeking, social withdrawal, and a hostile attitude.</t>
  </si>
  <si>
    <t>J2: Addict Behav; Hallman, J von Knorring, L Edman, G Oreland, L; ID: 664</t>
  </si>
  <si>
    <t>0306-4603</t>
  </si>
  <si>
    <t>Hallman,J. Academic Hospital, University of Uppsala, Sweden.</t>
  </si>
  <si>
    <t>http://ovidsp.ovid.com/ovidweb.cgi?T=JS&amp;CSC=Y&amp;NEWS=N&amp;PAGE=fulltext&amp;D=med3&amp;AN=1801577</t>
  </si>
  <si>
    <t>MEDLINE; Ovid Technologies; Personality traits and platelet monoamine oxidase activity in alcoholic women</t>
  </si>
  <si>
    <t>Halpin,Myra J.;Hoeffler,Leanne;Schwartz-Bloom,Rochelle</t>
  </si>
  <si>
    <t>Piquing Student Interest with Pharmacology: An Interdisciplinary Program Helps High School Students Learn Biology and Chemistry Principles</t>
  </si>
  <si>
    <t>Science Teacher</t>
  </si>
  <si>
    <t>Teaching Methods;Student Interests;Pharmacology;Biology;Drug Abuse;Chemistry;High School Students;Student Motivation;Learning Modules;Science Education;Interdisciplinary Approach;Faculty Development;Drug Education;Scientific Concepts;Identifier: United States</t>
  </si>
  <si>
    <t>To help students learn science concepts, Pharmacology Education Partnership (PEP)--a science education program that incorporates relevant topics related to drugs and drug abuse into standard biology and chemistry curricula was developed. The interdisciplinary PEP curriculum provides six modules to teach biology and chemistry principles within the context of pharmacology topics (e.g., drugs of abuse, nerve gas). Teaching modules include catchy names, such as "Acids, Bases, and Cocaine Addicts," "Steroids and Athletes: Genes Work Overtime," and "How Do Drugs Damage Neurons: It's Radical!". To date, PEP has provided professional development for 300 biology and chemistry teachers participating in the studies (and another 100 teachers at ongoing workshops). National field-testing of the curriculum in approximately 16,000 students reveals that the more PEP modules the teachers use, the better their students perform on tests of biology and chemistry concepts. An additional benefit of this approach might also be to students make intelligent decisions about drug use, although this remains to be tested. Substantial gains in achievement may be possible when high school students are taught science using topics that are interesting and relevant to their lives.</t>
  </si>
  <si>
    <t>FirstSearch indicates your institution subscribes to this publication. Libraries worldwide that own item: 1902 University of Michigan Library Search the Mirlyn catalog at the University of MichiganLocal Holdings Information: 57-; 1990-; 21-30,32-56; 1954-1963,1965-1989; 1989- 4 pages Education Level: High Schools Article (EJ); ID: 2127</t>
  </si>
  <si>
    <t>0036-8555</t>
  </si>
  <si>
    <t>National Science Teachers Association, 1840 Wilson Boulevard, Arlington, VA 22201-3000. Tel: 800-722-6782 (Toll Free); Web site: http://www.nsta.org.</t>
  </si>
  <si>
    <t>EJ727911</t>
  </si>
  <si>
    <t>ERIC; OCLC; Piquing Student Interest with Pharmacology: An Interdisciplinary Program Helps High School Students Learn Biology and Chemistry Principles</t>
  </si>
  <si>
    <t>Hammarlund,E. R.;Author,Addresses;Sch Pharm, Univ Washington,Seattle Wash;Correspondence,Address;Sch Pharm, Univ Washington,Seattle Wash</t>
  </si>
  <si>
    <t>Delayed post-course evaluation by educator-students of a long-standing college drug education course</t>
  </si>
  <si>
    <t>education;student;adolescent;prevention;Drug Dependence, Alcohol Abuse and Alcoholism (40)</t>
  </si>
  <si>
    <t>This report presents an evaluation of a specific college drug education course three to eight years later by surveying a large number of its previous educator-participants. Thus the respondents have had ample time to determine the usefulness of the various types of information acquired from the course during their subsequent classroom, counseling or administrative experiences. Over 100 anonymous responses (57%) were obtained from public school educators who from previous enrollment data were shown to have taken the course sometime between 1968-1973. Each year was represented in the survey. The relative value of the different topics in the course syllabus is discussed. General basic pharmacological information about ALL drugs, licit, illicit, alcohol, OTC, etc., was considered to be more valuable than specific information about current 'street' drugs. The respondents wanted none of the present topics deleted, and they suggested adding additional topics, e.g. chemical additives, megavitamins, geriatric pharmacy. Most of the respondents indicated that they consider themselves to be more objective about drugs now than they were previously but that they don't believe their attitudes toward drug abusers have changed in the intervening period.</t>
  </si>
  <si>
    <t>(Hammarlund E.R.); ID: 1776</t>
  </si>
  <si>
    <t>Hammett,T. M.;Des Jarlais,D. C.;Liu,W.;Ngu,D.;Tung,N. D.;Hoang,T. V.;Van,L. K.;Donghua,M.</t>
  </si>
  <si>
    <t>Development and implementation of a cross-border HIV prevention interventiion for injection drug users in Ning Ming County (Guangxi Province), China and Lang Son Province, Vietnam</t>
  </si>
  <si>
    <t>398 10p</t>
  </si>
  <si>
    <t>HIV Infections -- Prevention and Control;Needle Exchange Programs -- Methods;Program Development -- Methods;Substance Abuse, Intravenous -- Complications;Syringes -- Economics;China;Pharmacy, Retail;Vietnam</t>
  </si>
  <si>
    <t>This paper describes the background and early implementation of a peer-based HIV prevention intervention involving social marketing of sterile needles and syringes for injection drug users (IDUs) in a border region of northern Vietnam and southern China. Peer educators collect and safely dispose of used needles and syringes and provide IDUs with a choice of new needles/syringes or vouchers redeemable in pharmacies and clinics for new needles/syringes. The project arose from a pattern of changing drug use and increasing HIV infection in the region but its development took 4 years and faced many challenges. Implementation of the intervention posed a new set of challenges for the participating health departments, police, peer educators, pharmacists, injection drug users, and the communities at large. Early implementation of the project has revealed successful multi-sectoral collaboration, and broad acceptance by IDUs of pharmacy vouchers and distribution of new needles/syringes. However, IDUs' persistent fear of the police, particularly in Vietnam, has required reliance on separate collection by peer educators of used needles/syringes and distribution of pharmacy vouchers and new needles. In China, new needles/syringes and vouchers are largely being provided through exchange. Understanding the development and implementation challenges and the strategies that were successful in overcoming them (including the importance of being flexible and adaptable to contextual factors) may be useful to those interested in launching similar, much-needed interventions in other parts of the world.</t>
  </si>
  <si>
    <t>Entry Date: 20040813. Revision Date: 20150711. Publication Type: Journal Article; pictorial; tables/charts. Journal Subset: Biomedical; Europe; Peer Reviewed; UK &amp; Ireland. NLM UID: 9014759.; ID: 1866</t>
  </si>
  <si>
    <t>Abt Associates Inc., 55 Wheeler Street, Cambridge, MA 02138-1168; ted_hammettt@abtassoc.com</t>
  </si>
  <si>
    <t>http://proxy.lib.umich.edu/login?url=http://search.ebscohost.com/login.aspx?direct=true&amp;db=ccm&amp;AN=106765437&amp;site=ehost-live&amp;scope=site</t>
  </si>
  <si>
    <t>ccm; EBSCOhost; Development and implementation of a cross-border HIV prevention interventiion for injection drug users in Ning Ming County (Guangxi Province), China and Lang Son Province, Vietnam</t>
  </si>
  <si>
    <t>Hammett,T. M.;Kling,R.;Johnston,P.;Liu,W.;Ngu,D.;Friedmann,P.;Binh,K. T.;Dong,H. V.;Van,L. K.;Donghua,M.;Chen,Y.;Jarlais,D. C.</t>
  </si>
  <si>
    <t>Patterns of HIV prevalence and HIV risk behaviors among injection drug users prior to and 24 months following implementation of cross-border HIV prevention interventions in northern Vietnam and southern China</t>
  </si>
  <si>
    <t>AIDS Education &amp; Prevention</t>
  </si>
  <si>
    <t>Adult;Age Distribution;Causality;China/ep Epidemiology];Commerce/sn Statistics &amp; Numerical Data];Comorbidity;Cross-Sectional Studies;Emigration and Immigration/sn Statistics &amp; Numerical Data];Ethnic Groups/sn Statistics &amp; Numerical Data];Female;*HIV Infections/ep Epidemiology];*HIV Infections/pc Prevention &amp; Control];Health Surveys;Humans;Male;Marital Status;Prevalence;Primary Prevention/mt Methods];*Primary Prevention/sn Statistics &amp; Numerical Data];Risk-Taking;Sex Distribution;*Substance Abuse, Intravenous/ep Epidemiology];Vietnam/ep Epidemiology]</t>
  </si>
  <si>
    <t>In 2002, we implemented a 4-year HIV prevention intervention for injection drug users (IDUs) in Lang Son Province, Vietnam, and Ning Ming County, Guangxi Province, China, a cross-border region seriously affected by inter-twined epidemics of heroin injection and HIV infection. The interventions involve peer education on HIV risk reduction and provision of new needles/syringes through direct distribution and pharmacy vouchers. We consider this to be a structural intervention in which risk reduction information and sterile injection equipment are diffused through the IDU populations and not limited to those who actually interact with peer educators. The evaluation of structural interventions poses complex methodological challenges. The evaluation of our interventions relies primarily on cross-sectional surveys (interviews and HIV testing) of samples of IDUs selected using a combination of targeted cluster and snowball methods. We consider this to be an appropriate, albeit imperfect, design given the study context. This paper presents analyses of data from the IDU surveys conducted just prior to implementation of the interventions and 24 months thereafter. The cross-border interventions have reached large proportions of the IDUs in the project sites, drug-related HIV risk behaviors have declined in frequency, and HIV prevalence among IDUs has been stable in China and declined in Vietnam over the 24 months since the interventions were implemented. Attribution of these positive trends to the interventions must be qualified in light of possible sampling biases and the absence of control groups. However, we believe that the structural interventions implemented by the cross-border project have played a role in stabilizing HIV prevalence among IDUs two years after they were initiated. Evidence of further diffusion of the interventions among IDUs and continued stability or decline of HIV prevalence would strengthen this case.</t>
  </si>
  <si>
    <t>J2: AIDS Educ Prev; Hammett, Theodore M Kling, Ryan Johnston, Patrick Liu, Wei Ngu, Doan Friedmann, Patricia Binh, Kieu Thanh Dong, Ha Viet Van, Ly Kieu Donghua, Meng Chen, Yi Jarlais, Don C Des; ID: 432</t>
  </si>
  <si>
    <t>0899-9546</t>
  </si>
  <si>
    <t>Hammett,Theodore M. Abt Associates Inc., Cambridge, MA 02138, USA. red_hammett@abtassoc.com</t>
  </si>
  <si>
    <t>http://ovidsp.ovid.com/ovidweb.cgi?T=JS&amp;CSC=Y&amp;NEWS=N&amp;PAGE=fulltext&amp;D=med5&amp;AN=16649956</t>
  </si>
  <si>
    <t>MEDLINE; Ovid Technologies; Patterns of HIV prevalence and HIV risk behaviors among injection drug users prior to and 24 months following implementation of cross-border HIV prevention interventions in northern Vietnam and southern China</t>
  </si>
  <si>
    <t>Han,S. H.;Lee,G. H.;Han,N. Y.;Oh,J. M.;Author,Addresses;Clinical Pharmacy,College of;Pharmacy,Seoul National University Seoul South Korea;Correspondence,Address;SH Han, Clinical Pharmacy College of Pharmacy Seoul,National University;Seoul,South Korea</t>
  </si>
  <si>
    <t>Analysis of drug related problems and evaluation of clinical pharmacist's intervention on chronic kidney disease patients</t>
  </si>
  <si>
    <t>e282</t>
  </si>
  <si>
    <t>mineral;American;chronic kidney disease;clinical pharmacy;college;human;patient;pharmacist;adverse drug reaction;bone disease;classification;diseases;Europe;evidence based practice;morbidity;nephrology;pharmaceutical care;prevalence;risk;South Korea;therapy;university hospital</t>
  </si>
  <si>
    <t>PURPOSE: Patients with chronic kidney disease (CKD) which is characterized many complications and comorbidities have a high risk of drug-related problems (DRPs), so the identification and solution of DRPs are the core processes of pharmaceutical care for these patients. Although several studies analyzed impacts of clinical pharmacist's role in CKD patients, there are no studies that analyze the characteristics of DRPs in CKD patients. Therefore, this study aims to analyze of drug related interventions (DRIs) on DRPs which were detected by clinical pharmacists, divided into CKD-complications and comorbidities, and evaluate the significance of DRIs in CKD. METHODS: In the division of nephrology at Seoul National University Hospital, clinical pharmacists have participated in multidisciplinary team care service and documented DRIs prospectively using PCNE (Pharmaceutical Care Network Europe) classification system from January 2009 to December 2012. We collected the DRIs related to CKD-complications and comorbid diseases and analyzed the cause categories combined with problem categories according to PCNE classification. The clinical significance of the intervention was assessed using the scale proposed by Overhage. RESULTS: Total 3908 DRIs were performed, and the number of DRIs per patient was 0.95. In both of the CKD-complications and comorbidities, the most common type of problems in DRPs were treatment effectiveness, adverse reactions, and treatment costs in order of prevalence, and the most common cause was drug selection. DRIs for CKD-complications and comorbidities were most part in CKD-mineral bone disorder (28.0%). Œì√á¬£Very significantŒì√á¬• DRIs were more likely to be accepted than Œì√á¬£somewhat significantŒì√á¬•, or Œì√á¬£significantŒì√á¬• DRIs. There was statistically significant difference in significance of DRIs between CKD-complication and comorbidities (p&lt;0.001). CONCLUSION: We characterized the clinically significance of DRIs in each CKD-complication and co-morbidities and it may be based of the development of pharmacists' evidence-based DRI service protocols and guidelines in CKD patients.</t>
  </si>
  <si>
    <t>(Han S.H.; Lee G.H.; Han N.Y.; Oh J.M.) 2014 Annual Meeting of the American College of Clinical Pharmacy, ACCP 2014 Austin, TX, United States 2014-10-12 to 2014-10-15 Pharmacotherapy Publications Inc.; ID: 883</t>
  </si>
  <si>
    <t>Handler,S. M.;Wright,R. M.;Ruby,C. M.;Hanlon,J. T.</t>
  </si>
  <si>
    <t>Epidemiology of medication-related adverse events in nursing homes</t>
  </si>
  <si>
    <t>Aged;*Drug-Related Side Effects and Adverse Reactions;*Homes for the Aged/sn Statistics &amp; Numerical Data];Humans;Medication Errors/sn Statistics &amp; Numerical Data];*Nursing Homes/sn Statistics &amp; Numerical Data];Substance Withdrawal Syndrome/ep Epidemiology]</t>
  </si>
  <si>
    <t>BACKGROUND: Nursing home residents are prescribed more medications than patients in any other clinical setting. Although pharmacotherapy for older nursing home residents is usually safe and effective, it can lead to medication-related adverse events such as adverse drug reactions (ADRs), adverse drug withdrawal events (ADWEs), and therapeutic failures (TFs). OBJECTIVE: This article reviews the descriptive (incidence) and analytic (risk factor) epidemiology of medication-related adverse events occurring in nursing home residents as reported in the literature during the last 2 decades. METHODS: A search of MEDLINE and International Pharmaceutical Abstracts was conducted for articles published in English between January 1986 and July 2006 using the following terms: adverse drug events, adverse drug reactions, adverse drug withdrawal events, aged, drug therapy, drug-related problems, medication-related problems, nursing homes, therapeutic failures, and treatment failures. The reference lists of identified articles, recent review articles, book chapters, and the authors' reference library were also searched manually. RESULTS: Seven studies met the inclusion and exclusion criteria and were included in this review. Five studies described ADRs, 1 described ADWEs, and 1 described TFs. The studies of ADRs used different methods of detecting ADRs, resulting in incidence rates ranging from 1.19 to 7.26 per 100 resident-months. The single study of ADWEs reported an incidence of 2.60 per 100 resident-months. An incidence rate for the single study describing TFs could not be calculated. CONCLUSIONS: Medication-related adverse events are common in the nursing home setting. Additional studies are needed to enhance the detection and prevention of medication-related adverse events and to reduce their impact on residents' outcomes and health care costs. References: 68]</t>
  </si>
  <si>
    <t>J2: Am J Geriatr Pharmacother; Handler, Steven M Wright, Rollin M Ruby, Christine M Hanlon, Joseph T AG027017 (United States NIA NIH HHS) K12RR023267 (United States NCRR NIH HHS) P30 AG024827 (United States NIA NIH HHS) P30AG024827 (United States NIA NIH HHS); ID: 412</t>
  </si>
  <si>
    <t>Handler,Steven M. Division of Geriatric Medicine, Department of Medicine, School of Medicine, University of Pittsburgh, Pittsburgh, Pennsylvania 15213, USA. handlersm@upmc.edu</t>
  </si>
  <si>
    <t>http://ovidsp.ovid.com/ovidweb.cgi?T=JS&amp;CSC=Y&amp;NEWS=N&amp;PAGE=fulltext&amp;D=med5&amp;AN=17062328</t>
  </si>
  <si>
    <t>MEDLINE; Ovid Technologies; Epidemiology of medication-related adverse events in nursing homes</t>
  </si>
  <si>
    <t>Hanson,J.;Morrill,G.;Author,Addresses;Magellan Health Services,of Arizona;Magellan,Medicaid Administration;Correspondence,Address;Hanson, Magellan Health Services of Arizona United States,J.</t>
  </si>
  <si>
    <t>Assessment of medication adherence in patients receiving antipsychotic medications</t>
  </si>
  <si>
    <t>neuroleptic agent;college;drug therapy;human;patient;patient compliance;pharmacist;adult;data base;drug megadose;female;gender;health;inferential statistics;monotherapy;polypharmacy;prescription;psychosis;solid;statistics;substance abuse;therapy;titrimetry</t>
  </si>
  <si>
    <t>Introduction: Nonadherence to antipsychotic medications is a barrier to effective treatment of psychotic disorders. Non-adherence leads to poor outcomes and increased cost. Objectives: Our primary objective was to determine overall adherence with antipsychotic therapy. Secondary objectives were to determine the relationship between adherence and patient demographics, the rate of antipsychotic polypharmacy, and the relationship between dose and adherence. Methods: This was a retrospective claims analysis of adult, antipsychotic claims from 2009 and 2010. HIPAA-compliant, deidentified database elements included NDC, fill date, quantity, days supply, age, behavioral health code, and gender. The data set was filtered for oral, solid antipsychotics. Adherence was evaluated using Medication Possession Ratio (MPR) and calculated as follows: MPR-LOT (total days supply divided by total treatment days); MPR180 and MPR365 are the total days supply over a defined period. Descriptive statistics were used to report demographics, utilization, and adherence. Inferential statistics were used to report relationships between adherence and other variables available. Results: The study period included 49,816 patients receiving 431,291 prescriptions. Of these, 21,503 patients received multiple fills of a single drug, 11,470 received more than one drug, and 4,192 received only one Rx (excluded from analysis). Mean age was 39.7 years, with 55% female. In patients on one medication, MPR180 was 0.802. Patients with a BH code of substance abuse (MPR180 of 0.643) and young adults (MPR180 of 0.721 in 19-24 year olds) were less adherent. No difference in adherence was observed by gender. Less than 35% of patients took more than one antipsychotic agent during the time period. Assuming all patients received monotherapy, MPR180 (1.017) was higher than in patients on single agents. This is likely due to concurrent use and cross titrations. MPR was analyzed in the subset of patients (n = 3,289) receiving courtordered antipsychotic therapy (COT) using MPR365 (the minimum COT period). MPR365 in those on a single agent was 0.639. Finally, the impact of dosages was analyzed. MPR180 was highest in patients taking therapeutic doses (0.834) versus those on low (0.777) or high (0.791) doses. Conclusions: Methods to improve antipsychotic adherence, particularly in COT patients, are needed.</t>
  </si>
  <si>
    <t>(Hanson J.) (Morrill G.) 15th Annual Meeting of the College of Psychiatric and Neurologic Pharmacists, CPNP 2012 Tampa, FL, United States 2012-04-29 to 2012-05-02 SAGE Publications Inc.; ID: 1159</t>
  </si>
  <si>
    <t>Hanwella,R.;de Silva,V.</t>
  </si>
  <si>
    <t>Treatment of alcohol dependence</t>
  </si>
  <si>
    <t>Ceylon Medical Journal</t>
  </si>
  <si>
    <t>Ceylon Med.J.</t>
  </si>
  <si>
    <t>65 3p</t>
  </si>
  <si>
    <t>Alcoholism -- Drug Therapy;Alcohol Deterrents -- Therapeutic Use;Disulfiram -- Therapeutic Use;Fructose;Fructose -- Therapeutic Use;Naltrexone -- Therapeutic Use;Narcotic Antagonists -- Therapeutic Use;Neuroprotective Agents;Alkanes;Alkanes -- Therapeutic Use;Vitamins -- Therapeutic Use</t>
  </si>
  <si>
    <t>It is important to manage alcohol withdrawal properly. Mismanagement could lead to permanent brain damage or even death. The principles are simple and easily learnt. New pharmacological agents have come into use which helps in maintaining abstinence. Clinicians should update themselves on their use.</t>
  </si>
  <si>
    <t>Entry Date: 20101015. Revision Date: 20150711. Publication Type: Journal Article. Journal Subset: Asia; Biomedical; Double Blind Peer Reviewed; Editorial Board Reviewed; Expert Peer Reviewed; Peer Reviewed. NLM UID: 1264702. PMID: 19670554.; ID: 2066</t>
  </si>
  <si>
    <t>0009-0875</t>
  </si>
  <si>
    <t>Department of Psychological Medicine, Faculty of Medicine, Colombo, Sri Lanka. raveenhanwella@yahoo.co.uk</t>
  </si>
  <si>
    <t>http://proxy.lib.umich.edu/login?url=http://search.ebscohost.com/login.aspx?direct=true&amp;db=ccm&amp;AN=105222482&amp;site=ehost-live&amp;scope=site</t>
  </si>
  <si>
    <t>ccm; EBSCOhost; Treatment of alcohol dependence</t>
  </si>
  <si>
    <t>Haque,M. R.;Ansari,S. H.;Rashikh,A.;Author,Addresses;Department,of Pharmacognosy;Phytochemistry,Jamia Hamdard Hamdard Nagar New Delhi India;Department of Pharmacology, Faculty of Pharmacy,Jamia Hamdard;Hamdard Nagar,New,Delhi India;Correspondence,Address;Haque,Department of Pharmacognosy,M.R.;Phytochemistry,Jamia Hamdard;Hamdard Nagar, New Delhi India Email hrafiul,gmail com</t>
  </si>
  <si>
    <t>Coffea arabica seed extract stimulate the cellular immune function and cyclophosphamide-induced immunosuppression in mice</t>
  </si>
  <si>
    <t>(MAJOR FOCUS);Coffea arabica extract (drug development, oral drug administration);plant extract (drug development, oral drug administration);carboxymethylcellulose;cyclophosphamide;gallic acid;hemagglutinin (endogenous compound);liver enzyme (endogenous compound);quercetin;unclassified drug;coffee;immune deficiency;animal experiment;animal model;animal tissue;antibody titer;article;cellular immunity;controlled study;delayed hypersensitivity;female;humoral immunity;immunostimulation;mouse;nonhuman;organ weight;carboxymethylcellulose (8050-38-2, 9000-11-7, 9004-32-4, 9050-04-8);cyclophosphamide (50-18-0);gallic acid (149-91-7);hemagglutinin (37333-12-3);quercetin (117-39-5);Clinical and Experimental Biochemistry (29);Drug Literature Index (37);Immunology, Serology and Transplantation (26)</t>
  </si>
  <si>
    <t>In this study, we investigate the immunostimulatory effects of alcoholic extract of the coffee seed on cell-mediated immune response and cyclophosphamide-induced (CP) immunosuppressed mice. The assessment of cellular immune function was carried out by the measurement of delayed-type hypersensitivity (DTH) response. According to the literature survey, cyclophosphamide has only suppressing effect on the lymphoid organ, white blood cell (WBC) and other parts of humoral immunity. Humoral immunity was assessed by the hemagglutination antibody titre. Mice were treated with three doses of extract (50, 150 and 250 mg/Kg body weight per os). Relative organ weight and WBC counts were also studied in these animals. At doses of 50 and 150, a signifcant increase (p &lt; 0.05) in relative organ weight of spleen and thymus was observed but there was no effect on kidney and liver weights. WBC counts was also increased signifcantly (p &lt; 0.001) in all doses of the plant extract. Coffea arabica extract elicited a signifcant (p &lt; 0.001) increase in the DTH response at doses of 50 and 150 mg/Kg, but the change at higher dose of 250 mg/Kg was not statistically signifcant. In the</t>
  </si>
  <si>
    <t>(Haque M.R., hrafiul@gmail.com; Ansari S.H.) (Rashikh A.) Iranian Journal of Pharmaceutical Research, P.O. Box 14155-6153, Vali-e-Asr Avenue, Niayesh Junction, Tehran, Iran.; ID: 1052</t>
  </si>
  <si>
    <t>Harrington,C. J.;Zaydfudim,V.</t>
  </si>
  <si>
    <t>Buprenorphine maintenance therapy hinders acute pain management in trauma</t>
  </si>
  <si>
    <t>American Surgeon</t>
  </si>
  <si>
    <t>Am.Surg.</t>
  </si>
  <si>
    <t>Accidents, Traffic;Adult;Analgesics, Opioid/ad Administration &amp; Dosage];*Analgesics, Opioid/ae Adverse Effects];Buprenorphine/ad Administration &amp; Dosage];*Buprenorphine/ae Adverse Effects];Drug Interactions;Humans;Male;Narcotic Antagonists/ad Administration &amp; Dosage];*Narcotic Antagonists/ae Adverse Effects];Opioid-Related Disorders/co Complications];*Pain/dt Drug Therapy];0 (Analgesics, Opioid);0 (Narcotic Antagonists);40D3SCR4GZ (Buprenorphine)</t>
  </si>
  <si>
    <t>Buprenorphine is a mixed opiate receptor agonist-antagonist growing in popularity as an office-based treatment for opioid-dependent patients. It has high affinity, but only partial agonism at the micro-opioid receptor resulting in a ceiling analgesic effect. At higher doses, buprenorphine potentiates antagonism at the kappa-opioid receptor. These properties make buprenorphine an effective maintenance treatment for opioid-dependent patients. These same properties, however, can interfere with the management of acute pain in patients on maintenance buprenorphine therapy. We present a case of a young multisystem trauma patient in whom adequate analgesia could not be achieved due to buprenorphine treatment before and through the early course of admission. Discontinuation of buprenorphine allowed for appropriate pain management and successful analgesia. Further education of acute care clinicians about buprenorphine pharmacology and careful selection of patients for buprenorphine maintenance therapy are needed to avoid delays of pain control in trauma patients.</t>
  </si>
  <si>
    <t>J2: Am Surg; Harrington, Colin J Zaydfudim, Victor T32 HS 013833 (United States AHRQ HHS); ID: 301</t>
  </si>
  <si>
    <t>0003-1348</t>
  </si>
  <si>
    <t>Harrington,Colin J. Department of Psychiatry, Brown Medical School and Rhode Island Hospital, Providence, Rhode Island 02903, USA. Colin_Harrington@brown.edu</t>
  </si>
  <si>
    <t>http://ovidsp.ovid.com/ovidweb.cgi?T=JS&amp;CSC=Y&amp;NEWS=N&amp;PAGE=fulltext&amp;D=med5&amp;AN=20420250</t>
  </si>
  <si>
    <t>MEDLINE; Ovid Technologies; Buprenorphine maintenance therapy hinders acute pain management in trauma</t>
  </si>
  <si>
    <t>Harris,A. H.;Ellerbe,L.;Reeder,R. N.;Bowe,T.;Gordon,A. J.;Hagedorn,H.;Oliva,E.;Lembke,A.;Kivlahan,D.;Trafton,J. A.</t>
  </si>
  <si>
    <t>Pharmacotherapy for alcohol dependence: perceived treatment barriers and action strategies among Veterans Health Administration service providers</t>
  </si>
  <si>
    <t>Psychological Services</t>
  </si>
  <si>
    <t>Adult;Aged;Alcohol Deterrents/tu Therapeutic Use];*Alcoholism/dt Drug Therapy];*Attitude of Health Personnel;Disulfiram/tu Therapeutic Use];*Drug Utilization/sn Statistics &amp; Numerical Data];Female;Formularies as Topic;Health Care Surveys;Health Knowledge, Attitudes, Practice;*Health Services Accessibility;Humans;Male;Middle Aged;Naltrexone/tu Therapeutic Use];Narcotic Antagonists/tu Therapeutic Use];Patient Preference;Practice Guidelines as Topic;*Practice Patterns, Physicians'/sn Statistics &amp; Numerical Data];Qualitative Research;Taurine/aa Analogs &amp; Derivatives];Taurine/tu Therapeutic Use];United States;United States Department of Veterans Affairs;Veterans Health/sn Statistics &amp; Numerical Data];0 (Alcohol Deterrents);0 (Narcotic Antagonists);1EQV5MLY3D (Taurine);5S6W795CQM (Naltrexone);N4K14YGM3J (acamprosate);TR3MLJ1UAI (Disulfiram)</t>
  </si>
  <si>
    <t>Although access to and consideration of pharmacological treatments for alcohol dependence are consensus standards of care, receipt of these medications by patients is generally rare and highly variable across treatment settings. The goal of the present project was to survey and interview the clinicians, managers, and pharmacists affiliated with addiction treatment programs within Veterans Health Administration (VHA) facilities to learn about their perceptions of barriers and facilitators regarding greater and more reliable consideration of pharmacological treatments for alcohol dependence. Fifty-nine participants from 19 high-adopting and 11 low-adopting facilities completed the survey (facility-level response rate = 50%) and 23 participated in a structured interview. The top 4 barriers to increased consideration and use of pharmacotherapy for alcohol dependence were consistent across high- and low-adopting facilities and included perceived low patient demand, pharmacy procedures or formulary restrictions, lack of provider skills or knowledge regarding pharmacotherapy for alcohol dependence, and lack of confidence in treatment effectiveness. Low patient demand was rated as the most important barrier for oral naltrexone and disulfiram, whereas pharmacy or formulary restrictions were rated as the most important barrier for acamprosate and extended-release naltrexone. The 4 strategies rated across low- and high-adopting facilities as most likely to facilitate consideration and use of pharmacotherapy for alcohol dependence were more education to patients about existing medications, more education to health care providers about medications, increased involvement of physicians in treatment for alcohol dependence, and more compelling research on existing medications. This knowledge provides a foundation for designing, deploying, and evaluating targeted implementation efforts.</t>
  </si>
  <si>
    <t>J2: Psychol Serv; Harris, Alex H S Ellerbe, Laura Reeder, Rachelle N Bowe, Thomas Gordon, Adam J Hagedorn, Hildi Oliva, Elizabeth Lembke, Anna Kivlahan, Daniel Trafton, Jodie A; ID: 94</t>
  </si>
  <si>
    <t>1939-148X</t>
  </si>
  <si>
    <t>Harris,Alex H S. Center for Health Care Evaluation.</t>
  </si>
  <si>
    <t>http://ovidsp.ovid.com/ovidweb.cgi?T=JS&amp;CSC=Y&amp;NEWS=N&amp;PAGE=fulltext&amp;D=medl&amp;AN=23356858</t>
  </si>
  <si>
    <t>http://dx.doi.org/10.1037/a0030949</t>
  </si>
  <si>
    <t>MEDLINE; Ovid Technologies; Pharmacotherapy for alcohol dependence: perceived treatment barriers and action strategies among Veterans Health Administration service providers</t>
  </si>
  <si>
    <t>Harris,I. B.;Westermeyer,J.</t>
  </si>
  <si>
    <t>Chemical dependency education within medical schools: supervised clinical experience</t>
  </si>
  <si>
    <t>*Community Mental Health Centers;Counseling;*Curriculum;*Education, Medical;Evaluation Studies as Topic;Feedback;Goals;Humans;Physician's Role;*Substance-Related Disorders</t>
  </si>
  <si>
    <t>Physicians can play a significant role in chemical dependency, including early identification and intervention, referral to treatment resources, patient and community education, and responsible prescribing practices. Some medical schools have begun to provide instruction in the psychology, pharmacology, and physical pathology of chemical dependency; yet surveys indicate that few offer supervised clinical experience with chemically dependent patients. At the University of Minnesota Medical School, chemical dependency treatment centers are used to provide supervised clinical tutorials for all second year students as part of a coordinated chemical dependency curriculum. The authors describe the development, goals, organization, instructional approaches, and assessment of these tutorials. It is argued that chemical dependency treatment centers are a valuable resource in the education of medical students, as well as other professionls, if used with a view to their assets and limitations.</t>
  </si>
  <si>
    <t>J2: Am J Drug Alcohol Abuse; Harris, I B Westermeyer, J; ID: 726</t>
  </si>
  <si>
    <t>http://ovidsp.ovid.com/ovidweb.cgi?T=JS&amp;CSC=Y&amp;NEWS=N&amp;PAGE=fulltext&amp;D=med1&amp;AN=696707</t>
  </si>
  <si>
    <t>MEDLINE; Ovid Technologies; Chemical dependency education within medical schools: supervised clinical experience</t>
  </si>
  <si>
    <t>Harris,S. C.;Perrino,P. J.;Smith,I.;Shram,M. J.;Colucci,S. V.;Bartlett,C.;Sellers,E. M.;Author,Addresses;Purdue;Pharma LP, One Stamford Forum Stamford,C.T.United States;Inc,Research Toronto;Altreos,Research Partners;Dl,Global Partners;Correspondence,Address;SC Harris, Purdue Pharma L P One Stamford Forum,Stamford C.;United States Email, stephen harris,pharma com</t>
  </si>
  <si>
    <t>24243216; Abuse potential, pharmacokinetics, pharmacodynamics, and safety of intranasally administered crushed oxycodone HCl abuse-deterrent controlled-release tablets in recreational opioid users</t>
  </si>
  <si>
    <t>(MAJOR FOCUS);oxycodone (adverse drug reaction, clinical trial, intranasal drug;administration, pharmacokinetics, pharmacology);placebo;drug abuse;adult;article;controlled drug release;controlled study;crossover procedure;dizziness (side effect);double blind procedure;drug formulation;drug safety;drug tolerability;dry powder;epistaxis (side effect);fatigue (side effect);female;headache (side effect);human;human experiment;male;maximum plasma concentration;middle aged;normal human;nose obstruction (side effect);opiate addiction;pruritus (side effect);randomized controlled trial;somnolence (side effect);vomiting (side effect);xerostomia (side effect);young adult;DRUG TRADE NAMES;oxycontin;oxycodone (124-90-3, 76-42-6);Clinical and Experimental Pharmacology (30);Drug Literature Index (37);Adverse Reactions Titles (38);Pharmacy (39);Drug Dependence, Alcohol Abuse and Alcoholism (40)</t>
  </si>
  <si>
    <t>The objective of this study was to evaluate abuse potential, pharmacokinetics, pharmacodynamics, and safety of intranasally administered, crushed reformulated OxyContin‚î¨¬´ (oxycodone HCl controlled-release) tablets (ORF), relative to crushed original OxyContin‚î¨¬´ (OC), oxycodone powder (Oxy API), and OC placebo. This randomized, double-blind, positive- and placebo-controlled crossover study enrolled healthy, adult, nonphysically dependent recreational opioid users with recent history of intranasal drug abuse (N = 27). Active treatments contained oxycodone (30 mg). Pharmacokinetics, pharmacodynamics (e.g., Overall Drug Liking ODL], Take Drug Again TDA], and High Visual Analog Scales VAS]; Subjective Drug Value SDV]; pupillometry; intranasal irritation), and safety (e.g., adverse events, vital signs, laboratory tests) were assessed to 24 hours postdose. Crushed ORF administration yielded reduced oxycodone C(max) and increased T(max) versus crushed OC and Oxy API. Peak effects for pharmacodynamic measures were delayed with ORF (1-2 hours) versus OC and Oxy API (0.5-1 hour). ODL, TDA, High VAS, and SDV E(max) values were significantly lower (P Œì√´√± .05) and some intranasal irritation ratings were greater for ORF versus OC and Oxy API. No significant or unexpected safety findings were observed. Compared with OC and Oxy API, intranasally administered ORF was associated with lower and delayed peak plasma concentrations, decreased drug-liking, and decreased intranasal tolerability. This suggests that ORF has a decreased potential for intranasal oxycodone abuse. There were no significant or unexpected safety findings. As is true for all abuse potential studies, epidemiological or other appropriate post-marketing studies are required to assess the impact of the reduction in intranasal oxycodone abuse potential observed in the present study on real-world patterns of ORF misuse, abuse, and diversion. ‚î¨‚åê 2013 The Authors. The Journal of Clinical Pharmacology Published by Wiley Periodicals, Inc. on behalf of The American College of Clinical Pharmacology.</t>
  </si>
  <si>
    <t>(Harris S.C., stephen.harris@pharma.com; Perrino P.J.; Colucci S.V.) (Smith I.; Bartlett C.) (Shram M.J.) (Sellers E.M.) SAGE Publications Inc., claims@sagepub.com; ID: 931</t>
  </si>
  <si>
    <t>1552-4604 (electronic) 0091-2700</t>
  </si>
  <si>
    <t>http://www.ncbi.nlm.nih.gov/pubmed/24243216</t>
  </si>
  <si>
    <t>Abuse potential, pharmacokinetics, pharmacodynamics, and safety of intranasally administered crushed oxycodone HCl abuse-deterrent controlled-release tablets in recreational opioid users</t>
  </si>
  <si>
    <t>Harsfield,J. C.;Pelis,J.;Author,Addresses;Univ. Massachusetts,Boston Mass;Correspondence,Address;Univ. Massachusetts,Boston Mass</t>
  </si>
  <si>
    <t>1141556; Pharmacies with automated drug profiles can enhance the quality and reduce the cost of drug therapy</t>
  </si>
  <si>
    <t>Journal of the American College Health Association</t>
  </si>
  <si>
    <t>J.Am.Coll.Health Assoc.</t>
  </si>
  <si>
    <t>ambulatory care;drug distribution;economic aspect;health care cost;information;medical education;patient compliance;pharmacy;prescription;public health service;methodology;Health Policy, Economics and Management (36);Public Health, Social Medicine and Epidemiology (17)</t>
  </si>
  <si>
    <t>Availability of more drugs constitutes better health care that may also lead to many drug related problems such as interreactions, allergic reactions, and drug related diseases. One of the major concerns in health care today is the improper use of drugs and their impact on budgetary expenditures. To ensure good drug therapy of individuals enrolled in ambulatory programs or HMO's, there is a need to develop a drug surveillance system. Establishment of a patient drug profile is essential in developing a program that will successfully monitor drug therapy. A recent study determining drug therapy problems at an outpatient facility has been conducted at the North Carolina Memorial Hospital ambulatory care facility. Their report substantiates findings at the University of Massachusetts Health Services that a patient drug profile monitoring system should be a functional part of the operation of a large ambulatory facility. The accomplishments of an automated drug profile system would be of great benefit to the patient and all professionals involved in providing health care. It would promote rational drug therapy by assisting physicians in improving their prescribing practices. It would provide the pharmacist with information prior to the filling of a prescription so he can alert the physician of potential drug inter reactions and prevent possible drug overdose caused by cumulative or synergistic effects of drugs. The pharmacist with the patient drug profile can also alert physicians to possible drug induced diseases and prevent adverse drug reactions in sensitive patients.</t>
  </si>
  <si>
    <t>(Harsfield J.C.; Pelis J.); ID: 1786</t>
  </si>
  <si>
    <t>http://www.ncbi.nlm.nih.gov/pubmed/1141556</t>
  </si>
  <si>
    <t>Pharmacies with automated drug profiles can enhance the quality and reduce the cost of drug therapy</t>
  </si>
  <si>
    <t>Hartig,M. T.</t>
  </si>
  <si>
    <t>Patients with chronic asthma found medicine information to be unclear or confusing, did not receive complete information on medicine use and side effects, and found leaflets to be unhelpful</t>
  </si>
  <si>
    <t>Evidence Based Nursing</t>
  </si>
  <si>
    <t>28 1p</t>
  </si>
  <si>
    <t>Asthma -- Drug Therapy;Asthma -- Education;Information Needs;Patient Attitudes;Patient Education;Adolescence;Adult;Aged;Aged, 80 and Over;Drug Information;Drug Therapy -- Education;Female;Focus Groups;Male;Middle Age;Qualitative Studies;Teaching Materials;Thematic Analysis;United Kingdom</t>
  </si>
  <si>
    <t>What are the medication related experiences and perceptions of patients with chronic asthma? What are their views on mandatory leaflets provided by drug manufacturers?DESIGNQualitative study.SETTING6 community pharmacies in Leeds, UK.PATIENTS23 patients (age range 13--82 y, 52% women) with asthma (duration 3 to &gt;40 y).METHODSPatients participated in 1 of four 90 minute focus groups. After describing their medication related experiences, patients were asked to comment on 5 leaflets about asthma medicine (reliever and preventer inhalers, generic and branded broad spectrum antibiotics, and a generic oral steroid). Audiotapes were transcribed verbatim, and themes and categories were generated.MAIN FINDINGS10 themes were identified. (1) Information experiences. Almost half of the patients felt that the information they received met their needs and helped them to feel in control of their symptoms. The remainder felt that the information given was unclear or confusing or that information was wanted but not given. Patients identified 5 information needs: name and purpose of treatment; when, how, and how long to take it; side effects and what to do about them; problems with other drugs; and how to tell if the medicine is not working. (2) Although most patients knew the name and purpose of their medicine, some were not told, or did not understand, what their medicines were. (3) When and how to take it. Most participants received good information on how to use inhalers from nurses. About 1/3 received no information from their healthcare provider on inhaler use when they were first diagnosed. During acute attacks, patients noted the differences between 'ideal' inhaler techniques and what they actually did without previous guidance. (4) Side effects and what to do about them. Patients obtained information on short term side effects from self observation or family and friends but obtained information on long term side effects from magazines, books, manufacturers' leaflets, and nurses and GPs. Most patients felt that information on side effects was not freely provided. (5) Information on problems with other medicines was obtained from community pharmacists, and experiences were mainly positive. Some tension existed between official advice on contraindications and patients' experiences. (6) Is this the right medicine for me? Most patients knew about the many asthma medicines available but were unsure about their physicians' awareness of new treatments. Many were unclear about how physicians decided to use a particular medicine and why a medicine was the right one for them. (7) What people do to get information. Primary care providers were patients' main information source. Physicians provided information on initiating treatment; nurses provided more detailed and customised instructions on inhaler use and peak flow monitoring; and pharmacists provided information on medication interactions. (8) The place of written information. Written information was rarely mentioned without prompting. Patients preferred one to one information giving because information could be individualised to their needs and abilities. Patients often threw away leaflets because they looked unimportant, there was too much to read, the appearance was boring with small type, and they thought that inhaler technique was not best learnt by reading about it. (9) Patients believed that they should be involved in developing leaflets. Some patients viewed personal experience as more important than manufacturers' leaflets and believed that leaflets should be tested on patients. (10) Manufacturers: trust and priorities. Patients felt that the primary purpose of leaflets was to provide insurance for manufacturers against potential problems and to help sell products.CONCLUSIONSPatients' unsatisfactory experiences with information about asthma medicine included unclear or confusing information and no individualised, personally relevant information. They preferred personal contacts rather than written sources. Most felt that nurses and physicians did not freely provide inform tion on side effects, and they did not find manufacturers' leaflets useful.</t>
  </si>
  <si>
    <t>Entry Date: 20050506. Revision Date: 20150820. Publication Type: Journal Article; abstract; commentary. Original Study: Raynor DK, Savage I, Knapp P, Henley J. We are the experts: people with asthma talk about their medicine information needs. (PATIENT EDUC COUNS) May2004; 53 (2): 167-174. Journal Subset: Core Nursing; Europe; Nursing; Peer Reviewed; UK &amp; Ireland. NLM UID: 9815947. PMID: 15688502.; ID: 1969</t>
  </si>
  <si>
    <t>1367-6539</t>
  </si>
  <si>
    <t>University of Tennessee Health Science Center, College of Nursing, Memphis, TN</t>
  </si>
  <si>
    <t>http://proxy.lib.umich.edu/login?url=http://search.ebscohost.com/login.aspx?direct=true&amp;db=ccm&amp;AN=106625747&amp;site=ehost-live&amp;scope=site</t>
  </si>
  <si>
    <t>ccm; EBSCOhost; Patients with chronic asthma found medicine information to be unclear or confusing, did not receive complete information on medicine use and side effects, and found leaflets to be unhelpful</t>
  </si>
  <si>
    <t>Harvin,A.;Weber,R. J.</t>
  </si>
  <si>
    <t>PMC4567209 Available on 05/01/16]; A Primer on Prescription Drug Abuse and the Role of the Pharmacy Director</t>
  </si>
  <si>
    <t>Prescription drug abuse, or using a prescription drug in a way not intended by the provider, has become such an issue in the United States that in 2013 the US Department of Health and Human Services (HHS) and the Centers for Disease Control and Prevention (CDC) classified it as a new epidemic. The goal of this article is to provide pharmacy directors with a primer on prescription drug abuse and its prevention. This article will cover the causes and societal impact of prescription drug abuse, review recent and proposed strategies to prevent prescription drug abuse, and discuss efforts within the health system to reduce the risks of narcotic diversion that can lead to prescription drug abuse. There are several health and societal factors that have contributed to the rise in prescription drug abuse. As there is no singular contributory factor to this epidemic, there is no easy solution for proper containment and monitoring of prescription drug use. Pharmacy directors play a vital role in the safe use of prescription medications by providing for fail-safe systems for accounting and controlling prescription drugs. In addition, pharmacists can play a role in educating patients and health care workers on the dangers of prescription drug abuse. Health systems should form teams to identify drug diversion and provide an intervention that demands accountability while helping the impaired professional. Health system pharmacy directors must play an integral role in these efforts and continue to seek opportunities to reduce any risks for prescription drug abuse.</t>
  </si>
  <si>
    <t>J2: Hosp Pharm; Harvin, Andre Weber, Robert J; ID: 31</t>
  </si>
  <si>
    <t>0018-5787</t>
  </si>
  <si>
    <t>Harvin,Andre. Senior Pharmacy Resident, Pharmacy Services, The Ohio State University Wexner Medical Center and College of Pharmacy , Columbus, Ohio. Weber,Robert J. Administrator, Pharmacy Services, The Ohio State University Wexner Medical Center and College of Pharmacy , Columbus, Ohio.</t>
  </si>
  <si>
    <t>http://ovidsp.ovid.com/ovidweb.cgi?T=JS&amp;CSC=Y&amp;NEWS=N&amp;PAGE=fulltext&amp;D=prem&amp;AN=26405329</t>
  </si>
  <si>
    <t>http://dx.doi.org/10.1310/hpj5005-423</t>
  </si>
  <si>
    <t>MEDLINE; Ovid Technologies; A Primer on Prescription Drug Abuse and the Role of the Pharmacy Director</t>
  </si>
  <si>
    <t>Hasan,S.</t>
  </si>
  <si>
    <t>PMC2508725; A tool to teach communication skills to pharmacy students</t>
  </si>
  <si>
    <t>Aggression;Assertiveness;*Attitude of Health Personnel;*Communication;Compact Disks;Curriculum;*Education, Pharmacy;Female;Group Processes;Health Knowledge, Attitudes, Practice;Humans;Interpersonal Relations;Male;Multimedia;Physicians/px Psychology];*Physicians;Program Development;Students, Pharmacy/px Psychology];*Students, Pharmacy;Teaching/mt Methods];*Telephone</t>
  </si>
  <si>
    <t>OBJECTIVE: To develop a tool to teach pharmacy students assertive communication skills to use when talking with physicians over the telephone. DESIGN: As an assignment for their Communication Skills and Counseling course, students were asked to write a script involving a patient care issue or problem covering 3 different communication styles that could be used when contacting a prescriber by telephone: passive, aggressive, and assertive. Students worked in groups to write and act out the scripts for the class. ASSESSMENT: Eight scripts were developed by students and rated by peers and faculty members. The script that received the highest ratings was used in the development of a multimedia educational CD. CONCLUSION: The development of hypothetical scripts describing a drug therapy problem and illustrating the types of interactions between physicians and pharmacists while discussing the problem allowed pharmacy students to explore different communication techniques and improve their communication skills.</t>
  </si>
  <si>
    <t>J2: Am J Pharm Educ; Hasan, Sanah; ID: 355</t>
  </si>
  <si>
    <t>Hasan,Sanah. College of Pharmacy, Sharjah University, United Arab Emirates. shasan@sharjah.ac.ae</t>
  </si>
  <si>
    <t>http://ovidsp.ovid.com/ovidweb.cgi?T=JS&amp;CSC=Y&amp;NEWS=N&amp;PAGE=fulltext&amp;D=med5&amp;AN=18698394</t>
  </si>
  <si>
    <t>MEDLINE; Ovid Technologies; A tool to teach communication skills to pharmacy students</t>
  </si>
  <si>
    <t>Hassali,M. A.;Kong,D. C. M.;Stewart,K.;Author,Addresses;Department of Pharmacy Practice, Victorian College of,Pharmacy Monash;University,Royal Parade Parkville Vic Australia;Clinical,Research;Education,Pharmacy Department Alfred;Hospital,Commercial Road Melbourne Vic Australia;Correspondence,Address;Stewart, Department of Pharmacy Practice Victorian College of Pharmacy,K.;Monash University, Royal Parade Parkville Vic,Australia Email;Kay.Stewart@vcp.monash.edu.au</t>
  </si>
  <si>
    <t>Generic medicines: Perceptions of community pharmacists in Melbourne, Australia</t>
  </si>
  <si>
    <t>Journal of Pharmaceutical Finance, Economics and Policy</t>
  </si>
  <si>
    <t>(MAJOR FOCUS);generic drug (pharmacoeconomics);pharmacist;adult;aged;article;Australia;clinical article;content analysis;drug cost;drug labeling;drug marketing;drug safety;drug substitution;female;human;male;patient education;prescription;priority journal;semi structured interview;Health Policy, Economics and Management (36);Drug Literature Index (37)</t>
  </si>
  <si>
    <t>Objective: The objective of this study was to investigate generic medicine dispensing trends and substitution practices from the perspective of community pharmacists in Melbourne, Australia. Method: A qualitative approach was used. A convenience sample of community pharmacists practicing in Melbourne were interviewed using a semi-structured interview guide. Key Findings: A total of 11 pharmacists were interviewed. Thematic content analysis of the interviews identified five major themes: generic medicines substitution trends, knowledge of and confidence with generic medicines, generic medicines marketing strategy, safety aspects of generic medicines labelling, and pharmacists' role in educating patients with respect to generic substitution. The results from this study indicate that, in general, community pharmacists are comfortable in offering generic substitution to their patients and they view generic medicine as being safe and effective in most situations. While views were mostly positive, there were a few concerns especially regarding substituting some specific drugs and problems associated with a patient's cognitive ability. The findings also suggested that pharmacists do not have a clear idea on the bioequivalence tests that are conducted for generic medicines by the medicine regulatory body, the Therapeutic Goods Administration (TGA) and they need more information pertaining to this. Issues pertaining to marketing of 'pseudo-generics' and the need for appropriate labelling of medicines to safeguard patients were also highlighted by some pharmacists interviewed. The pharmacist's role in advising patients on generic substitution was also seen as an important step to increase the uptake of generic medicines. Conclusion: This study suggested that despite pharmacists' positive attitudes to generic substitution, they need more education and information, especially on the methods required by the government authority to determine the bioequivalence of generic medicines. ‚î¨‚åê 2005 by The Haworth Press, Inc. All rights reserved.</t>
  </si>
  <si>
    <t>(Hassali M.A.; Kong D.C.M.; Stewart K., Kay.Stewart@vcp.monash.edu.au) (Kong D.C.M.); ID: 1536</t>
  </si>
  <si>
    <t>1538-5698 1538-5396 (electronic)</t>
  </si>
  <si>
    <t>2006274468 FULL TEXT LINK http://dx.doi.org/10.1300/J371v14n03_03</t>
  </si>
  <si>
    <t>Hassan,N. A.;Abdulla,A. A.;Bakathir,H. A.;Al-Amoodi,A.;Aklan,A. M.;de Vries,T. P.</t>
  </si>
  <si>
    <t>The impact of problem-based pharmacotherapy training on the competence of rational prescribing of Yemen undergraduate students</t>
  </si>
  <si>
    <t>Feb-Mar</t>
  </si>
  <si>
    <t>Analysis of Variance;Asthma/di Diagnosis];Asthma/dt Drug Therapy];*Clinical Competence;Diarrhea/di Diagnosis];Diarrhea/dt Drug Therapy];*Drug Prescriptions/st Standards];*Drug Therapy/st Standards];*Education, Medical, Undergraduate/mt Methods];Humans;*Problem-Based Learning;Random Allocation</t>
  </si>
  <si>
    <t>OBJECTIVE: This study aims to reveal whether a short training course of problem-based pharmacotherapy teaching, based on the World Health Organization's (WHO's) Guide to Good Prescribing and the Yemen Essential Drug List and Standard Treatment Guidelines, will improve the competence of rational prescribing among medical and health assistant students in Yemen. DESIGN: In a controlled pre/post-test study, 111 students from universities and health institutes participated on a voluntary basis. They were randomly separated into a study and a control group. Students of the study group were taught to generate standard first-choice drugs for asthma or diarrhoea. The students were then taught how to apply this set of first-choice drugs to specific patient problems, using the WHO six-step problem-solving approach. RESULTS: Students from the study group performed significantly better than those from control in all problems presented and also when compared with the results of the pre-test. The results of the pre-test also show that teaching students all basic knowledge about drugs does not guarantee rational prescribing in Yemen. CONCLUSION: It can be concluded from this study that proper training, i.e. 'immunising' future doctors using problem-based pharmacotherapy teaching, is an efficient way of teaching rational prescribing in Yemen.</t>
  </si>
  <si>
    <t>J2: Eur J Clin Pharmacol; Hassan, N A Abdulla, A A Bakathir, H A Al-Amoodi, A A Aklan, A M de Vries, T P; ID: 554</t>
  </si>
  <si>
    <t>0031-6970</t>
  </si>
  <si>
    <t>Hassan,N A. Department of Pharmacology and Therapeutics, Faculty of Medicine and Health Sciences, Sana'a University, Republic of Yemen.</t>
  </si>
  <si>
    <t>http://ovidsp.ovid.com/ovidweb.cgi?T=JS&amp;CSC=Y&amp;NEWS=N&amp;PAGE=fulltext&amp;D=med4&amp;AN=10805067</t>
  </si>
  <si>
    <t>MEDLINE; Ovid Technologies; The impact of problem-based pharmacotherapy training on the competence of rational prescribing of Yemen undergraduate students</t>
  </si>
  <si>
    <t>Hata,M.;Klotz,R.;Sylvies,R.;Hess,K.;Schwartzman,E.;Scott,J.;Law,A. V.</t>
  </si>
  <si>
    <t>PMC3327249; Medication therapy management services provided by student pharmacists</t>
  </si>
  <si>
    <t>California;Clinical Competence;*Community Pharmacy Services;Curriculum;*Education, Pharmacy/mt Methods];Health Knowledge, Attitudes, Practice;Humans;*Medication Therapy Management;Patient Satisfaction;*Problem-Based Learning;Professional-Patient Relations;Program Evaluation;*Students, Pharmacy;Surveys and Questionnaires</t>
  </si>
  <si>
    <t>OBJECTIVES: To evaluate the impact of student pharmacists delivering medication therapy management (MTM) services during an elective advanced pharmacy practice experience (APPE). METHODS: Student pharmacists provided MTM services at community pharmacy APPE sites, documented their recommendations, and then made follow-up telephone calls to patients to determine the impact of the MTM provided. Students were surveyed about the MTM experience. RESULTS: Forty-seven students provided MTM services to 509 patients over 2 years and identified 704 drug-related problems (average of 1.4 problems per patient). About 53% of patients relayed the recommendations to their physician and 205 (75%) physicians accepted the recommendations. Eighty-eight percent of patients reported feeling better about their medications after receiving MTM services. A majority of the students perceived their provision of MTM services as valuable to their patients. CONCLUSIONS: Providing MTM services to patients in a pharmacy practice setting allowed student pharmacists to apply skills learned in the doctor of pharmacy (PharmD) curriculum.</t>
  </si>
  <si>
    <t>J2: Am J Pharm Educ; Hata, Micah Klotz, Roger Sylvies, Rick Hess, Karl Schwartzman, Emmanuelle Scott, James Law, Anandi V; ID: 206</t>
  </si>
  <si>
    <t>Hata,Micah. College of Pharmacy, Western University of Health Sciences, Pomona, California, USA.</t>
  </si>
  <si>
    <t>http://ovidsp.ovid.com/ovidweb.cgi?T=JS&amp;CSC=Y&amp;NEWS=N&amp;PAGE=fulltext&amp;D=medl&amp;AN=22544968</t>
  </si>
  <si>
    <t>http://dx.doi.org/10.5688/ajpe76351</t>
  </si>
  <si>
    <t>MEDLINE; Ovid Technologies; Medication therapy management services provided by student pharmacists</t>
  </si>
  <si>
    <t>Haugbolle,L. S.;Sorensen,E. W.</t>
  </si>
  <si>
    <t>Drug-related problems in patients with angina pectoris, type 2 diabetes and asthma--interviewing patients at home</t>
  </si>
  <si>
    <t>Adult;Aged;Aged, 80 and over;*Angina Pectoris/dt Drug Therapy];*Asthma/dt Drug Therapy];Denmark;*Diabetes Mellitus, Type 2/dt Drug Therapy];Drug Utilization Review/mt Methods];*Drug-Related Side Effects and Adverse Reactions;Education, Pharmacy;Female;House Calls;Humans;Internship, Nonmedical/mt Methods];Interviews as Topic/mt Methods];Male;Middle Aged;Patient Education as Topic/mt Methods];Patients/sn Statistics &amp; Numerical Data];Professional Role;Students, Pharmacy</t>
  </si>
  <si>
    <t>OBJECTIVE OF THE STUDY: The objective of the overall study was to create a foundation for improving the quality of counselling practice in pharmacies. The research question addressed in this sub-study was to describe drug-related problems (DRPs) in terms of frequency as well as type in people with angina pectoris, type 2 diabetes and asthma, as the problems were identified through medication reviews and home interviews. SETTING AND METHOD: During their pharmacy internships, fourth-year pharmacy students collected data for the study in 1999, 2000 and 2001 by carrying out medication reviews, conducting home interviews and registering DRPs for 414 patients. Data were collected from the following patient groups in the years indicated: in 1999, 123 angina pectoris patients; in 2000, 192 type 2 diabetes patients, and in 2001, 99 asthma patients. The interviews dealt with the patient's drug-related experiences, knowledge, perceptions, problems and actions. The DRPs were registered according to the so-called PI-Doc system. RESULTS: A medication review was supplemented by qualitative interviews with the three patient groups, which revealed a relatively high number of DRPs compared to other studies. An average of 2.8 DRPs were identified per angina pectoris patient; 4.1 DRPs per type 2 diabetes patient and 4.0 DRPs per asthma patient. "Inappropriate use of medicines by the patient" and "Other problems" (such as limited knowledge of the illness, inappropriate lifestyle, fear of medication, lack of information, etc.) were the two most common DRP sub-categories identified in all three patient groups. CONCLUSION: The study provided a profile of a pharmacy-based population of 414 patients visiting the pharmacy, all of whom are at high risk of experiencing drug-related problems. Pharmacy staff needs to take this high rate of DRPs in people with angina pectoris, asthma and type 2 diabetes into account when dispensing medicines to and advising patients from the three groups, especially when explaining how to use medicines appropriately.</t>
  </si>
  <si>
    <t>J2: Pharm World Sci; Haugbolle, Lotte Stig Sorensen, Ellen Westh; ID: 401</t>
  </si>
  <si>
    <t>Haugbolle,Lotte Stig. Department of Pharmacology and Pharmacotherapy, Section for Social Pharmacy and Research Centre for Quality in Medicine Use, The Danish University of Pharmaceutical Sciences, Universitetsparken 2, DK-2100, Copenhagen, Denmark. lsh@dfuni.dk</t>
  </si>
  <si>
    <t>http://ovidsp.ovid.com/ovidweb.cgi?T=JS&amp;CSC=Y&amp;NEWS=N&amp;PAGE=fulltext&amp;D=med5&amp;AN=17066246</t>
  </si>
  <si>
    <t>MEDLINE; Ovid Technologies; Drug-related problems in patients with angina pectoris, type 2 diabetes and asthma--interviewing patients at home</t>
  </si>
  <si>
    <t>Havlicek,D.;Stafne,E.;Pronk,N. P.</t>
  </si>
  <si>
    <t>PMC1637804; Tobacco cessation interventions in dental networks: a practice-based evaluation of the impact of education on provider knowledge, referrals, and pharmacotherapy use</t>
  </si>
  <si>
    <t>Preventing Chronic Disease</t>
  </si>
  <si>
    <t>A96</t>
  </si>
  <si>
    <t>Bupropion/tu Therapeutic Use];Dentistry;Dopamine Uptake Inhibitors/tu Therapeutic Use];*Education, Dental/og Organization &amp; Administration];Health Knowledge, Attitudes, Practice;Humans;Smoking/dt Drug Therapy];*Smoking Cessation/mt Methods];Time Factors;*Tobacco;0 (Dopamine Uptake Inhibitors);01ZG3TPX31 (Bupropion)</t>
  </si>
  <si>
    <t>Tobacco is a significant risk factor for oral diseases. Dental care providers have the opportunity to inform patients about the risks associated with tobacco use and refer them to tobacco cessation resources. Although dental teams usually ask their patients about their tobacco use, most do not provide tobacco cessation counseling. This project involved four staff-model dental clinics and four contracted network dental clinics. Project goals were to 1) describe current practice patterns of tobacco cessation intervention, 2) increase the use of steps for treatment, known as the 5 As, recommended by the U.S. Public Health Service, 3) increase referrals to a tobacco helpline, and 4) increase use of pharmacotherapy for tobacco dependence treatment. The project included training and program support (e.g., sharing of project data, weekly newsletters, discussion at clinic meetings). Results indicate that this approach to addressing tobacco dependence in a dental clinic setting can effectively change dental provider knowledge and action.</t>
  </si>
  <si>
    <t>J2: Prev Chronic Dis; Havlicek, Darla Stafne, Eric Pronk, Nicolaas P; ID: 426</t>
  </si>
  <si>
    <t>1545-1151</t>
  </si>
  <si>
    <t>Havlicek,Darla. HealthPartners Health Behavior Group, Minneapolis, Minn, USA.</t>
  </si>
  <si>
    <t>http://ovidsp.ovid.com/ovidweb.cgi?T=JS&amp;CSC=Y&amp;NEWS=N&amp;PAGE=fulltext&amp;D=medc&amp;AN=16776897</t>
  </si>
  <si>
    <t>MEDLINE; Ovid Technologies; Tobacco cessation interventions in dental networks: a practice-based evaluation of the impact of education on provider knowledge, referrals, and pharmacotherapy use</t>
  </si>
  <si>
    <t>Hayes,T. M.;Allery,L. A.;Harding,K. G.;Owen,P. A.</t>
  </si>
  <si>
    <t>PMC1371450; Continuing education for general practice and the role of the pharmaceutical industry</t>
  </si>
  <si>
    <t>British Journal of General Practice</t>
  </si>
  <si>
    <t>*Drug Industry;Drug Therapy;*Education, Medical, Continuing;*Family Practice/ed Education];Female;Great Britain;Humans;Male</t>
  </si>
  <si>
    <t>A survey of the involvement in and attitudes towards continuing medical education of 101 general practitioners achieved a 95% response rate. Ninety per cent of the 96 doctors worked in practices which held meetings the content of which was organized by representatives of pharmaceutical companies but only 46% worked in practices which organized their own educational meetings. Seventy six per cent attended meetings away from their practice which were organized by drug companies and 75% had attended at some time continuing medical education activities organized by a local postgraduate centre. The promotional aspects of the drug company organized meetings were disliked by a majority of respondents (58%); more of the trainers (62%) and more of those who had entered general practice within the last seven years (71%) disliked this aspect. Nonetheless the educational content of both meetings held in the practice and those held elsewhere was the aspect most liked by over half of the respondents (59% and 53% respectively). Only 16% of all respondents thought that visits by representatives from pharmaceutical companies were educationally valuable and 37% thought that educational events organized by these companies were of value. Surprisingly 60% of those who worked in practices which held meetings organized by drug company representatives thought them to be of little or no educational value. There is clearly a need for practice based continuing medical education but the current level of dependence on drug companies for organizing these meetings must be questioned. Alternative strategies for the provision of independent non-sponsored educational activities should be sought.</t>
  </si>
  <si>
    <t>J2: Br J Gen Pract; Hayes, T M Allery, L A Harding, K G Owen, P A; ID: 673</t>
  </si>
  <si>
    <t>0960-1643</t>
  </si>
  <si>
    <t>Hayes,T M. Department of Postgraduate Studies, University of Wales College of Medicine, Cardiff.</t>
  </si>
  <si>
    <t>http://ovidsp.ovid.com/ovidweb.cgi?T=JS&amp;CSC=Y&amp;NEWS=N&amp;PAGE=fulltext&amp;D=med3&amp;AN=2282231</t>
  </si>
  <si>
    <t>MEDLINE; Ovid Technologies; Continuing education for general practice and the role of the pharmaceutical industry</t>
  </si>
  <si>
    <t>Haynes,M.</t>
  </si>
  <si>
    <t>Pharmacist involvement in a chemical-dependency rehabilitation program</t>
  </si>
  <si>
    <t>Education, Pharmacy;Hospital Bed Capacity, under 100;Humans;*Patient Care Team;Patient Education as Topic;*Pharmacists;*Pharmacy Service, Hospital;Students, Pharmacy;*Substance-Related Disorders/rh Rehabilitation];Washington</t>
  </si>
  <si>
    <t>Pharmacist involvement in a small hospital for the treatment and rehabilitation of patients with chemical dependency is described. The pharmacist's primary responsibilities include provision of pharmaceutical services to meet the medical needs of patients during detoxification; development of detoxification protocols for management of withdrawal from drugs of abuse; education of patients and their families, other clinical staff members, and pharmacy students about the pathophysiology of addiction, treatment options, and the foundations of recovery; medication and addiction counseling; and multidisciplinary team support of recovery. To successfully fulfill this complex role, the pharmacist must have specialized education on alcoholism and addiction, develop good communications skills, and learn the dynamics of recovery support groups. The pharmacist employed at this hospital spends about 70% of her time with pharmaceutical services and 30% with counseling services. A pharmacist working in a chemical-dependency rehabilitation program has a unique opportunity to affect positively the physical and emotional health of the recovering individual by taking on responsibilities beyond those traditionally associated with pharmacy practice.</t>
  </si>
  <si>
    <t>J2: Am J Hosp Pharm; Haynes, M; ID: 688</t>
  </si>
  <si>
    <t>Haynes,M. CareUnit Hospital of Kirkland, WA 98034.</t>
  </si>
  <si>
    <t>http://ovidsp.ovid.com/ovidweb.cgi?T=JS&amp;CSC=Y&amp;NEWS=N&amp;PAGE=fulltext&amp;D=med3&amp;AN=3228081</t>
  </si>
  <si>
    <t>MEDLINE; Ovid Technologies; Pharmacist involvement in a chemical-dependency rehabilitation program</t>
  </si>
  <si>
    <t>Hazra,M.;Uchida,H.;Sproule,B.;Remington,G.;Suzuki,T.;Mamo,D. C.</t>
  </si>
  <si>
    <t>Impact of feedback from pharmacists in reducing antipsychotic polypharmacy in schizophrenia</t>
  </si>
  <si>
    <t>Psychiatry &amp; Clinical Neurosciences</t>
  </si>
  <si>
    <t>Antipsychotic Agents/ae Adverse Effects];*Antipsychotic Agents;Canada;Drug Prescriptions;Drug Utilization;Education, Medical, Continuing;Humans;*Inappropriate Prescribing/pc Prevention &amp; Control];Inappropriate Prescribing/sn Statistics &amp; Numerical Data];*Pharmacists;*Polypharmacy;*Practice Patterns, Physicians'/sn Statistics &amp; Numerical Data];*Schizophrenia/dt Drug Therapy];0 (Antipsychotic Agents)</t>
  </si>
  <si>
    <t>The objective was to examine effects of active interventions on physician's prescribing of antipsychotic polypharmacy. Prescriptions for patients with schizophrenia at the Centre for Addiction and Mental Health, Canada were collected in 2006 (n = 648) and 2008 (n = 778). During the intervening period, a pharmacist monitored prescriptions with antipsychotic polypharmacy and contacted corresponding prescribers to provide education on risks of polypharmacy. Moreover, educational sessions on polypharmacy were presented to inpatient and outpatient teams. A three-fold decrease in the prevalence of antipsychotic polypharmacy was observed between 2006 (18.3%) and 2008 (6.6%). Thus, active monitoring of prescriptions with educational interventions could reduce antipsychotic polypharmacy.Copyright ‚î¨‚åê 2011 The Authors. Psychiatry and Clinical Neurosciences ‚î¨‚åê 2011 Japanese Society of Psychiatry and Neurology.</t>
  </si>
  <si>
    <t>J2: Psychiatry Clin Neurosci; Hazra, Monica Uchida, Hiroyuki Sproule, Beth Remington, Gary Suzuki, Takefumi Mamo, David C; ID: 226</t>
  </si>
  <si>
    <t>1440-1819</t>
  </si>
  <si>
    <t>Hazra,Monica. Centre for Addiction and Mental Health, University of Toronto, Ontario, Canada.</t>
  </si>
  <si>
    <t>http://ovidsp.ovid.com/ovidweb.cgi?T=JS&amp;CSC=Y&amp;NEWS=N&amp;PAGE=fulltext&amp;D=med5&amp;AN=22176287</t>
  </si>
  <si>
    <t>http://dx.doi.org/10.1111/j.1440-1819.2011.02280.x</t>
  </si>
  <si>
    <t>MEDLINE; Ovid Technologies; Impact of feedback from pharmacists in reducing antipsychotic polypharmacy in schizophrenia</t>
  </si>
  <si>
    <t>Heading,C. E.</t>
  </si>
  <si>
    <t>TA-CD. Xenova</t>
  </si>
  <si>
    <t>TA-CD (formerly IPC-1010), a cocaine conjugate that stimulates the production of antibodies against cocaine, is under development by Xenova (formerly Cantab) for the potential treatment of cocaine dependence 176912], 414867], 449997]. The vaccine was originally discovered at Stanford University and exclusively licensed to ImmuLogic Pharmaceuticals as IPC-1010 176908]. It was renamed TA-CD when ownership was transferred to Cantab 463510], 463511]. By April 2002, a second phase IIa dose escalation trial was underway 445298], which was ongoing in September 2002 463866].</t>
  </si>
  <si>
    <t>J2: Idrugs; Heading, Christine E; ID: 495</t>
  </si>
  <si>
    <t>Heading,Christine E. Department of Biological Sciences, The Open University, Walton Hall, Milton Keynes, MK7 6AA, UK. moore11@globalnet.co.uk</t>
  </si>
  <si>
    <t>http://ovidsp.ovid.com/ovidweb.cgi?T=JS&amp;CSC=Y&amp;NEWS=N&amp;PAGE=fulltext&amp;D=prem&amp;AN=12800060</t>
  </si>
  <si>
    <t>MEDLINE; Ovid Technologies; TA-CD. Xenova</t>
  </si>
  <si>
    <t>Healy,D.;Author,Addresses;Cardiff University,Department of;Psychological Medicine, Hergest Unit Bangor,Wales L.;Kingdom;Correspondence,Address;Healy, Cardiff University Department of Psychological Medicine Hergest,D.;Unit,Bangor Wales L.L.P.W.United Kingdom Email;healy_hergest@compuserve.com</t>
  </si>
  <si>
    <t>19293278; Trussed in Evidence? Ambiguities at the interface between clinical evidence and clinical practice</t>
  </si>
  <si>
    <t>Transcultural Psychiatry</t>
  </si>
  <si>
    <t>anticonvulsive agent (drug therapy);antidepressant agent (clinical trial, drug therapy);benzodiazepine derivative (drug therapy);chlorpromazine (drug therapy);clozapine (clinical trial, drug therapy);imipramine (drug therapy);lithium (drug therapy);methylphenidate (drug therapy);mood stabilizer (drug therapy);neuroleptic agent (drug therapy);nicotine (drug therapy);olanzapine (adverse drug reaction, clinical trial, drug therapy);placebo;psychotropic agent (clinical trial, drug therapy);reserpine (adverse drug reaction, clinical trial, drug therapy);serotonin uptake inhibitor (clinical trial, drug therapy);valproic acid (drug therapy);mental health care;akathisia (side effect);attention deficit disorder (drug therapy);bipolar disorder (drug therapy);clinical practice;clinical trial;conference paper;controlled clinical trial;data analysis;depression (drug therapy, side effect);drug efficacy;drug industry;drug substitution;drug withdrawal;evidence based medicine;evidence based practice;food and drug administration;human;hypertension (drug therapy);information processing;mania (drug therapy);medical decision making;mood disorder (drug therapy);outcome assessment;patent;physician attitude;placebo effect;practice guideline;primary medical care;psychiatry;psychosis (drug therapy);randomized controlled trial;rating scale;schizophrenia (drug therapy);suicidal behavior (side effect);treatment outcome;withdrawal syndrome (side effect);DRUG MANUFACTURERS;Abbott;chlorpromazine (50-53-3, 69-09-0);clozapine (5786-21-0);imipramine (113-52-0, 50-49-7);lithium (7439-93-2);methylphenidate (113-45-1, 298-59-9);nicotine (54-11-5);olanzapine (132539-06-1);reserpine (50-55-5, 8001-95-4);valproic acid (1069-66-5, 99-66-1);Psychiatry (32);Drug Literature Index (37);Adverse Reactions Titles (38)</t>
  </si>
  <si>
    <t>This article considers the dominance that randomized controlled trials (RCTs) of psychotropic agents currently have in relation to the practice of psychiatry in mental health and primary care settings. In contemporary psychiatry, data of marginal significance based on rating scale measures are privileged as evidence that treatments are effective, while judgments of drug effects based on clinical practice are downgraded. The dominance of RCTs has also led to an increasing promotion of rating scales in clinical practice, described here as 'rating scale mongering.' The logical consequence of current interpretations of RCT data is that clinicians should adhere to guidelines which are based on a systematic assembly of such data, but the selective publication of trial data and ghostwriting of publications, lays the basis for guideline capture, and a corresponding capture of evidence-based clinical practice by pharmaceutical companies. ‚î¨‚åê 2009 McGill University.</t>
  </si>
  <si>
    <t>(Healy D., healy_hergest@compuserve.com) SAGE Publications Ltd, 55 City Road, London, United Kingdom.; ID: 1418</t>
  </si>
  <si>
    <t>1363-4615 1461-7471 (electronic)</t>
  </si>
  <si>
    <t>http://www.ncbi.nlm.nih.gov/pubmed/19293278</t>
  </si>
  <si>
    <t>Trussed in Evidence? Ambiguities at the interface between clinical evidence and clinical practice</t>
  </si>
  <si>
    <t>Heath,G.;Colburn,W. A.;Author,Addresses;Mds Horris, Inc Rose Street,Lincoln N.;States,United;Correspondence,Address;United,G.Heath, M.D.S.Horris Inc Rose Street Lincoln N.E.;States</t>
  </si>
  <si>
    <t>10975064; An evolution of drug development and clinical pharmacology during the 20th century</t>
  </si>
  <si>
    <t>arsenic derivative;insulin;levodopa;neurotransmitter;orphan drug;poliomyelitis vaccine;sulfanilamide derivative;thalidomide;vitamin;clinical pharmacology;drug development;article;drug approval;drug contamination;drug cost;drug formulation;drug information;drug intoxication;drug isolation;drug manufacture;drug marketing;drug misuse;drug research;drug screening;financial management;history of medicine;medical ethics;medicare;military medicine;insulin (9004-10-8);levodopa (59-92-7);thalidomide (50-35-1);Clinical and Experimental Pharmacology (30);Drug Literature Index (37)</t>
  </si>
  <si>
    <t>The current state of clinical pharmacology and drug development did not just happen. Clinical pharmacology and the drug development process were born, evolved, and have come to the fore during the past 100 years. The past century has been one of accelerating progress in science and medicine. The progress has not been a straight line but rather more like a sidewinder moving across the desert. Drug development has moved from small experiments with concoctions, extracts, and potions along with the manufacturing and promotion of the purported remedies to processes that exploited unknowing patients to a process that now requires concept generation, discovery, research, planning, and development with many checks and balances for the protection of human subjects. The factors that contributed to this progression from inappropriate use of potions, concoctions, and snake oil to the highly regulated drug development process of today is described in some detail. (C) 2000 the American College of Clinical Pharmacology.</t>
  </si>
  <si>
    <t>(Heath G.; Colburn W.A.) SAGE Publications Inc., 2455 Teller Road, Thousand Oaks, United States.; ID: 1627</t>
  </si>
  <si>
    <t>http://www.ncbi.nlm.nih.gov/pubmed/10975064</t>
  </si>
  <si>
    <t>An evolution of drug development and clinical pharmacology during the 20th century</t>
  </si>
  <si>
    <t>Hebbard,A. M.;Colvard,M. J.;Book,S. W.;VandenBerg,A. M.;Author,Addresses;Department of,Pharmacy;Services,Medical University of South Carolina Charleston United States;Department of,Psychiatry;Behavioral Sciences,Medical;University of South Carolina, Charleston,United States;Correspondence,Address;AM Hebbard, Department of Pharmacy Services Medical University,of South;Carolina,Charleston United States</t>
  </si>
  <si>
    <t>Development of a collaborative drug therapy management protocol for extended-release intramuscular naltrexone</t>
  </si>
  <si>
    <t>(MAJOR FOCUS);naltrexone;alcohol;college;human;medication therapy management;pharmacist;accreditation;adult;counseling;drug therapy;education;follow up;hospital;hospital department;informed consent;laboratory;monitoring;outpatient;patient;patient care;physician;population;psychiatrist;responsibility;side effect;storage;substance abuse;United States;university</t>
  </si>
  <si>
    <t>Type: Innovative Practices. Background/Rationale: The Center for Drug and Alcohol Programs (CDAP) at the Medical University of South Carolina (MUSC) focuses on research and clinical services for substance use disorders. Given the patient population, demand for depot naltrexone has increased, but the CDAP clinics are neither staffed nor structured for medication administration or storage. A previously established pharmacist-run clinic exists at MUSC for the purpose of administering long-acting injectable antipsychotics and monitoring the patients who receive them. With the increasing patient and physician demand, a protocol was developed to allow patients to receive extended-release intramuscular naltrexone in the PharmD clinic. Description of the Innovative Service: The collaborative drug therapy management (CDTM) protocol developed for extended-release intramuscular naltrexone clearly defines the roles/responsibilities of the referring physicians and collaborating pharmacists. The CDTM protocol specifically outlines the process for pharmacist training, credentialing, and ensuring continued competency; physician referral; patient responsibilities; and pharmacist responsibilities for obtaining informed consent, medication procurement, medication administration, physical assessment, laboratory monitoring, side effect monitoring, and counseling. The protocol applies only to adult outpatients referred by MUSC psychiatrists. Impact on Patient Care/Institution: The creation of the CDTM protocol for extended-release intramuscular naltrexone provides a service to patients at MUSC that was previously unavailable. The purpose of the service is to provide continuity of care to patients who require extended-release intramuscular naltrexone, enhance patient care through education, monitoring, and close follow-up, and to reduce adverse events associated with extended-release intramuscular naltrexone. Conclusion: The extended-release intramuscular naltrexone CDTM protocol has been approved by the Department of Pharmacy Services and CDAP physician representative at MUSC, the pharmacists have been credentialed, and the clinic is in the process of preparing for its first patients.</t>
  </si>
  <si>
    <t>(Hebbard A.M.; Colvard M.J.; VandenBerg A.M.) (Book S.W.) 16th Annual Meeting of the College of Psychiatric and Neurologic Pharmacists, CPNP 2013 Colorado Springs, CO, United States 2013-04-21 to 2013-04-24 SAGE Publications Inc.; ID: 1025</t>
  </si>
  <si>
    <t>Hechtman,L.;Greenfield,B.</t>
  </si>
  <si>
    <t>Juvenile onset bipolar disorder</t>
  </si>
  <si>
    <t>Adolescent;Adolescent Psychiatry;Bipolar Disorder/di Diagnosis];Bipolar Disorder/et Etiology];Bipolar Disorder/th Therapy];*Bipolar Disorder;Child;Child Psychiatry;Comorbidity;Diagnosis, Differential;Humans;Prevalence;Risk Factors</t>
  </si>
  <si>
    <t>This article reviews juvenile onset bipolar disorder with regard to history, diagnosis, comorbidity, differential diagnosis, prevalence, etiology, treatment, and outcome. Specifically, it deals with past and current diagnostic criteria for juvenile onset bipolar disorder, the controversy around its comorbidity with attention deficit hyperactivity disorder (ADHD), and how to differentiate it from ADHD, conduct disorder, drug and alcohol abuse, and schizophrenia, Genetic and neuroimaging studies investigating the possible etiology of this condition are also described. Treatment, both pharmacological (eg, lithium, neuroleptics, anticonvulsants, benzodiazepines, antidepressants) and psychosocial (eg, psychoeducation of child and family, school intervention, family, group and/or individual therapy) are outlined. Finally, long-term outcome and factors which may influence outcome are addressed. References: 84]</t>
  </si>
  <si>
    <t>J2: Curr Opin Pediatr; Hechtman, L Greenfield, B; ID: 601</t>
  </si>
  <si>
    <t>Hechtman,L. Montreal Children's Hospital, Quebec, Canada.</t>
  </si>
  <si>
    <t>http://ovidsp.ovid.com/ovidweb.cgi?T=JS&amp;CSC=Y&amp;NEWS=N&amp;PAGE=fulltext&amp;D=med4&amp;AN=9300191</t>
  </si>
  <si>
    <t>MEDLINE; Ovid Technologies; Juvenile onset bipolar disorder</t>
  </si>
  <si>
    <t>Hedenrud,T.;Babic,N.;Jonsson,P.</t>
  </si>
  <si>
    <t>Medication overuse headache: self-perceived and actual knowledge among pharmacy staff</t>
  </si>
  <si>
    <t>Adult;*Analgesics/ae Adverse Effects];Cross-Sectional Studies;Female;*Headache Disorders, Secondary;*Health Knowledge, Attitudes, Practice;Humans;Male;Middle Aged;*Pharmacists;*Pharmacists' Aides;Self Concept;Substance-Related Disorders/co Complications];Surveys and Questionnaires;Sweden;Young Adult;0 (Analgesics)</t>
  </si>
  <si>
    <t>OBJECTIVE: The aim of this study was to investigate knowledge about medication overuse headache (MOH) among pharmacy staff. BACKGROUND: MOH is a public health problem both in Sweden and in many other countries. Persons with MOH have limited contact with health care, and medications used are to large extent over-the-counter (OTC) medications. Therefore, pharmacists have an important role in, eg, advising these individuals about their medication use. Little is, however, known about the actual level of knowledge about MOH among pharmacy staff, which determines the quality of their advice to MOH sufferers. METHODS: A total of 326 questionnaires were distributed to 44 pharmacies in Gothenburg, Sweden. The questionnaire included background questions, questions about advice on headache treatment, source of knowledge about MOH, and questions on self-perceived and actual knowledge on MOH. RESULTS: The response rate was 70%. A majority of the pharmacy staff (90.6%) considered themselves to have knowledge about MOH to some or a greater extent. Almost half had learned about MOH through their university/vocational education. Only 8.6% knew that all 5 headache medications listed in the questionnaire can cause development of MOH, but 40% responded correctly on which treatment advice one can give a person with MOH. Actual knowledge on treatment advice differed significantly between groups of self-perceived knowledge. CONCLUSION: The knowledge on MOH is insufficient among pharmacy staff, but with the proper knowledge, pharmacy staff is well positioned to effect both primary and secondary prevention of MOH. We suggest not only increasing educational efforts about MOH within pharmacy programs but also continuing education at the pharmacies for all staff. Further, it is also important to increase knowledge among pharmacy customers.Copyright ‚î¨‚åê 2014 American Headache Society.</t>
  </si>
  <si>
    <t>J2: Headache; Hedenrud, Tove Babic, Naida Jonsson, Pernilla; ID: 50</t>
  </si>
  <si>
    <t>Hedenrud,Tove. Department of Public Health and Community Medicine, Institute of Medicine, University of Gothenburg, Gothenburg, Sweden.</t>
  </si>
  <si>
    <t>http://ovidsp.ovid.com/ovidweb.cgi?T=JS&amp;CSC=Y&amp;NEWS=N&amp;PAGE=fulltext&amp;D=medl&amp;AN=24766349</t>
  </si>
  <si>
    <t>http://dx.doi.org/10.1111/head.12350</t>
  </si>
  <si>
    <t>MEDLINE; Ovid Technologies; Medication overuse headache: self-perceived and actual knowledge among pharmacy staff</t>
  </si>
  <si>
    <t>Heimer,R.;Zhan,W.;Grau,L. E.</t>
  </si>
  <si>
    <t>NIHMS673815 Available on 06/01/16] PMC4447527 Available on 06/01/16]; Prevalence and experience of chronic pain in suburban drug injectors</t>
  </si>
  <si>
    <t>Adult;Age Factors;Analgesics, Opioid/tu Therapeutic Use];*Chronic Pain/ep Epidemiology];Chronic Pain/et Etiology];Chronic Pain/px Psychology];Connecticut/ep Epidemiology];Cross-Sectional Studies;Educational Status;Female;Humans;Interviews as Topic;Male;Middle Aged;Narcotics/tu Therapeutic Use];Opioid-Related Disorders/co Complications];Opioid-Related Disorders/px Psychology];*Pain Perception;Prevalence;Substance Abuse, Intravenous/co Complications];*Substance Abuse, Intravenous/px Psychology];Suburban Population;0 (Analgesics, Opioid);0 (Narcotics)</t>
  </si>
  <si>
    <t>AIMS: To explore the relationship between chronic pain and characteristics, behaviors, and psychological status of suburban Connecticut injection drug users. METHODS: Cross-sectional study with quantitative interview and serological testing for HIV and hepatitis B and C in 456 individuals who injected drugs in the past month. Participants were dichotomized into those reporting current chronic pain of at least six months duration and all others. The interview covered (i) sociodemographics, (ii) injection drug use, (iii) interactions with drug treatment, criminal justice, and harm reduction, (iv) screening for alcohol use, chronic pain, anxiety, and depression, and (v) knowledge regarding HIV, hepatitis B (HBV) and C (HCV), and opioid overdose. Serological testing for HIV, HBV, and HCV was conducted. RESULTS: One-third (n = 143) reported chronic pain. These individuals differed significantly from those not reporting chronic pain on characteristics that included older age, lower educational achievement, and injection of pharmaceutical opioids. They also reported experiencing more psychological and family problems on the ASI and higher levels of depression and anxiety. Four of five individuals with chronic pain (n = 117) reported non-medical opioid use prior to the onset of chronic pain. CONCLUSIONS: Chronic pain is common among drug injectors in our study population although it was unusual for chronic pain to have preceded non-medical opioid use. Psychological problems in injectors with co-occurring chronic pain are likely pose significant complications to successful treatment for substance abuse, pain, or infectious disease treatment.Copyright ‚î¨‚åê 2015 Elsevier Ireland Ltd. All rights reserved.</t>
  </si>
  <si>
    <t>J2: Drug Alcohol Depend; Heimer, Robert Zhan, Weihai Grau, Lauretta E S0376-8716(15)00147-7 R01 DA030420 (United States NIDA NIH HHS); ID: 15</t>
  </si>
  <si>
    <t>Heimer,Robert. Center for Interdisciplinary Research on AIDS and the Department of Epidemiology of Microbial Disease, Yale University School of Public Health, 60 College Street, New Haven, CT 06520, United States. Electronic address: robert.heimer@yale.edu. Zhan,Weihai. Center for Interdisciplinary Research on AIDS and the Department of Epidemiology of Microbial Disease, Yale University School of Public Health, 60 College Street, New Haven, CT 06520, United States. Grau,Lauretta E. Center for Interdisciplinary Research on AIDS and the Department of Epidemiology of Microbial Disease, Yale University School of Public Health, 60 College Street, New Haven, CT 06520, United States.</t>
  </si>
  <si>
    <t>http://ovidsp.ovid.com/ovidweb.cgi?T=JS&amp;CSC=Y&amp;NEWS=N&amp;PAGE=fulltext&amp;D=medc&amp;AN=25841984</t>
  </si>
  <si>
    <t>http://dx.doi.org/10.1016/j.drugalcdep.2015.03.007</t>
  </si>
  <si>
    <t>MEDLINE; Ovid Technologies; Prevalence and experience of chronic pain in suburban drug injectors</t>
  </si>
  <si>
    <t>Hendrix,C. W.;Wakeford,J.;Wire,M. B.;Lou,Y.;Bigelow,G. E.;Martinez,E.;Christopher,J.;Fuchs,E. J.;Snidow,J. W.</t>
  </si>
  <si>
    <t>Pharmacokinetics and pharmacodynamics of methadone enantiomers after coadministration with amprenavir in opioid-dependent subjects</t>
  </si>
  <si>
    <t>Pharmacotherapy:The Journal of Human Pharmacology &amp; Drug Therapy</t>
  </si>
  <si>
    <t>Adult;Anti-HIV Agents/bl Blood];Anti-HIV Agents/pk Pharmacokinetics];*Anti-HIV Agents/pd Pharmacology];Area Under Curve;Carbamates;Confidence Intervals;Drug Administration Schedule;Drug Interactions;Drug Therapy, Combination;Female;*HIV Infections/dt Drug Therapy];*Hiv-1;Humans;Male;Methadone/bl Blood];Methadone/pk Pharmacokinetics];*Methadone/pd Pharmacology];*Opioid-Related Disorders/rh Rehabilitation];Reaction Time/de Drug Effects];Stereoisomerism;Sulfonamides/bl Blood];Sulfonamides/pk Pharmacokinetics];*Sulfonamides/pd Pharmacology];0 (Anti-HIV Agents);0 (Carbamates);0 (Sulfonamides);5S0W860XNR (amprenavir);UC6VBE7V1Z (Methadone)</t>
  </si>
  <si>
    <t>STUDY OBJECTIVE: To investigate the steady-state pharmacokinetics of methadone enantiomers when coadministered with amprenavir. DESIGN: Prospective, open-label, within-subject pharmacokinetic study. SETTING: University research center. SUBJECTS: Nineteen opioid-dependent, methadone-maintained, healthy individuals were enrolled. INTERVENTION: On study day 1, subjects received their usual once-daily dose of methadone alone. On study days 2-11, they received the same once-daily methadone dose plus amprenavir 1200 mg twice/day. Serial blood samples were collected over 24 hours on study days 1 and 11 for measurement of plasma R- and S-methadone, and over 12 hours on day 11 for serum amprenavir concentrations. MEASUREMENTS AND MAIN RESULTS: Standard pharmacokinetic parameters were determined from the concentrations and compared between the two treatments (methadone alone vs methadone with amprenavir). Subjects served as their own control for methadone comparisons, and amprenavir comparisons were made by using a historic control group (38 healthy men). Opioid-effect measures were assessed throughout the study. Coadministration of amprenavir with methadone resulted in a 3-4-hour delay in plasma R- and S-methadone enantiomer peak concentrations at steady state (Cmax-ss). The active R-methadone enantiomer area under the plasma concentration-time curve during a dosing interval (AUCt-ss, Cmax-ss, and the minimum plasma concentration at steady state (Cmin-ss) were decreased by 13%, 25%, and 21%, respectively, after coadministration of methadone and amprenavir. The inactive S-enantiomer AUCt-ss, Cmax-ss, and Cmin-ss were decreased by 40%, 48%, and 52%, respectively. No clinically significant changes were noted in opioid pharmacodynamic effects, and there was no evidence of opioid withdrawal. No methadone dosage was changed in any subject. CONCLUSION: No a priori adjustment in methadone dosage is required during coadministration with amprenavir as there is only a small effect on R-methadone exposure and no evidence of opioid withdrawal.</t>
  </si>
  <si>
    <t>J2: Pharmacotherapy; Hendrix, Craig W Wakeford, John Wire, Mary Beth Lou, Yu Bigelow, George E Martinez, Elizabeth Christopher, Jared Fuchs, Edward J Snidow, Jerry W RR00052 (United States NCRR NIH HHS); ID: 469</t>
  </si>
  <si>
    <t>Hendrix,Craig W. Johns Hopkins University School of Medicine, Baltimore, MD 21287-5554, USA. chendrix@jhmi.edu</t>
  </si>
  <si>
    <t>http://ovidsp.ovid.com/ovidweb.cgi?T=JS&amp;CSC=Y&amp;NEWS=N&amp;PAGE=fulltext&amp;D=med5&amp;AN=15460171</t>
  </si>
  <si>
    <t>MEDLINE; Ovid Technologies; Pharmacokinetics and pharmacodynamics of methadone enantiomers after coadministration with amprenavir in opioid-dependent subjects</t>
  </si>
  <si>
    <t>Hepler,C. D.</t>
  </si>
  <si>
    <t>Regulating for outcomes as a systems response to the problem of drug-related morbidity</t>
  </si>
  <si>
    <t>Adult;Community Pharmacy Services/og Organization &amp; Administration];*Drug-Related Side Effects and Adverse Reactions;Hospitalization/sn Statistics &amp; Numerical Data];Humans;*Medication Errors/pc Prevention &amp; Control];Medication Systems/st Standards];Pharmaceutical Services/og Organization &amp; Administration];*Pharmaceutical Services/st Standards];Pharmacists;*Polypharmacy;Prevalence;*Problem Solving;Quality Assurance, Health Care;Treatment Outcome;United States</t>
  </si>
  <si>
    <t>OBJECTIVE: To describe the evidence that preventable adverse outcomes of drug therapy are prevalent in the United States and Europe, to describe the causes of this problem, to outline a systems response that would correct or improve the problem, to discuss pharmacy's contribution to that solution, and to propose a strategy for implementation. SUMMARY: The causes of the widespread problem of preventable drug-related morbidity (PDRM) that have been identified in the literature constitute system failure. Health professionals can understand an individual patient's care system if they organize their thinking about systems as efficiently as they organize their thinking about medical or pharmaceutical problems. Six essential system characteristics are proposed, based on the PDRM literature. Regulations should mandate regular patient and system performance assessments--specifically, that health professionals (1) identify, resolve, and document specific pharmacotherapy problems; (2) assess system performance and identify recurring root causes of problems; and (3) document assessments, problems found, actions taken, and follow-up. These regulations would, in essence, mandate individual quality improvement (QI) programs. QI and pharmaceutical care require similar processes of decisions and actions, one from a practice (multipatient) perspective and the other from a patient perspective. CONCLUSION: Health care accreditation agencies are moving toward regulation for outcomes. Pharmacy managers should embrace and regulatory boards should participate in this movement. Such regulations would clarify pharmacy's role in support of safe and effective pharmacotherapy and would constitute a commitment to pharmaceutical care as public service. A widely adopted system of measuring and improving the quality of medication use and outcomes could eventually lead to quality benchmarks in the community pharmacy setting, which would more firmly establish the value of the pharmacist in pharmacotherapy.</t>
  </si>
  <si>
    <t>J2: J Am Pharm Assoc (Wash); Hepler, C D; ID: 545</t>
  </si>
  <si>
    <t>Hepler,C D. DuBow Family Center for Research in Pharmaceutical Care, College of Pharmacy, University of Florida, Box 100496, Gainesville, FL 32610-0496, USA. hepler@cop.ufl.edu</t>
  </si>
  <si>
    <t>http://ovidsp.ovid.com/ovidweb.cgi?T=JS&amp;CSC=Y&amp;NEWS=N&amp;PAGE=fulltext&amp;D=med4&amp;AN=11216101</t>
  </si>
  <si>
    <t>MEDLINE; Ovid Technologies; Regulating for outcomes as a systems response to the problem of drug-related morbidity</t>
  </si>
  <si>
    <t>Heppner,H. J.;Christ,M.;Gosch,M.;Muhlberg,W.;Bahrmann,P.;Bertsch,T.;Sieber,C.;Singler,K.</t>
  </si>
  <si>
    <t>Polypharmacy in the elderly from the clinical toxicologist perspective</t>
  </si>
  <si>
    <t>Zeitschrift fur Gerontologie und Geriatrie</t>
  </si>
  <si>
    <t>Aged;Aged, 80 and over;*Drug Interactions;*Drug-Related Side Effects and Adverse Reactions/mo Mortality];Drug-Related Side Effects and Adverse Reactions/pc Prevention &amp; Control];Female;Germany/ep Epidemiology];Humans;Incidence;Male;*Poisoning/mo Mortality];Poisoning/pc Prevention &amp; Control];*Polypharmacy;Risk Assessment;Risk Factors;Survival Analysis;Survival Rate</t>
  </si>
  <si>
    <t>INTRODUCTION: Polypharmacy is closely associated with multimorbidity in the elderly and can lead to problems and drug interactions. AIM: This study assessed polypharmacy in the elderly, tracking inquiries to the Poison Information Centre Nuremberg (PICN) and patients needing toxicological intensive care therapy. METHODS: From 2006-2009, all PICN inquiries involving individuals &gt;70 years were tracked, as were cases at the Toxicological Intensive Care Unit (T-ICU) regarding adverse drug reactions (ADRs) and drug poisoning. RESULTS: Of 11,683 PICN calls about pharmaceuticals, 175 (1.5%) were from people &gt;70 years; 156 (4.8%) of 3,272 T-ICU patients were &gt;70 years. Calls about psychopharmaceuticals (46.9%) and analgesics (25.7%) were most frequent. Among the T-ICU patients, psychopharmaceuticals like sedatives and hypnotics were frequently involved (20.5%), as were tricyclic antidepressants (17.9%) and analgesics (29.5%). Ethanol was co-ingested by 18.3%. CONCLUSION: Population-specific poison prevention strategies are needed to reduce toxic exposures. Such strategies could include pharmacist intervention, improved prescriber communication and education regarding the geriatric population, and computerized drug databases.</t>
  </si>
  <si>
    <t>J2: Z Gerontol Geriatr; Heppner, H J Christ, M Gosch, M Muhlberg, W Bahrmann, P Bertsch, T Sieber, C Singler, K; ID: 178</t>
  </si>
  <si>
    <t>1435-1269</t>
  </si>
  <si>
    <t>Heppner,H J. Department of Emergency and Intensive Care Medicine, Klinikum Nuremberg, Prof.-E.-Nathan-Str. 1, 90419, Nuremberg, Germany. heppner@klinikum-nuernberg.de</t>
  </si>
  <si>
    <t>http://ovidsp.ovid.com/ovidweb.cgi?T=JS&amp;CSC=Y&amp;NEWS=N&amp;PAGE=fulltext&amp;D=medl&amp;AN=22915001</t>
  </si>
  <si>
    <t>MEDLINE; Ovid Technologies; Polypharmacy in the elderly from the clinical toxicologist perspective</t>
  </si>
  <si>
    <t>Herborg,H.;Soendergaard,B.;Froekjaer,B.;Fonnesbaek,L.;Jorgensen,T.;Hepler,C. D.;Grainger-Rousseau,T.;Ersboell,B. K.;Author,Addresses;Research;Development;Division,Pharmakon Danish College of Pharmacy Practice Hilleroed;Correspondence,Address;Herborg,Research,H.;Development Division, Pharmakon Danish,College of;Pharmacy Practice, Hilleroed Email hh,pharmakon dk</t>
  </si>
  <si>
    <t>11486980; Improving drug therapy for patients with asthma--part 1: Patient outcomes</t>
  </si>
  <si>
    <t>(2001) 41</t>
  </si>
  <si>
    <t>(MAJOR FOCUS);antiasthmatic agent (drug therapy);asthma (drug therapy);patient education;pharmacy;adolescent;adult;age distribution;analysis of variance;article;case control study;cost benefit analysis;Denmark;economics;female;human;male;middle aged;multicenter study;organization and management;patient satisfaction;prospective study;quality of life;questionnaire;sex ratio;treatment outcome</t>
  </si>
  <si>
    <t>OBJECTIVE: To evaluate the effects of a therapeutic outcomes monitoring (TOM) program on selected process and outcome measures. DESIGN: Prospective, controlled, multicenter study. SETTING: Community pharmacies throughout Denmark (16 intervention, 15 control). PATIENTS: Five hundred patients with asthma aged 16 to 60 years and treated in primary care. INTERVENTION: TOM is a community-based program for pharmaceutical care. Using a structured, seven-step, cyclical outcome improvement process, TOM pharmacists identify and resolve (or refer) problems with drug therapy that, if not addressed, might result in therapeutic failure or adverse effects. Equal emphasis is placed on the patient's perspective (e.g., coping, control, and empowerment) and the professional's perspective (e.g., adherence, patient knowledge, and therapeutic problems). TOM requires cooperation among pharmacists, patients, and physicians. MAIN OUTCOME MEASURES: Asthma symptom status, days of sickness, health-related and asthma-specific quality of life, use of health care services and resources, and satisfaction with health care and pharmacy. INTERMEDIATE OUTCOME AND PROCESS MEASURES: Peak expiratory flow rate (PEFR), knowledge of asthma and asthma medications, inhalation errors, and drug therapy problems in the TOM group. RESULTS: The mean individual differences for TOM and control patients were tested. Beneficial effects were found for the following outcome measures: asthma symptom status, days of sickness, and health-related and asthma-related quality of life. Satisfaction with health care and pharmacy varied throughout the course of the project, with no significant difference between groups at the final evaluation. Although not statistically significant, differences in use of services were considered to be clinically significant and encouraging. Beneficial effects were found for knowledge of asthma and medications, inhalation errors, drug use and drug therapy problems. No significant differences were found for PEFR. CONCLUSION: The project demonstrated that therapeutic outcomes monitoring by community pharmacists is an effective strategy for improving the quality of drug therapy for asthma patients in primary health care.</t>
  </si>
  <si>
    <t>(Herborg H.; Soendergaard B.; Froekjaer B.; Fonnesbaek L.; Jorgensen T.; Hepler C.D.; Grainger-Rousseau T.J.; Ersboell B.K.); ID: 1622</t>
  </si>
  <si>
    <t>http://www.ncbi.nlm.nih.gov/pubmed/11486980</t>
  </si>
  <si>
    <t>Improving drug therapy for patients with asthma--part 1: Patient outcomes</t>
  </si>
  <si>
    <t>Higashi,T.;Shekelle,P. G.;Solomon,D. H.;Knight,E. L.;Roth,C.;Chang,J. T.;Kamberg,C. J.;MacLean,C. H.;Young,R. T.;Adams,J.;Reuben,D. B.;Avorn,J.;Wenger,N. S.</t>
  </si>
  <si>
    <t>Improving patient care. The quality of pharmacologic care for vulnerable older patients</t>
  </si>
  <si>
    <t>Annals of Internal Medicine</t>
  </si>
  <si>
    <t>Ann.Intern.Med.</t>
  </si>
  <si>
    <t>I52 8p</t>
  </si>
  <si>
    <t>Drug Therapy -- Standards -- In Old Age;Clinical Indicators;Drugs, Prescription -- Standards;Patient Education;Continuity of Patient Care;Managed Care Programs;Prospective Studies;Random Sample;Chi Square Test;Confidence Intervals;Aged;Funding Source;Human</t>
  </si>
  <si>
    <t>BACKGROUND: Although pharmacotherapy is critical to the medical care of older patients, medications can have considerable toxicity in this age group. To date, research has focused on inappropriate prescribing and policy efforts have aimed at access, but no comprehensive measurement of the quality of pharmacologic management using explicit criteria has been performed. OBJECTIVE: To evaluate the broad range of pharmacologic care processes for vulnerable older patients. DESIGN: Observational cohort study. SETTING: 2 managed care organizations enrolling older persons. PATIENTS: Community-dwelling high-risk patients 65 years of age or older continuously enrolled in the managed care organizations from 1 July 1998 to 31 July 1999. MEASUREMENTS: Patients' receipt of care as specified in 43 quality indicators covering 4 domains of pharmacologic care: 1) prescribing indicated medications; 2) avoiding inappropriate medications; 3) education, continuity, and documentation; and 4) medication monitoring. RESULTS: Of 475 vulnerable older patients, 372 (78%) consented to participate and had medical records that could be abstracted. The percentage of appropriate pharmacologic management ranged from 10% for documentation of risks of nonsteroidal anti-inflammatory drugs to 100% for avoiding short-acting calcium-channel blockers in patients with heart failure and avoiding beta-blockers in patients with asthma. Pass rates for quality indicators in the 'avoiding inappropriate medications' domain (97% 95% CI, 96% to 98%]) were significantly higher than pass rates for 'prescribing indicated medications' (50% CI, 45% to 55%]); 'education, continuity, and documentation' (81% CI, 79% to 84%]); and 'medication monitoring' (64% CI, 60% to 68%]). LIMITATIONS: Fewer than 10 patients were eligible for many of the quality indicators measured, and the generalizability of these findings in 2 managed care organizations to the general geriatric population is uncertain. CONCLUSIONS: Failures to prescribe indicated medications, monitor medications appropriately, document necessary information, educate patients, and maintain continuity are more common prescribing problems than use of inappropriate drugs in older patients.</t>
  </si>
  <si>
    <t>Entry Date: 20040924. Revision Date: 20150711. Publication Type: Journal Article; consumer/patient teaching materials; research; tables/charts. Journal Subset: Biomedical; Expert Peer Reviewed; Peer Reviewed; USA. Grant Information: Pfizer Inc, a National Research Service Award (PE-19001) and the University of California, Los Angeles, Specialty Training and Advanced Research (STAR) Program. NLM UID: 0372351. PMID: 15126255.; ID: 1915</t>
  </si>
  <si>
    <t>Division of General Internal Medicine, University of California, Los Angeles, 911 Broxton Plaza, Los Angeles, CA 90095</t>
  </si>
  <si>
    <t>http://proxy.lib.umich.edu/login?url=http://search.ebscohost.com/login.aspx?direct=true&amp;db=ccm&amp;AN=106779629&amp;site=ehost-live&amp;scope=site</t>
  </si>
  <si>
    <t>ccm; EBSCOhost; Improving patient care. The quality of pharmacologic care for vulnerable older patients</t>
  </si>
  <si>
    <t>The quality of pharmacologic care for vulnerable older patients</t>
  </si>
  <si>
    <t>*Aged;Aged, 80 and over;Continuity of Patient Care/st Standards];Documentation;Drug Monitoring/st Standards];*Drug Prescriptions/st Standards];*Drug Therapy/st Standards];Female;Humans;Male;Managed Care Programs/st Standards];Patient Education as Topic;*Quality Indicators, Health Care</t>
  </si>
  <si>
    <t>BACKGROUND: Although pharmacotherapy is critical to the medical care of older patients, medications can have considerable toxicity in this age group. To date, research has focused on inappropriate prescribing and policy efforts have aimed at access, but no comprehensive measurement of the quality of pharmacologic management using explicit criteria has been performed. OBJECTIVE: To evaluate the broad range of pharmacologic care processes for vulnerable older patients. DESIGN: Observational cohort study. SETTING: 2 managed care organizations enrolling older persons. PATIENTS: Community-dwelling high-risk patients 65 years of age or older continuously enrolled in the managed care organizations from 1 July 1998 to 31 July 1999. MEASUREMENTS: Patients' receipt of care as specified in 43 quality indicators covering 4 domains of pharmacologic care: 1) prescribing indicated medications; 2) avoiding inappropriate medications; 3) education, continuity, and documentation; and 4) medication monitoring. RESULTS: Of 475 vulnerable older patients, 372 (78%) consented to participate and had medical records that could be abstracted. The percentage of appropriate pharmacologic management ranged from 10% for documentation of risks of nonsteroidal anti-inflammatory drugs to 100% for avoiding short-acting calcium-channel blockers in patients with heart failure and avoiding beta-blockers in patients with asthma. Pass rates for quality indicators in the "avoiding inappropriate medications" domain (97% 95% CI, 96% to 98%]) were significantly higher than pass rates for "prescribing indicated medications" (50% CI, 45% to 55%]); "education, continuity, and documentation" (81% CI, 79% to 84%]); and "medication monitoring" (64% CI, 60% to 68%]). LIMITATIONS: Fewer than 10 patients were eligible for many of the quality indicators measured, and the generalizability of these findings in 2 managed care organizations to the general geriatric population is uncertain. CONCLUSIONS: Failures to prescribe indicated medications, monitor medications appropriately, document necessary information, educate patients, and maintain continuity are more common prescribing problems than use of inappropriate drugs in older patients.</t>
  </si>
  <si>
    <t>J2: Ann Intern Med; Higashi, Takahiro Shekelle, Paul G Solomon, David H Knight, Eric L Roth, Carol Chang, John T Kamberg, Caren J MacLean, Catherine H Young, Roy T Adams, John Reuben, David B Avorn, Jerry Wenger, Neil S Comment in: Ann Intern Med. 2004 May 4;140(9):I52; PMID: 15126272 PE-19001 (United States BHP HRSA HHS); ID: 485</t>
  </si>
  <si>
    <t>1539-3704</t>
  </si>
  <si>
    <t>Higashi,Takahiro. Division of General Internal Medicine, University of California, Los Angeles, and the Greater Los Angeles Veterans Affairs Healthcare System, Los Angeles, California 90095, USA.</t>
  </si>
  <si>
    <t>http://ovidsp.ovid.com/ovidweb.cgi?T=JS&amp;CSC=Y&amp;NEWS=N&amp;PAGE=fulltext&amp;D=med5&amp;AN=15126255</t>
  </si>
  <si>
    <t>MEDLINE; Ovid Technologies; The quality of pharmacologic care for vulnerable older patients</t>
  </si>
  <si>
    <t>Hildt,E.;Lieb,K.;Bagusat,C.;Franke,A. G.</t>
  </si>
  <si>
    <t>PMC4433654; Reflections on Addiction in Students Using Stimulants for Neuroenhancement: A Preliminary Interview Study</t>
  </si>
  <si>
    <t>BioMed Research International</t>
  </si>
  <si>
    <t>Adult;*Amphetamines/ae Adverse Effects];Behavior, Addictive/ci Chemically Induced];*Behavior, Addictive/ep Epidemiology];*Central Nervous System Stimulants/ae Adverse Effects];Female;Health Surveys;Humans;Male;*Methylphenidate/ae Adverse Effects];Students;*Substance-Related Disorders/ep Epidemiology];Universities;0 (Amphetamines);0 (Central Nervous System Stimulants);207ZZ9QZ49 (Methylphenidate)</t>
  </si>
  <si>
    <t>The use of stimulants for the purpose of pharmacological neuroenhancement (NE) among students is a subject of increasing public awareness. The risk of addiction development by stimulant use for NE is still unanswered. Therefore, face-to-face interviews were carried out among 18 university students experienced in the nonmedical use of methylphenidate and amphetamines for NE assessing aspects of addiction. Interviews were tape-recorded, verbatim-transcribed, and analyzed using a qualitative approach. The interviews showed that participants--the majority had current or lifetime diagnoses of misuse or addiction to alcohol or cannabis-reported an awareness of the risk of addiction development associated with stimulant use and reported various effects which may increase their likelihood of future stimulant use, for example, euphoric effects, increase of self-confidence, and motivation. They also cited measures to counteract the development of addiction as well as measures taken to normalize again after stimulant use. Students were convinced of having control over their stimulant use and of not becoming addicted to stimulants used for NE. We can conclude that behavior and beliefs of the students in our sample appear to be risky in terms of addiction development. However, long-term empirical research is needed to estimate the true risk of addiction.</t>
  </si>
  <si>
    <t>J2: Biomed Res Int; Hildt, Elisabeth Lieb, Klaus Bagusat, Christiana Franke, Andreas G; ID: 5</t>
  </si>
  <si>
    <t>2314-6141</t>
  </si>
  <si>
    <t>Hildt,Elisabeth. Center for the Study of Ethics in the Professions, Illinois Institute of Technology, 3241 S. Federal Street, Chicago, IL 60616, USA ; Department of Philosophy, University of Mainz, Jakob Welder-Weg 18, 55099 Mainz, Germany. Lieb,Klaus. Department of Psychiatry and Psychotherapy, University Medical Centre, Untere Zahlbacher Strase 8, 55131 Mainz, Germany. Bagusat,Christiana. Department of Psychiatry and Psychotherapy, University Medical Centre, Untere Zahlbacher Strase 8, 55131 Mainz, Germany. Franke,Andreas G. Department of Psychiatry and Psychotherapy, University Medical Centre, Untere Zahlbacher Strase 8, 55131 Mainz, Germany ; Department of Social Work and Education, University of Neubrandenburg, University of Applied Sciences, Brodaer Strase 2, 17033 Neubrandenburg, Germany.</t>
  </si>
  <si>
    <t>http://ovidsp.ovid.com/ovidweb.cgi?T=JS&amp;CSC=Y&amp;NEWS=N&amp;PAGE=fulltext&amp;D=medl&amp;AN=26064931</t>
  </si>
  <si>
    <t>http://dx.doi.org/10.1155/2015/621075</t>
  </si>
  <si>
    <t>MEDLINE; Ovid Technologies; Reflections on Addiction in Students Using Stimulants for Neuroenhancement: A Preliminary Interview Study</t>
  </si>
  <si>
    <t>Hildt,E.;Lieb,K.;Franke,A. G.</t>
  </si>
  <si>
    <t>PMC3973848; Life context of pharmacological academic performance enhancement among university students--a qualitative approach</t>
  </si>
  <si>
    <t>BMC Medical Ethics</t>
  </si>
  <si>
    <t>Adult;*Amphetamines/ad Administration &amp; Dosage];*Central Nervous System Stimulants/ad Administration &amp; Dosage];Cognition/de Drug Effects];Educational Status;Female;Humans;Male;*Methylphenidate/ad Administration &amp; Dosage];Motivation;Nootropic Agents/ad Administration &amp; Dosage];*Nootropic Agents;Qualitative Research;Students/px Psychology];*Students;*Substance-Related Disorders/ep Epidemiology];Substance-Related Disorders/px Psychology];*Universities;0 (Amphetamines);0 (Central Nervous System Stimulants);0 (Nootropic Agents);207ZZ9QZ49 (Methylphenidate)</t>
  </si>
  <si>
    <t>BACKGROUND: Academic performance enhancement or cognitive enhancement (CE) via stimulant drug use has received increasing attention. The question remains, however, whether CE solely represents the use of drugs for achieving better academic or workplace results or whether CE also serves various other purposes. The aim of this study was to put the phenomenon of pharmacological academic performance enhancement via prescription and illicit (psycho-) stimulant use (Amphetamines, Methylphenidate) among university students into a broader context. Specifically, we wanted to further understand students' experiences, the effects of use on students and other factors, such as pressure to perform in their academic and private lives. METHODS: A sample of 18 healthy university students reporting the non-medical use of prescription and illicit stimulants for academic performance enhancement was interviewed in a face-to-face setting. The leading questions were related to the situations and context in which the students considered the non-medical use of stimulants. RESULTS: Based on the resultant transcript, two independent raters identified six categories relating to the life context of stimulant use for academic performance enhancement: Context of stimulant use beyond academic performance enhancement, Subjective experience of enhancement, Timing of consumption, Objective academic results, Side effects, Pressure to perform. CONCLUSIONS: The answers reveal that academic performance enhancement through the use of stimulants is not an isolated phenomenon that solely aims at enhancing cognition to achieve better academic results but that the multifaceted life context in which it is embedded is of crucial relevance. The participants not only considered the stimulants advantageous for enhancing academic performance, but also for leading an active life with a suitable balance between studying and time off. The most common reasons given for stimulant use were to maximize time, to increase motivation and to cope with memorizing. According to the interviews, there is a considerable discrepancy between subjective experiences and objective academic results achieved.</t>
  </si>
  <si>
    <t>J2: BMC Med Ethics; Hildt, Elisabeth Lieb, Klaus Franke, Andreas Gunter; ID: 72</t>
  </si>
  <si>
    <t>1472-6939</t>
  </si>
  <si>
    <t>Hildt,Elisabeth. Department of Philosophy, Johannes Gutenberg University of Mainz, Jakob Welder-Weg 18, D - 55099 Mainz, Germany. hildt@uni-mainz.de.</t>
  </si>
  <si>
    <t>http://ovidsp.ovid.com/ovidweb.cgi?T=JS&amp;CSC=Y&amp;NEWS=N&amp;PAGE=fulltext&amp;D=medl&amp;AN=24606831</t>
  </si>
  <si>
    <t>http://dx.doi.org/10.1186/1472-6939-15-23</t>
  </si>
  <si>
    <t>MEDLINE; Ovid Technologies; Life context of pharmacological academic performance enhancement among university students--a qualitative approach</t>
  </si>
  <si>
    <t>Hilsabeck,K.;Shepley,A.;Currie,J.;Sorofman,B.;Catney,C.;Schroeder,M.;Author,Addresses;University,of Iowa;Shepley Pharmacy,United States;Correspondence,Address;Hilsabeck, University of Iowa United States Email,K.;kyle.hilsabeck11@gmail.com</t>
  </si>
  <si>
    <t>Œì√á¬£Brown bagŒì√á¬• CMRs: Review of the medicine cabinet</t>
  </si>
  <si>
    <t>medicine chest;case study;diabetes mellitus;drug interaction;drug therapy;follow up;glycemic control;hospital department;human;interview;medication therapy management;patient;pharmacist;pharmacy;physician;prescription</t>
  </si>
  <si>
    <t>Objective: Document the value of reviewing a patient's actual medication containers during comprehensive medication reviews (CMRs). Methods: A qualitative approach using case studies will evaluate a new pharmacy service. Patients using medications to improve glycemic control in diabetes (target n = 10) will be invited to participate in a Comprehensive Medication Inventory Review (CMIR) which will review all of the patient's actual medication containers including prescription, OTC, herbals, and supplements. Prior to the visit, medication reconciliation (MedRec) will be performed by the resident pharmacist using only the patient, pharmacy, and doctor records. The patient will then be instructed to collect all medication containers from home and bring them to a CMIR interview at a later date. The CMIR, completed by the resident pharmacist, will be similar to the MedRec only it will include the review of actual medication containers. The medication lists obtained by MedRec and CMIR will be compared to identify discrepancies. A follow-up survey will assess patient perception of the CMIR service. Financial data will be collected to examine any changes in monthly medication costs to the payers and cost of program delivery. Numbers of potential ADRs, drug related problems identified, and drug interactions will be recorded.</t>
  </si>
  <si>
    <t>(Hilsabeck K., kyle.hilsabeck11@gmail.com; Currie J.; Sorofman B.; Catney C.; Schroeder M.) (Shepley A.) APhA2012 New Orleans, LA, United States 2012-03-09 to 2012-03-12 American Pharmacists Association; ID: 1190</t>
  </si>
  <si>
    <t>Hippius,M.;Humaid,B.;Sicker,T.;Hoffmann,A.;Gottler,M.;Hasford,J.</t>
  </si>
  <si>
    <t>Adverse drug reaction monitoring--digitoxin overdosage in the elderly</t>
  </si>
  <si>
    <t>International Journal of Clinical Pharmacology &amp; Therapeutics</t>
  </si>
  <si>
    <t>*Adverse Drug Reaction Reporting Systems;Age Factors;Aged;Aged, 80 and over;*Anti-Arrhythmia Agents/ae Adverse Effects];Anti-Arrhythmia Agents/tu Therapeutic Use];Demography;*Digitoxin/ae Adverse Effects];Digitoxin/tu Therapeutic Use];Drug Overdose;Female;Germany;Hospitalization;Humans;Male;Risk Factors;0 (Anti-Arrhythmia Agents);E90NZP2L9U (Digitoxin)</t>
  </si>
  <si>
    <t>Drug-related illness is an everlasting universal problem and also an important cause of admissions to hospitals. Adverse reactions are still grossly underreported by medical professions. Little information is available regarding the frequency or type of ADRs managed in hospitals. Since January 1997, we have taken part in a study, supported by the German Federal Institute for Drugs and Medical Device to improve the spontaneous drug information reporting system in Germany. Three German regionalized Departments of Clinical Pharmacology--Jena, Dresden, Rostock--serve as Pharmacovigilance Centers in collaboration with the Pharmacoepidemiology Research Group of the University of Munich. Since January 1997, the regional group in Jena has been monitoring the University Clinic of Internal Medicine for admissions caused by adverse drug reactions. All emergency cases and patients on intensive care units were checked for adverse drug reactions. We present our results, including clinical and demographic data, concerning intoxications and especially those involving digitoxin in 210 patients with ADR. Forty patients with digitoxin toxicity had an average age of 81 years (81.1+/-6.3), a low body weight (59.7+/-12.7 kg) and 3 out of 4 were women. 75% of all patients with digitoxin side effects had elevated serum digitoxin levels with concentrations higher than 25 microg/ml. The relatively high frequency of digitoxin intoxications in our hospital may reflect the advanced age and low body weight of patients. Patients received digitoxin regardless of age, weight and, sometimes, clinical indication. Physicians should be aware of drugs having a high risk when used in elderly patients. The use of digitoxin assays and keeping serum levels within or near the therapeutic range will diminish the incidence of overdoses.</t>
  </si>
  <si>
    <t>J2: Int J Clin Pharmacol Ther; Hippius, M Humaid, B Sicker, T Hoffmann, A Gottler, M Hasford, J; ID: 534</t>
  </si>
  <si>
    <t>0946-1965</t>
  </si>
  <si>
    <t>Hippius,M. Department of Clinical Pharmacology, Friedrich Schiller University of Jena, Germany. Marion.Hippius@med.uni-jena.de</t>
  </si>
  <si>
    <t>http://ovidsp.ovid.com/ovidweb.cgi?T=JS&amp;CSC=Y&amp;NEWS=N&amp;PAGE=fulltext&amp;D=med4&amp;AN=11515708</t>
  </si>
  <si>
    <t>MEDLINE; Ovid Technologies; Adverse drug reaction monitoring--digitoxin overdosage in the elderly</t>
  </si>
  <si>
    <t>Hirschfeld,R. M.;Russell,J. M.;Delgado,P. L.;Fawcett,J.;Friedman,R. A.;Harrison,W. M.;Koran,L. M.;Miller,I. W.;Thase,M. E.;Howland,R. H.;Connolly,M. A.;Miceli,R. J.</t>
  </si>
  <si>
    <t>Predictors of response to acute treatment of chronic and double depression with sertraline or imipramine</t>
  </si>
  <si>
    <t>Adult;Aged;Ambulatory Care;*Antidepressive Agents, Tricyclic/tu Therapeutic Use];Chronic Disease;Comorbidity;Depressive Disorder/di Diagnosis];*Depressive Disorder/dt Drug Therapy];Depressive Disorder/px Psychology];Double-Blind Method;Educational Status;Female;Humans;*Imipramine/tu Therapeutic Use];Male;Middle Aged;Personality;Probability;Psychiatric Status Rating Scales/sn Statistics &amp; Numerical Data];Quality of Life;*Serotonin Uptake Inhibitors/tu Therapeutic Use];*Sertraline/tu Therapeutic Use];Severity of Illness Index;Social Adjustment;Treatment Outcome;0 (Antidepressive Agents, Tricyclic);0 (Serotonin Uptake Inhibitors);OGG85SX4E4 (Imipramine);QUC7NX6WMB (Sertraline)</t>
  </si>
  <si>
    <t>BACKGROUND: The literature on predictors of response to treatment of nonchronic major depression has identified shorter duration of illness, acute onset, and less severity of illness as positive predictors. Unfortunately, there are almost no data on predictors of response to treatment for chronic depression. This study examined predictors of response to pharmacotherapy (sertraline or imipramine) in the treatment of outpatients who had DSM-III-R-defined chronic major or double depression. METHOD: The acute phase of the Chronic Major Depression and Double Depression Study is a double-blind, randomized, parallel-group 12-week comparison of sertraline and imipramine. Analyses are based on 623 patients who comprised the intent-to-treat sample, of whom 299 were nonresponders and 324 were responders, defined by a priori criteria as either remission or satisfactory therapeutic response. A stepwise logistic multiple regression analysis was performed on candidate clinical, psychosocial, and demographic variables previously identified as statistically significant in an attempt to develop a predictive model of positive antidepressant response. RESULTS: The sociodemographic variables that were predictive of positive response included living with spouse or partner or being at least a high school graduate. With regard to symptomatology and clinical history, responders had significantly lower baseline depression severity scores. In general, comorbid anxiety, substance abuse, and personality disorders did not influence rates of response. However, the presence of depressive personality traits was associated with a higher nonresponse rate. Among psychosocial variables, longer duration of personal relationships as well as higher baseline quality of life were associated with positive response. A stepwise logistic multiple regression identified 5 variables-living with spouse or partner, higher educational level, passive-aggressive personality, lower introverted-tense personality traits, and higher quality of life--that significantly and independently contributed to the predictive model. This model correctly classified 67% of patients. CONCLUSION: A higher baseline quality of life, living with spouse or partner, and having more education were the strongest predictors of response to acute pharmacotherapy among chronically depressed patients. Clinical variables and comorbidity were not identified as independent predictors, although personality traits did appear to influence treatment response. Overall, the predictive value of these baseline measures was modest, and therefore of limited clinical utility.</t>
  </si>
  <si>
    <t>J2: J Clin Psychiatry; Hirschfeld, R M Russell, J M Delgado, P L Fawcett, J Friedman, R A Harrison, W M Koran, L M Miller, I W Thase, M E Howland, R H Connolly, M A Miceli, R J; ID: 575</t>
  </si>
  <si>
    <t>Hirschfeld,R M. Department of Psychiatry and Behavioral Sciences, University of Texas Medical Branch at Galveston 77555-0429, USA.</t>
  </si>
  <si>
    <t>http://ovidsp.ovid.com/ovidweb.cgi?T=JS&amp;CSC=Y&amp;NEWS=N&amp;PAGE=fulltext&amp;D=med4&amp;AN=9921701</t>
  </si>
  <si>
    <t>MEDLINE; Ovid Technologies; Predictors of response to acute treatment of chronic and double depression with sertraline or imipramine</t>
  </si>
  <si>
    <t>Hizel,C.;Author,Addresses;C2H-Vichy Genomics,Vichy France;Pharmacogenetics Consultants,Yeditepe University;Marmara;University,Faculty of Pharmacy Pharmacogenetics;Drug Safety,Unit;Istanbul,Turkey;Correspondence,Address;Vichy Genomics Vichy France,C.Hizel, C.H.</t>
  </si>
  <si>
    <t>Pharmacogenetics for predictive and personalized medicine in post-genomic ERA: A long way ahead</t>
  </si>
  <si>
    <t>53s</t>
  </si>
  <si>
    <t>54s</t>
  </si>
  <si>
    <t>dna;Canada;evoked response audiometry;health;personalized medicine;pharmaceutics;pharmacogenetics;pharmacology;society;therapy;adverse drug reaction;clinical study;death;drug dose regimen;education;gene;genetic difference;genetics;health practitioner;human;human genome project;information science;lifestyle;money;nutritional status;patient;pharmacogenomics;pharmacy;physician;smoking</t>
  </si>
  <si>
    <t>The era of post-genomic medicine arrived with the completion of the Human Genome Project in 2003, exactly 50 years after the discovery of DNA by Watson and Crick which means integration of genetic knowledge in our everyday life.Tremendous progress has been done during last several years in modern medicine due to rapid development of molecular medicine specifically genetics and also as informatics which has accelerated the use of Predictive and Personalized Medicine in routine medical and pharmacy practise for more efficient treatment of individuals. However, for most clinicians, the post-genomic era has not yet arrived. Today, the physicians still have to optimize a dosage regimen for an individual patient by Œì√á¬£trail-and errorŒì√á¬• method. This kind of blind approach may cause many important adverse drug reactions, hospitalizing problem and many avoidable deaths. In addition, inefficient treatment cost a lot of money. The concept of predictive and personalized medicine is a lifelong and pharmacogenetics, the study of how genetic differences influence the variability in patients' responses to drugs, forms the cornerstone of predictive and personalized medicine. The most important barriers delaying clinical uptake and application of pharmacogenomics is lack of knowledge and insufficient education of health professionals regarding pharmacogenetics rather than technical issue. Moreover, there is a lack of qualification of information concerning to pharmacogenetic testing results, the pharmacogenetic testing results without precise personalized interpretation regarding to patient's peculiarities, such as his/her life style factors like smoking or nutritional status and his/her clinical data could not be useful for medical professionals and patients. We are in post-genomic era, it is now time... don't miss out on this opportunity, make your genes work for you and take control of your health!</t>
  </si>
  <si>
    <t>(Hizel C.) Multidisciplinary Approaches to Modern Therapeutics: Joining Forces for a Healthier Tomorrow. An International Symposium Held Jointly by Canadian Society for Pharmaceutical Sciences, CSPS, Canadian Society for Pharmacology and Therapeutics, CSPT, Controlled Release Society, CRS-Canadian Chapter, and Natural Health Products Research Society of Canada, NHPRS Montreal, QC, Canada 2011-05-24 to 2011-05-27 Canadian Society for Pharmaceutical Sciences; ID: 1298</t>
  </si>
  <si>
    <t>Ho,L.;Akada,K.;Messner,H.;Kuruvilla,J.;Wright,J.;Seki,J. T.</t>
  </si>
  <si>
    <t>PMC3633495; Pharmacist's Role in Improving Medication Safety for Patients in an Allogeneic Hematopoietic Cell Transplant Ambulatory Clinic</t>
  </si>
  <si>
    <t>BACKGROUND: Patients undergoing allogeneic hematopoietic cell transplantation (allo-HCT), supported by complex drug regimens, are vulnerable to drug therapy problems (DTPs) at interfaces of care after discharge from hospital and may benefit from timely pharmacy interventions and education. OBJECTIVE: To determine the effect on medication safety of, as well as potential barriers to, incorporating a pharmacist in the multidisciplinary team of an allo-HCT clinic. METHODS: Two pharmacists rotated to attend the allo-HCT clinic of a tertiary care, university-affiliated cancer centre between January and June 2010 (coverage for 1 of 3 clinic days per week). For every patient who was seen by a pharmacist, all discharge medications were reconciled from the inpatient ward to the clinic. The pharmacists' primary task was to perform medication reconciliation and to identify and resolve DTPs. The pharmacists also provided medication education to patients and pharmacy consultations to clinic staff. Working with the outpatient pharmacy, the pharmacists helped to clarify prescriptions and drug coverage issues. Medication discrepancies identified and interventions performed by the pharmacists were recorded and were later graded for clinical significance by a panel of clinicians. Patient and staff satisfaction surveys were conducted at random during the study period. Barriers to the flow of patient care and other operational issues were documented. RESULTS: The 2 pharmacists saw a total of 35 patients over 100 visits. They identified a total of 50 medication discrepancies involving 17 (49%) of the patients and 70 DTPs involving 23 (66%) of the patients. Thirty-one of the 70 DTPs resulted directly from a medication discrepancy. Twenty (95%) of the 21 unintentional medication discrepancies and 7 (70%) of the 10 undocumented intentional medication discrepancies were graded as clinically significant or moderately significant. Satisfaction surveys completed by patients and clinic staff yielded positive responses supporting pharmacists' participation. CONCLUSIONS: Pharmacists working as part of the multidisciplinary team identified and resolved medication discrepancies, thereby improving medication safety at the allo-HCT clinic.</t>
  </si>
  <si>
    <t>J2: Can J Hosp Pharm; Ho, Lina Akada, Keith Messner, Hans Kuruvilla, John Wright, Janice Seki, Jack T; ID: 155</t>
  </si>
  <si>
    <t>1920-2903</t>
  </si>
  <si>
    <t>http://ovidsp.ovid.com/ovidweb.cgi?T=JS&amp;CSC=Y&amp;NEWS=N&amp;PAGE=fulltext&amp;D=prem&amp;AN=23616675</t>
  </si>
  <si>
    <t>MEDLINE; Ovid Technologies; Pharmacist's Role in Improving Medication Safety for Patients in an Allogeneic Hematopoietic Cell Transplant Ambulatory Clinic</t>
  </si>
  <si>
    <t>Hohmann,C.;Radziwill,R.;Klotz,J. M.;Jacobs,A. H.</t>
  </si>
  <si>
    <t>PMC2894785; Health-related quality of life after ischemic stroke: the impact of pharmaceutical interventions on drug therapy (pharmaceutical care concept)</t>
  </si>
  <si>
    <t>Health &amp; Quality of Life Outcomes</t>
  </si>
  <si>
    <t>Aged;Aged, 80 and over;*Brain Ischemia/dt Drug Therapy];Brain Ischemia/th Therapy];Female;Follow-Up Studies;Germany;Health Status Indicators;Humans;Ischemic Attack, Transient/dt Drug Therapy];Male;Middle Aged;Quality Assurance, Health Care;*Quality of Life;Risk Factors;*Stroke/dt Drug Therapy];Stroke/th Therapy]</t>
  </si>
  <si>
    <t>BACKGROUND: Health-related quality of life (HRQoL) after stroke is an important healthcare measure. Pharmaceutical Care (PC) is an evolving concept to optimize drug-therapy, minimize drug-related problems, and improve HRQoL of patients. The purpose of this study was to evaluate the impact of PC on HRQoL, as determined by Short Form 36 (SF-36) among patients after TIA or ischemic stroke one-year following their initial entry in hospital. METHODS: Patients were assigned to either an intervention (IG) or a control group (CG). The individual assignment of the patient to IG or CG depended on the community pharmacy to which the patients were assigned for care. Community pharmacies either delivered standard care (CG) or provided intensified PC (IG). Pharmacists who are members of the "Quality Assurance Working Group" (QAWG) provided PC for patients in IG. RESULTS: 255 patients were recruited (IG: n = 90; CG: n = 165) between 06/2004 to 01/2007. During the study, the HRQoL of the patients in IG did not change significantly. In the CG, a significant decrease in the HRQoL was observed in 7/8 subscales and in both summary measures of SF-36. CONCLUSIONS: This is the first follow-up study in Germany involving a major community hospital, rehabilitation hospitals, community pharmacies and general practitioners investigating the impact of PC on HRQoL of patients after ischemic stroke. Our findings indicate that an intensified education and care of patients after ischemic stroke by dedicated pharmacists based on a concept of PC may maintain the HRQoL of IG patients.</t>
  </si>
  <si>
    <t>J2: Health Qual Life Outcomes; Hohmann, Carina Radziwill, Roland Klotz, Juergen M Jacobs, Andreas H; ID: 283</t>
  </si>
  <si>
    <t>1477-7525</t>
  </si>
  <si>
    <t>Hohmann,Carina. Klinikum Fulda gAG, Department of Neurology, Pacelliallee 4, 36043 Fulda, Germany. carina.hohmann@klinikum-fulda.de</t>
  </si>
  <si>
    <t>http://ovidsp.ovid.com/ovidweb.cgi?T=JS&amp;CSC=Y&amp;NEWS=N&amp;PAGE=fulltext&amp;D=med5&amp;AN=20565872</t>
  </si>
  <si>
    <t>http://dx.doi.org/10.1186/1477-7525-8-59</t>
  </si>
  <si>
    <t>MEDLINE; Ovid Technologies; Health-related quality of life after ischemic stroke: the impact of pharmaceutical interventions on drug therapy (pharmaceutical care concept)</t>
  </si>
  <si>
    <t>Holdford,D. A.;Warholak,T. L.;West-Strum,D.;Bentley,J. P.;Malone,D. C.;Murphy,J. E.</t>
  </si>
  <si>
    <t>PMC3138345; Teaching the science of safety in US colleges and schools of pharmacy</t>
  </si>
  <si>
    <t>*Education, Pharmacy;Humans;Safety;Schools, Pharmacy;Science;*Teaching;United States;United States Food and Drug Administration</t>
  </si>
  <si>
    <t>This paper provides baseline information on integrating the science of safety into the professional degree curriculum at colleges and schools of pharmacy. A multi-method examination was conducted that included a literature review, key informant interviews of 30 individuals, and in-depth case studies of 5 colleges and schools of pharmacy. Educators believe that they are devoting adequate time to science of safety topics and doing a good job teaching students to identify, understand, report, manage, and communicate medication risk. Areas perceived to be in need of improvement include educating pharmacy students about the Food and Drug Administration's (FDA's) role in product safety, how to work with the FDA in post-marketing surveillance and other FDA safety initiatives, teaching students methods to improve safety, and educating students to practice in interprofessional teams. The report makes 10 recommendations to help pharmacy school graduates be more effective in protecting patients from preventable drug-related problems.</t>
  </si>
  <si>
    <t>J2: Am J Pharm Educ; Holdford, David A Warholak, Terri L West-Strum, Donna Bentley, John P Malone, Daniel C Murphy, John E; ID: 241</t>
  </si>
  <si>
    <t>Holdford,David A. Virginia Commonwealth University, Richmond, 23298-0533, USA. daholdfo@vcu.edu</t>
  </si>
  <si>
    <t>http://ovidsp.ovid.com/ovidweb.cgi?T=JS&amp;CSC=Y&amp;NEWS=N&amp;PAGE=fulltext&amp;D=med5&amp;AN=21769153</t>
  </si>
  <si>
    <t>MEDLINE; Ovid Technologies; Teaching the science of safety in US colleges and schools of pharmacy</t>
  </si>
  <si>
    <t>Holdsworth,M. T.;Raisch,D. W.</t>
  </si>
  <si>
    <t>Availability of narcotics and pharmacists' attitudes toward narcotic prescriptions for cancer patients</t>
  </si>
  <si>
    <t>*Attitude of Health Personnel;Drug Prescriptions;Education, Pharmacy;Humans;*Narcotics/tu Therapeutic Use];*Neoplasms/dt Drug Therapy];New Mexico;*Pharmacists/px Psychology];Surveys and Questionnaires;0 (Narcotics)</t>
  </si>
  <si>
    <t>OBJECTIVE: To determine narcotic availability and pharmacist apprehension toward dispensing narcotics for cancer patients. DESIGN: Mailing of a one-page survey. SETTING: All pharmacies in the state of New Mexico. PARTICIPANTS: Of the 309 pharmacies, 76.1 percent (235) completed the survey. MEASUREMENTS AND MAIN RESULTS: Apprehension was significantly elevated for methadone, hydromorphone, and for morphine doses greater than 500 mg/d (p less than 0.001). The most common reasons listed for apprehension were forgery (46.4 percent), theft (40.4 percent), high dosages (23.8 percent), narcotic investigations (18.7 percent), and patient addiction (9.4 percent). Hydromorphone was available (in stock) in 80.5 percent of the pharmacies, followed by morphine 30-mg sustained-release tablets (64.5 percent) and methadone (53.4 percent). The vast majority of pharmacists were willing to order strong narcotics for specific patients. Pharmacists working in chain stores expressed a higher level of apprehension toward dispensing methadone and more frequently cited forgery as a reason for apprehension. Distance from a metropolitan area and practice setting best predicted apprehension to forgery (p = 0.01). CONCLUSIONS: Pharmacists do not appear to be a major obstruction to adequate analgesia for cancer patients in New Mexico but may require further education regarding lack of narcotic addiction and dosing in patients with cancer.</t>
  </si>
  <si>
    <t>J2: Ann Pharmacother; Holdsworth, M T Raisch, D W; ID: 663</t>
  </si>
  <si>
    <t>Holdsworth,M T. College of Pharmacy, University of New Mexico, Albuquerque 87131.</t>
  </si>
  <si>
    <t>http://ovidsp.ovid.com/ovidweb.cgi?T=JS&amp;CSC=Y&amp;NEWS=N&amp;PAGE=fulltext&amp;D=med3&amp;AN=1554950</t>
  </si>
  <si>
    <t>MEDLINE; Ovid Technologies; Availability of narcotics and pharmacists' attitudes toward narcotic prescriptions for cancer patients</t>
  </si>
  <si>
    <t>Hollinger,R. C.;Dabney,D. A.;Author,Addresses;Department,of Sociology;Florida,Gainesville F. L. United States;Correspondence,Address;RC Hollinger, Department of Sociology University of,Florida Gainesville;Fl,United States</t>
  </si>
  <si>
    <t>Social factors associated with pharmacists' unauthorized use of mind-altering prescription medications</t>
  </si>
  <si>
    <t>Journal of Drug Issues</t>
  </si>
  <si>
    <t>J.Drug Iss.</t>
  </si>
  <si>
    <t>drug abuse;pharmacist;prescription;social aspect;disease predisposition;drug use;education;health care personnel;human;professional practice;review;self report;Drug Dependence, Alcohol Abuse and Alcoholism (40)</t>
  </si>
  <si>
    <t>A "medical model" ideology dominates the study of drug abuse among health care professionals. This perspective defines and approaches drug abuse as a disease. While this disease is said to have bio-psycho-social origins, scholars have principally focused on possible biological and psychological factors that produce a "predisposition" drug abuse. Pertinent social factors have been largely overlooked. Drawing upon the membership list (N=50,000+) of the American Pharmaceutical Association, a random sample of 2,036 practicing pharmacists were queried to investigate the relationship between pharmacists' educational, occupational, and professional socialization and their involvement in illicit prescription drug use. A total of 1,016(50.2%) questionnaires were returned. The data show that 40.1% of the respondents self-reported illegally using some form of potentially addictive, mind-altering prescription drug. Further, 21% reported 5 or more lifetime use episodes and 6.6% reported more than 10. Multivariate analysis reveals significant relationships between numerous social factors and pharmacists' levels of self reported drug use. The existence of these relationships raises the possibility that certain aspects of the professional socialization process may also play a role in the etiology of pharmacists'drug abuse. We conclude that there exists a need to revisit current theoretical and policy approaches to this social problem.</t>
  </si>
  <si>
    <t>(Hollinger R.C.; Dabney D.A.); ID: 1612</t>
  </si>
  <si>
    <t>0022-0426</t>
  </si>
  <si>
    <t>Holloway,Aisha S.;Webster,Brian J.</t>
  </si>
  <si>
    <t>Alcohol education and training in pre-registration nursing: A national survey to determine curriculum content in the United Kingdom (UK)</t>
  </si>
  <si>
    <t>997 6p</t>
  </si>
  <si>
    <t>Alcohol Abuse -- Education -- United Kingdom;Education, Nursing -- United Kingdom;Human;United Kingdom;Descriptive Research;Descriptive Statistics;Convenience Sample;Questionnaires;Colleges and Universities;Student Attitudes -- Evaluation;Curriculum</t>
  </si>
  <si>
    <t>Summary: Background: Alcohol-related harm impacts significantly on the health of the population. Nurses are often among the first health professionals that many patients with alcohol-related problems come into contact with and have been identified as playing a key role but may be ill-prepared to respond. Future nurses need to have the skills, knowledge and clinical confidence to respond to patients suffering from alcohol-related harm. A pre-registration curriculum that ensures a nursing workforce fit for practice in responding to alcohol-related harm is necessary. Objectives: To determine the level of alcohol education and training content in the pre-registration curriculum for nursing in the United Kingdom (UK). To establish whether there are variations in the pre-registration curriculum content across the UK. Design: A descriptive study. Setting: All 68 UK Higher Education Institutions offering a total of 111 pre-registration courses for nurses were invited to participate in the study. Participants: Twenty nine completed questionnaires were returned, a response rate of 26%. The largest number of identified responders were from England (n=15), with 3 from Scotland and 1 each from Wales and Northern Ireland. Nine Universities chose not to identify themselves. Methods: An online semi-structured questionnaire survey was used to collect the study data. Results: Teaching of alcohol and alcohol related harm was mainly delivered during the second year of a pre-registration nursing programme provided mainly to adult and mental health students. Overall, the majority of alcohol related content that is provided within the responding pre-registration nursing courses relates to biophysiology, aetiology, and pharmacological and non-pharmacological interventions. Conclusion: This study highlights the need for a greater and more relevant focus of alcohol education to pre-registration nursing students of all fields of practice incorporating an integrated approach across all years of study.</t>
  </si>
  <si>
    <t>Entry Date: 20131011. Revision Date: 20150711. Publication Type: Journal Article; research. Journal Subset: Core Nursing; Europe; Nursing; Peer Reviewed; UK &amp; Ireland. Special Interest: Nursing Education. NLM UID: 8511379. PMID: 23154151.; ID: 1814</t>
  </si>
  <si>
    <t>School of Health in Social Sciences, The University of Edinburgh, The Medical School, Teviot Place, Edinburgh EH8 9AG, UK School of Nursing &amp; Midwifery, Faculty of Health &amp; Social Care, Robert Gordon University, Garthdee Campus, Garthdee Road, Aberdeen AB10 7QG, Scotland, UK</t>
  </si>
  <si>
    <t>http://proxy.lib.umich.edu/login?url=http://search.ebscohost.com/login.aspx?direct=true&amp;db=ccm&amp;AN=104218439&amp;site=ehost-live&amp;scope=site</t>
  </si>
  <si>
    <t>10.1016/j.nedt.2012.10.011</t>
  </si>
  <si>
    <t>ccm; EBSCOhost; Alcohol education and training in pre-registration nursing: A national survey to determine curriculum content in the United Kingdom (UK)</t>
  </si>
  <si>
    <t>Holmes,J. C.;Liu,M.;Bennett,R.;Author,Addresses;Ernest Mario School,of Pharmacy;University of,New Jersey;Princeton,House Behavioral;Princeton Health,Care System;Correspondence,Address;JC Holmes, Ernest Mario School of Pharmacy Rutgers State,University of;New Jersey,United States</t>
  </si>
  <si>
    <t>Assessment of psychotropic drug abuse in an adolescent substance dependent population and evaluation of associated prescriber perceptions</t>
  </si>
  <si>
    <t>(MAJOR FOCUS);psychotropic agent;amphetamine derivative;antidepressant agent;benzodiazepine derivative;mood stabilizer;opiate;prescription drug;adolescent;college;drug abuse;human;pharmacist;population;abuse;communication disorder;drug administration;drug therapy;drug use;high risk population;hospital patient;institutional review;patient;prescription;prevalence;questionnaire;refusal to participate;safety;statistics;substance abuse;tobacco</t>
  </si>
  <si>
    <t>Background: Illicit use of prescription opiates, amphetamines, and benzodiazepines among various populations has been well described in the literature; however, emerging reports also suggest the increasing misuse of medications classified as antipsychotics, antidepressants, and mood stabilizers. To our knowledge, no studies to date have specifically evaluated prescription psychotropic abuse among any high-risk population such as substance-dependent adolescents. It is also unknown if providers have been alerted to the possible trend, and if positive results would alter prescribing decisions. Objectives: (1) Describe the characteristics of adolescents reporting any history of prescription psychotropic drug abuse. (2) Assess prescriber perceptions of the current state of psychotropic drug abuse and inclination to change prescribing based on reported use. Methods: For this prospective, descriptive analysis, study participants will be recruited from an adolescent inpatient substance abuse treatment facility in Princeton, NJ, with a target enrollment of n = 50 participants. All adolescent patients admitted from December 2010 forward will be eligible to participate in this Institutional Review Board-approved survey. Those patients with communication barriers or refusal to participate will beexcluded.Patientage, sex,age of first drug use, tobacco use, and drug of choice will be analyzed as baseline characteristics. Participants reporting any history of psychotropic use will be questioned on frequency, access, and method of drug administration. User perception of safety and access regarding prescription drugs versus other illicit substances will also be evaluated. In the second phase of the study, inpatient prescribers will be asked to participate in a questionnaire prior to presentation of study data to assess perceptions regarding the prevalence of psychotropic misuse. An additional assessment will be provided following the presentation of study results, focusing on the likelihood to change existing psychotropic prescribing based on the information found in the substance abuse population.Outcomes: The number and percentage of psychotropic medication abusers, including patient characteristics and perceptions of prescription drug abuse will be reported using descriptive statistics. Prescriber perceptions prior to and after presentation of survey data will also be reported.</t>
  </si>
  <si>
    <t>(Holmes J.C.; Liu M.) (Holmes J.C.; Liu M.; Bennett R.) 14th Annual Meeting of the College of Psychiatric and Neurologic Pharmacists, CPNP 2011 Phoenix, AZ, United States 2011-05-01 to 2011-05-04 Sage Publications; ID: 1275</t>
  </si>
  <si>
    <t>Holtzman,C. W.;Brady,K. A.;Yehia,B. R.</t>
  </si>
  <si>
    <t>NIHMS674011 Available on 04/01/16] PMC4384328 Available on 04/01/16]; Retention in care and medication adherence: current challenges to antiretroviral therapy success</t>
  </si>
  <si>
    <t>Drugs</t>
  </si>
  <si>
    <t>*Anti-HIV Agents/ae Adverse Effects];Anti-HIV Agents/tu Therapeutic Use];*Anti-Retroviral Agents/ae Adverse Effects];Anti-Retroviral Agents/tu Therapeutic Use];*Evidence-Based Medicine;*HIV Infections/pc Prevention &amp; Control];*HIV Infections/px Psychology];HIV Infections/tm Transmission];Humans;Medication Adherence/px Psychology];*Medication Adherence;Models, Psychological;Patient Acceptance of Health Care/px Psychology];*Patient Acceptance of Health Care;Practice Guidelines as Topic;0 (Anti-HIV Agents);0 (Anti-Retroviral Agents)</t>
  </si>
  <si>
    <t>Health behaviors such as retention in HIV medical care and adherence to antiretroviral therapy (ART) pose major challenges to reducing new HIV infections, addressing health disparities, and improving health outcomes. Andersen's Behavioral Model of Health Service Use provides a conceptual framework for understanding how patient and environmental factors affect health behaviors and outcomes, which can inform the design of intervention strategies. Factors affecting retention and adherence among persons with HIV include patient predisposing factors (e.g., mental illness, substance abuse), patient-enabling factors (e.g., social support, reminder strategies, medication characteristics, transportation, housing, insurance), and healthcare environment factors (e.g., pharmacy services, clinic experiences, provider characteristics). Evidence-based recommendations for improving retention and adherence include (1) systematic monitoring of clinic attendance and ART adherence; (2) use of peer or paraprofessional navigators to re-engage patients in care and help them remain in care; (3) optimization of ART regimens and pharmaceutical supply chain management systems; (4) provision of reminder devices and tools; (5) general education and counseling; (6) engagement of peer, family, and community support groups; (7) case management; and (8) targeting patients with substance abuse and mental illness. Further research is needed on effective monitoring strategies and interventions that focus on improving retention and adherence, with specific attention to the healthcare environment.</t>
  </si>
  <si>
    <t>J2: Drugs; Holtzman, Carol W Brady, Kathleen A Yehia, Baligh R K23 MH097647 (United States NIMH NIH HHS) K23-MH097647 (United States NIMH NIH HHS); ID: 37</t>
  </si>
  <si>
    <t>Holtzman,Carol W. ICAP, Columbia University Mailman School of Public Health, P.O. Box 13860, Maseru 100, Lesotho, holtzmanc@icap.org.ls.</t>
  </si>
  <si>
    <t>http://ovidsp.ovid.com/ovidweb.cgi?T=JS&amp;CSC=Y&amp;NEWS=N&amp;PAGE=fulltext&amp;D=medl&amp;AN=25792300</t>
  </si>
  <si>
    <t>http://dx.doi.org/10.1007/s40265-015-0373-2</t>
  </si>
  <si>
    <t>MEDLINE; Ovid Technologies; Retention in care and medication adherence: current challenges to antiretroviral therapy success</t>
  </si>
  <si>
    <t>Hone-Blanchet,A.;Ciraulo,D. A.;Pascual-Leone,A.;Fecteau,S.</t>
  </si>
  <si>
    <t>Noninvasive brain stimulation to suppress craving in substance use disorders: Review of human evidence and methodological considerations for future work</t>
  </si>
  <si>
    <t>Substance use disorders (SUDs) can be viewed as a pathology of neuroadaptation. The pharmacological overstimulation of neural mechanisms of reward, motivated learning and memory leads to drug-seeking behavior. A critical characteristic of SUDs is the appearance of craving, the motivated desire and urge to use, which is a main focus of current pharmacological and behavioral therapies. Recent proof-of-concept studies have tested the effects of noninvasive brain stimulation on craving. Although its mechanisms of action are not fully understood, this approach shows interesting potential in tuning down craving and possibly consumption of diverse substances. This article reviews available results on the use of repetitive transcranial magnetic stimulation (rTMS) and transcranial electrical stimulation (tES) in SUDs, specifically tobacco, alcohol and psychostimulant use disorders. We discuss several important factors that need to be addressed in future works to improve clinical assessment and effects of noninvasive brain stimulation in SUDs. Factors discussed include brain stimulation devices and parameters, study designs, brain states and subjects' characteristics. Copyright ‚î¨‚åê 2015 Elsevier Ltd. All rights reserved.</t>
  </si>
  <si>
    <t>J2: Neurosci Biobehav Rev; Hone-Blanchet, Antoine Ciraulo, Domenic A Pascual-Leone, Alvaro Fecteau, Shirley S0149-7634(15)00253-5 8KL2TR000168-05 (United States NCATS NIH HHS) R01HD069776 (United States NICHD NIH HHS) R01NS073601 (United States NINDS NIH HHS) R21 HD07616 (United States NICHD NIH HHS) R21 MH099196 (United States NIMH NIH HHS) R21 NS085491 (United States NINDS NIH HHS) R21 R21NS082870 (United States NINDS NIH HHS) UL1 RR025758 (United States NCRR NIH HHS); ID: 753</t>
  </si>
  <si>
    <t>1873-7528</t>
  </si>
  <si>
    <t>Hone-Blanchet,Antoine. Laboratory of Canada Research Chair in Cognitive Neuroplasticity, Centre Interdisciplinaire de Recherche en Readaptation et Integration Sociale, Centre de Recherche de l'Institut Universitaire en Sante Mentale de Quebec, Faculte de Medecine, Universite Laval, Quebec, QC, Canada. Ciraulo,Domenic A. Massachusetts General Hospital, Harvard Medical School, Boston, MA, USA. Pascual-Leone,Alvaro. Berenson-Allen Center for Noninvasive Brain Stimulation and Division of Translational Cognitive Neurology, Beth Israel Deaconess Medical Center, Harvard Medical School, Boston, MA, USA. Fecteau,Shirley. Laboratory of Canada Research Chair in Cognitive Neuroplasticity, Centre Interdisciplinaire de Recherche en Readaptation et Integration Sociale, Centre de Recherche de l'Institut Universitaire en Sante Mentale de Quebec, Faculte de Medecine, Universite Laval, Quebec, QC, Canada; Berenson-Allen Center for Noninvasive Brain Stimulation and Division of Translational Cognitive Neurology, Beth Israel Deaconess Medical Center, Harvard Medical School, Boston, MA, USA. Electronic address: Shirley.fecteau@fmed.ulaval.ca.</t>
  </si>
  <si>
    <t>http://ovidsp.ovid.com/ovidweb.cgi?T=JS&amp;CSC=Y&amp;NEWS=N&amp;PAGE=fulltext&amp;D=prem&amp;AN=26449761</t>
  </si>
  <si>
    <t>http://dx.doi.org/10.1016/j.neubiorev.2015.10.001</t>
  </si>
  <si>
    <t>MEDLINE; Ovid Technologies; Noninvasive brain stimulation to suppress craving in substance use disorders: Review of human evidence and methodological considerations for future work</t>
  </si>
  <si>
    <t>Hooper,R.;Adam,A.;Kheir,N.</t>
  </si>
  <si>
    <t>PMC3108682; Pharmacist-documented interventions during the dispensing process in a primary health care facility in Qatar</t>
  </si>
  <si>
    <t>Drug Healthcare &amp; Patient Safety</t>
  </si>
  <si>
    <t>OBJECTIVES: To characterize prescribing error interventions documented by pharmacists in four pharmacies in a primary health care service in Qatar. METHODS: The study was conducted in a primary health care service in the State of Qatar in the period from January to March 2008. Pharmacists in four clinics within the service used online, integrated health care software to document all clinical interventions made. Documented information included: patient's age and gender, drug therapy details, the intervention's details, its category, and its outcome. Interventions were categorized according to the Pharmaceutical Care Network Europe Classification of drug-related problems (DRP). RESULTS: The number of patients who had their prescriptions intercepted were 589 (0.71% of the total 82,800 prescriptions received). The intercepted prescriptions generated 890 DRP-related interventions (an average of 1.9% DRPs identified across the four clinics). Fifty-four percent of all interventions were classified as drug choice problems, and 42% had safety problems (dose too high, potential significant interaction). The prescriber accepted the intervention in 53% of all interventions, and the treatment was changed accordingly. Interventions as a result of transcription errors, legality and formulary issues were eliminated from this study through the use of computerized physician order entry (CPOE). CONCLUSIONS: Documenting and analyzing interventions should be a routine activity in pharmacy practice setting in primary health care services. Educational outreach visits and other strategies can improve prescribing practices and enhance patient safety.</t>
  </si>
  <si>
    <t>J2: Drug healthc; Hooper, Richard Adam, Abdullah Kheir, Nadir; ID: 255</t>
  </si>
  <si>
    <t>1179-1365</t>
  </si>
  <si>
    <t>Hooper,Richard. Medical Services Department.</t>
  </si>
  <si>
    <t>http://ovidsp.ovid.com/ovidweb.cgi?T=JS&amp;CSC=Y&amp;NEWS=N&amp;PAGE=fulltext&amp;D=prem&amp;AN=21701611</t>
  </si>
  <si>
    <t>MEDLINE; Ovid Technologies; Pharmacist-documented interventions during the dispensing process in a primary health care facility in Qatar</t>
  </si>
  <si>
    <t>Horne,R.;Graupner,L.;Frost,S.;Weinman,J.;Wright,S. M.;Hankins,M.</t>
  </si>
  <si>
    <t>Medicine in a multi-cultural society: the effect of cultural background on beliefs about medications</t>
  </si>
  <si>
    <t>Adolescent;Adult;Asia/eh Ethnology];*Attitude to Health/eh Ethnology];*Cross-Cultural Comparison;Cross-Sectional Studies;Culture;*Drug Therapy;Drug-Related Side Effects and Adverse Reactions;Europe/eh Ethnology];Female;Great Britain;Humans;Male;Middle Aged;Regression Analysis</t>
  </si>
  <si>
    <t>This exploratory, cross-sectional study examined the effect of self-reported cultural background on beliefs about medicines (modern pharmaceuticals) and perceptions of personal sensitivity to the adverse effects of taking medication. Using a validated questionnaire, beliefs about pharmaceutical medication were compared between 500 UK undergraduate students who identified themselves as having an Asian or European cultural background. There was a significant association between cultural background and beliefs about the benefits and dangers of medicines. Students who self-reported to have an Asian cultural background expressed more negative views about medication than those who reported a European cultural background. Students with an Asian cultural background were significantly more likely to perceive medicines as being intrinsically harmful, addictive substances that should be avoided. They were significantly less likely to endorse the benefits of modern medication. There was no significant relationship between cultural background and perceptions of personal sensitivity to medication effects or belief about how doctors use medication. In the total sample, past and present experience of taking medication was associated with a more positive orientation to medicines in general. Students who considered themselves to have a European cultural background had significantly more experience with prescribed medication than those who selected an Asian cultural background. The relationship between cultural background and beliefs about medicines in general was maintained after controlling for potential confounding variables, including chosen degree course, experience of taking prescribed medication, age, and gender. The identification of differences in beliefs about medication, between two specific cultural groups, suggests the need for a greater understanding of the effects of cultural background on medicine-usage with potential implications for the conduct of prescribing-related consultations and for the provision of patient information on medication.Copyright 2004 Elseiver Ltd.</t>
  </si>
  <si>
    <t>J2: Soc Sci Med; Horne, Robert Graupner, Lida Frost, Susie Weinman, John Wright, Siobhan Melanie Hankins, Matthew; ID: 472</t>
  </si>
  <si>
    <t>0277-9536</t>
  </si>
  <si>
    <t>Horne,Robert. Centre for Health Care Research, Faculty of Health, University of Brighton, Falmer Campus, Brighton BN1 9PH, UK. r.horne@brighton.ac.uk</t>
  </si>
  <si>
    <t>http://ovidsp.ovid.com/ovidweb.cgi?T=JS&amp;CSC=Y&amp;NEWS=N&amp;PAGE=fulltext&amp;D=med5&amp;AN=15210101</t>
  </si>
  <si>
    <t>MEDLINE; Ovid Technologies; Medicine in a multi-cultural society: the effect of cultural background on beliefs about medications</t>
  </si>
  <si>
    <t>Hosny,K. M.;Khames,A.;Elhady,S. S. A.;Author,Addresses;Department,of;Pharmaceutics;Industrial Pharmacy, King Abdulaziz,University Jeddah;Saudi,Arabia;Department of Pharmaceutics, Taif University,Taif Saudi;Arabia;Department of,Pharmaceutics;and Industrial Pharmacy, Beni-Suef,University Beni;Correspondence,Address;Hosny,Department of Pharmaceutics,K.M.;Industrial Pharmacy,King;Abdulaziz University, Jeddah Saudi Arabia Email Elswaify,yahoo com</t>
  </si>
  <si>
    <t>Preparation and evaluation of orodispersible tablets containing hydroxylbutyl-‚ï¨‚ñì-cyclodextrin-simvastatin solid dispersion</t>
  </si>
  <si>
    <t>(MAJOR FOCUS);simvastatin (drug analysis, pharmaceutics);2 hydroxypropyl beta cyclodextrin;aerosil;disintegrating agent;emcosoy;magnesium stearate;mannitol;polacrillin;pullulan;saccharin sodium;talc;unclassified drug;tablet formulation;article;controlled drug release;controlled study;differential scanning calorimetry;dispersion;drug solubility;evaporation;infrared spectrometry;solvent effect;tablet disintegration;tablet disintegration time;tablet friability;tablet hardness;tablet property;tablet thickness;tablet wetting;water absorption;2 hydroxypropyl beta cyclodextrin (94035-02-6);magnesium stearate (557-04-0);mannitol (69-65-8, 87-78-5);pullulan (9057-02-7);saccharin sodium (128-44-9);simvastatin (79902-63-9);talc (14807-96-6);Biophysics, Bioengineering and Medical Instrumentation (27);Drug Literature Index (37);Pharmacy (39)</t>
  </si>
  <si>
    <t>Purpose: To formulate simvastatin orodispersible tablets with high dissolution rate and enhanced bioavailability. Methods: Simvastatin solid dispersions in ‚ï¨‚ñì- cyclodextrin, hydroxylpropyl-‚ï¨‚ñì-cyclodextrin, and hydroxylbutyl-‚ï¨‚ñì-cyclodextrin were prepared in different drug: polymer ratios by kneading and solvent evaporation methods. Compatibility was investigated by Differential scanning calorimetry (DSC) and Fourier transform infrared spectroscopy (FTIR) Based on the results of solubility studies, the most suitable solid dispersion was selected and formulated into orodispersible tablets using Emcosoy and Kpolacrillin as superdisintegrants, and mannitol and Pullulan as diluents. The tablets were evaluated for wetting and disintegration times, water absorption, and in vtro dissolution. Results: Increase in drug solubility was dependent on polymer type, concentration and preparation method. Simvastatin-hydroxylbutyl-‚ï¨‚ñì-cyclodextrin solid dispersion mixture prepared in 1:2 drug: polymer ratio by solvent evaporation method had a higher solubility than other dispersions. DSC and FTIR indicated the formation of solid dispersion without chemical interaction between simvastatin and polymer. Orodispersible tablet prepared with Emcosoy and Pullulan showed least wetting and disintegration times (20 and 35 s, respectively), fastest water sorption rate, and the highest dissolution rate (100 % after 20 min). Conclusion: Orodispersible tablets prepared with Emcosoy as superdisintegratnt and Pullulan as diluents and containig simvastatin solid dispersion in hydroxylbutyl-‚ï¨‚ñì-cyclodextrin provides optimum water solubility and hence, drug bioavailability. ‚î¨‚åê Pharmacotherapy Group, Faculty of Pharmacy, University of Benin, Benin City, 300001 Nigeria. All rights reserved.</t>
  </si>
  <si>
    <t>(Hosny K.M., Elswaify2000@yahoo.com; Elhady S.S.A.) (Khames A.) (Hosny K.M., Elswaify2000@yahoo.com; Khames A.) Pharmacotherapy Group, Benin City, Nigeria.; ID: 999</t>
  </si>
  <si>
    <t>2013536230 FULL TEXT LINK http://dx.doi.org/10.4314/tjpr.v12i4.4</t>
  </si>
  <si>
    <t>Hosseini,M.;Alaei,H.;Sharifi,M. R.;Shafei,M. N.;Author,Addresses;Department,of;Physiology,School of Medicine Mashhad University of Medical Sciences;Mashhad,Iran;Department of Physiology, School,of Medicine;Isfahan University of,Medical Sciences;Correspondence,Address;Hosseini, Department of Physiology School of Medicine Mashhad,M.;University of Medical Sciences, Mashhad,Iran Email;smhosseini49@Hotamil.com</t>
  </si>
  <si>
    <t>The effects of angiotensin II and captopril on expression of morphine withdrawal signs in rat</t>
  </si>
  <si>
    <t>Summer</t>
  </si>
  <si>
    <t>(MAJOR FOCUS);angiotensin II (drug comparison, drug therapy, intracerebroventricular drug;administration, pharmacology);captopril (drug comparison, drug therapy, intracerebroventricular drug;acetylcholine (endogenous compound);dopamine (endogenous compound);endorphin (endogenous compound);morphine;naloxone;nitric oxide (endogenous compound);serotonin (endogenous compound);substance P (endogenous compound);morphine addiction;withdrawal syndrome (drug therapy);animal experiment;animal model;article;controlled study;dopaminergic system;drug mechanism;locus ceruleus;male;nonhuman;rat;renin angiotensin aldosterone system;Wistar rat;DRUG MANUFACTURERS;(Iran)Darou Pakhsh;(United States)Sigma;acetylcholine (51-84-3, 60-31-1, 66-23-9);angiotensin II (11128-99-7);captopril (62571-86-2);dopamine (51-61-6, 62-31-7);endorphin (60118-07-2);morphine (52-26-6, 57-27-2);naloxone (357-08-4, 465-65-6);nitric oxide (10102-43-9);serotonin (50-67-9);substance P (33507-63-0);Neurology and Neurosurgery (8);Clinical and Experimental Pharmacology (30);Drug Literature Index (37);Drug Dependence, Alcohol Abuse and Alcoholism (40)</t>
  </si>
  <si>
    <t>The mechanisms of drug dependence and rewarding properties of opiates are not exactly known and several neurotransmitters seem to be involved. It is possible that the rennin-angiotensin system could interact with the opioid system, since it has been shown that angiotensin II(Ang) and ACE inhibitors have analgesic, anticonvulsant and antidepression effects and in some cases they could antagonize the effect of morphine. In the present study, the effect of Ang II and captopril on withdrawal signs was evaluated. Male wistar rats were anesthetized and i.c.v cannula implanted and allowed to recover from surgery. Morphine was injected (i.p, 3 times a day) for 4 days to induce morphine dependence. The animals were divided into 3 groups and received saline, captopril, Ang II, and i.c.v, before naloxone injection. Naloxone precipitated morphine withdrawal signs, compared to the morphine dependent rats in saline, captopril and Ang II groups. Results showed that in the captopril group, some of the withdrawal signs were significantly lower than the saline group (p&lt;0.05 and p&lt;0.01). In the Ang II group, some of the withdrawal signs were greater than the saline group (p&lt;0.01 and p&lt;0.001). Considering the fact that captopril can reduce endogenous opioid degradation, it could probably reduce the morphine withdrawal signs in this way. On the other hand, captopril and Ang II can interact with dopamine, serotonin, substance p, acetylcholine or nitric oxide in different brain regions and alter morphine withdrawal signs. Copyright ‚î¨‚åê 2007 by School of Pharmacy Shaheed Beheshti University of Medical Sciences and Health Services.</t>
  </si>
  <si>
    <t>(Hosseini M., smhosseini49@Hotamil.com; Shafei M.N.) (Alaei H.; Sharifi M.R.) Iranian Journal of Pharmaceutical Research, P.O. Box 14155-6153, Tehran, Iran.; ID: 1496</t>
  </si>
  <si>
    <t>Howard,R. L.;Avery,A. J.;Howard,P. D.;Partridge,M.</t>
  </si>
  <si>
    <t>Investigation into the reasons for preventable drug related admissions to a medical admissions unit: observational study</t>
  </si>
  <si>
    <t>285 6p</t>
  </si>
  <si>
    <t>Hospitalization;Medication Compliance;Medication Errors;Morbidity -- Etiology;Chi Square Test;Correlation Coefficient;Data Analysis Software;Descriptive Statistics;Female;Interrater Reliability;Interviews;Kappa Statistic;Male;Nonexperimental Studies;Pilot Studies;United Kingdom;Funding Source;Human</t>
  </si>
  <si>
    <t>OBJECTIVE: To describe the drugs and types of medicine management problems most frequently associated with preventable drug related admissions to an acute medical admissions unit. DESIGN: Observation study. SETTING: Medical admissions unit in a teaching hospital in Nottingham, UK. PARTICIPANTS: 4093 patients seen by pharmacists on the medical admissions unit between 1 January and 30 June 2001. MAIN OUTCOME MEASURES: Proportion of admissions that were drug related and preventable, classification of the underlying causes of preventable drug related admissions, and identification of drugs most commonly associated with preventable drug related admissions. RESULTS: Of the admissions seen by pharmacists, 265 (6.5%) were judged to be drug related and 178 (67%) of these were judged to be preventable. Preventable admissions were mainly due to problems with prescribing (63 cases (35%)), monitoring (46 cases (26%)), and adherence to medication (53 cases (30%)). The drugs most commonly implicated were NSAIDs, antiplatelets, antiepileptics, hypoglycaemics, diuretics, inhaled corticosteroids, cardiac glycosides, and beta-blockers. CONCLUSIONS: Potentially preventable drug related morbidity was associated with 4.3% of admissions to a medical admissions unit. In 91% of cases these admissions were related to problems with either prescribing, monitoring, or adherence.</t>
  </si>
  <si>
    <t>Entry Date: 20040213. Revision Date: 20150711. Publication Type: Journal Article; research; tables/charts. Journal Subset: Blind Peer Reviewed; Europe; Expert Peer Reviewed; Health Services Administration; Peer Reviewed; UK &amp; Ireland. Grant Information: Partially funded by Wyeth Laboratories and NHS R&amp;D. NLM UID: 101136980. PMID: 12897361.; ID: 1931</t>
  </si>
  <si>
    <t>1475-3898</t>
  </si>
  <si>
    <t>Division of Primary Care, School of Community Health Sciences, University Hospital, Nottingham NG7 2UH, UK; Rachel.howard@@broxtowehucknall-pct.nhs.uk</t>
  </si>
  <si>
    <t>http://proxy.lib.umich.edu/login?url=http://search.ebscohost.com/login.aspx?direct=true&amp;db=ccm&amp;AN=106702846&amp;site=ehost-live&amp;scope=site</t>
  </si>
  <si>
    <t>ccm; EBSCOhost; Investigation into the reasons for preventable drug related admissions to a medical admissions unit: observational study</t>
  </si>
  <si>
    <t>Hsin,K. Y.;Ghosh,S.;Kitano,H.</t>
  </si>
  <si>
    <t>PMC3877102; Combining machine learning systems and multiple docking simulation packages to improve docking prediction reliability for network pharmacology</t>
  </si>
  <si>
    <t>PLoS ONE Electronic Resource]</t>
  </si>
  <si>
    <t>e83922</t>
  </si>
  <si>
    <t>*Artificial Intelligence;*Computational Biology;Drug Discovery;*Gene Regulatory Networks/de Drug Effects];Humans;*Molecular Docking Simulation;Protein Binding;*Protein Interaction Maps/de Drug Effects];*Protein Kinase Inhibitors/pd Pharmacology];*Protein Kinases/ch Chemistry];Protein Kinases/me Metabolism];0 (Protein Kinase Inhibitors);EC 2-7 (Protein Kinases)</t>
  </si>
  <si>
    <t>Increased availability of bioinformatics resources is creating opportunities for the application of network pharmacology to predict drug effects and toxicity resulting from multi-target interactions. Here we present a high-precision computational prediction approach that combines two elaborately built machine learning systems and multiple molecular docking tools to assess binding potentials of a test compound against proteins involved in a complex molecular network. One of the two machine learning systems is a re-scoring function to evaluate binding modes generated by docking tools. The second is a binding mode selection function to identify the most predictive binding mode. Results from a series of benchmark validations and a case study show that this approach surpasses the prediction reliability of other techniques and that it also identifies either primary or off-targets of kinase inhibitors. Integrating this approach with molecular network maps makes it possible to address drug safety issues by comprehensively investigating network-dependent effects of a drug or drug candidate.</t>
  </si>
  <si>
    <t>J2: PLoS ONE; Hsin, Kun-Yi Ghosh, Samik Kitano, Hiroaki; ID: 82</t>
  </si>
  <si>
    <t>1932-6203</t>
  </si>
  <si>
    <t>Hsin,Kun-Yi. Okinawa Institute of Science and Technology Graduate University, Onna-son, Okinawa, Japan. Ghosh,Samik. The Systems Biology Institute, Minato, Tokyo, Japan ; Laboratory for Disease Systems Modeling, RIKEN Center for Integrative Medical Sciences, Yokohama, Kanagawa, Japan. Kitano,Hiroaki. Okinawa Institute of Science and Technology Graduate University, Onna-son, Okinawa, Japan ; The Systems Biology Institute, Minato, Tokyo, Japan ; Laboratory for Disease Systems Modeling, RIKEN Center for Integrative Medical Sciences, Yokohama, Kanagawa, Japan.</t>
  </si>
  <si>
    <t>http://ovidsp.ovid.com/ovidweb.cgi?T=JS&amp;CSC=Y&amp;NEWS=N&amp;PAGE=fulltext&amp;D=medl&amp;AN=24391846</t>
  </si>
  <si>
    <t>http://dx.doi.org/10.1371/journal.pone.0083922</t>
  </si>
  <si>
    <t>MEDLINE; Ovid Technologies; Combining machine learning systems and multiple docking simulation packages to improve docking prediction reliability for network pharmacology</t>
  </si>
  <si>
    <t>Hu,Y.;Khan,I. A.;Dasmahapatra,A. K.;Author,Addresses;National Center,for Natural;Research,Department of Pharmacology University of Mississippi University;United,States;Department of Pharmacology, School,of Pharmacy;University of Mississippi, University,United States;Correspondence,Address;Hu, National Center for Natural Product Research Department of,Y.;Pharmacology,University of Mississippi University United States</t>
  </si>
  <si>
    <t>Puerarin attenuates ethanol toxicity in Medaka (oryzias latipes) embryos during development</t>
  </si>
  <si>
    <t>Planta Medica</t>
  </si>
  <si>
    <t>Planta Med.</t>
  </si>
  <si>
    <t>(MAJOR FOCUS);puerarin;alcohol;fenticlor;flavonoid;isoflavone;lypressin;natural product;alcohol intoxication;embryo;Oryzias;alcohol abuse;alcoholism;baby;bone growth;egg;embryo mortality;female;fertilization;fetus;food and drug administration;government;hatching;high performance liquid chromatography;Japanese (people);jaw;laboratory;larval development;model;mother;pharmacy;pregnancy;prevention;Pueraria;school;skeleton;skull;teratogenesis;tissue culture;United States;university</t>
  </si>
  <si>
    <t>The drugs approved by FDA for the treatment of alcoholism are not recommended for the women in pregnancy 1]. Therefore, a drug with anticraving property as well as non-toxic to fetus is required for the treatment of Fetal Alcohol SpectrumDisorder (FASD), a neurobehavioral disorder observed in the babies of alcoholic mothers who consumed alcohol during pregnancy. We have evaluated the potency of Radix puerariae (RP), the root extracts of a wild leguminous creeper kudzu (Pueraria montana), as an alternative natural medicine to prevent FASD using Japanese medaka (Oryzias latipes) embryo-larval development as the model. Previously, we have observed that ethanol was able to induce skeletal dismorphogenesis in medaka by reducing skeletal growth in a dose-dependent manner 2]. In this experiment we have used RP and puerarin (SigmaAldrich) as preventive agents of ethanol-induced skeletal dismorphogenesis in medaka. RP was collected from the Lafayette County of Oxford and HPLC analysis indicated that puerarin is the major isoflavone present in the methanolic extract of RP. Fertilized medaka eggs in standard laboratory conditions (16 L: 8D, 25 0C) were exposed to RP extract (0-1.5mg/ml) for 6 day post fertilization (dpf) and then maintained in 48 well tissue culture plate in hatching solution (one embryo/ml/well). Embryo mortality was observed on 10 dpf. In separate experiments embryos were exposed to RP (0-0.5mg/ml), Puerarin (0.25-1 mM) with or without ethanol (300 mM) for 2 dpf and then transferred to hatching solution. The calculated IC(50) of RP as determined on 10 dpf is 785.3 ‚î¨‚ñí 2.66 ‚ï¨‚ïùg/ml (n = 5). Hatched embryos on 10 dpf were used for morphometric analysis of skeletal features including the skeleton, cranium, jaw, ethmoid and hypophyseal plate. It was observed that ethanol was able to reduce the growth of all these skeletal features, however, RP or puerarin alone has no effect.When the embryos were treated together with ethanol and RP or puerarin, ethanol-induced skeletal growth reductions were attenuated specifically by puerarin. It is therefore concluded that puerarin, the major flavonoid present in RP, has the potency to prevent ethanol-induced teratogenesis during development and can be used as an alternative natural medicine for the prevention of FASD or other alcohol related disorders. Acknowledgements: This work is supported in part by the United States Department of Agriculture, Agricultural Research Specific Cooperative Agreement No 586408-2-0009, National Center for Natural Product Research, School of Pharmacy, University ofMississippi, National Institute of Alcohol Abuse and Alcoholism (1RO3 AA016915) and from The Center of Research Excellence in Natural products Neurosciences (P20RR021929).</t>
  </si>
  <si>
    <t>(Hu Y.; Khan I.A.; Dasmahapatra A.K.) (Dasmahapatra A.K.) 8th Annual Oxford International Conference on the Science of Botanicals University, MS, United States 2009-04-06 to 2009-04-09 CONFERENCE EDITORS Khan I. Georg Thieme Verlag; ID: 1442</t>
  </si>
  <si>
    <t>0032-0943</t>
  </si>
  <si>
    <t>Huang,D. B.;Yu,Z. F.;Li,Q. W.;Author,Addresses;Department of Pharmacology, Medical College of,Hubei National;College,Enshi Hubei Province China;Foreign Language College, Medical College,of Hubei;National College, Enshi Hubei,Province China;Correspondence,Address;D-B Huang, Department of Pharmacology Medical College of,Hubei National;College,Enshi Hubei Province China</t>
  </si>
  <si>
    <t>Effects of honokiol and magnolol on beta-endorphin in relieving morphine withdrawal symptoms in rats</t>
  </si>
  <si>
    <t>Chinese Journal of Clinical Rehabilitation</t>
  </si>
  <si>
    <t>(MAJOR FOCUS);beta endorphin (endogenous compound);honokiol (drug development, drug dose, drug therapy, intraperitoneal drug;administration, pharmacology);magnolol (drug development, drug dose, drug therapy, intraperitoneal drug;morphine (drug dose, subcutaneous drug administration);sodium chloride;withdrawal syndrome (drug therapy);animal experiment;animal model;article;controlled study;dose response;drug mechanism;male;morphine addiction (drug therapy);muscle relaxation;nonhuman;rat;treatment outcome;DRUG MANUFACTURERS;(China)Qinghai;beta endorphin (59887-17-1);honokiol (35354-74-6);magnolol (528-43-8);morphine (52-26-6, 57-27-2);sodium chloride (7647-14-5);Drug Literature Index (37);Drug Dependence, Alcohol Abuse and Alcoholism (40)</t>
  </si>
  <si>
    <t>Background: It has been verified pharmacologically that honokiol (HL) and magnolol (ML) have distinct effects on central inhibition and muscle relaxation, and some reports prove that they can relieve morphine withdrawal symptoms in animals. Objective: To explore the effects of HL and ML on ‚ï¨‚ñì-endorphin (‚ï¨‚ñì-EP) in relieving morphine withdrawal symptoms in rats. Design: Randomized controlled study. Setting: Pharmacological Department, the Medical School of Hubei national College. Participants: The experiment was conducted from 13 to 29 April, 2003. Among 100 adult male SD rats, 30 rats as control group were randomly divided into three subgroups: saline group, HL group and ML group with 10 in each group. The other 70 rats as morphine-dependent group were divided into normal saline group, 5, 40 and 80 mg/kg HL and ML groups with 10 in each group. Methods: 0.2 mL normal saline, 80 mg/kg HL and 80 mg/kg ML were injected intraperitoneally into rats in control group. The dose of morphine subcutaneously injected was increased in the rats in morphine-dependent group for 6 days to establish the model of acute morphine dependence and model of natural morphine withdrawal symptoms. The last injection was performed at 9:00 on the morning of day 6, and the intraperitoneal injection was performed at 10:30 on the same morning. 0.2 mL normal saline was injected into the rats of saline group. 5, 40 and 80 mg/kg</t>
  </si>
  <si>
    <t>(Huang D.-B.) (Yu Z.-F.; Li Q.-W.); ID: 1543</t>
  </si>
  <si>
    <t>1671-5926</t>
  </si>
  <si>
    <t>Huang,L. G.;Zhang,X. C.;Xiao,H.;Ye,H. Y.;Zeng,J.;Author,Addresses;Center for Education, Gannan Medical,College Ganzhou;Jiangxi Province,China;Department of Clinical Speciality, Gannan,Medical College;Ganzhou 341000,Jiangxi Province;Department,of Pharmacology;College,Ganzhou Jiangxi Province China;Correspondence,Address;Zheng, Department of Pharmacology Gannan Medical College Ganzhou,J.;Jiangxi Province,China</t>
  </si>
  <si>
    <t>Analgesic effect of cestrum nocturnum L. extract on mice</t>
  </si>
  <si>
    <t>(MAJOR FOCUS);analgesic agent (drug combination, drug comparison, drug therapy,;intraperitoneal drug administration);Cestrum nocturnum extract (drug combination, drug comparison, drug therapy,;Chinese drug (drug combination, drug comparison, drug therapy,;aminophenazone (drug comparison, drug therapy, intraperitoneal drug;administration);morphine (drug combination, drug comparison, drug interaction, drug therapy,;naloxone (drug combination, drug interaction, drug therapy, intraperitoneal;drug administration);unclassified drug;analgesic activity;analgesia;animal experiment;animal model;article;Cestrum;Cestrum nocturnum;controlled study;drug efficacy;drug potentiation;electrostimulation;female;male;mouse;nonhuman;pain (drug therapy);aminophenazone (58-15-1, 8058-63-7);morphine (52-26-6, 57-27-2);naloxone (357-08-4, 465-65-6);Neurology and Neurosurgery (8);Clinical and Experimental Biochemistry (29);Clinical and Experimental Pharmacology (30);Drug Literature Index (37)</t>
  </si>
  <si>
    <t>Background: It has been considered that Cestrum nocturnum L. (CNL) has the effects of antiarrhythmia, local anesthesia and central inhibition. Objective: To. investigate the analgesic effect of CNL extract on mice, so as to find new drugs for clinical treatment of pain. Design: A randomized control observation. Setting: Center of Modern Education and Department of Pharmacology, Gannan Medical College. Materials: The experiments were carried out in the laboratory of scientific research center, Gannan Medical College between March and April in 2005. 1 A total of 150 healthy adult Kunming mice were used in four independent experiments. 2 Drugs: CNL extract was provided by the Department of Phytochemistry, Shenyang Pharmaceutical University (batch number: 2002080901), morphine hydrochloride injection by Shenyang No.1 Pharmaceutical Factory (batch number: 000305), and naloxone hydrochloride injection by Yanqiao (Hunan) Pharmaceutical Co. Ltd., (batch number: 20021109). Methods: 1 Effects of CNL extract on writhing times induced by acetic acid: Forty female mice were randomly divided into four groups with 10 mice in each, and they were treated with intraperitoneal injections of 0.02 mUg saline, 0.10 and 0.20 mg/g CNL extract and 0.10 mg/g aminophenazone respectively. The intraperineal injection of 6 g/L glacial acetic acid was given after 15 minutes. The writhing times of mice within 15 minutes were observed and recorded in each group. 2 Effects of CNL extract on the pain induced by hot pla in mice: Forty female mice were randomly divided into four groups with 10 mice in each, and they were treated with intraperineal injections of 0.02 mL/g saline, 0.10 and 0.20 mg/g CNL extract and 0.10 mg/g morphine respectively. The pain responses were detected at 15, 30 and 60 minutes after administration. 3 The antagonistic effect of naloxone on morphine and CNL extract to the pain induced by hot plate in mice: Thirty female mice were randomly divided into three groups with 10 mice in each group, and they were given intraperitoneal injections of 0.02 mL/g saline, naloxone 0.004 mg/g +morphine 0.01 mg/g and naloxone 0.004 mg/g+CNL extract 0.01 mg/g respectively. The pain responses were detected at 15, 30 and 60 minutes after administration respectively. 4 Effects of CNL extract on electrostimulation induced pain in mice: Forty mice were randomly divided into four groups with 10 mice in each group, and they were administrated with intraperineal injections of 0.02 mL/g saline, 0.10 and 0.20 mg/g CNL extract and 1 g/L morphine respectively. Repeated electrostimulations were given at 20, 35, 50 and 70 minutes after administration, and the pain responses were detected by means of electrostimulation. Main Outcome Measures: 1 Writhing times; 2 Time for the pain response induced by hot plate; 3 Analgesic rate induced by electrostimulation. Results: Totally 150 healthy adult Kunming mice were used in the four independent experiments, and all were involved in the analysis of results. 1 Writhing times in the mice: 0.10 and 0.20 mg/g CNL extracts and 0.10 mg/g aminophenazone had very significant analgesic effects on writhing induced by acetic acid in mice, and the writhing times after administration were all fewer than those in the saline group (20.2‚î¨‚ñí10.8, 14.5‚î¨‚ñí7.6, 7.6‚î¨‚ñí4.5, 50.6‚î¨‚ñí15.5, P &lt; 0.01), and the analgesic effects of CNL extract were dose-dependently. 2 Time for the pain response induced by hot plate: 0.10 and 0.20 mg/g CNL extracts had significant analgesic effects on the pain induced by hot plate, and the time for pain sensation at 15, 30 and 60 minutes after administration were all longer than those in the saline group (P &lt; 0.05 or P &lt; 0.01), and the analgesic effect was dose-dependently. The times for pain sensation at each time point after administration in the naloxone 0.004 mg/g+CNL extract 0.01 mg/g group were all longer than those in the saline group, but those were close between the naloxone 0.004 mg/g+ morphine 0.01 mg/g group and the saline group. 3 Analgesic rate induced by electrostimulation in the mice: The analgesic rates at 20, 35, 50 and 70 minutes after administration in the CNL extract 0.10 and 0.20 mg/g groups were all higher than those in the saline group (P &lt; 0.01). Conclusion: Our data suggested that CNL extract has obvious analgesic effect, and the analgesic intensity is dose-dependently. Naloxone, an opiate receptor antagonist, can antagonize the analgesic effect of morphine, but cannot antagonize that of CNL extract on mice with pain induced by hot plate, which indicates that CNL extract exert its analgesic role not through binding with opiate receptor.</t>
  </si>
  <si>
    <t>(Huang L.-G.) (Zhang X.-C.) (Xiao H.; Ye H.-Y.; Zeng J.) Journal of Clinical Rehabilitative, P.O. Box 1200, Shenyang, China.; ID: 1514</t>
  </si>
  <si>
    <t>Hubault,M.;Petit,N.;Jacquin-Courtois,S.;Charpiat,B.;Luaut‚îú‚åê,J.;Rode,G.;Janoly-Dumenil,A.;Author,Addresses;Chu;H‚îú‚î§pital H-Gabrielle, Hospices Civils De,Lyon Saint;Chu,H‚îú‚î§;France;Chu,H‚îú‚î§;Hospices Civils,De Lyon;Correspondence,Address;Gabrielle Hospices Civils De Lyon,M.Hubault, C.H.U.H‚îú‚î§pital H.;Saint-Genis-Laval, France Email marie hubault,chuyon fr</t>
  </si>
  <si>
    <t>Patient's drug therapy: Clinical impact of pharmacist's intervention in neurological rehabilitation units</t>
  </si>
  <si>
    <t>Annals of Physical and Rehabilitation Medicine</t>
  </si>
  <si>
    <t>58 SUPPL. 1</t>
  </si>
  <si>
    <t>e62</t>
  </si>
  <si>
    <t>e63</t>
  </si>
  <si>
    <t>acid;anticoagulant agent;electrolyte;psychotropic agent;clinical pharmacy;drug therapy;human;patient;pharmacist;rehabilitation;rehabilitation medicine;society;hospital;hospital patient;methodology;physician;polypharmacy;prescription;risk</t>
  </si>
  <si>
    <t>Introduction Inpatients in neurological rehabilitation units are often polymedicated. This polypharmacy is at risk of adverse events. It justifies the analysis of prescriptions by a pharmacist. The objective is to describe drug-related problems detected by pharmacist, pharmaceutical interventions (PI) performed and PI clinical impact over a period of 1 year. Methods The computerized prescriptions of 165 beds were analyzed by one pharmacist and one resident pharmacist once a week based on the methodology of the French Society of Clinical Pharmacy. Detected drug related problems and proposed PI were collected. Their clinical impact was evaluated by two physicians and two hospital pharmacists independently, according Hatoum 1988 1]: zero impact (-), significant (+), highly significant (++), lifesaving (+++). Results Four thousand two hundred and twenty-eight prescriptions resulted in 999 PI (24%) and 788 accepted by physicians (79%). The most involved drugs were: analgesics/anti-inflammatory drugs (25%), anti-acids (20%), psychotropic drugs (17%) and anti-infectives (14%). The main problems found were: no clinical indication (26%), non-conformity with guidelines (16%) and supra or infratherapeutic dose (15%). Most common suggestions (PI) were drug discontinuation (33%) and dose adjustment (22%). After excluding IP only having an economic impact, 842 IP were evaluated in a clinical point of view. They concerned mainly: antiacids (n = 198), analgesic/anti-inflammatory drugs (n = 170), psychotropic drugs (n = 136), anti-infectives (n = 110) and anticoagulants (n = 76). The evaluations were: no impact (n = 96); significant (n = 574) very significant (n = 169); lifesaving (n = 3). These 3 PI were relatedanticoagulants. Drugs with a great number of IP (++) were: anticoagulants (60%), intravenous electrolytes (43%), anti-infectives (37%) and analgesics/anti-inflammatory drugs (24%). Physicians have found a large number of PI (++) concerning anti-infectives compared pharmacists (43% versus 30%). Conversely, pharmacists felt more PI (++) involving intravenous electrolytes (71% versus 15%) and psychotropic drugs (21% versus 8%). Conclusion Pharmacists detected many drug-related problems during analysis of prescriptions. Their potential adverse clinical consequences are supported by a high rate of acceptance, objectivized by prescription modification.</t>
  </si>
  <si>
    <t>(Hubault M., marie.hubault@chuyon.fr; Petit N.; Jacquin-Courtois S.) (Charpiat B.) (Luaut‚îú‚åê J.; Rode G.; Janoly-Dumenil A.) 30th Annual Congress of the French Society of Physical and Rehabilitation Medicine Montpellier, France 2015-10-08 to 2015-10-15 Elsevier Masson SAS; ID: 813</t>
  </si>
  <si>
    <t>1877-0657</t>
  </si>
  <si>
    <t>Hudgens,J. R.;Chirico,M. J.</t>
  </si>
  <si>
    <t>PMC2972526; A course introducing the principles of pharmaceutical care</t>
  </si>
  <si>
    <t>Clinical Competence;*Curriculum;*Education, Pharmacy/mt Methods];Educational Measurement;Evidence-Based Medicine;Feedback, Psychological;Humans;*Pharmaceutical Services;*Pharmacology, Clinical/ed Education];Problem-Based Learning/mt Methods];Students, Pharmacy/px Psychology];Surveys and Questionnaires;Tennessee</t>
  </si>
  <si>
    <t>OBJECTIVES: To develop, implement, and assess a course that introduces students to the process and application of pharmaceutical care. DESIGN: The course was offered to students in the third semester of the PharmD curriculum. The course's ability outcomes were to integrate and apply scientific and therapeutic knowledge in the delivery of evidence-based pharmaceutical care, and to develop the skills of a professional, lifelong learner. ASSESSMENT: The students successfully applied the information learned in this course to the practice of pharmaceutical care. The 3 components of the course that appeared to be the most challenging were identifying drug-therapy problems, creating compound goals, and creating a care plan. CONCLUSION: This course was effective in meeting ability-based outcomes. The assessment data helped the instructors determine what changes should be made to increase the course's success when it is offered again.</t>
  </si>
  <si>
    <t>J2: Am J Pharm Educ; Hudgens, Julie Rafferty Chirico, Mark J; ID: 273</t>
  </si>
  <si>
    <t>Hudgens,Julie Rafferty. Belmont University School of Pharmacy, Gordon E. Inman College of Health Sciences and Nursing, 1900 Belmont Boulevard, Nashville, TN 37212, USA. julie.hudgens@belmont.edu</t>
  </si>
  <si>
    <t>http://ovidsp.ovid.com/ovidweb.cgi?T=JS&amp;CSC=Y&amp;NEWS=N&amp;PAGE=fulltext&amp;D=med5&amp;AN=21088737</t>
  </si>
  <si>
    <t>MEDLINE; Ovid Technologies; A course introducing the principles of pharmaceutical care</t>
  </si>
  <si>
    <t>Hudmon,K. S.;Bardel,K.;Kroon,L. A.;Fenlon,C. M.;Corelli,R. L.</t>
  </si>
  <si>
    <t>Tobacco education in U.S. schools of pharmacy</t>
  </si>
  <si>
    <t>Curriculum/st Standards];*Education, Pharmacy, Graduate/st Standards];Education, Pharmacy, Graduate/sn Statistics &amp; Numerical Data];Health Education/st Standards];*Health Knowledge, Attitudes, Practice;Humans;*Pharmacists/st Standards];Pharmacists/sn Statistics &amp; Numerical Data];*Professional Competence/st Standards];*Schools, Pharmacy/st Standards];Schools, Pharmacy/sn Statistics &amp; Numerical Data];Smoking Cessation/mt Methods];*Smoking Cessation;Surveys and Questionnaires;Tobacco Use Disorder/pc Prevention &amp; Control];United States</t>
  </si>
  <si>
    <t>This study is the first to characterize tobacco-related content in pharmacy school curricula in the United States. A national survey mailed to 83 U.S. schools of pharmacy assessed the extent to which tobacco is addressed in required coursework, educational methods of instruction, perceived importance of addressing tobacco in the doctor of pharmacy degree program, perceived adequacy of current levels of tobacco education in curricula, and perceived barriers to enhancing the tobacco-related content. A total of 82 surveys (98.8% response) revealed a median of 170 min of tobacco education throughout the doctor of pharmacy program. The most heavily emphasized topics are aids for cessation, assisting patients with quitting, nicotine pharmacology and principles of addiction, and drug interactions with smoking, yet more than 40% of respondents believed that each of these topics was covered inadequately. Key barriers to enhancing tobacco training are lack of curriculum time and lack of clinical clerkship sites focusing on tobacco interventions. Pharmacy faculty members perceive tobacco cessation training to be important, yet a mismatch exists between the perceived importance and the perceived adequacy of current levels of training in pharmacy school curricula. The results of this study will serve as a baseline measure against which future, parallel assessments will be compared as faculty at schools of pharmacy across the United States work together toward enhancing the tobacco cessation training of student pharmacists.</t>
  </si>
  <si>
    <t>J2: Nicotine Tob Res; Hudmon, Karen Suchanek Bardel, Kimberly Kroon, Lisa A Fenlon, Christine M Corelli, Robin L CA90720 (United States NCI NIH HHS); ID: 448</t>
  </si>
  <si>
    <t>1462-2203</t>
  </si>
  <si>
    <t>Hudmon,Karen Suchanek. Department of Epidemiology and Public Health, School of Medicine, Yale University, New Haven, CT 06520, USA. karen.hudmon@yale.edu</t>
  </si>
  <si>
    <t>http://ovidsp.ovid.com/ovidweb.cgi?T=JS&amp;CSC=Y&amp;NEWS=N&amp;PAGE=fulltext&amp;D=med5&amp;AN=16036279</t>
  </si>
  <si>
    <t>MEDLINE; Ovid Technologies; Tobacco education in U.S. schools of pharmacy</t>
  </si>
  <si>
    <t>Hudmon,K. S.;Corelli,R. L.;Chung,E.;Gundersen,B.;Kroon,L. A.;Sakamoto,L. M.;Hemberger,K. K.;Fenlon,C.;Prokhorov,A. V.</t>
  </si>
  <si>
    <t>Development and implementation of a tobacco cessation training program for students in the health professions</t>
  </si>
  <si>
    <t>Journal of Cancer Education</t>
  </si>
  <si>
    <t>California;Clinical Competence;Curriculum;*Education, Dental;*Education, Medical;*Education, Pharmacy;Humans;Patient Education as Topic/mt Methods];Program Evaluation;Schools, Pharmacy;*Smoking Cessation/mt Methods]</t>
  </si>
  <si>
    <t>BACKGROUND: A comprehensive tobacco cessation training program, Rx for Change, was developed and implemented as required coursework at all California schools of pharmacy and at the University of California San Francisco Schools of Medicine and Dentistry. RESULTS: Post-training evaluations administered to pharmacy students (n = 544; 89% participation) show a positive impact of the training on students' self-reported abilities for providing tobacco cessation counseling to patients. CONCLUSION: Designed as a vehicle for nationwide dissemination of the U.S. Public Health Service Clinical Practice Guideline for Treating Tobacco Use and Dependence, Rx for Change equips students with skills to intervene with all tobacco users, including patients who are not yet considering quitting.</t>
  </si>
  <si>
    <t>J2: J Cancer Educ; Hudmon, Kareen Suchanek Corelli, Robin L Chung, Eunice Gundersen, Berit Kroon, Lisa A Sakamoto, Leann M Hemberger, Kymberli K Fenlon, Christine Prokhorov, Alexander V; ID: 489</t>
  </si>
  <si>
    <t>0885-8195</t>
  </si>
  <si>
    <t>Hudmon,Kareen Suchanek. School of Pharmacy, University of California San Francisco, 3333 California Street, Suite 420, San Francisco, CA 94118, USA. khudmon@itsa.ucsf.edu</t>
  </si>
  <si>
    <t>http://ovidsp.ovid.com/ovidweb.cgi?T=JS&amp;CSC=Y&amp;NEWS=N&amp;PAGE=fulltext&amp;D=med4&amp;AN=14512261</t>
  </si>
  <si>
    <t>MEDLINE; Ovid Technologies; Development and implementation of a tobacco cessation training program for students in the health professions</t>
  </si>
  <si>
    <t>Hudmon,K. S.;Fenlon,C. M.;Corelli,R. L.;Prokhorov,A. V.;Schroeder,S. A.</t>
  </si>
  <si>
    <t>Tobacco sales in pharmacies: time to quit</t>
  </si>
  <si>
    <t>Tobacco control</t>
  </si>
  <si>
    <t>Tob.Control</t>
  </si>
  <si>
    <t>38 4p</t>
  </si>
  <si>
    <t>Business -- Methods;Pharmacists -- Psychosocial Factors;Pharmacy, Retail;Students, Pharmacy -- Psychosocial Factors;Tobacco;Adolescence;Adult;Aged;Aged, 80 and Over;Attitude of Health Personnel;Attitude to Health;California;Descriptive Statistics;Female;Funding Source;Interviews;Mail;Male;Middle Age;Pharmacists;Questionnaires;Smoking -- Psychosocial Factors;Social Behavior;Students, Pharmacy;Survey Research;T-Tests;Telephone;Human</t>
  </si>
  <si>
    <t>OBJECTIVE: To assess the pharmacy profession's perceptions of tobacco sales in US pharmacies and explore whether a policy prohibiting sales of tobacco in pharmacies would alter adult consumer shopping behaviour. SUBJECTS AND DESIGN: In California, surveys were administered to 1168 licensed pharmacists and 1518 pharmacy students, and telephone interviews were conducted with 988 adult consumers. RESULTS: Most (58.1%) licensed pharmacists were strongly against sales of tobacco in pharmacies, 23.6% were against it, 16.7% were neutral, 1.2% were in favour of it, and 0.4% were strongly in favour of it. Pharmacists who were current tobacco users were more likely to be in favour of tobacco sales in pharmacies than were pharmacists who were current non-users (p &lt; 0.005). Similar statistics were observed for pharmacy students. Most consumers (72.3%) disagreed with the statement, 'I am in favour of tobacco products being sold in drugstores'; 82.6% stated that if the drugstore where they most commonly shopped were to stop selling tobacco products, they would shop there just as often, 14.2% would shop there more often, and 3.2% would shop there less often. CONCLUSION: Little professional or public support exists for tobacco sales in pharmacies.</t>
  </si>
  <si>
    <t>Entry Date: 20061117. Revision Date: 20150711. Publication Type: Journal Article; research; tables/charts. Journal Subset: Biomedical; Blind Peer Reviewed; Europe; Expert Peer Reviewed; Peer Reviewed; Public Health; UK &amp; Ireland. NLM UID: 9209612. PMID: 16436403.; ID: 2061</t>
  </si>
  <si>
    <t>0964-4563</t>
  </si>
  <si>
    <t>Department of Epidemiology &amp; Public Health, Yale University School of Medicine, New Haven, CT 06520; karen.hudmon@yale.edu</t>
  </si>
  <si>
    <t>http://proxy.lib.umich.edu/login?url=http://search.ebscohost.com/login.aspx?direct=true&amp;db=ccm&amp;AN=106362573&amp;site=ehost-live&amp;scope=site</t>
  </si>
  <si>
    <t>ccm; EBSCOhost; Tobacco sales in pharmacies: time to quit</t>
  </si>
  <si>
    <t>Hughes,C. M.;McElnay,J. C.;Fleming,G. F.;Author,Addresses;School,of Pharmacy;University of Belfast, Belfast,United Kingdom;School of Pharmacy, Queen's University of,Belfast Lisburn;Road,Belfast United Kingdom;Correspondence,Address;JC McElnay, School of Pharmacy Queen's University,Lisburn Road;Belfast,Bt9 7Bl</t>
  </si>
  <si>
    <t>11735659; Benefits and risks of self medication</t>
  </si>
  <si>
    <t>acetylsalicylic acid (adverse drug reaction, drug interaction);aciclovir (topical drug administration);antihistaminic agent;carbamazepine (adverse drug reaction, drug interaction);cimetidine (adverse drug reaction, drug interaction, oral drug;administration);clotrimazole (topical drug administration);famotidine (oral drug administration);fluconazole (adverse drug reaction, drug interaction, oral drug;ibuprofen (adverse drug reaction, drug interaction);ketoconazole (topical drug administration);laxative;levonorgestrel (oral drug administration);lithium (adverse drug reaction, drug interaction);methotrexate (adverse drug reaction, drug interaction);miconazole (topical drug administration);minoxidil (topical drug administration);monoamine oxidase inhibitor (adverse drug reaction, drug interaction);naproxen (oral drug administration);opiate;phenylephrine (adverse drug reaction, drug interaction);phenytoin (adverse drug reaction, drug interaction);pimozide (adverse drug reaction, drug interaction);ranitidine (oral drug administration);simvastatin (adverse drug reaction, drug interaction);sulfonylurea derivative (adverse drug reaction, drug interaction);theophylline derivative (adverse drug reaction, drug interaction);unindexed drug;valproic acid (adverse drug reaction, drug interaction);warfarin (adverse drug reaction, drug interaction);self medication;bleeding (side effect);diagnostic error;drug abuse;health care;health care access;health care system;heart ventricle arrhythmia (side effect);human;hypertension (side effect);hypoglycemia (side effect);medical decision making;myopathy (side effect);polypharmacy;priority journal;review;risk;acetylsalicylic acid (493-53-8, 50-78-2, 53663-74-4, 53664-49-6, 63781-77-1);aciclovir (59277-89-3);carbamazepine (298-46-4, 8047-84-5);cimetidine (51481-61-9, 70059-30-2);clotrimazole (23593-75-1);famotidine (76824-35-6);fluconazole (86386-73-4);ibuprofen (15687-27-1);ketoconazole (65277-42-1);levonorgestrel (797-63-7);lithium (7439-93-2);methotrexate (15475-56-6, 59-05-2, 7413-34-5);miconazole (22916-47-8);minoxidil (38304-91-5);naproxen (22204-53-1, 26159-34-2);opiate (53663-61-9, 8002-76-4, 8008-60-4);phenylephrine (532-38-7, 59-42-7, 61-76-7);phenytoin (57-41-0, 630-93-3);pimozide (2062-78-4);ranitidine (66357-35-5, 66357-59-3);simvastatin (79902-63-9);theophylline derivative (2850-40-0);valproic acid (1069-66-5, 99-66-1);warfarin (129-06-6, 2610-86-8, 3324-63-8, 5543-58-8, 81-81-2);Clinical and Experimental Pharmacology (30);Drug Literature Index (37);Adverse Reactions Titles (38)</t>
  </si>
  <si>
    <t>Self medication is becoming an increasingly important area within healthcare. It moves patients towards greater independence in making decisions about management of minor illnesses, thereby promoting empowerment. Self medication also has advantages for healthcare systems as it facilitates better use of clinical skills, increases access to medication and may contribute to reducing prescribed drug costs associated with publicly funded health programmes. However, self medication is associated with risks such as misdiagnosis, use of excessive drug dosage, prolonged duration of use, drug interactions and polypharmacy. The latter may be particularly problematic in the elderly. Monitoring systems, a partnership between patients, physicians and pharmacists and the provision of education and information to all concerned on safe self medication, are proposed strategies for maximising benefit and minimising risk.</t>
  </si>
  <si>
    <t>(Hughes C.M.; McElnay J.C.; Fleming G.F.) (McElnay J.C.) Adis International Ltd, 41 Centorian Drive, Private Bag 65901, Mairangi Bay, Auckland 10, New Zealand.; ID: 1618</t>
  </si>
  <si>
    <t>http://www.ncbi.nlm.nih.gov/pubmed/11735659</t>
  </si>
  <si>
    <t>Benefits and risks of self medication</t>
  </si>
  <si>
    <t>Hughes,J. R.;Higgins,S. T.;Bickel,W. K.</t>
  </si>
  <si>
    <t>Human Behavioral Pharmacology Laboratory. University of Vermont</t>
  </si>
  <si>
    <t>British journal of addiction</t>
  </si>
  <si>
    <t>Br.J.Addict.</t>
  </si>
  <si>
    <t>Animals;Humans;*Learning/de Drug Effects];*Psychotropic Drugs/ae Adverse Effects];Research;*Social Behavior;Substance-Related Disorders/px Psychology];*Substance-Related Disorders/rh Rehabilitation];Vermont;0 (Psychotropic Drugs)</t>
  </si>
  <si>
    <t>J2: Br J Addict; Hughes, J R Higgins, S T Bickel, W K; ID: 677</t>
  </si>
  <si>
    <t>0952-0481</t>
  </si>
  <si>
    <t>Hughes,J R. Department of Psychiatry, University of Vermont, Burlington 05405.</t>
  </si>
  <si>
    <t>http://ovidsp.ovid.com/ovidweb.cgi?T=JS&amp;CSC=Y&amp;NEWS=N&amp;PAGE=fulltext&amp;D=med3&amp;AN=2346785</t>
  </si>
  <si>
    <t>MEDLINE; Ovid Technologies; Human Behavioral Pharmacology Laboratory. University of Vermont</t>
  </si>
  <si>
    <t>Hui,B.;Wang,W.;Li,J.</t>
  </si>
  <si>
    <t>Biphasic modulation of cocaine-induced conditioned place preference through inhibition of histone acetyltransferase and histone deacetylase</t>
  </si>
  <si>
    <t>Acetylation;Animals;*Behavior, Addictive/en Enzymology];Behavior, Addictive/ge Genetics];*Cocaine-Related Disorders/en Enzymology];Cocaine-Related Disorders/ge Genetics];Enzyme Inhibitors/pd Pharmacology];Gene Expression Regulation/de Drug Effects];Histone Acetyltransferases/ai Antagonists &amp; Inhibitors];*Histone Acetyltransferases/me Metabolism];Histone Deacetylases/de Drug Effects];*Histone Deacetylases/me Metabolism];Histones/me Metabolism];Male;Rats;Rats, Sprague-Dawley;0 (Enzyme Inhibitors);0 (Histones);EC 2-3-1-48 (Histone Acetyltransferases);EC 3-5-1-98 (Histone Deacetylases)</t>
  </si>
  <si>
    <t>OBJECTIVE: To examine the causative relationship between aberrant histone acetylation changes and cocaine-induced reward. METHODS: Male Sprague-Dawley rats (n=160) were tested by conditioned place preference (CPP) procedure, to evaluate the effects of inhibitors of histone deacetylase (HDAC) and histone acetyltransferase (HAT) on the conditioned effects of cocaine. Conditioning sessions were conducted twice daily for 2-4 days. For each conditioning session, rats were injected with either HDAC (or HAT) inhibitors or saline in home cages, followed by cocaine (intraperitoneally ip]) or saline (ip) 30 minutes later, and then immediately confined for 50 minutes in the cue-specific chamber. On the day following the last conditioning session, the rats were tested for place preference for 15 minutes. The present study was carried out at the Department of Pharmacology of Jiaxing University, Jiaxing, Zhejiang, and Pharmacology Research Center of Fudan University, Shanghai, China between October 2007 and January 2009. RESULTS: Our results showed that pretreatment with HDAC inhibitor (sodium butyrate), potentiated cocaine-induced CPP, but did not itself lead to conditioned preferences, or aversions. On the contrary, rats pretreated with curcumin (HAT inhibitor) markedly inhibited cocaine-induced CPP, but did not itself lead to conditioned preferences or aversions. CONCLUSION: Histone modifications may be an important mechanism that underlies conditioned effects of cocaine. Moreover, HAT may be a potential therapeutic target for cocaine addiction.</t>
  </si>
  <si>
    <t>J2: Saudi Med J; Hui, Bin Wang, Wei Li, Jing; ID: 290</t>
  </si>
  <si>
    <t>Hui,Bin. Department of Pharmacology, College of Medicine, Jiaxing University, PO Box 314001, Jiaxing, Zhejiang, China. huibzh@yahoo.com.cn</t>
  </si>
  <si>
    <t>http://ovidsp.ovid.com/ovidweb.cgi?T=JS&amp;CSC=Y&amp;NEWS=N&amp;PAGE=fulltext&amp;D=med5&amp;AN=20383415</t>
  </si>
  <si>
    <t>MEDLINE; Ovid Technologies; Biphasic modulation of cocaine-induced conditioned place preference through inhibition of histone acetyltransferase and histone deacetylase</t>
  </si>
  <si>
    <t>Humphreys,K.;Weingardt,K. R.;Horst,D.;Joshi,A. A.;Finney,J. W.</t>
  </si>
  <si>
    <t>Prevalence and predictors of research participant eligibility criteria in alcohol treatment outcome studies, 1970-98</t>
  </si>
  <si>
    <t>*Alcoholism/th Therapy];Clinical Protocols;Clinical Trials as Topic/mt Methods];Diagnosis, Dual (Psychiatry);Humans;Patient Compliance;*Patient Selection;Research Design;Treatment Outcome</t>
  </si>
  <si>
    <t>AIMS: To describe the eligibility criteria (i.e. study participant inclusion and exclusion rules) employed in alcohol treatment outcome research and to identify predictors of their use. DESIGN: The eligibility criteria of 683 alcohol treatment outcome studies conducted between 1970 and 1998 were coded reliably into 14 general categories. Predictors of the use of eligibility criteria were then examined. FINDINGS: Patients were most often ruled ineligible for research studies because of their level of alcohol problems (39.1% of studies), comorbid psychiatric problems (37.8%), past or concurrent utilization of alcohol treatment (31.8%), co-occurring medical conditions (31.6%), and because they were deemed non-compliant and unmotivated (31.5%). The number of eligibility criteria employed in studies increased from the 1970s through the 1990s, and was positively associated with funding from the US National Institute of Alcohol Abuse and Alcoholism (NIAAA) and from the private sector, lack of an inpatient/residential treatment condition, presence of a pharmacotherapy, and use of a randomized, multiple-condition design. Principal investigators with doctoral degrees used more eligibility criteria than those with lower degrees. CONCLUSION: Participant eligibility criteria are extensively employed in alcohol treatment outcome research, and vary significantly across historical periods, funders and research designs. Researchers should report the details of subject eligibility criteria and excluded patients more fully, and, evaluate how eligibility criteria affect the cost, feasibility, and generalizability of treatment outcome research. References: 15]</t>
  </si>
  <si>
    <t>J2: Addiction; Humphreys, Keith Weingardt, Kenneth R Horst, Doyanne Joshi, Asha A Finney, John W R-01 AA08689 (United States NIAAA NIH HHS) R-01 AA13315 (United States NIAAA NIH HHS); ID: 438</t>
  </si>
  <si>
    <t>Humphreys,Keith. Veterans Affairs and Stanford University Medical Centers, Palo Alto, CA 94025, USA. knh@stanford.edu</t>
  </si>
  <si>
    <t>http://ovidsp.ovid.com/ovidweb.cgi?T=JS&amp;CSC=Y&amp;NEWS=N&amp;PAGE=fulltext&amp;D=med5&amp;AN=16128714</t>
  </si>
  <si>
    <t>MEDLINE; Ovid Technologies; Prevalence and predictors of research participant eligibility criteria in alcohol treatment outcome studies, 1970-98</t>
  </si>
  <si>
    <t>Hussain,S.;Malik,F.;Hameed,A.;Parveen,G.;Raja,F. Y.;Riaz,H.;Shafaat,S.;Wajid,A.;Channa,R. A.;Author,Addresses;National,Institute of;Islamabad,Pakistan;Department,of Microbiology;Islamabad,Pakistan;School of Pharmacy, Sargodha University,Sargodha Pakistan;Correspondence,Address;Hussain, National Institute of Health Islamabad-Pakistan Email,S.;shshaikh@yahoo.com</t>
  </si>
  <si>
    <t>Pharmacoepidemiological studies of prescribing practices of health care providers of Pakistan: A cross sectional survey</t>
  </si>
  <si>
    <t>African Journal of Pharmacy and Pharmacology</t>
  </si>
  <si>
    <t>health care practice;pharmacoepidemiology;prescription;adult;article;clinical indicator;consultation;controlled study;cross-sectional study;drug control;drug misuse;drug use;female;general practitioner;health care availability;health care facility;health care personnel;human;information dissemination;major clinical study;male;Pakistan;patient referral;physician attitude;public health service;Public Health, Social Medicine and Epidemiology (17)</t>
  </si>
  <si>
    <t>Half of all medicines are prescribed or sold inappropriately and half of all patients fail to take their medicines correctly worldwide. The present study was conducted to evaluate the pattern and practice of drugs within the modern medical system by investigating the prescription pattern, drug use in private and public health care facilities, assessment of the magnitude of the problem, identifying factors responsible for the problem, suggesting measures in Pakistan. There were marked differences between the qualities of consultation indicators between general practitioners (GPs) and public health care providers. The average number of drugs per prescription was 2.92 for all types of health care providers, mean number of drugs dispensed was 2.41 and 50% of the dispensed drugs were adequately labeled. Five categories of drugs comprised around 70% of all drugs prescribed. Injections prescribed per prescription were 0.32, infusions 0.07, capsules/tablets 1.85, syrups/suspensions 0.8. Number of drugs prescribed by GP's was 4.3 and was 2.9 (P = 0.001) for public health care providers and antibiotics prescribed per prescription were 0.9 and 0.8 (P = 0.176) for the GP's and public health care providers. The availability of drugs at public health care facilities influenced prescription in 88% of cases as compared to 57% (P = 0.001) at GPs clinics. Prescribing and dispensing practices are irrational both in public and private sector in Pakistan like many developing countries. Workable and appropriate interventions need to be developed and implemented in countries to improve trends of prescribing. The essential drug list and standard treatment guidelines should be disbursed to all medical, dental and pharmacy students. ‚î¨‚åê 2011 Academic Journals.</t>
  </si>
  <si>
    <t>(Hussain S., shshaikh2001@yahoo.com; Malik F.; Parveen G.; Raja F.Y.; Shafaat S.; Wajid A.; Channa R.A.) (Hameed A.) (Riaz H.) Academic Journals, P.O. Box 5170-00200, Nairobi,Victoria Island, Nigeria.; ID: 1238</t>
  </si>
  <si>
    <t>1996-0816 (electronic)</t>
  </si>
  <si>
    <t>Hussainy,S. Y.;Box,M.;Scholes,S.</t>
  </si>
  <si>
    <t>PMC3215169; Piloting the role of a pharmacist in a community palliative care multidisciplinary team: an Australian experience</t>
  </si>
  <si>
    <t>BMC Palliative Care</t>
  </si>
  <si>
    <t>BACKGROUND: While the home is the most common setting for the provision of palliative care in Australia, a common problem encountered here is the inability of patient/carers to manage medications, which can lead to misadventure and hospitalisation. This can be averted through detection and resolution of drug related problems (DRPs) by a pharmacist; however, they are rarely included as members of the palliative care team. The aim of this study was to pilot a model of care that supports the role of a pharmacist in a community palliative care team. A component of the study was to develop a cost-effective model for continuing the inclusion of a pharmacist within a community palliative care service. METHODS: The study was undertaken (February March 2009-June 2010) in three phases. Development (Phase 1) involved a literature review; scoping the pharmacist's role; creating tools for recording DRPs and interventions, a communication and education strategy, a care pathway and evidence based patient information. These were then implemented in Phase 2. Evaluation (Phase 3) of the impact of the pharmacist's role from the perspectives of team members was undertaken using an online survey and focus group. Impact on clinical outcomes was determined by the number of patients screened to assess their risk of medication misadventure, as well as the number of medication reviews and interventions performed to resolve DRPs. RESULTS: The pharmacist screened most patients (88.4%, 373/422) referred to the palliative care service to assess their risk of medication misadventure, and undertook 52 home visits. Medication reviews were commonly conducted at the majority of home visits (88%, 46/52), and a variety of DRPs (113) were detected at this point, the most common being "patient requests drug information" (25%, 28/113) and "condition not adequately treated" (22%, 25/113). The pharmacist made 120 recommendations in relation to her interventions.Fifty percent of online survey respondents (10/20) had interacted 10 or more times with the pharmacist for advice. All felt that the pharmacist's role was helpful, improving their knowledge of the different medications used in palliative care. The six team members who participated in the focus group indicated that there were several benefits of the pharmacist's contributions towards medication screening and review. CONCLUSIONS: The inclusion of a pharmacist in a community palliative care team lead to an increase in the medication-related knowledge and skills of its members, improved patients' medication management, and minimised related errors. The model of care created can potentially be duplicated by other palliative care services, although its cost-effectiveness was unable to be accurately tested within the study.</t>
  </si>
  <si>
    <t>J2: BMC Palliat Care; Hussainy, Safeera Y Box, Margaret Scholes, Sandy; ID: 240</t>
  </si>
  <si>
    <t>1472-684X</t>
  </si>
  <si>
    <t>Hussainy,Safeera Y. Centre for Medicine Use and Safety, Faculty of Pharmacy and Pharmaceutical Sciences, Monash University, 381 Royal Parade, Parkville 3052, Melbourne, Australia. safeera.hussainy@monash.edu.</t>
  </si>
  <si>
    <t>http://ovidsp.ovid.com/ovidweb.cgi?T=JS&amp;CSC=Y&amp;NEWS=N&amp;PAGE=fulltext&amp;D=prem&amp;AN=22035160</t>
  </si>
  <si>
    <t>http://dx.doi.org/10.1186/1472-684X-10-16</t>
  </si>
  <si>
    <t>MEDLINE; Ovid Technologies; Piloting the role of a pharmacist in a community palliative care multidisciplinary team: an Australian experience</t>
  </si>
  <si>
    <t>Hussein,G.;Kawahara,N.</t>
  </si>
  <si>
    <t>PMC1636922; Adaptive and longitudinal pharmaceutical care instruction using an interactive voice response/text-to-speech system</t>
  </si>
  <si>
    <t>*Computer-Assisted Instruction;*Education, Pharmacy;Educational Technology;Humans;*Patient Education as Topic;Software;Telephone;Treatment Outcome;User-Computer Interface</t>
  </si>
  <si>
    <t>OBJECTIVES: To develop a course structure that would more closely simulate the actual provision of pharmaceutical care. DESIGN: An interactive voice response/text-to-speech system (hardware and software) for obtaining patient data was designed and used in a pharmaceutical care laboratory. Students called the system to collect data, listen to progress notes, make recommendations, and update the pharmaceutical care plan for virtual patients. Laboratory time was utilized to evaluate patient progress and respond to recommendations as well as to identify and solve drug-related problems. ASSESSMENT: Students' recorded communications with the system and completed care plans were evaluated and a competency-based final examination was administered. Peer evaluations and course evaluations were administered. CONCLUSION: This innovative approach challenged students and promoted interactive learning. Student evaluations indicated we achieved our objective of creating a course that more closely simulated the actual provision of pharmaceutical care.</t>
  </si>
  <si>
    <t>J2: Am J Pharm Educ; Hussein, Gamal Kawahara, Nancy; ID: 411</t>
  </si>
  <si>
    <t>Hussein,Gamal. School of Pharmacy, Loma Linda University.</t>
  </si>
  <si>
    <t>http://ovidsp.ovid.com/ovidweb.cgi?T=JS&amp;CSC=Y&amp;NEWS=N&amp;PAGE=fulltext&amp;D=med5&amp;AN=17149416</t>
  </si>
  <si>
    <t>MEDLINE; Ovid Technologies; Adaptive and longitudinal pharmaceutical care instruction using an interactive voice response/text-to-speech system</t>
  </si>
  <si>
    <t>Hutcheon,D.;Gertner,S.;Havelin,D. M.;Flynn,E.;Author,Addresses;Pharmacology/Toxicology;Department,New Jersey Medical School Umdnj Newark N.J.United;States;Correspondence,Address;Hutcheon, Pharmacology Toxicology Department New Jersey Medical School,D.;Umdnj,Newark N. J. United States</t>
  </si>
  <si>
    <t>A problem-solving system of instruction (CINE') on the pharmacology of drug dependence</t>
  </si>
  <si>
    <t>NIDA Research Monograph Series</t>
  </si>
  <si>
    <t>adrenergic receptor stimulating agent;cocaine;dopamine receptor stimulating agent;serotonin agonist;drug dependence;microcomputer;calculation;conference paper;decision making;drug antagonism;drug screening;drug tolerance;drug toxicity;drug withdrawal;human;laboratory;learning;technology;cocaine (50-36-2, 53-21-4, 5937-29-1);Biophysics, Bioengineering and Medical Instrumentation (27);Psychiatry (32);Drug Dependence, Alcohol Abuse and Alcoholism (40);Toxicology (52)</t>
  </si>
  <si>
    <t>(Hutcheon D.; Gertner S.; Havelin D.M.; Flynn E.); ID: 1709</t>
  </si>
  <si>
    <t>Hyatt,J. M.;Author,Addresses;Vawny,Healthcare System;Correspondence,Address;JM Hyatt, Vawny Healthcare System,United States</t>
  </si>
  <si>
    <t>Pharmacist-directed PTSD medication management clinic at the VAWNY healthcare system</t>
  </si>
  <si>
    <t>college;drug therapy;health care system;hospital;pharmacist;posttraumatic stress disorder;anxiety;education;emergency ward;follow up;functional status;group therapy;health;hospitalization;insomnia;irritability;male;mental health;mental health service;multiple trauma;neuropsychology;outcomes research;patient;patient care;patient compliance;planning;population;primary medical care;rating scale;school;substance abuse;therapy;veteran;vocational rehabilitation</t>
  </si>
  <si>
    <t>Abstract Type: Innovative Practices. Background: Influx of Veterans of Operation Enduring Freedom (OEF) and Operation Iraqi Freedom (OIF) has prompted changes in how mental health services are delivered. Young veterans are often reluctant to accept medication therapy, limiting treatment compliance and success. Our psychiatric service is overburdened, prompting referral of new veterans to the emergency room for psychiatric services. The PTSD Medication Management Clinic was developed to help meet the needs returning veterans with symptoms of posttraumatic stress disorder. Clinic goals include evaluation of new veterans at point of entry, disease-state and medication education, and frequent follow-up in clinic to support education and compliance. Description of Innovative Service: OEF/OIF veterans are referred to the PTSD Medication Management Clinic by the OEF/OIF Department, primary care, ER, and behavioral health providers. Initial evaluation includes mental status exam and rating scale evaluations as indicated. Initial evaluation, education, medication prescribing and follow up are provided by the author. Patients may be referred for additional services as appropriate including individual psychotherapy, group therapy, neuropsychology evaluation, polytrauma evaluation, substance abuse services, and vocational rehabilitation. Impact on Patient Care: In the first 12 months that the clinic was in operation, 105 patients received services for a total of 531 clinic visits. Initially, the clinic was averaging 15-20 appointments per month. Currently, 60 to 80 patients are seen monthly. 87% of patients are male. The average time of the initial clinic visit is 60-90 minutes. Follow-up visits average 30-45 minutes. Most commonly seen symptoms include irritability, anxiety, insomnia and depression. Patients who remain in the clinic for more than 1 month have an 83% compliance rate with appointments. Measurable outcomes include psychiatric hospitalizations and changes in functional status (school, work), substance use, and personal relationships. Conclusion: The increased demand for mental health services for OEF/OIF veterans has created a niche for pharmacist-managed medication therapy as part of a multidisciplinary approach to treatment of veterans with symptoms of PTSD. We have been encouraged by the success of the clinic and are planning outcomes research to better define the role of pharmacists in medication management for this population.</t>
  </si>
  <si>
    <t>(Hyatt J.M.) 13th Annual Meeting of the College of Psychiatric and Neurologic Pharmacists, CPNP 2010 San Antonio, TX, United States 2010-04-18 to 2010-04-21 SAGE Publications Inc.; ID: 1365</t>
  </si>
  <si>
    <t>Ilic,D.;Bukumiric,Z.;Jankovic,S.</t>
  </si>
  <si>
    <t>Impact of educational intervention on prescribing inappropriate medication to elderly nursing homes residents</t>
  </si>
  <si>
    <t>Srpski arhiv za celokupno lekarstvo</t>
  </si>
  <si>
    <t>Srp.Arh.Celok.Lek.</t>
  </si>
  <si>
    <t>Aged, 80 and over;*Drug-Related Side Effects and Adverse Reactions/ep Epidemiology];Drug-Related Side Effects and Adverse Reactions/pc Prevention &amp; Control];*Education, Pharmacy/mt Methods];Female;Humans;*Inappropriate Prescribing/td Trends];Incidence;Male;*Nursing Homes;*Polypharmacy;Retrospective Studies;Serbia/ep Epidemiology]</t>
  </si>
  <si>
    <t>INTRODUCTION: Problems with polypharmacy, adverse drug reactions and non-adherence are especially frequent among elderly nursing home residents. OBJECTIVE: The aim of our study was to evaluate effectiveness of a specific form of staff education on appropriateness of prescribing in a cluster of nursing homes for the elderly. METHODS: The study was designed as before-and-after trial of educational intervention on appropriateness of prescribing in nursing homes for the elderly. In total 20 nursing homes located in Belgrade, Serbia were included in the study with 104 elderly residents and 27 caring physicians. Appropriateness of prescribing was checked against Beers, START and STOPP criteria, before and 6 months after the intervention. RESULTS: There were 349 inappropriately prescribed drugs according to Beers criteria before the intervention and 37 drugs six months after the intervention. According to STOPP criteria there were 70 drugs inappropriately prescribed before the intervention, and 20 drugs 6 months after. When both criteria are taken together, there is a significant difference between the average number of inappropriate drugs per patient before (3.4+/-0.5) and after (0.6+/-0.7) educational intervention (t=38.902; p&lt;0.001). Finally, before the intervention 143 appropriate drugs were omitted according to START criteria, while 6 months after the intervention there were only 67 omissions. CONCLUSION: Simple, but well targeted educational interventions may improve polypharmacy and decrease inappropriate prescribing rate, contributing to a better care of elderly patients in nursing homes.</t>
  </si>
  <si>
    <t>J2: Srp Arh Celok Lek; Ilic, Darko Bukumiric, Zoran Jankovic, Slobodan; ID: 28</t>
  </si>
  <si>
    <t>0370-8179</t>
  </si>
  <si>
    <t>http://ovidsp.ovid.com/ovidweb.cgi?T=JS&amp;CSC=Y&amp;NEWS=N&amp;PAGE=fulltext&amp;D=medl&amp;AN=26012127</t>
  </si>
  <si>
    <t>MEDLINE; Ovid Technologies; Impact of educational intervention on prescribing inappropriate medication to elderly nursing homes residents</t>
  </si>
  <si>
    <t>Iliceto,P.;Fino,E.;Pasquariello,S.;D'Angelo,Di Paola;Enea,D.</t>
  </si>
  <si>
    <t>Predictors of success in smoking cessation among Italian adults motivated to quit</t>
  </si>
  <si>
    <t>Adult;Age Factors;Age of Onset;Benzazepines/ad Administration &amp; Dosage];Bupropion/ad Administration &amp; Dosage];Cognitive Therapy/mt Methods];Female;Humans;Italy;Logistic Models;Male;Middle Aged;*Motivation;Multivariate Analysis;Psychotherapy, Group/mt Methods];Quinoxalines/ad Administration &amp; Dosage];Sex Factors;*Smoking Cessation/mt Methods];Time Factors;*Tobacco Use Disorder/rh Rehabilitation];Treatment Outcome;Varenicline;0 (Benzazepines);0 (Quinoxalines);01ZG3TPX31 (Bupropion);W6HS99O8ZO (Varenicline)</t>
  </si>
  <si>
    <t>We examined the role of sexual gender, age, working status, education, cigarettes per day, Fagerstrom test, age of onset, pharmacologic intervention (bupropion or varenicline), 10 sessions of cognitive-behavioral group counseling therapy (GCT) conducted over 6 weeks, and level of attendance of the counseling program as predictors of smoking cessation on 1282 Italian adult smokers. Results of a multi-variate forward stepwise conditional logistic analysis, at the first step, indicate that subjects who attended the program from 4 to 6 sessions and from 1 to 3 sessions, respectively, resulted about 3 times and 24 times more likely to smoke than those attending from 7 to 10 sessions; at the second step, subjects with high Fagerstrom score were 2 times more likely to smoke than subjects with low/middle Fagerstrom; at the third step, subjects treated only with GCT were 2 times more likely to smoke than subjects with combined pharmacologic interventions and GCT; at the fourth step, subjects with age of onset less than 17 years were 1.5 times more likely to smoke than subjects with a higher age of onset; eventually, at the fifth step women resulted 1.5 times more likely to smoke than men. In conclusion, we found that a steady attendance of the cognitive behavioral program, as well as the addition of pharmacologic interventions to counseling, remarkably increased the probability of the smoking cessation behavior to be determined. Nevertheless, FTQ was a valid measure in predicting the smoking cessation, and women revealed to be more likely to keep the smoking behavior, as well as subjects who declared an age of onset less than 17 years.Copyright ‚î¨‚åê 2013 Elsevier Inc. All rights reserved.</t>
  </si>
  <si>
    <t>J2: J Subst Abuse Treat; Iliceto, Paolo Fino, Emanuele Pasquariello, Stefania D'Angelo Di Paola, Maria E Enea, Domenico S0740-5472(12)00452-7; ID: 149</t>
  </si>
  <si>
    <t>Iliceto,Paolo. Sapienza University of Rome, Rome, RM, Italy.</t>
  </si>
  <si>
    <t>http://ovidsp.ovid.com/ovidweb.cgi?T=JS&amp;CSC=Y&amp;NEWS=N&amp;PAGE=fulltext&amp;D=medl&amp;AN=23312770</t>
  </si>
  <si>
    <t>http://dx.doi.org/10.1016/j.jsat.2012.12.004</t>
  </si>
  <si>
    <t>MEDLINE; Ovid Technologies; Predictors of success in smoking cessation among Italian adults motivated to quit</t>
  </si>
  <si>
    <t>Imenshahidi,M.;Qaredashi,R.;Hashemzaei,M.;Hosseinzadeh,H.;Author,Addresses;Department of,Pharmacodynamy;Toxicology,Pharmaceutical;Research Center, School of Pharmacy Mashhad University of,Medical Sciences;Mashhad,Iran;Department of,Pharmacodynamy;Toxicology,School of;Pharmacy,Mashhad University of Medical Sciences Mashhad Iran;Department of,Pharmacology;Toxicology,School of;Pharmacy,Zabol University of Medical Sciences Zabol Iran;Pharmaceutical Research,Center;School of Pharmacy, Mashhad University of Medical Sciences,Mashhad Iran;Correspondence,Address;Hosseinzadeh, Pharmaceutical Research Center School of Pharmacy Mashhad,H.;University of Medical Sciences, Mashhad,Iran Email;hosseinzadehh@mums.ac.ir</t>
  </si>
  <si>
    <t>Inhibitory effect of Berberis vulgaris aqueous extract on acquisition and reinstatement effects of morphine in conditioned place preferences (CPP) in mice</t>
  </si>
  <si>
    <t>Jundishapur Journal of Natural Pharmaceutical Products</t>
  </si>
  <si>
    <t>9:3 Article Number: e16145.</t>
  </si>
  <si>
    <t>(MAJOR FOCUS);berberis vulgaris extract (drug development, drug therapy, intraperitoneal;drug administration);drugs used in the treatment of addiction (drug development, drug therapy,;intraperitoneal drug administration);plant extract (drug development, drug therapy, intraperitoneal drug;administration);morphine sulfate;unclassified drug;morphine addiction (drug therapy, drug therapy);place preference;withdrawal syndrome;animal experiment;article;Berberidaceae;Berberis vulgaris;leukocyte;male;medicinal plant;mouse;nonhuman;morphine sulfate (23095-84-3, 35764-55-7, 64-31-3);Psychiatry (32);Drug Literature Index (37)</t>
  </si>
  <si>
    <t>Background: It has been elucidated that Berberis vulgaris (barberry) can alleviate morphine withdrawal syndrome. Also it has been reported that aqueous extract of barberry possibly have inhibitory effect on NMDA receptors. Objectives: In this study, we decided to evaluate the effects of aqueous extract of B. vulgaris fruit on morphine tendency in mice using conditioned place preference (CPP) method. Materials and Methods: In experiment 1 (acquisition phase), mice underwent morphine-induced conditioned place preference (CPP) training with injections of morphine (40 mg/kg). In experiment 2 (extinction and reinstatement phases), mice underwent the same CPP training as in experiment 1 and subsequent extinction training on day 16th a reinstatement by CPP was done by injection of reminding 10 mg/kg morphine. Results: The administration of morphine (40 mg/kg for four days) produced place preference. In the first method, the aqueous extract of barberry (200 mg/kg) prevented morphine tendency to white cell in CPP method. In the second method, after inter-peritoneal injection of aqueous extracts of barberry at 100 and 200 mg/kg, the animals tendency toward the white cells of CPP chamber on the sixteenth day (after a reminder injection of morphine 10 mg/kg) was significantly reduced. Conclusions: These results show that aqueous extract of barberry can reduce the acquisition and reinstatement of morphine-induced conditioned place preference. ‚î¨‚åê 2014, School of Pharmacy, Ahvaz Jundishapur University of Medical Sciences.</t>
  </si>
  <si>
    <t>(Imenshahidi M.) (Qaredashi R.) (Hashemzaei M.) (Hosseinzadeh H., hosseinzadehh@mums.ac.ir) Ahvaz Jundishapur University of Medical Sciences, PO Box 61357-33184, Ahvaz, Tehran, Iran.; ID: 940</t>
  </si>
  <si>
    <t>2228-7876 (electronic) 1735-7780</t>
  </si>
  <si>
    <t>Inamdar,P.;Jelamvazir;Desai,S.;Patel,D.;Meshram,D.;Author,Addresses;Department of Quality Assurance, Pioneer,Pharmacy Degree;College,Sayajipura Vadodara Gujarat India;Department,of Pharmaceutical;Biotechnology;Pioneer Pharmacy Degree College, Sayajipura Vadodara,Gujarat India;Correspondence,Address;Inamdar, Department of Quality Assurance Pioneer Pharmacy Degree,P.;College,Sayajipura Vadodara Gujarat India Email;inamdarpriyal@gmail.com</t>
  </si>
  <si>
    <t>Phytochemical screening and in vitro antifungal activity of camellia sinensis</t>
  </si>
  <si>
    <t>International Journal of Pharmacy and Pharmaceutical Sciences</t>
  </si>
  <si>
    <t>(MAJOR FOCUS);green tea extract (drug analysis, drug comparison, drug development);plant extract (drug analysis, drug comparison, drug development);alkaloid;amino acid;anthraquinone;carbohydrate;epicatechin gallate;epigallocatechin gallate;glycoside;protein;saponin;streptomycin (drug comparison);tannin;terpenoid;unclassified drug;antifungal activity;phytochemistry;agar diffusion;article;Camellia sinensis;Candida albicans;Candida tropicalis;controlled study;fungicidal activity;growth inhibition;nonhuman;Saccharomyces cerevisiae;solvent extraction;amino acid (65072-01-7);anthraquinone (84-65-1);epicatechin gallate (863-03-6);epigallocatechin gallate (989-51-5);protein (67254-75-5);saponin (8047-15-2);streptomycin (57-92-1);tannin (1401-55-4);Drug Literature Index (37);Pharmacy (39);Microbiology: Bacteriology, Mycology, Parasitology and Virology (4)</t>
  </si>
  <si>
    <t>Objectives: The aim of the present work was to evaluate the phytochemical composition of Camellia sinensis and to assess the antifungal activities of Camellia sinensis using in vitro antifungal screening techniques. The ability of tea plant extract to inhibit the growth of fungal strains is an indication of its antifungal property that might be used in the management of fungal infections in future. Methods: Extracts of leaves from the tea plant Camellia sinensis contain polyphenolic components with activity against a wide spectrum of microbes. Studies conducted over the last 20 years have shown that the green tea polyphenoliccatechins, in particular (-)-epigallocatechingallate (EGCg) and (-)-epicatechingallate (ECg), can inhibit the growth of a wide range of Gram-positive and Gram-negative fungal species with moderate potency. The leaves were collected from the market and identified by the Pharmacognosy department of our own college. Phytochemical analysis revealed the presence flavonoids.The study was carried out on various species of fungi including Candida albicans(MTCC No.183), Candida tropicalis (MTCC No.184),and Saccharomyces cerevisiae (MTCC No.170)using cup plate method. The results obtained were compared against standard antibiotic streptomycin. Results: The aqueous extract is effective against saccharomyces cerevisiae and very less against Candida albicansand no effect was found in Candida tropicalis. The alcoholic extract is found effective against Candida albicans and Saccharomyces cerevisiae and very less effect was seen against Candida tropicalis. Conclusion: The study illustrates that Camellia sinensis has shown a significant antifungal activity against various species of fungi like saccharomyces cerevisiae, Candida albicans and very less effect was seen against Candida tropicalis; both in aqueous as well as methanolic extract. Along with that it is a good source of Flavonoid.</t>
  </si>
  <si>
    <t>(Inamdar P., inamdarpriyal@gmail.com; Jelamvazir, jvazir@yahoo.com; Patel D.; Meshram D.) (Desai S.) International Journal of Pharmacy and Pharmaceutical Science, 6/1, Sanjeevani Medical Stores, Shastri Chowk, Sadar Bazar, Sagar,Madhya Pradesh, India. editor@ijppsjournal.com; ID: 949</t>
  </si>
  <si>
    <t>0975-1491 (electronic)</t>
  </si>
  <si>
    <t>Inciardi,J. A.;Surratt,H. L.;Kurtz,S. P.;Cicero,T. J.</t>
  </si>
  <si>
    <t>NIHMS177080 PMC2879025; Mechanisms of prescription drug diversion among drug-involved club- and street-based populations</t>
  </si>
  <si>
    <t>Adolescent;Adult;Amphetamine-Related Disorders/ep Epidemiology];Analgesics, Opioid;Antiretroviral Therapy, Highly Active;Cocaine-Related Disorders/ep Epidemiology];Crack Cocaine;Culture;Drug Industry;*Drug Prescriptions;Female;Florida/ep Epidemiology];Focus Groups;HIV Seropositivity/px Psychology];Hallucinogens;Heroin Dependence/ep Epidemiology];Humans;Male;Methadone;Middle Aged;N-Methyl-3,4-methylenedioxyamphetamine;Patients;Pharmacy;Physicians;*Street Drugs;Substance Abuse Treatment Centers;*Substance-Related Disorders/ep Epidemiology];Surveys and Questionnaires;0 (Analgesics, Opioid);0 (Crack Cocaine);0 (Hallucinogens);0 (Street Drugs);KE1SEN21RM (N-Methyl-3,4-methylenedioxyamphetamine);UC6VBE7V1Z (Methadone)</t>
  </si>
  <si>
    <t>OBJECTIVE: Prescription drug diversion involves the unlawful channeling of regulated pharmaceuticals from legal sources to the illicit marketplace, and can occur along all points in the drug delivery process, from the original manufacturing site to the wholesale distributor, the physician's office, the retail pharmacy, or the patient. However, empirical data on diversion are limited. METHOD: In an attempt to develop a better understanding of how specific drug-using populations are diverting prescription opioids and other medications, or obtaining controlled drugs that have already been diverted, qualitative interviews and focus group data were collected on four separate populations of prescription drug abusers in Miami, Florida--club drug users, street-based illicit drug users, methadone maintenance patients, and HIV positive individuals who abuse and/or divert drugs. RESULTS: Sources of abused prescription drugs cited by focus group participants were extremely diverse, including their physicians and pharmacists; parents and relatives; "doctor shopping"; leftover supplies following an illness or injury; personal visits to Mexico, South America and the Caribbean; prescriptions intended for the treatment of mental illness; direct sales on the street and in nightclubs; pharmacy and hospital theft; through friends or acquaintances; under-the-door apartment flyers advertising telephone numbers to call; and "stealing from grandma's medicine cabinet." CONCLUSION: While doctor shoppers, physicians and the Internet receive much of the attention regarding diversion, the data reported in this paper suggest that there are numerous active street markets involving patients, Medicaid recipients and pharmacies as well. In addition, there are other data which suggest that the contributions of residential burglaries, pharmacy robberies and thefts, and "sneak thefts" to the diversion problem may be understated.</t>
  </si>
  <si>
    <t>J2: Pain Med; Inciardi, James A Surratt, Hilary L Kurtz, Steven P Cicero, Theodore J R01 DA019048 (United States NIDA NIH HHS) R01 DA019048-05 (United States NIDA NIH HHS) R01 DA021330 (United States NIDA NIH HHS) R01 DA021330-03 (United States NIDA NIH HHS) R01 DA021330-04 (United States NIDA NIH HHS) R01-DA13131 (United States NIDA NIH HHS) R01-DA14854 (United States NIDA NIH HHS); ID: 399</t>
  </si>
  <si>
    <t>Inciardi,James A. Center for Drug and Alcohol Studies, University of Delaware, Coral Gables, Florida 33134, USA. jainyc@aol.com</t>
  </si>
  <si>
    <t>http://ovidsp.ovid.com/ovidweb.cgi?T=JS&amp;CSC=Y&amp;NEWS=N&amp;PAGE=fulltext&amp;D=med5&amp;AN=17305688</t>
  </si>
  <si>
    <t>MEDLINE; Ovid Technologies; Mechanisms of prescription drug diversion among drug-involved club- and street-based populations</t>
  </si>
  <si>
    <t>Inturrisi,C. E.</t>
  </si>
  <si>
    <t>Clinical pharmacology of opioids for pain</t>
  </si>
  <si>
    <t>Clinical Journal of Pain</t>
  </si>
  <si>
    <t>Clin.J.Pain</t>
  </si>
  <si>
    <t>S3</t>
  </si>
  <si>
    <t>Analgesics, Opioid/cl Classification];Analgesics, Opioid/pk Pharmacokinetics];*Analgesics, Opioid/pd Pharmacology];*Analgesics, Opioid/tu Therapeutic Use];Chronic Disease;Comorbidity;Drug Tolerance;Humans;Opioid-Related Disorders/co Complications];Opioid-Related Disorders/di Diagnosis];Opioid-Related Disorders/ep Epidemiology];Opioid-Related Disorders/mo Mortality];Opioid-Related Disorders/th Therapy];*Pain/dt Drug Therapy];Psychiatric Status Rating Scales;Psychotic Disorders/co Complications];Psychotic Disorders/di Diagnosis];Psychotic Disorders/ep Epidemiology];Psychotic Disorders/th Therapy];Receptors, Opioid/ph Physiology];Risk Assessment;Substance Withdrawal Syndrome/co Complications];Substance Withdrawal Syndrome/di Diagnosis];Substance Withdrawal Syndrome/ep Epidemiology];Substance Withdrawal Syndrome/th Therapy];0 (Analgesics, Opioid);0 (Receptors, Opioid)</t>
  </si>
  <si>
    <t>The pharmacological effects of the opioid analgesics are derived from their complex interactions with three opioid receptor types (mu, delta, and kappa; morphine is an agonist at the mu opioid receptor). These receptors are found in the periphery, at presynaptic and postsynaptic sites in the spinal cord dorsal horn, and in the brain stem, thalamus, and cortex, in what constitutes the ascending pain transmission system, as well as structures that comprise a descending inhibitory system that modulates pain at the level of the spinal cord. The cellular effects of opioids include a decrease in presynaptic transmitter release, hyperpolarization of postsynaptic elements, and disinhibition. The endogenous opioid peptides are part of an endogenous pain modulatory system. A number of opioids are available for clinical use, including morphine, hydromorphone, levorphanol, oxymorphone, methadone, meperidine, oxycodone, and fentanyl, and their advantages and disadvantages for the management of pain are discussed. An understanding of the pharmacokinetic properties, as well as issues related to opioid rotation, tolerance, dependence, and addiction are essential aspects of the clinical pharmacology of opioids for pain. References: 43]</t>
  </si>
  <si>
    <t>J2: Clin J Pain; Inturrisi, Charles E DA00198 (United States NIDA NIH HHS) DA01457 (United States NIDA NIH HHS) NS41073 (United States NINDS NIH HHS); ID: 506</t>
  </si>
  <si>
    <t>0749-8047</t>
  </si>
  <si>
    <t>Inturrisi,Charles E. Department of Pharmacology, Weill Medical College of Cornell University, Pain and Palliative Care Service, Memorial Sloan-Kettering Cancer Center, New York, New York 10021, USA.</t>
  </si>
  <si>
    <t>http://ovidsp.ovid.com/ovidweb.cgi?T=JS&amp;CSC=Y&amp;NEWS=N&amp;PAGE=fulltext&amp;D=med4&amp;AN=12479250</t>
  </si>
  <si>
    <t>MEDLINE; Ovid Technologies; Clinical pharmacology of opioids for pain</t>
  </si>
  <si>
    <t>Irujo,M.;Beitia,G.;Bes-Rastrollo,M.;Figueiras,A.;Hernandez-Diaz,S.;Lasheras,B.</t>
  </si>
  <si>
    <t>Factors that influence under-reporting of suspected adverse drug reactions among community pharmacists in a Spanish region</t>
  </si>
  <si>
    <t>Adult;*Adverse Drug Reaction Reporting Systems/sn Statistics &amp; Numerical Data];Attitude of Health Personnel;Case-Control Studies;*Community Pharmacy Services/sn Statistics &amp; Numerical Data];Data Collection;*Drug-Related Side Effects and Adverse Reactions;Female;Health Knowledge, Attitudes, Practice;Humans;Logistic Models;Male;Middle Aged;Models, Statistical;*Pharmacists/sn Statistics &amp; Numerical Data];Spain;Surveys and Questionnaires</t>
  </si>
  <si>
    <t>BACKGROUND: The spontaneous reporting system is the most efficient warning system of adverse drug reactions (ADRs). Pharmacists can play an important role in the detection and reporting of ADRs. The factors that affect under-reporting among these professionals are unknown in Spain. OBJECTIVE: To identify the factors that influence community pharmacists' ADR under-reporting in Navarra, a Northern Spanish region. METHODS: A case-control study was conducted on a population of 802 community pharmacists working in Navarra. Cases were pharmacists who had reported at least two ADRs to the region's drug surveillance unit between 2003 and 2005 and who agreed to participate in the study (18/20; 90%). A random sample of 60 controls was selected from the 762 pharmacists who had not reported any ADR during the same period of time. RESULTS: Factors positively associated with ADR reporting were age, years of work experience as a pharmacist, participation in educational activities related to the detection and resolution of drug-related problems, the habit of detecting ADRs as part of pharmacists' duties, having the basic knowledge needed to report ADRs, and disagreement with the common belief among healthcare professionals that 'to report an ADR it is necessary to be sure that the reaction is related to the use of a particular drug'. The most frequently mentioned reasons for not reporting ADRs were the ADR is not serious, the ADR is already known, uncertainty concerning the causal relationship between the ADR and the drug, forgetting to report the ADR and a lack of time. CONCLUSIONS: Pharmacists' knowledge, beliefs, behaviour and motivation play an important role in ADR reporting. Under-reporting might be improved through activities focused on modifying such factors.</t>
  </si>
  <si>
    <t>J2: Drug Saf; Irujo, Marta Beitia, Guadalupe Bes-Rastrollo, Maira Figueiras, Adolfo Hernandez-Diaz, Sonia Lasheras, Berta; ID: 377</t>
  </si>
  <si>
    <t>Irujo,Marta. Department of Pharmacy Practice, University of Navarra, Pamplona, Spain.</t>
  </si>
  <si>
    <t>http://ovidsp.ovid.com/ovidweb.cgi?T=JS&amp;CSC=Y&amp;NEWS=N&amp;PAGE=fulltext&amp;D=med5&amp;AN=17973543</t>
  </si>
  <si>
    <t>MEDLINE; Ovid Technologies; Factors that influence under-reporting of suspected adverse drug reactions among community pharmacists in a Spanish region</t>
  </si>
  <si>
    <t>Isaac,R.;Gerrard,A.;Author,Addresses;Pharmacy Department, Birmingham Children's Hospital;Birmingham,United Kingdom;Correspondence,Address;Isaac, Pharmacy Department Birmingham Children's Hospital Birmingham,R.;United,Kingdom</t>
  </si>
  <si>
    <t>PICU pharmacist interventions: What can they tell us?</t>
  </si>
  <si>
    <t>Archives of Disease in Childhood</t>
  </si>
  <si>
    <t>Arch.Dis.Child.</t>
  </si>
  <si>
    <t>aciclovir;antiinfective agent;caffeine;gentamicin;ranitidine;vancomycin;pharmacist;algorithm;book;data base;drug therapy;education;health care personnel;hospital;intensive care;medical staff;medication error;monitoring;parenteral nutrition;patient;patient safety;pharmacokinetics;pharmacy;physician;prematurity;prescription;prevention;risk;therapy;ward</t>
  </si>
  <si>
    <t>Objective The Pharmacy Paediatric Intensive Care (PICU) team record interventions that affect a patient's episode on PICU. These interventions are not always reported via the hospital's incident reporting route. The aim of this report is to highlight information that may benefit or infl uence a number of healthcare professionals. Methods A database of PICU pharmacist intervention records was designed. Categories were allocated to each intervention as indicated on the intervention proforma. A single intervention can be assigned into more than one category. Categories not included on the proforma were added to the database, these included premature neonate, pharmacokinetic issues, compatibility, and education/advice. Each intervention was coded according to the Medication Error Reporting and Prevention (MERP) algorithm.(1) Drugs listed in the guidance from the National Patient Safety Agency (NPSA) or Institute of Safe Medication Practice (ISMP) were coded on the database. Results 287 drug interventions were added to the database, involving 102 different drugs. Over 30% of the interventions involved drugs listed as high risk of causing potential harm by the ISMP or NPSA and 62% were drugs given via the intravenous route. Numbers of intervention corresponding to MERP medication categories are shown in the table below table presented Pharmacists prevented more errors reaching patients on Fridays than other days of the week, whereas patient harm had occurred more often before pharmacists intervened on Mondays. Following increased pharmacist time on the unit, there was an increase in numbers of interventions per unit of time. One in 10 interventions that did not reach the patient were made during the attended morning ward round, one in fi ve since introduction of ad hoc visits to the unit in the afternoon. The most common reasons for intervening was found to be altered renal handling, monitoring issues, wrong frequency, drug not prescribed. Sixteen per cent required the pharmacists knowledge of altered drug handling, for example, prematurity or renal impairment. Antimicrobials were the class of drug requiring most intervention, most commonly during to altered handling. The most frequent drugs involved were ranitidine, vancomycin, parenteral nutrition, aciclovir, caffeine and gentamicin. Non-PICU doctor initiated prescription accounted for 17% or the interventions. In 8.3% of interventions the opportunity was also taken to provide education or advice to the doctor. Missed therapy or need for a drug accounted for 14.7% of interventions, whereas only 2.7% involved stopping therapy. One in 20 interventions included problems with drug compatibilities. Conclusion Analysis from the intervention records are now used for targeted education for medical staff; individuals and general education programme. Problem drugs can be prioritised for guideline production and alerts are added into the drug reference books to alert staff. Interventions by the PICU team should be recorded via the incident reporting system.</t>
  </si>
  <si>
    <t>(Isaac R.; Gerrard A.) 16th Annual Conference of the Neonatal and Paediatric Pharmacists Group, NPPG 2010 Sheffield, United Kingdom 2010-11-12 to 2010-11-14 BMJ Publishing Group; ID: 1297</t>
  </si>
  <si>
    <t>Ives,T. J.;Bentz,E. J.;Gwyther,R. E.</t>
  </si>
  <si>
    <t>Drug-related admissions to a family medicine inpatient service</t>
  </si>
  <si>
    <t>Adolescent;Adult;Aged;Aged, 80 and over;Child;Child, Preschool;*Drug-Related Side Effects and Adverse Reactions;*Family Practice;Female;*Hospitalization;Humans;Infant;Male;Marriage;Middle Aged;Patient Compliance;Poisoning;Retrospective Studies;Risk;Substance-Related Disorders</t>
  </si>
  <si>
    <t>Admissions to a family medicine inpatient service were monitored retrospectively over a one-year period to determine the incidence of drug-related hospitalizations. Of the 293 admissions, 45 (15.4%) were identified as drug related; in 29 admissions (9.9%), a drug-related problem was identified as the primary cause of hospitalization. The two patient characteristics associated with a drug-related admission (DRA) were marital status (divorced) and age (older patients). The two most common types of DRAs were adverse drug reactions (17/45, 37.8%) and drug abuse (14/45, 31.1%), with alcohol being the most commonly abused agent. Adverse drug reactions were most commonly implicated in DRAs for patients over 70 years old, with drug abuse more evenly distributed among age groups. Educational programs that incorporate pharmacoepidemiologic strategies into all health care disciplines are necessary to address this public health issue.</t>
  </si>
  <si>
    <t>J2: Arch Intern Med; Ives, T J Bentz, E J Gwyther, R E; ID: 693</t>
  </si>
  <si>
    <t>http://ovidsp.ovid.com/ovidweb.cgi?T=JS&amp;CSC=Y&amp;NEWS=N&amp;PAGE=fulltext&amp;D=med2&amp;AN=3592877</t>
  </si>
  <si>
    <t>MEDLINE; Ovid Technologies; Drug-related admissions to a family medicine inpatient service</t>
  </si>
  <si>
    <t>Ives,T. J.;Stults,C. C.</t>
  </si>
  <si>
    <t>Pharmacy practice in a chemical-dependency treatment center</t>
  </si>
  <si>
    <t>Alcoholism/rh Rehabilitation];*Ambulatory Care Facilities;Attitude of Health Personnel;Health Education;Humans;Hypnotics and Sedatives;Methadone/tu Therapeutic Use];*Patient Care Team;*Pharmacists;Psychotherapy;Schools, Pharmacy;*Substance-Related Disorders/rh Rehabilitation];0 (Hypnotics and Sedatives);UC6VBE7V1Z (Methadone)</t>
  </si>
  <si>
    <t>The role of a pharmacist in a chemical-dependency treatment center is described. A pharmacist joined the staff of an outpatient methadone maintenance and chemical-dependency clinic at the request of the clinic's medical staff. In addition to the standard dispensing role, the pharmacist provides drug information, counsels staff and patients, and serves as the medical clinic coordinator. The pharmacist is also responsible for taking medical and drug-use histories, initially evaluating the degree of chemical dependency, assisting in the development of drug therapy plans for chemically dependent patients, and monitoring the effect of prescribed regimens. Other duties include serving as a health educator within the community and as a preceptor for baccalaureate and Doctor of Pharmacy students during substance abuse clerkships, and consulting on the management of chemically dependent patients who are hospitalized for other illnesses or specific conditions. The pharmacist's knowledge of pharmacotherapy and drug products and skill in assessing and managing problems related to substance abuse allowed physicians and nurses more time for other patient-care activities and helped the behavioral counselors develop a better understanding of the pharmacologic aspects involved in the health care of chemically dependent patients. The inclusion of a pharmacist in the chemical-dependency health-care team in this outpatient setting was accepted, valued, and recommended by the rest of the clinic staff.</t>
  </si>
  <si>
    <t>J2: Am J Hosp Pharm; Ives, T J Stults, C C; ID: 678</t>
  </si>
  <si>
    <t>Ives,T J. School of Pharmacy, University of North Carolina, Chapel Hill 27599-7595.</t>
  </si>
  <si>
    <t>http://ovidsp.ovid.com/ovidweb.cgi?T=JS&amp;CSC=Y&amp;NEWS=N&amp;PAGE=fulltext&amp;D=med3&amp;AN=2337098</t>
  </si>
  <si>
    <t>MEDLINE; Ovid Technologies; Pharmacy practice in a chemical-dependency treatment center</t>
  </si>
  <si>
    <t>Jaber,D.;Bulatova,N.;Suyagh,M.;Yousef,A. M.;Wazaify,M.;Author,Addresses;Department of,Biopharmaceutics;Clinical,Pharmacy;University,of Jordan;Correspondence,Address;Wazaify,Department of Biopharmaceutics,M.;Clinical Pharmacy,University;of Jordan,Amman Jordan</t>
  </si>
  <si>
    <t>Knowledge, attitude and opinion of drug misuse and abuse by pharmacy students: A cross-sectional study in Jordan</t>
  </si>
  <si>
    <t>attitude;drug abuse;drug misuse;knowledge;pharmacy student;adult;article;cross-sectional study;educational status;female;human;male;pharmacist;prescription;professional practice;questionnaire;work experience;Pharmacy (39);Drug Dependence, Alcohol Abuse and Alcoholism (40)</t>
  </si>
  <si>
    <t>Purpose: To assess the knowledge, attitude and opinion of final-year undergraduate and postgraduate pharmacy students regarding inappropriate drug use in a university campus, Amman, Jordan. Methods: A cross-sectional survey using a self-completed validated anonymous questionnaire that consisted of two parts was adopted. The first part of the questionnaire pertained to respondents' demographic details, education level and any experience they might have had with drug misuse or abuse. The second part described students' knowledge, attitude and practice regarding the identification, prevention and management of drug misuse and abuse. Results: A total number of 198 pharmacy students filled the questionnaire (N = 131 undergraduate, and N = 67 postgraduate students). A majority of the students strongly agreed/agreed that all pharmacy staff must be trained on recognizing drug abusers (92.0 %), informed of the kinds of drugs abused in the local area of the pharmacy (93.4 %) and trained on methods of dealing with drug abusers (92.6 %). Conclusion: There is a need to implement a well-structured training on the identification, prevention and management of prescription and OTC drug misuse and abuse in undergraduate pharmacy curricula in Jordan. Modules should be updated regularly and tailored to meet the needs of pharmacy practice.</t>
  </si>
  <si>
    <t>(Jaber D.; Bulatova N.; Suyagh M.; Yousef A.-M.; Wazaify M., m.wazaify@ju.edu.jo) University of Benin, Benin City, Nigeria. editor@tjpr.org; ID: 854</t>
  </si>
  <si>
    <t>2015346953 FULL TEXT LINK http://dx.doi.org/10.4314/tjpr.v14i8.25</t>
  </si>
  <si>
    <t>Jackson,L.;Vella,D.;Yang,D.;Author,Addresses;Department of Pharmacy, Veterans,Centre Sunnybrook;Health,Sciences Centre;Leslie Dan Faculty of Pharmacy, University of,Toronto Canada;Correspondence,Address;Jackson, Department of Pharmacy Veterans Centre Sunnybrook Health,L.;Sciences Centre,Toronto Canada</t>
  </si>
  <si>
    <t>Pharmaceutical care urgency framework: Development of a teaching tool</t>
  </si>
  <si>
    <t>pharmaceutical care;professional practice;teaching;drug therapy;education;emergency health service;human;information processing;patient;pharmacist;pharmacy student;physician;problem identification;risk;student</t>
  </si>
  <si>
    <t>Rationale: Drug therapy problem (DTP) identification and prioritization are key functions of the pharmaceutical care practitioner and must be acquired by Pharmacy students. Guidance is available for prioritization of multiple DTPs, but is lacking with respect to the timeliness for addressing individual DTPs. An urgency framework, similar to triage was considered a useful tool to address this gap. Description of the Project: Focus groups of Pharmacy students and experienced pharmacists were conducted separately to test the reasonableness of a proposed framework for categorizing the urgency with which clinical situations should be addressed. Method: An urgency categorization scheme for DTPs that assigns a timeframe to the pharmacist's or other clinician's actions, which is akin to triage, was proposed. The categories of urgency include critical, high, medium and low, and each has a corresponding timeframe. The concept of importance was used to describe the patient's perspective and includes aspects such as risk for harm and motivating factors such as the usefulness of available treatments, and the patient's values and preferences. The authors created 43 examples of clinical conditions corresponding to the various levels of urgency and sought to corroborate these assumptions in the focus groups. Evaluation: Focus group participants were asked to rate the urgency and timeframe for action for each clinical example. Pharmacy students agreed less often with the predetermined urgency categorization of the examples (R2=0.61) compared to pharmacists (R2=0.807). A similar difference was found for timeframe and was attributed to inexperience. The 4-level urgency framework with corresponding timeframes and degree of importance concepts were unanimously endorsed by Pharmacy students and pharmacists. Importance to Practice: Pharmacy students perceived that the framework would be useful to them in their undergraduate education and pharmacists perceived that the framework would be useful for instruction of students during clinical rotations.</t>
  </si>
  <si>
    <t>(Jackson L.; Yang D.) (Vella D.) CSHP Professional Practice Conference 2010 Toronto, ON, Canada 2010-01-30 to 2010-02-03 Canadian Society of Hospital Pharmacists; ID: 1398</t>
  </si>
  <si>
    <t>Jackson,L. D.;Little,J.;Kung,E.;Williams,E. M.;Siemiatkowska,K.;Plowman,S.</t>
  </si>
  <si>
    <t>Safe medication swallowing in Dysphagia: a collaborative improvement project</t>
  </si>
  <si>
    <t>Healthcare Quarterly</t>
  </si>
  <si>
    <t>Administration, Oral;*Airway Obstruction/pc Prevention &amp; Control];*Cooperative Behavior;*Deglutition Disorders/dt Drug Therapy];Humans;Interviews as Topic;Medical Audit;*Safety Management</t>
  </si>
  <si>
    <t>Episodes of choking during medication administration to patients with dysphagia prompted a chart audit and caregiver interview to identify system problems that allowed inappropriate drug administration to occur. Sixty elderly patients residing on two patient care areas in a 500-bed complex continuing care facility were studied. The audit explored the actual nursing medication administration methods and compared this to the information obtained from various communication tools including instructions that appeared on the medication administration record (MAR), the current diet order, the recommendations of the speech-language pathologist (SLP) and comments on the nursing care plan. The audit yielded a number of discrepancies between nursing actions and the instructions obtain from these sources. We proposed that changes to the process of communicating medication swallowing recommendations among team members would lead to greater patient safety. Major practice changes included the use of standardized language by the SLP when making recommendations, the writing of SLP recommendations in the doctor's orders, the inclusion of SLP recommendations on the MAR and the creation of a "dysphagia alert" on the pharmacy computer system. An educational intervention was conducted to implement process changes. Its effectiveness was evaluated using a pre- and post-test and a participant satisfaction survey. A post-implementation audit showed compliance with the practice change. In summary, process changes were implemented to improve compliance with SLP medication-related swallowing recommendations and to prevent the inadvertent prescribing, dispensing or crushing of sustained-release medications in patients with dysphagia.</t>
  </si>
  <si>
    <t>J2: Healthc Q; Jackson, Lawrence D Little, Jane Kung, Edward Williams, Evelyn M Siemiatkowska, Krystyna Plowman, Suzanne; ID: 362</t>
  </si>
  <si>
    <t>1710-2774</t>
  </si>
  <si>
    <t>Jackson,Lawrence D. Aging and Veterans Care, Sunnybrook Health Sciences Centre, Toronto, Ontario. Lawrence.Jackson@sunnybrook.ca</t>
  </si>
  <si>
    <t>http://ovidsp.ovid.com/ovidweb.cgi?T=JS&amp;CSC=Y&amp;NEWS=N&amp;PAGE=fulltext&amp;D=med5&amp;AN=18382171</t>
  </si>
  <si>
    <t>MEDLINE; Ovid Technologies; Safe medication swallowing in Dysphagia: a collaborative improvement project</t>
  </si>
  <si>
    <t>Jackson,M. T.;Moore,T. A.;Mascare‚îú‚ñí as,C. A.;Author,Addresses;Pharmacy Service,South Texas;Veterans Health Care System, San Antonio,United States;University of Texas, Austin,College of;Pharmacy,Austin United States;Division of,Schizophrenia;Related Disorders,Department of;Psychiatry,University of Texas San Antonio United States;Pharmacotherapy,Education;Research Center,University;of Texas, Health Science Center at San Antonio San Antonio,United States;Correspondence,Address;M-T Jackson, Pharmacy Service South Texas Veterans Health,Care System;San Antonio,United States</t>
  </si>
  <si>
    <t>Rates of hospitalization and emergency department visits in patients prescribed buprenorphine/naloxone in a veterans affairs (VA) healthcare system</t>
  </si>
  <si>
    <t>opiate;opiate agonist;college;emergency ward;health care system;hospitalization;human;patient;pharmacist;veteran;abuse;addiction;adult;army;diagnosis;health care personnel;medical record review;mental health;mental health care;personnel;population;prescription;prevalence;substance abuse;therapy</t>
  </si>
  <si>
    <t>Type: Work in Progress. Background: Abuse of and dependence on opioids has emerged as a significant and growing societal burden, with members of the Veteran population in particular having a high prevalence of addiction to both illicit and prescription opiates. Despite increased access to opioid agonist therapy (OAT) made possible by the approval of buprenorphine/naloxone (BN), several barriers may be contributing to underutilization of this treatment option. With the increased enrollment for Veterans Affairs (VA) services due to the conclusion of overseas military operations, many Veterans will require mental health care, including care for substance use disorders. In response to this projected increased need, the VA announced an initiative seeking to hire additional healthcare professionals dedicated to mental health issues. It is important to explore how opioiddependent patients utilize VA system resources to determine if special attention should be paid, in the form of increased dedicated personnel, to the treatment of opioid dependence and the use of effective treatment strategies such as buprenorphine/naloxone. Objectives: 1) Determine the number of hospitalizations, emergency department (ED) visits and noshows to appointments of patients diagnosed with opioid dependence and prescribed BN compared to patients with a diagnosis but not prescribed BN. 2) Compare patient characteristics of the two groups. 3) Determine the number of hospitalizations, ED visits and no-shows to appointments pre-BN and post-BN initiation. Methods: This study will be retrospective chart review of adult Veterans with a diagnosis of opioid dependence or opioid abuse during the evaluation period. Patients will be divided into thosewho received a prescription forBNand those who have not. A random subset of those never prescribed BN, equal in number to those patients prescribed BN, will be reviewed for comparison purposes. Patients who received BN for less than 3 months will be excluded. Outcomes: Results from this project may provide additional data to support the VA's efforts to expand access to BN therapy.</t>
  </si>
  <si>
    <t>(Jackson M.-T.; Moore T.A.; Mascare‚îú‚ñí as C.A.) (Moore T.A.; Mascare‚îú‚ñí as C.A.) (Moore T.A.) (Mascare‚îú‚ñí as C.A.) 16th Annual Meeting of the College of Psychiatric and Neurologic Pharmacists, CPNP 2013 Colorado Springs, CO, United States 2013-04-21 to 2013-04-24 SAGE Publications Inc.; ID: 1017</t>
  </si>
  <si>
    <t>Jackson,R. A.;Elkins,J. C.;Smith,M. C.;Author,Addresses;Univ. Mississippi,Sch Pharm;University,M. S. U.;Correspondence,Address;RA Jackson, Univ Mississippi Sch Pharm University,M.S.United States</t>
  </si>
  <si>
    <t>The potential of the pharmacist to serve as a drug abuse consultant</t>
  </si>
  <si>
    <t>Journal of School Health</t>
  </si>
  <si>
    <t>J.Sch.Health</t>
  </si>
  <si>
    <t>consultation;drug abuse;pharmacist;abuse;drug dependence;drug information;health education;social work;social worker;society;student</t>
  </si>
  <si>
    <t>The results of this study indicate that the pharmacist, when compared with students of social work, evidences greater capacity, in terms of drug knowledge, to serve as a source of drug information. In the interaction between the social worker and his or her clients the need for an adequate knowledge of drugs of abuse would seem evident in todays drug oriented society. According to the results of this study, the student trained in social work is not prepared for the assumption of a role of drug abuse counselor. Therefore, much time and expense would have to be utilized in order to produce a more knowledgeable consultant in matters concerning drug abuse. It is in this regard that the pharmacist could play a significant role. Many have called for the pharmacist to assume the role of drug abuse consultant. Presently, he does not seem to be assuming that role or utilizing his drug knowledge in matters of drug abuse. This study shows that he has the necessary items in his drug abuse armamentarium to be of great service to society.</t>
  </si>
  <si>
    <t>(Jackson R.A.; Elkins J.C.; Smith M.C.); ID: 1788</t>
  </si>
  <si>
    <t>0022-4391</t>
  </si>
  <si>
    <t>Jaffe,L. T.;Archer,R. P.</t>
  </si>
  <si>
    <t>The prediction of drug use among college students from MMPI, MCMI, and sensation seeking scales</t>
  </si>
  <si>
    <t>Journal of personality assessment</t>
  </si>
  <si>
    <t>J.Pers.Assess.</t>
  </si>
  <si>
    <t>Adolescent;Adult;Alcoholism/px Psychology];Female;Humans;*Mmpi;Male;Middle Aged;*Personality Inventory;Psychometrics;*Sensation;Street Drugs;*Substance-Related Disorders/px Psychology];0 (Street Drugs)</t>
  </si>
  <si>
    <t>This study examines the ability of five self-report assessment measures to predict college students' drug use across 12 pharmacological drug categories. Subjects were 125 female and 61 male university undergraduate students. The test battery included the following instruments: the Psychopathic Deviancy (Pd) scale of the Minnesota Multiphasic Personality Inventory (MMPI); the MacAndrew Alcoholism scale (MAC), a special scale of the MMPI; the Sensation Seeking Scale (SSS); the Millon Alcohol Abuse Scale; and the Millon Drug Abuse Scale. Scores from these instruments were utilized in linear combinations to predict individual drug use outcomes as well as polydrug versus single drug use patterns. The drug categories included in this investigation are coffee, tobacco, alcohol, marijuana, tranquilizers, depressants, amphetamines, LSD, other hallucinogens, solvents, narcotics, and cocaine. Results demonstrate significant and meaningful relationships between predictors and drug use levels among college students. Weighted equations derived from linear discriminant function analyses were generally capable of accurately classifying subject's drug use levels across drug categories and in discriminating single drug use from polydrug use patterns. Typically, the Sensation Seeking Scale entered as the most powerful predictor of substance use and abuse.</t>
  </si>
  <si>
    <t>J2: J Pers Assess; Jaffe, L T Archer, R P; ID: 691</t>
  </si>
  <si>
    <t>0022-3891</t>
  </si>
  <si>
    <t>http://ovidsp.ovid.com/ovidweb.cgi?T=JS&amp;CSC=Y&amp;NEWS=N&amp;PAGE=fulltext&amp;D=med2&amp;AN=3598842</t>
  </si>
  <si>
    <t>MEDLINE; Ovid Technologies; The prediction of drug use among college students from MMPI, MCMI, and sensation seeking scales</t>
  </si>
  <si>
    <t>Jaffray,M.;Matheson,C.;Bond,C. M.;Lee,A. J.;McLernon,D. J.;Johnstone,A.;Skea,L.;Davidson,B.</t>
  </si>
  <si>
    <t>Does training in motivational interviewing for community pharmacists improve outcomes for methadone patients? A cluster randomised controlled trial</t>
  </si>
  <si>
    <t>Adult;Combined Modality Therapy;*Community Pharmacy Services;*Education, Pharmacy;Female;*Heroin Dependence/dt Drug Therapy];*Heroin Dependence/th Therapy];Humans;Male;*Methadone/tu Therapeutic Use];*Motivational Interviewing;Opiate Substitution Treatment;Patient Compliance;Patient Satisfaction;Young Adult;UC6VBE7V1Z (Methadone)</t>
  </si>
  <si>
    <t>OBJECTIVES: Feasibility of pharmacist delivered motivational interviewing (MI) to methadone patients has been demonstrated, but its efficacy is untested. This study aimed to determine whether pharmacists trained in MI techniques can improve methadone outcomes. METHODS: A cluster randomised controlled trial by pharmacy, with community pharmacies across Scotland providing supervised methadone to &gt;10 daily patients, aged &gt;18 years, started on methadone &lt;24 months. Pharmacies were randomised to intervention or control. Intervention pharmacists received MI training and a resource pack. Control pharmacists continued with normal practice. Primary outcome was illicit heroin use. Secondary outcomes were treatment retention, substance use, injecting behaviour, psychological/physical health, treatment satisfaction and patient feedback. Data were collected via structured interviews at baseline and 6 months. KEY FINDINGS: Seventy-six pharmacies recruited 542 patients (295 intervention, 247 control), mean age 32 years; 64% male; 91% unemployed; mean treatment length 9 months. No significant difference in outcomes between groups for illicit heroin use (32.4% cf. 31.4%), although within-groups use reduced (P &lt; 0.001); treatment retention was higher in the intervention group but not significantly (88% cf. 81%; P = 0.34); no significant difference between groups in treatment satisfaction, although this improved significantly in intervention (P &lt; 0.05). More intervention than control patients said pharmacists had 'spoken more,' which approached statistical significance (P = 0.06), and more intervention patients found this useful (P &lt; 0.05). CONCLUSIONS: Limited intervention delivery may have reduced study power. The intervention did not significantly reduce heroin use, but there are indications of positive benefits from increased communication and treatment satisfaction.Copyright ‚î¨‚åê 2013 Royal Pharmaceutical Society.</t>
  </si>
  <si>
    <t>J2: Int J Pharm Pract; Jaffray, Mariesha Matheson, Catriona Bond, Christine M Lee, Amanda J McLernon, David J Johnstone, Allan Skea, Lucy Davidson, Bruce (United Kingdom Chief Scientist Office); ID: 61</t>
  </si>
  <si>
    <t>Jaffray,Mariesha. Division of Applied Medicine (Psychiatry), University of Aberdeen, Aberdeen, UK.</t>
  </si>
  <si>
    <t>http://ovidsp.ovid.com/ovidweb.cgi?T=JS&amp;CSC=Y&amp;NEWS=N&amp;PAGE=fulltext&amp;D=medl&amp;AN=23822820</t>
  </si>
  <si>
    <t>http://dx.doi.org/10.1111/ijpp.12049</t>
  </si>
  <si>
    <t>MEDLINE; Ovid Technologies; Does training in motivational interviewing for community pharmacists improve outcomes for methadone patients? A cluster randomised controlled trial</t>
  </si>
  <si>
    <t>Jameson,J. P.;Kasilo,O.;Froese,E. H.</t>
  </si>
  <si>
    <t>The profession of pharmacy in Zimbabwe</t>
  </si>
  <si>
    <t>Curriculum;*Economics, Pharmaceutical;*Education, Pharmacy;Humans;Pharmacy/ma Manpower];*Professional Practice/ec Economics];Professional Practice/ma Manpower];Salaries and Fringe Benefits/ec Economics];Zimbabwe</t>
  </si>
  <si>
    <t>Zimbabwe (formerly Rhodesia) is a developing country in central southern Africa where great strides have been made in healthcare since black-majority rule began in 1980. Shortages of personnel, equipment, and drugs continue to be a problem. Challenges facing the pharmacy profession include improving drug supply, promoting rational use of essential drugs, and educating healthcare professionals and the public. Persuading pharmacists to practice in the government sector of healthcare rather than to serve the small percentage of the public that can afford private healthcare should be a major priority. Zimbabwe is a land of opportunity for pharmacy practice but the financial constraints are formidable.</t>
  </si>
  <si>
    <t>J2: Dicp; Jameson, J P Kasilo, O Froese, E H; ID: 671</t>
  </si>
  <si>
    <t>Jameson,J P. School of Pharmacy, Ferris State University, Big Rapids, MI.</t>
  </si>
  <si>
    <t>http://ovidsp.ovid.com/ovidweb.cgi?T=JS&amp;CSC=Y&amp;NEWS=N&amp;PAGE=fulltext&amp;D=med3&amp;AN=2028637</t>
  </si>
  <si>
    <t>MEDLINE; Ovid Technologies; The profession of pharmacy in Zimbabwe</t>
  </si>
  <si>
    <t>Janecek,E.;Marshman,J. A.;Brewster,J. M.</t>
  </si>
  <si>
    <t>Drug problems among health professionals</t>
  </si>
  <si>
    <t>2, 134</t>
  </si>
  <si>
    <t>Data Collection;*Health Occupations/sn Statistics &amp; Numerical Data];Humans;Ontario;Pharmacists;Physician Impairment/sn Statistics &amp; Numerical Data];*Professional Impairment/sn Statistics &amp; Numerical Data];Students, Medical;Students, Pharmacy;Substance-Related Disorders/ep Epidemiology];*Substance-Related Disorders/pc Prevention &amp; Control]</t>
  </si>
  <si>
    <t>Available information on patterns of alcohol and drug abuse among health professionals, as well as information on abuse versus impairment, is reviewed. Past and present attitudes and approaches to helping the alcohol- or drug-impaired health professional in Ontario are examined.</t>
  </si>
  <si>
    <t>J2: Can Pharm J; Janecek, E Marshman, J A Brewster, J M; ID: 686</t>
  </si>
  <si>
    <t>http://ovidsp.ovid.com/ovidweb.cgi?T=JS&amp;CSC=Y&amp;NEWS=N&amp;PAGE=fulltext&amp;D=med3&amp;AN=10318225</t>
  </si>
  <si>
    <t>MEDLINE; Ovid Technologies; Drug problems among health professionals</t>
  </si>
  <si>
    <t>Janik-Koncewicz,K.;Zatonski,T.;Poltyn-Zaradna,K.;Zatonska,K.;Cedzynska,M.;Przewozniak,K.;Wojtyla,A.</t>
  </si>
  <si>
    <t>An attempt to assess knowledge about tobacco dependence among students at the Medical University in Wroclaw</t>
  </si>
  <si>
    <t>Annals of Agricultural &amp; Environmental Medicine</t>
  </si>
  <si>
    <t>Female;*Health Knowledge, Attitudes, Practice;Humans;Male;Poland/ep Epidemiology];Smoking/ep Epidemiology];*Smoking/px Psychology];*Students, Medical/px Psychology];Surveys and Questionnaires;Tobacco Smoke Pollution/sn Statistics &amp; Numerical Data];Tobacco Use Disorder/ep Epidemiology];*Tobacco Use Disorder/px Psychology];Young Adult;0 (Tobacco Smoke Pollution)</t>
  </si>
  <si>
    <t>INTRODUCTION: Tobacco smoking is still one of the greatest, avoidable, singular causes of death. Although students of medical faculties are expected to have solid knowledge about smoking hazards, a significant number of them still smoke. AIM: The aim of the study was to assess knowledge on tobacco dependence in a sample of students at the Medical University in Wroclaw. MATERIAL AND METHODS: Between 2009-2011, non-compulsory lectures on the diagnosis and treatment of tobacco dependence were provided for 3(rd) to 6(th) year students of medicine at the Medical University in Wroclaw (170 students). The questionnaire contained 10 questions about smoking-related diseases and medicines used in tobacco dependence treatment. RESULTS: 21% of students smoked cigarettes and 79% were never smokers. 36% of the study group was exposed to passive smoking at the university. Nearly 80% of survey respondents agreed with the statement that cigarette smoking can lead to psychological addiction as strong as drug addiction, but more than 12% of the respondents perceived smoking just as a strong habit. Only 6 out of 10 surveyed students recognised tobacco dependence as an illness classified in an international classification of diseases and health problems (ICD-10). The correct amount of the chemical substances to be found in tobacco smoke was known by 67.1% of all surveyed students. The vast majority of the surveyed students indicated correctly 2 brands of nicotine replacement therapy, but none of them could name even one chemical and corresponding trade name of the pharmaceutical with central effect. CONCLUSIONS: The level of knowledge about the diagnosis and treatment of tobacco dependence among the students of the Medical Faculty in Wroclaw Medical University is low, and requires improvement through educational activities at both facultative and compulsory study level. Special attention should be paid to pharmaceutical treatment of the tobacco dependence syndrome.</t>
  </si>
  <si>
    <t>J2: Ann Agric Environ Med; Janik-Koncewicz, Kinga Zatonski, Tomasz Poltyn-Zaradna, Katarzyna Zatonska, Katarzyna Cedzynska, Magdalena Przewozniak, Krzysztof Wojtyla, Andrzej; ID: 171</t>
  </si>
  <si>
    <t>1898-2263</t>
  </si>
  <si>
    <t>Janik-Koncewicz,Kinga. The Maria Sklodowska-Curie Memorial Cancer Center and Institute of Oncology, Department of Cancer Epidemiology and Prevention, Warsaw, Poland. janikk@coi.pl</t>
  </si>
  <si>
    <t>http://ovidsp.ovid.com/ovidweb.cgi?T=JS&amp;CSC=Y&amp;NEWS=N&amp;PAGE=fulltext&amp;D=medl&amp;AN=23020022</t>
  </si>
  <si>
    <t>MEDLINE; Ovid Technologies; An attempt to assess knowledge about tobacco dependence among students at the Medical University in Wroclaw</t>
  </si>
  <si>
    <t>Jarbe,R.;Piette,N.;Dave,C.;Parkhill,A.;Lull,M.;Mathews,J.;Author,Addresses;St John,Fisher College;Correspondence,Address;Jarbe, St John Fisher College United States Email rlj sjfc edu,R.</t>
  </si>
  <si>
    <t>Implementing a substancesof-abuse outreach program in the rochester city school district</t>
  </si>
  <si>
    <t>cannabis;abuse;city;school;community;education;feedback system;health;health education;high school;high school student;hope;human;interview;national health organization;pharmacist;student;teacher;urban population</t>
  </si>
  <si>
    <t>Objective: This program aims to provide substances of abuse education to local high school students. Methods: An outreach program, modeled after the National Institute on Drug Abuse instructional materials, was developed by student pharmacists and faculty for delivery to the Rochester City School District. Strict regulations prevented admittance into any classrooms until the program was presented to all health teachers at a districtwide meeting. Approval was given to begin working in the classrooms in April 2011. The program was first adopted in two health education classes at Edison Tech (May 2011). Information was presented to students using lecture, small group discussion, and printed materials. The topic covered, marijuana, was based on the teacher's preference. A formative assessment was used to address student perceptions of the program due to the small number of students in each of the classes (n = 5-7). The teacher of record in the classroom conducted the assessment interviews. Results: Student feedback included comments such as, Œì√á¬£We liked them and appreciate the time they took to come in,Œì√á¬• Œì√á¬£I didn't know about pharm partiesŒì√á¬• and, Œì√á¬£I learned a lotŒì√á¬•. Feedback from the teacher also reflected the positive impact of the program in his classroom: Œì√á¬£There is a perception that the outside community does not care about urbanites and this program at the very root reverses that dynamic very clearly. My hope is that we can develop an ongoing relationship.Œì√á¬• Conclusion: The timing of program approval by the school district impeded broad implementation for spring 2011; however, plans are in place for several schools in spring 2012. The opportunity to pilot the program with Edison Tech was beneficial and provided valuable feedback for improvement. Student pharmacists are in a unique position to provide this education and are viewed as approachable and nonthreatening to high school-aged students.</t>
  </si>
  <si>
    <t>(Jarbe R., rlj08314@sjfc.edu; Piette N.; Dave C.; Parkhill A.; Lull M.; Mathews J.) APhA2012 New Orleans, LA, United States 2012-03-09 to 2012-03-12 American Pharmacists Association; ID: 1181</t>
  </si>
  <si>
    <t>Javeed,A.;Mahmood,K. T.;Author,Addresses;Mayo,Hospital Lahore;Dtl,Government of Punjab Lahore Pakistan;Correspondence,Address;Javeed, Mayo Hospital Lahore Pakistan Email ayesha gmail com,A.</t>
  </si>
  <si>
    <t>Community pharmacy practice in Pakistan: From past to present -A review</t>
  </si>
  <si>
    <t>Journal of Pharmaceutical Sciences and Research</t>
  </si>
  <si>
    <t>Pakistan;pharmacy;commercial phenomena;community;drug abuse;drug marketing;drug misuse;education;health care policy;health care quality;health care system;health service;history;law;legal aspect;patient care;pharmaceutical care;pharmacist;review;United Kingdom;United States;Public Health, Social Medicine and Epidemiology (17)</t>
  </si>
  <si>
    <t>Pharmacy services in Pakistan have experienced both evolutionary and revolutionary changes since 1947. The pharmaceutical sector always remained regulated at different levels. The changes in legislation are also the contributing factor to uplifting of the pharmacy profession. The misuse and abuse of medicines remained a big issue at retail/ community level. Sale of medicines and this business remained in the hand of non qualified personnel for a long time. With time the pharmacists interest increased at community level and now the quality of services are improving but not up to the mark. While in comparison with the developed countries like U.K and U.S.A, where Community pharmacists are expanding patient care services and have enhanced their role as pharmaceutical care providers. The pharmacy profession in Pakistan is continuously evolving. The aim of this review is to explore history for evolutionary and revolutionary changes in community pharmacy practice in Pakistan and to highlight the current scenario in Pakistan. Pharmacists in Pakistan are concerned about their present professional role in the health care system. The healthcare services in community pharmacies, currently insignificant, must undergo reforms to meet the changing needs of modern medicines users. Although pharmacists' contributions to health care are not recognized yet, there is every reason to be optimistic toward making patient care in community pharmacy setting a success. For this, legislation must be reformed to give identity to the pharmacist and educational system for pharmacists has to be adapted.</t>
  </si>
  <si>
    <t>(Javeed A., ayesha2022@gmail.com) (Mahmood K.T.) Pharmainfo Publications, No.2,Plot No.18, Valmiki Street, Saligramam, India.; ID: 1193</t>
  </si>
  <si>
    <t>0975-1459 (electronic)</t>
  </si>
  <si>
    <t>Jelic,M.;Stojanovic,N.;Jankovic,V.;Gutvein,R.;Balaban,L.;Vucicevic,K.;Vasic,I.;Author,Addresses;Oncology Institute of Vojvodina, Sremska,Kamenica Serbia;Clinical Centre of Vojvodina, Novi,Sad Serbia;Chc Zvezdara,Belgrade Serbia;General,Hospital Subotica;Pulmology Clinic,Belgrade Serbia;Department of,Pharmacokinetics;Clinical Pharmacy,Faculty;of Pharmacy,Belgrade Serbia;Clinical,Center Kragujevac;Correspondence,Address;Jelic, Oncology Institute of Vojvodina Sremska Kamenica Serbia,M.</t>
  </si>
  <si>
    <t>Medical doctors' perceptions of the role of clinical pharmacists in Serbian hospitals</t>
  </si>
  <si>
    <t>clinical pharmacy;hospital;human;pharmacist;physician;therapy;adverse drug reaction;drug administration;drug interaction;drug use;evidence based practice;health care;hospital department;patient;prospective study;questionnaire;responsibility;Serbia</t>
  </si>
  <si>
    <t>Background and objective: In order to implement the clinical services provided by pharmacists, previous studies and practice confirmed that it is important that pharmacists understand medical doctors' (MD) expectations from pharmacists, and how they can contribute to patients' care. Therefore, the aim of this study was to evaluate the MDs' attitudes, perceptions, and expectations from pharmacists' activities, capabilities, and responsibilities in Serbian hospital settings. Setting and method: This prospective study was conducted in 7 hospitals in Serbia, over a period of 2 months. A validated questionnaire was delivered to 189 MDs. The questionnaire consisted of 30 questions, divided in 3 parts, regarding: previous experience, current collaboration, and future expectations from pharmacists. Descriptive statistic was performed using Microsoft Office Excel. Main outcome measures: Participants specified their level of agreement to statements with five-level Likert item. Results: In total 168 questionnaires were completed with response rate of 88.89 %. The results indicate that more than 95 %of MDs expect the pharmacist to be drug experts which include providing evidence based information on drug interactions, contraindications, adverse reaction, and appropriate drug administration. On the other hand, 46.67 % of MDs expect the pharmacists to educate patients on appropriate and safe drug use, to monitor patients, and 37.95 % believe pharmacists should take a responsibility for solving drug related problems. However, around 25 % of MDs were rather uncertain on this activity of pharmacists. Finally, the results show moderate responders' experience and passive role of pharmacists in health care team. Conclusions: Based on the results of the study, MDs are comfortable and positive with pharmacists' interaction, and they recognize the need of pharmacists during rounds. MDs appear rather uncertain or uncomfortable with pharmacists being in direct patients' care that might be the consequence of pharmacists' traditional role in Serbian hospital settings. Therefore, in order to implement clinical pharmacy service in Serbian hospitals, pharmacists, as therapy experts, have to be more available and visible to MDs, and to demonstrate their active role in patients' care.</t>
  </si>
  <si>
    <t>(Jelic M.) (Stojanovic N.) (Jankovic V.) (Gutvein R.) (Balaban L.) (Vucicevic K.) (Vasic I.) 41st ESCP Symposium on Clinical Pharmacy: Personalised and Safe Therapy Barcelona, Spain 2012-10-29 to 2012-10-31 Springer Netherlands; ID: 991</t>
  </si>
  <si>
    <t>Jennings,D. L.;Lekura,J.;Author,Addresses;Henry Ford Hospital, Detroit,United States;Correspondence,Address;DL Jennings, Henry Ford Hospital Detroit,United States</t>
  </si>
  <si>
    <t>Ability of a clinical pharmacist to make drug therapy interventions using email in patients with advanced heart failure and ventricular-assist devices</t>
  </si>
  <si>
    <t>e256</t>
  </si>
  <si>
    <t>e257</t>
  </si>
  <si>
    <t>antithrombocytic agent;loop diuretic agent;receptor blocking agent;clinical pharmacy;college;drug therapy;e-mail;heart failure;human;patient;pharmacist;ventricular assist device;Caucasian;hospital patient;information processing;intensive care unit;interpersonal communication;left ventricular assist device;male;medical history;patient care;pharmaceutical care;physician;teaching hospital;therapy</t>
  </si>
  <si>
    <t>PURPOSE: Inpatient clinical pharmacists are often required to provide coverage to multiple patient care teams and are often limited in their ability to interface directly with physicians when suggesting drug therapy recommendations. This project explores email as a potential medium for pharmacists to communicate interventions with prescribers. METHODS: This retrospective descriptive analysis was conducted at an urban, academic teaching hospital where one clinical pharmacist is responsible for the daily pharmaceutical care for the inpatient advanced heart failure (AHF), cardiac intensive care unit (ICU), and cardiothoracic ICU teams. If the pharmacist identified a potential drug therapy problem and couldn't make direct face-to-face contact with the attending physician, the intervention was attempted via an email communication. Eligible patients for this project were admitted to the AHF team between December 1st, 2010 and July 31st, 2011 and had at least one attempted email intervention. Data collection included patient demographics, past medical history, and the suggested intervention from the clinical pharmacist. The primary outcome was the number of interventions accepted by the physicians during the study period, while the secondary endpoint was the time between the suggested intervention and the physician email response. RESULTS: A total of 51 email interventions were attempted on 29 patients (mean age = 53, 24% caucasian, 59% male, 69% LVAD). Overall, 44 of the total 51 number of interventions were accepted (86.3%). The average physician time to a physician response email was 41 minutes. The most frequent type of interventions were starting therapy (33%) and changing dose, route or frequency (33%). The most common drug classes involved in email interventions were ACE inhibitors/angiotensin receptor blockers (15.7%), loop diuretics (9.8%), and antiplatelet agents (7.8%). CONCLUSIONS: Clinical pharmacists with well-established physician relationships can effectively implement timely drug therapy recommendations using email communications in patients with advanced heart failure or ventricular assist devices.</t>
  </si>
  <si>
    <t>(Jennings D.L.; Lekura J.) 2012 Annual Meeting of the American College of Clinical Pharmacy, ACCP 2012 Hollywood, FL, United States 2012-10-21 to 2012-10-24 Pharmacotherapy Publications Inc.; ID: 1106</t>
  </si>
  <si>
    <t>Jensen,C.;Forlini,C.;Partridge,B.;Hall,W.</t>
  </si>
  <si>
    <t>PMC4771940; Australian University Students' Coping Strategies and Use of Pharmaceutical Stimulants as Cognitive Enhancers</t>
  </si>
  <si>
    <t>Frontiers in Psychology</t>
  </si>
  <si>
    <t>BACKGROUND: There are reports that some university students are using prescription stimulants for non-medical 'pharmaceutical cognitive enhancement (PCE)' to improve alertness, focus, memory, and mood in an attempt to manage the demands of study at university. Purported demand for PCEs in academic contexts have been based on incomplete understandings of student motivations, and often based on untested assumptions about the context within which stimulants are used. They may represent attempts to cope with biopsychosocial stressors in university life by offsetting students' inadequate coping responses, which in turn may affect their cognitive performance. This study aimed to identify (a) what strategies students adopted to cope with the stress of university life and, (b) to assess whether students who have used stimulants for PCE exhibit particular stress or coping patterns. METHODS: We interviewed 38 university students (with and without PCE experience) about their experience of managing student life, specifically their: educational values; study habits; achievement; stress management; getting assistance; competing activities and demands; health habits; and cognitive enhancement practices. All interview transcripts were coded into themes and analyzed. RESULTS: Our thematic analysis revealed that, generally, self-rated coping ability decreased as students' self-rated stress level increased. Students used emotion- and problem-focused coping for the most part and adjustment-focused coping to a lesser extent. Avoidance, an emotion-focused coping strategy, was the most common, followed by problem-focused coping strategies, the use of cognition on enhancing substances, and planning and monitoring of workload. PCE users predominantly used avoidant emotion-focused coping strategies until they no longer mitigated the distress of approaching deadlines resulting in the use of prescription stimulants as a substance-based problem-focused coping strategy. CONCLUSION: Our study suggests that students who choose coping responses that do not moderate stress where possible, may cause themselves additional distress and avoid learning more effective coping responses. Helping students to understand stress and coping, and develop realistic stress appraisal techniques, may assist students in general to maintain manageable distress levels and functioning. Furthermore, assisting students who may be inclined to use prescription stimulants for cognitive enhancement may reduce possible drug-related harms.</t>
  </si>
  <si>
    <t>J2: Front Psychol; Jensen, Charmaine Forlini, Cynthia Partridge, Brad Hall, Wayne; ID: 4</t>
  </si>
  <si>
    <t>1664-1078</t>
  </si>
  <si>
    <t>Jensen,Charmaine. Centre for Youth Substance Abuse Research, Royal Brisbane and Women's Hospital Brisbane, QLD, Australia. Forlini,Cynthia. University of Queensland Centre for Clinical Research, Royal Brisbane and Women's Hospital Campus, The University of Queensland Brisbane, QLD, Australia. Partridge,Brad. Centre for Youth Substance Abuse Research, Royal Brisbane and Women's Hospital Brisbane, QLD, Australia. Hall,Wayne. Centre for Youth Substance Abuse Research, Royal Brisbane and Women's Hospital Brisbane, QLD, Australia.</t>
  </si>
  <si>
    <t>http://ovidsp.ovid.com/ovidweb.cgi?T=JS&amp;CSC=Y&amp;NEWS=N&amp;PAGE=fulltext&amp;D=prem&amp;AN=26973573</t>
  </si>
  <si>
    <t>http://dx.doi.org/10.3389/fpsyg.2016.00277</t>
  </si>
  <si>
    <t>MEDLINE; Ovid Technologies; Australian University Students' Coping Strategies and Use of Pharmaceutical Stimulants as Cognitive Enhancers</t>
  </si>
  <si>
    <t>Jepsen,J.;Jestrab,F.;Author,Addresses;Western State Hospital, Lakewood,United States;Correspondence,Address;Jepsen, Western State Hospital Lakewood United States,J.</t>
  </si>
  <si>
    <t>Beers criteria medication review and use within a state psychiatric facility</t>
  </si>
  <si>
    <t>beer;college;drug therapy;pharmacist;adult;adverse drug reaction;aged;drug induced disease;drug utilization;emergency care;health care cost;hospital;hospital patient;hospitalization;long term care;medical specialist;morbidity;patient;patient care;pharmacy;population;prescription;quality of life;therapy</t>
  </si>
  <si>
    <t>Abstract Type: Innovative Practices. Background: In 1991, Dr Mark Beers published criteria identifying inappropriate medication use among elderly patients. The original criteria were created by 13 pharmacotherapeutic and geriatric specialists, which included 12 medications or classes. The Beers Criteria were updated in 1997 to include 28 medications and 35 classes as well as in 2003 to include 48 drugs or classes. The Beers Criteria (Beers List) is one of the most widely cited for inappropriate medication use in older adults aged 65 years or greater. Description of Innovative Service: This prospective drug utilization evaluation (DUE) reviewed all Western State Hospital (WSH) patients aged 65 years or older in residence on August 24, 2009. The DUE determined the total number of potentially inappropriate medications (PIMs) found within each patient's medication profile and the average number of PIMs. Use of any Beers Criteria medication identified was reviewed for resultant adverse drug effects (ADEs). The DUE screened for any drug-disease interactions that resulted from use of a PIM. The most frequently prescribed PIMs and classes of medications that appeared within the WSH population were identified and compared to PIM use described in various settings in the literature including acute care hospitals and long-term care facilities (LTCFs). Impact on Patient Care: Routine prescribing of medications found within the Beers Criteria has been discouraged because their use has been associated with increased morbidity, increased hospitalizations, worsened physical function, and poor quality of life. Identification of inappropriate medication use will continue to enable providers to plan intervention(s) for minimizing drugrelated problems during admission and decreasing drug-related and/or overall healthcare costs. DUE findings were presented to WSH Pharmacy &amp; Therapeutics Committee to be considered for improvement of Drug Utilization Guidelines and prescriptive patterns at WSH. Conclusion: Patients greater than 65 years of age are frequently exposed to an increased number of medications and are more likely to experience ADEs. Pharmacists can aid in identification of common medications and classes of medications within the Beers Criteria in a psychiatric facility and aid in improvement of medication prescription for older adults.</t>
  </si>
  <si>
    <t>(Jepsen J.; Jestrab F.) 13th Annual Meeting of the College of Psychiatric and Neurologic Pharmacists, CPNP 2010 San Antonio, TX, United States 2010-04-18 to 2010-04-21 SAGE Publications Inc.; ID: 1379</t>
  </si>
  <si>
    <t>Jha,N.;Rathore,D. S.;Shankar,P. R.;Gyawali,S.;Alshakka,M.;Bhandary,S.</t>
  </si>
  <si>
    <t>PMC4286579; An educational intervention's effect on healthcare professionals' attitudes towards pharmacovigilance</t>
  </si>
  <si>
    <t>The Australasian Medical Journal</t>
  </si>
  <si>
    <t>BACKGROUND: Pharmacovigilance concerns the detection, assessment, understanding, and prevention of adverse effects or any other drug-related problems. Consumer pharmacovigilance is the involvement of consumers in adverse drug reaction (ADR) reporting. Assessing healthcare professionals' (HCPs) knowledge of and attitude towards pharmacovigilance and consumer pharmacovigilance is integral to strengthening adverse drug reaction reporting systems. AIMS: To study knowledge of and attitude towards pharmacovigilance and consumer pharmacovigilance among HCPs from KIST Medical College, Lalitpur, Nepal, and to plan an appropriate educational intervention to address deficiencies noted. METHOD: The study was conducted from February 2013 to December 2013 at KIST Medical College using a self-administered, pretested, structured questionnaire. The maximum possible scores for knowledge, attitude, and total were 100, 95, and 195, respectively. Baseline knowledge and attitude were studied. Two months after the questionnaire, an intervention that used a combination of methods about pharmacovigilance and consumer pharmacovigilance was undertaken. Knowledge and attitudes were studied immediately after the intervention. Scores before and after the intervention were compared using Wilcoxon signed-rank test. RESULTS: A total of 105 HCPs participated. The median (interquartile range) knowledge, attitude, and total scores before the intervention were 56 (7), 72 (9), and 127 (16), respectively. After the intervention the scores increased significantly to 72 (8), 75 (11.5), and 146 (16.5) (p&lt;0.001), respectively. CONCLUSION: The intervention was effective in improving HCPs' knowledge of and attitude towards pharmacovigilance and consumer pharmacovigilance. More studies on this topic among HCPs at other institutions and in the community are required.</t>
  </si>
  <si>
    <t>J2: Australas Med J; Jha, Nisha Rathore, Devendra Singh Shankar, P Ravi Gyawali, Sudesh Alshakka, Mohamed Bhandary, Shital; ID: 55</t>
  </si>
  <si>
    <t>Jha,Nisha. KIST Medical College, Lalitpur, Nepal. Rathore,Devendra Singh. L.R. Institute of Pharmacy, Solan, India. Shankar,P Ravi. Xavier University, School of Medicine, Oranjestad, Aruba. Gyawali,Sudesh. Manipal College of Medical Sciences, Pokhara, Nepal. Alshakka,Mohamed. University of Aden, Aden,Yemen. Bhandary,Shital. Patan Academy of Health Sciences, Patan, Nepal.</t>
  </si>
  <si>
    <t>http://ovidsp.ovid.com/ovidweb.cgi?T=JS&amp;CSC=Y&amp;NEWS=N&amp;PAGE=fulltext&amp;D=prem&amp;AN=25646124</t>
  </si>
  <si>
    <t>http://dx.doi.org/10.4066/AMJ.2014.2235</t>
  </si>
  <si>
    <t>MEDLINE; Ovid Technologies; An educational intervention's effect on healthcare professionals' attitudes towards pharmacovigilance</t>
  </si>
  <si>
    <t>Jha,N.;Shankar,P. R.;Bajracharya,O.;Gurung,S. B.;Singh,K. K.</t>
  </si>
  <si>
    <t>PMC3395286; Adverse drug reaction reporting in a pharmacovigilance centre of Nepal</t>
  </si>
  <si>
    <t>BACKGROUND: Pharmacovigilance is the "science and activities relating to the detection, assessment, understanding and prevention of adverse effects or any other drug related problems". Nepal joined the international pharmacovigilance programme as a full member in 2007. KIST Medical College, Lalitpur, Nepal joined the national programme as a regional centre from mid-July 2008. Currently, the pattern and scope of adverse drug reactions (ADRs) in Nepal remains unexplored. AIMS: To observe and analyse the pattern of ADRs at KIST Medical College, Lalitpur, Nepal. METHOD: A retrospective analysis of all ADRs reported to the centre from mid July 2008 to July 2011 was performed. Data was analysed for ADR severity, causality, and preventability. RESULTS: A total of 113 ADR reports were obtained from various clinical departments. The maximum number of reactions was due to antimicrobials, followed by anti-hypertensives and NSAIDs. CONCLUSION: Antimicrobials were the commonest group of drugs causing ADRs and the most commonly seen ADR was maculopapular rash followed by diarrhea and vomiting.</t>
  </si>
  <si>
    <t>J2: Australas Med J; Jha, N Shankar, P R Bajracharya, O Gurung, S B Singh, K K; ID: 204</t>
  </si>
  <si>
    <t>Jha,N. Department of Pharmacology, KIST Medical College, Lalitpur, Nepal. nishajha32@gmail.com</t>
  </si>
  <si>
    <t>http://ovidsp.ovid.com/ovidweb.cgi?T=JS&amp;CSC=Y&amp;NEWS=N&amp;PAGE=fulltext&amp;D=prem&amp;AN=22848322</t>
  </si>
  <si>
    <t>http://dx.doi.org/10.4066/AMJ.2012.1142.</t>
  </si>
  <si>
    <t>MEDLINE; Ovid Technologies; Adverse drug reaction reporting in a pharmacovigilance centre of Nepal</t>
  </si>
  <si>
    <t>Jia,H. Z.;Zhu,J. Y.;Wang,X. L.;Cheng,H.;Chen,G.;Zhao,Y. F.;Zeng,X.;Feng,J.;Zhang,X. Z.;Zhuo,R. X.</t>
  </si>
  <si>
    <t>A boronate-linked linear-hyperbranched polymeric nanovehicle for pH-dependent tumor-targeted drug delivery</t>
  </si>
  <si>
    <t>Biomaterials</t>
  </si>
  <si>
    <t>Animals;Antineoplastic Agents/ch Chemistry];Boronic Acids/ch Chemistry];*Drug Carriers/ch Chemistry];Drug Delivery Systems/mt Methods];HeLa Cells;Humans;Hydrogen-Ion Concentration;Hydrophobic and Hydrophilic Interactions;Male;Mice;Mice, Inbred BALB C;Mice, Nude;Polycarboxylate Cement/ch Chemistry];*Polymers/ch Chemistry];0 (Antineoplastic Agents);0 (Boronic Acids);0 (Drug Carriers);0 (Polycarboxylate Cement);0 (Polymers);25766-59-0 (polycarbonate);L12H7B02G5 (benzeneboronic acid)</t>
  </si>
  <si>
    <t>Advanced drug delivery systems, which possess post-functionalization feasibility to achieve targetability and traceability, favorable pharmacokinetics with dynamic but controllable stability, and preferable tumor accumulation with prolonged drug residence in disease sites, represent ideal nanomedicine paradigm for tumor therapy. To address this challenge, here we reported a dynamic module-assembly strategy based on reversible boronic acid/1,3-diol bioorthogonality. As a prototype, metastable hybrid nanoself-assembly between hydrophobic hyperbranched diol-enriched polycarbonate (HP-OH) and hydrophilic linear PEG terminated with phenylboronic acid (mPEG-PBA) is demonstrated in vitro and in vivo. The nanoconstruction maintained excellent stability with little leakage of loaded drugs under the simulated physiological conditions. Such a stable nanostructure enabled the effective in vivo tumor accumulation in tumor site as revealed by NIR imaging technique. More importantly, this nanoconstruction presented a pH-labile destruction profile in response to acidic microenvironment and simultaneously the fast liberation of loaded drugs. Accordingly at the cellular level, the intracellular structural dissociation was also proved in terms of the strong acidity in late endosome/lysosome, thus favoring the prolonged retention of remaining drug-loaded HP-OH aggregates within tumor cells. Hence, our delicate design open up a dynamical module-assembly path to develop site and time dual-controlled nanotherapeutics for tumor chemotherapy, allowing enhanced tumor selectivity through prolonged retention of delivery system in tumor cells followed by a timely drug release pattern.Copyright ‚î¨‚åê 2014 Elsevier Ltd. All rights reserved.</t>
  </si>
  <si>
    <t>J2: Biomaterials; Jia, Hui-zhen Zhu, Jun-yi Wang, Xu-li Cheng, Han Chen, Gang Zhao, Yi-fang Zeng, Xuan Feng, Jun Zhang, Xian-zheng Zhuo, Ren-xi S0142-9612(14)00264-6; ID: 64</t>
  </si>
  <si>
    <t>1878-5905</t>
  </si>
  <si>
    <t>Jia,Hui-zhen. Key Laboratory of Biomedical Polymers of Ministry of Education &amp; Department of Chemistry, Wuhan University, Wuhan 430072, China. Zhu,Jun-yi. The State Key Laboratory Breeding Base of Basic Science of Stomatology &amp; Key Laboratory of Oral Biomedicine Ministry of Education, and Department of Oral and Maxillofacial Surgery, School &amp; Hospital of Stomatology, Wuhan University, Wuhan 430079, China. Wang,Xu-li. Department of Pharmaceutics and Pharmaceutical Chemistry, University of Utah, Salt Lake City, UT 84108, USA. Cheng,Han. Key Laboratory of Biomedical Polymers of Ministry of Education &amp; Department of Chemistry, Wuhan University, Wuhan 430072, China. Chen,Gang. The State Key Laboratory Breeding Base of Basic Science of Stomatology &amp; Key Laboratory of Oral Biomedicine Ministry of Education, and Department of Oral and Maxillofacial Surgery, School &amp; Hospital of Stomatology, Wuhan University, Wuhan 430079, China. Zhao,Yi-fang. The State Key Laboratory Breeding Base of Basic Science of Stomatology &amp; Key Laboratory of Oral Biomedicine Ministry of Education, and Department of Oral and Maxillofacial Surgery, School &amp; Hospital of Stomatology, Wuhan University, Wuhan 430079, China. Zeng,Xuan. Key Laboratory of Biomedical Polymers of Ministry of Education &amp; Department of Chemistry, Wuhan University, Wuhan 430072, China. Feng,Jun. Key Laboratory of Biomedical Polymers of Ministry of Education &amp; Department of Chemistry, Wuhan University, Wuhan 430072, China. Electronic address: fengjun@whu.edu.cn. Zhang,Xian-zheng. Key Laboratory of Biomedical Polymers of Ministry of Education &amp; Department of Chemistry, Wuhan University, Wuhan 430072, China. Zhuo,Ren-xi. Key Laboratory of Biomedical Polymers of Ministry of Education &amp; Department of Chemistry, Wuhan University, Wuhan 430072, China.</t>
  </si>
  <si>
    <t>http://ovidsp.ovid.com/ovidweb.cgi?T=JS&amp;CSC=Y&amp;NEWS=N&amp;PAGE=fulltext&amp;D=medl&amp;AN=24698522</t>
  </si>
  <si>
    <t>http://dx.doi.org/10.1016/j.biomaterials.2014.03.029</t>
  </si>
  <si>
    <t>MEDLINE; Ovid Technologies; A boronate-linked linear-hyperbranched polymeric nanovehicle for pH-dependent tumor-targeted drug delivery</t>
  </si>
  <si>
    <t>Johanson,C. E.;Lundahl,L. H.;Lockhart,N.;Schubiner,H.</t>
  </si>
  <si>
    <t>Intravenous cocaine discrimination in humans</t>
  </si>
  <si>
    <t>Experimental &amp; Clinical Psychopharmacology</t>
  </si>
  <si>
    <t>Blood Pressure/de Drug Effects];*Cocaine/ad Administration &amp; Dosage];*Discrimination Learning/de Drug Effects];Dose-Response Relationship, Drug;Female;Humans;Injections, Intravenous;Male;Methamphetamine/ad Administration &amp; Dosage];44RAL3456C (Methamphetamine);I5Y540LHVR (Cocaine)</t>
  </si>
  <si>
    <t>Ten cocaine-dependent participants were trained to discriminate between intravenous saline and 20 mg/70 kg cocaine. During the first session, saline and cocaine injections were alternated twice, with each separated by 1 hr. The injections were identified by letter codes. During the next 3 sessions, 12 trials were conducted, with saline and cocaine administered 6 times each in pseudorandom order. Thirty minutes following each injection, participants were asked to identify the injection by letter code. Seven of the 10 learned the discrimination (at least 10 trials correct). To evaluate sensitivity, the investigators tested participants with different doses of cocaine in test sessions. In the next phase, methamphetamine (5 and 10 mg/70 kg) and pentobarbital (50 and 100 mg/70 kg) were given intravenously during test sessions to determine whether the discrimination exhibited pharmacological class selectivity. During the evaluation of sensitivity and selectivity, training sessions were interspersed. As dose of cocaine increased, the number of participants identifying the test dose as cocaine increased, demonstrating sensitivity. The higher doses of methamphetamine and pentobarbital substituted for cocaine. The physiological and subjective effects of cocaine and methamphetamine were stimulant-like and dose related. Pentobarbital produced no physiological changes but increased Visual Analog Scale ratings of Sedation, Good Drug Effect, and High. This failure to demonstrate pharmacological selectivity may be related to participants' learning a drug-vs.-no-drug discrimination, and thus it may be necessary to alter training procedures in future studies.</t>
  </si>
  <si>
    <t>J2: Exp Clin Psychopharmacol; Johanson, Chris-Ellyn Lundahl, Leslie H Lockhart, Nancy Schubiner, Howard R01 DA014076 (United States NIDA NIH HHS); ID: 421</t>
  </si>
  <si>
    <t>1064-1297</t>
  </si>
  <si>
    <t>Johanson,Chris-Ellyn. Substance Abuse Research Division, Department of Psychiatry and Behavioral Neurosciences, Wayne State University School of Medicine, Detroit, MI 48207, USA. cjohans@med.wayne.edu</t>
  </si>
  <si>
    <t>http://ovidsp.ovid.com/ovidweb.cgi?T=JS&amp;CSC=Y&amp;NEWS=N&amp;PAGE=fulltext&amp;D=med5&amp;AN=16756414</t>
  </si>
  <si>
    <t>MEDLINE; Ovid Technologies; Intravenous cocaine discrimination in humans</t>
  </si>
  <si>
    <t>John,E. J.;Vavra,T.;Farris,K.;Currie,J.;Doucette,W.;Button-Neumann,B.;Osterhaus,M.;Kumbera,P.;Halterman,T.;Bullock,T.</t>
  </si>
  <si>
    <t>Workplace-based cardiovascular risk management by community pharmacists: impact on blood pressure, lipid levels, and weight</t>
  </si>
  <si>
    <t>Adult;Blood Pressure/ph Physiology];Body Mass Index;Cardiovascular Diseases/di Diagnosis];*Cardiovascular Diseases/pc Prevention &amp; Control];*Case Management;Diabetes Complications;Female;*Health Education;Humans;Industry;Iowa;Lipids/bl Blood];Male;Middle Aged;*Occupational Health Services/og Organization &amp; Administration];Outcome and Process Assessment (Health Care);*Pharmacies;*Pharmacists;Program Evaluation;Retrospective Studies;Risk Factors;Risk Management;*Rural Health Services/og Organization &amp; Administration];Workplace;0 (Lipids)</t>
  </si>
  <si>
    <t>STUDY OBJECTIVE: To assess the effectiveness of a community pharmacist-delivered cardiovascular case-management program by comparing body mass index (weight), systolic and diastolic blood pressure, and full lipid profile at the beginning of the program with these outcome measures at the end of the program. DESIGN: Retrospective data analysis using billing data submitted between July 1, 2001, and October 31, 2004, with a pre-post design in which subjects served as their own controls. SETTING: Manufacturing workplace in rural Iowa. PARTICIPANTS: Fifty-six workers with risk factors for cardiovascular disease (mean age 40.67 yrs), 37 had diabetes mellitus and 19 did not. INTERVENTION: During visits to the workers, pharmacists provided education about cardiovascular disease, identification of drug therapy problems, and importance of routine blood pressure, pulse, and weight measurements; they communicated with participants' physicians as needed. MEASUREMENTS AND MAIN RESULTS: The number of pharmacist visits/participant ranged from 1-13 (mean +/- SD 6.97 +/- 3.05). Outcome measures were weight, systolic and diastolic blood pressures, full lipid profiles (in patients with diabetes), and percentage of patients achieving treatment goal by the end of the 3 years. Statistically significant differences between the first and last visits were achieved for both systolic (124.12 +/- 11.07 and 120.36 +/- 14.39 mm Hg, respectively, p=0.016) and diastolic (80.4 +/- 9.01 and 77.43 +/- 9.14 mm Hg, respectively, p=0.019) blood pressure. The 19 patients without diabetes showed a statistically significant improvement in diastolic blood pressure (p=0.039), but the 37 patients with diabetes did not show a significant difference. A nonsignificant increase was seen in the percentage of patients with diabetes achieving low-density lipoprotein cholesterol (LDL) level goal between the first and last visits (p=0.06). CONCLUSION: A cardiovascular case-management program delivered in the workplace to middle-aged working adults by community pharmacists improved blood pressure and reduced LDL levels. The program was not effective, however, in weight reduction.</t>
  </si>
  <si>
    <t>J2: Pharmacotherapy; John, Elizabeth J Vavra, Theresa Farris, Karen Currie, Jay Doucette, William Button-Neumann, Brenna Osterhaus, Matt Kumbera, Patty Halterman, Tom Bullock, Tammy; ID: 409</t>
  </si>
  <si>
    <t>John,Elizabeth J. Division of Clinical and Administrative Pharmacy, College of Pharmacy, University of Iowa, Iowa City, Iowa 52242-1112, USA.</t>
  </si>
  <si>
    <t>http://ovidsp.ovid.com/ovidweb.cgi?T=JS&amp;CSC=Y&amp;NEWS=N&amp;PAGE=fulltext&amp;D=med5&amp;AN=16999661</t>
  </si>
  <si>
    <t>MEDLINE; Ovid Technologies; Workplace-based cardiovascular risk management by community pharmacists: impact on blood pressure, lipid levels, and weight</t>
  </si>
  <si>
    <t>Johnson,L. C.;Beach,E.</t>
  </si>
  <si>
    <t>The importance of the pharmacist's expanding role on the diabetes team: reinforcing nutritional guidelines for improved glycemic control</t>
  </si>
  <si>
    <t>Pharmacy practice management quarterly</t>
  </si>
  <si>
    <t>Pharm.Pract.Manag.Q.</t>
  </si>
  <si>
    <t>*Blood Glucose;Diabetes Mellitus, Type 1/bl Blood];*Diabetes Mellitus, Type 1/dh Diet Therapy];Diabetes Mellitus, Type 2/bl Blood];*Diabetes Mellitus, Type 2/dh Diet Therapy];*Diet, Diabetic/st Standards];*Disease Management;*Patient Care Team;*Pharmacists;*Practice Guidelines as Topic;*Treatment Outcome;United States;0 (Blood Glucose)</t>
  </si>
  <si>
    <t>The role of the pharmacist on the diabetes care team is expanding due to the increasing number of patients diagnosed with diabetes, limited health care dollars, and the education related to and required for patients by managed care organizations and insurance companies. In the past, training of patients in diabetes self-management skills has been inadequate, and this continues to be the case. Clinical pharmacists, in cooperation with physicians, have increased opportunities to provide education about medications and may include instructions for patients regarding the interaction of food consumed with changes in blood glucose levels. Because of monthly refills on prescribed medications, a patient's interaction with the pharmacist in the setting of a commercial pharmacy is more frequent than with any other member of the diabetes team. This contact offers an ideal educational opportunity. The action and efficacy of medications that affect the pancreas, hepatic glucose production, the utilization of glucose by muscle cells, and the absorption of glucose from the intestines are influenced directly by the meal plan. Nutritional guidelines, meal planning for the Type I and Type II patient, use of the exchange system, carbohydrate counting, artificial sweeteners, alcoholic beverages, and suggestions for guiding patients to establish eating habits that lead to improved diabetes control are important issues for every member of the diabetes team to address. The reinforcement of dietary principles may occur in the educational setting of the hospital or the clinic or within the commercial pharmacy setting. When the team presents accurate and current information, continuity of care and improved patient understanding are achieved. References: 16]</t>
  </si>
  <si>
    <t>J2: Pharm Pract Manag Q; Johnson, L C Beach, E; ID: 597</t>
  </si>
  <si>
    <t>1080-5737</t>
  </si>
  <si>
    <t>Johnson,L C. West County Internal Medicine, St. Louis, MO 63141, USA.</t>
  </si>
  <si>
    <t>http://ovidsp.ovid.com/ovidweb.cgi?T=JS&amp;CSC=Y&amp;NEWS=N&amp;PAGE=fulltext&amp;D=med4&amp;AN=10173309</t>
  </si>
  <si>
    <t>MEDLINE; Ovid Technologies; The importance of the pharmacist's expanding role on the diabetes team: reinforcing nutritional guidelines for improved glycemic control</t>
  </si>
  <si>
    <t>Jolemore,S.;Steeves,D.</t>
  </si>
  <si>
    <t>A capital approach: Tobacco treatment and cessation within Nova Scotia's Capital Health District</t>
  </si>
  <si>
    <t>Catchment Area (Health);Counseling;Government Regulation;Health Policy;*Health Promotion/og Organization &amp; Administration];Humans;Nova Scotia;Organizational Innovation;Program Development;Smoking/lj Legislation &amp; Jurisprudence];*Smoking/pc Prevention &amp; Control];Smoking Cessation/lj Legislation &amp; Jurisprudence];*Smoking Cessation/mt Methods]</t>
  </si>
  <si>
    <t>Inspired by Nova Scotia's comprehensive Tobacco Control Strategy and in an effort to support Capital Health's 100% smoke-free policy, the Addiction Prevention and Treatment Services (APTS) branch of Capital District Health Authority researched, designed and implemented an innovative tobacco intervention program. The success of the Capital approach, combining peer support, adult education concepts, addictions treatment knowledge, and free pharmacological aids, has sparked interest and dialogue among Canadian and American addictions professionals. The following article describes the rationale, guiding principles, key components and future directions of APTS's "To Be Tobacco Free" program.</t>
  </si>
  <si>
    <t>J2: Healthc Q; Jolemore, Shawn Steeves, Dan; ID: 422</t>
  </si>
  <si>
    <t>Jolemore,Shawn. Capital Health Addiction Prevention &amp; Treatment Services, Dartmouth, Nova Scotia.</t>
  </si>
  <si>
    <t>http://ovidsp.ovid.com/ovidweb.cgi?T=JS&amp;CSC=Y&amp;NEWS=N&amp;PAGE=fulltext&amp;D=med5&amp;AN=16826769</t>
  </si>
  <si>
    <t>MEDLINE; Ovid Technologies; A capital approach: Tobacco treatment and cessation within Nova Scotia's Capital Health District</t>
  </si>
  <si>
    <t>Jones,H.;Lindsay;Ballard,T.</t>
  </si>
  <si>
    <t>Improving outcomes in therapeutic drug monitoring--a case history</t>
  </si>
  <si>
    <t>*Clinical Laboratory Techniques/st Standards];*Drug Monitoring;Guidelines as Topic;Hospital Bed Capacity, 100 to 299;*Hospitals, Pediatric/st Standards];Hospitals, Teaching/st Standards];Retrospective Studies;Texas;Total Quality Management;*Treatment Outcome</t>
  </si>
  <si>
    <t>A case history describes quality improvement initiatives undertaken by the Laboratory, the Pharmacy, and the Department of Nursing at Children's Medical Center in Dallas, Texas, a 266-bed pediatric teaching hospital affiliated with the University of Texas Southwestern Medical School. The initial purpose of the study was to correct problems identified by a retrospective review of randomly selected patient charts. The problems included laboratory schedules for drug assays, the timing and documenting of blood collections, the reporting of toxic results to physicians, and the interpreting of serum drug concentrations. The major changes in the program included increased frequency of testing in the laboratory, educating nurses as to sample collection guidelines, introducing a clinical pharmacy consultation service, daily reporting of all drug levels to the pharmacy from the laboratory computer, and reporting toxic levels to the clinical pharmacist who then notified the physician and offered a consult. The study then began to focus on attempting to monitor the service related to outcome indicators. Outcome data included a comparison of test volumes (15.7% decrease), tests per adjusted patient day (15.4% decrease), and tests per patient day of therapy for aminoglycosides (gentamicin decreased 6.8%) before and after the changes were implemented. Data also included aminoglycoside tests reported as therapeutic and as toxic. Plans for further improvement have been identified and include differentiating peak and trough serum drug concentrations for aminoglycosides, possibly developing protocols for vancomycin and cyclosporine monitoring, continuing to educate laboratory technologists and nurses, and continuing to monitor usage and outcome indicators.</t>
  </si>
  <si>
    <t>J2: Clin Lab Manage Rev; Jones, H Lindsay Ballard, T; ID: 619</t>
  </si>
  <si>
    <t>Jones,H. Children's Medical Center of Dallas, TX, USA.</t>
  </si>
  <si>
    <t>http://ovidsp.ovid.com/ovidweb.cgi?T=JS&amp;CSC=Y&amp;NEWS=N&amp;PAGE=fulltext&amp;D=med4&amp;AN=10172600</t>
  </si>
  <si>
    <t>MEDLINE; Ovid Technologies; Improving outcomes in therapeutic drug monitoring--a case history</t>
  </si>
  <si>
    <t>Jones,L.;Edge,J.;Love,A. C.;Author,Addresses;Community;Drug;Alcohol Team, Caebricks Road Cwmbwrla,Swansea S.;Kingdom;Correspondence,Address;Jones,Community Drug,L.;Alcohol Team, Caebricks Road,Cwmbwrla Swansea;Sa8 4Ns, United Kingdom Email Lynn jones swansea-tr wales,nhs uk</t>
  </si>
  <si>
    <t>The effect of educational intervention on pharmacists' attitudes to substance misusers</t>
  </si>
  <si>
    <t>Journal of Substance Use</t>
  </si>
  <si>
    <t>J.Subst.Use</t>
  </si>
  <si>
    <t>(MAJOR FOCUS);methadone;drug misuse;health personnel attitude;paramedical education;article;community care;competence;drug substitution;follow up;health program;human;methadone treatment;pharmacist;prescription;priority journal;questionnaire;rating scale;scoring system;staff training;statistical analysis;statistical significance;methadone (1095-90-5, 125-56-4, 23142-53-2, 297-88-1, 76-99-3);Public Health, Social Medicine and Epidemiology (17);Drug Dependence, Alcohol Abuse and Alcoholism (40)</t>
  </si>
  <si>
    <t>The aim of this study was to determine if a conventional educational training evening influenced pharmacists' attitudes towards methadone substitution programmes and substance misusers. The sample consisted of 42 community pharmacists who attended two locally organized training evenings dealing with aspects of methadone prescribing. The Abstinence Orientation Scale (AOS) measuring attitudes to abstinence-orientated methadone substitution programmes was administered. Attitudes towards substance users and knowledge of methadone were also assessed. Pharmacists completed scales immediately before and after the educational intervention and a month later. Pharmacist assistants completed questionnaires at baseline and at 1-month follow-up. The null hypothesis tested was that there was no significant attitudinal change following the educational intervention. The mean pharmacist AOS score indicated a relatively strong commitment to abstinence programmes which decreased with time (p&lt;0.48). Pharmacist assistant scores showed a significant decrease at 1 month to a mean of 3.41 (p&lt;0.046). Drug disapproval and methadone knowledge scores showed a non-statistically significant increase over the follow-up period for both groups. These results indicate that there is a minimal change in attitude towards methadone programmes; substance misuse and knowledge of methadone among pharmacists following structured educational training in this area. This suggests that alternative means of addressing these issues need to be considered. ‚î¨‚åê 2005 Taylor &amp; Francis.</t>
  </si>
  <si>
    <t>(Jones L., Lynn.jones@swansea-tr.wales.nhs.uk; Edge J.; Love A.C.); ID: 1540</t>
  </si>
  <si>
    <t>1465-9891 1475-9942 (electronic)</t>
  </si>
  <si>
    <t>2005447107 FULL TEXT LINK http://dx.doi.org/10.1080/14659890412331318903</t>
  </si>
  <si>
    <t>Jones,R. T.</t>
  </si>
  <si>
    <t>Alternative strategies</t>
  </si>
  <si>
    <t>Ciba Foundation symposium</t>
  </si>
  <si>
    <t>Ciba Found.Symp.</t>
  </si>
  <si>
    <t>32; discussion 232-41</t>
  </si>
  <si>
    <t>*Cocaine;Humans;Prisons/lj Legislation &amp; Jurisprudence];Public Policy;*Street Drugs/lj Legislation &amp; Jurisprudence];Substance Abuse Detection/lj Legislation &amp; Jurisprudence];*Substance-Related Disorders/pc Prevention &amp; Control];Substance-Related Disorders/px Psychology];United States;0 (Street Drugs);I5Y540LHVR (Cocaine)</t>
  </si>
  <si>
    <t>Drug treatment alternatives in the United States are constrained by what is politically correct and expedient and by a federal policy of 'zero tolerance' for any illicit psychoactive drug use. A war on drugs will not solve all the problems posed by cocaine. Alternative strategies must address fundamental problems in ghetto life: violence, poverty, poor health, no education, no jobs, and few reasons for not taking drugs. Despite warnings of pharmacological determinism, cocaine is like other psychoactive drugs. Even with cocaine, when alternative behaviours are possible most people avoid out-of-control use. Public health strategies promoting a harm-reduction policy offer advantages. Recent reductions in cocaine use are a consequence of education, awareness of good health practices, and interest in other activities. Alternatives could include cocaine in a safer, non-lethal and controllable form but are unlikely in a political climate where politics and law prevail rather than medicine and humanity. References: 23]</t>
  </si>
  <si>
    <t>J2: Ciba Found Symp; Jones, R T DA00053 (United States NIDA NIH HHS) DA01696 (United States NIDA NIH HHS); ID: 654</t>
  </si>
  <si>
    <t>0300-5208</t>
  </si>
  <si>
    <t>Jones,R T. Department of Psychiatry, Langley Porter Psychiatric Institute, University of California, San Francisco 94143.</t>
  </si>
  <si>
    <t>http://ovidsp.ovid.com/ovidweb.cgi?T=JS&amp;CSC=Y&amp;NEWS=N&amp;PAGE=fulltext&amp;D=med3&amp;AN=1638916</t>
  </si>
  <si>
    <t>MEDLINE; Ovid Technologies; Alternative strategies</t>
  </si>
  <si>
    <t>Jonkman,L. J.;Connor,S. E.;Herbert,M. I.;Mrvos,S.;Author,Addresses;University of Pittsburgh, School,of Pharmacy;Pittsburgh,United States;Upmc,Department of General Internal Medicine Pittsburgh;United,States;Duquesne University, Mylan School of Pharmacy,Pittsburgh United;States;Correspondence,Address;LJ Jonkman, University of Pittsburgh School of,Pharmacy Pittsburgh;United,States</t>
  </si>
  <si>
    <t>A pharmacist-run collaborative care program in a free urban primary care clinic</t>
  </si>
  <si>
    <t>389e</t>
  </si>
  <si>
    <t>low density lipoprotein;clinical pharmacy;college;hospital;human;pharmacist;primary medical care;blood pressure;chronic disease;clinical study;diabetes mellitus;disease control;drug therapy;education;laboratory;male;middle aged;model;monitoring;patient;physician;population;total quality management;university;volunteer</t>
  </si>
  <si>
    <t>PURPOSE: Pittsburgh's Birmingham Free Clinic (BFC) serves a growing population of patients with chronic diseases. BFC's walk-in model requires patients to return monthly, which works to provide access for new patients, but is less-than-ideal for patients needing continuing care. With limited volunteer physician staffing and thus, physician continuity, BFC developed a pharmacist-run appointmentbased collaborative care program to provide on-going care and medication refills to patients with chronic diseases. In this assessment we investigate drug-related problems (DRPs), interventions, and clinical outcomes for program participants. METHODS: This retrospective review included all patients with at least one pharmacist visit since program initiation (June 2009-May 2011). We recorded demographics, number of pharmacist visits, clinical data, DRPs, and interventions. The University of Pittsburgh Medical Center's quality improvement committee approved this project. RESULTS: Sixty-four patients had at least one pharmacist visit in the period assessed with a total of 251 visits. The majority of patients were middle-aged (49.5 years), male (54.9%), black (51.6%), lowincome ($640/month), and housed (59.3%). 115 DRPs were identified (average 1.8/patient; 0.46/visit), most common being Œì√á¬£dose too lowŒì√á¬• (34.6%) and Œì√á¬£non-compliance Œì√á¬•(23.4%). 590 interventions were made (average 9.2/patient; 2.35/visit), most common being Œì√á¬£education providedŒì√á¬• (67.7%) and Œì√á¬£referred to labŒì√á¬• (13.7%). Of those with diabetes (45.3%), baseline A1C was 8.0% (5.6-11.6%), blood pressure 134.6/85 mmHg (108-180/64-110 mmHg), and LDL 89.1 mg/dL (45-136 mg/dL). No statistically significant changes were seen for A1C or blood pressure; LDL decreased 10.2 mg/dL (p=0.033). However, 83.3% with A1C &gt; 9% at baseline (6 patients) saw an A1C reduction. CONCLUSION: While we did not find significant clinical improvements, most had reasonable disease control at baseline. Improvements are complicated by patient social situations and timely access to laboratory services for disease monitoring. This project highlights the potential role for pharmacists in resource-poor settings to provide chronic care that extends the traditional primary care infrastructure.</t>
  </si>
  <si>
    <t>(Jonkman L.J.; Connor S.E.) (Herbert M.I.) (Mrvos S.) 2011 Annual Meeting of the American College of Clinical Pharmacy Pittsburgh, PA, United States 2011-10-16 to 2011-10-19 Pharmacotherapy Publications Inc.; ID: 1229</t>
  </si>
  <si>
    <t>Jorenby,D.</t>
  </si>
  <si>
    <t>Clinical efficacy of bupropion in the management of smoking cessation</t>
  </si>
  <si>
    <t>62 Suppl 2</t>
  </si>
  <si>
    <t>Body Weight/de Drug Effects];Bupropion/ad Administration &amp; Dosage];Bupropion/pd Pharmacology];*Bupropion/tu Therapeutic Use];Delayed-Action Preparations;Dopamine Uptake Inhibitors/ad Administration &amp; Dosage];Dopamine Uptake Inhibitors/pd Pharmacology];*Dopamine Uptake Inhibitors/tu Therapeutic Use];Drug Administration Schedule;Female;Humans;Male;Nicotine/tu Therapeutic Use];Practice Guidelines as Topic;Secondary Prevention;*Smoking Cessation/mt Methods];Substance Withdrawal Syndrome/dt Drug Therapy];*Tobacco Use Disorder/dt Drug Therapy];Tobacco Use Disorder/pc Prevention &amp; Control];Tobacco Use Disorder/px Psychology];0 (Delayed-Action Preparations);0 (Dopamine Uptake Inhibitors);01ZG3TPX31 (Bupropion);6M3C89ZY6R (Nicotine)</t>
  </si>
  <si>
    <t>Nicotine addiction is a chronic relapsing condition that can be difficult to treat. Until recently, pharmacological options for the treatment of tobacco dependence were primarily limited to nicotine replacement therapy (NRT). Sustained-release bupropion (bupropion SR) is the first non-nicotine pharmacological treatment approved for smoking cessation. Bupropion SR is recommended for first-line pharmacotherapy alongside NRT in the updated US Clinical Practice Guidelines and the UK Health Education Authority Guidelines. The UK National Institute of Clinical Excellence recommends NRT and bupropion SR for smokers who have expressed a desire to quit smoking. This review presents evidence that bupropion SR is an effective first-line therapy for smoking cessation in a wide range of patient populations. It is associated with significantly higher smoking cessation rates compared with placebo in patients with or without a history of prior bupropion SR or NRT use, and its effect is independent of gender. Bupropion SR treatment is effective in the prevention of relapse to smoking in those patients who have successfully quit, and re-treatment is effective in smokers who recommence smoking after a previous course of bupropion SR. Bupropion SR treatment relieves the symptoms of craving and nicotine withdrawal, and attenuates the weight gain that often occurs after smoking cessation. Data collected from motivational support programmes and employer-based studies provide strong evidence of the effectiveness of bupropion SR as an aid to smoking cessation in 'real life' situations, and confirm the efficacy seen in clinical trials. References: 52]</t>
  </si>
  <si>
    <t>J2: Drugs; Jorenby, Douglas; ID: 524</t>
  </si>
  <si>
    <t>Jorenby,Douglas. Department of Medicine, Center for Tobacco Research and Intervention, University of Wisconsin Medical School, 1930 Monroe Street, Madison, WI 53711, USA. Dej@CTRI.medicine.wisc.edu</t>
  </si>
  <si>
    <t>http://ovidsp.ovid.com/ovidweb.cgi?T=JS&amp;CSC=Y&amp;NEWS=N&amp;PAGE=fulltext&amp;D=med4&amp;AN=12109933</t>
  </si>
  <si>
    <t>MEDLINE; Ovid Technologies; Clinical efficacy of bupropion in the management of smoking cessation</t>
  </si>
  <si>
    <t>Jouney,E. A.;Brower,K.;Author,Addresses;University of Michigan, Department,of Psychiatry;United,States;Correspondence,Address;EA Jouney, University of Michigan Department of,Psychiatry United;States</t>
  </si>
  <si>
    <t>Teaching methadone management strategies to medical students in a case-based learning paradigm</t>
  </si>
  <si>
    <t>(MAJOR FOCUS);methadone;opiate;addiction;human;learning;medical student;psychiatry;teaching;adverse outcome;drug induced disease;drug overdose;female;hospital patient;hypothesis;maintenance therapy;methadone treatment;model;multiple choice test;pain;patient;patient care;pharmacology;plague;population;student;United States;university</t>
  </si>
  <si>
    <t>Background: The purpose of this project is to measure the effectiveness of a case-based small group discussion format in teaching third-year medical students the basics of methadone management in the medically hospitalized opioid-dependent patient. Methadone is a drug that is often misunderstood, and misrepresented, partly due to the negative stigmatization that plagues the culture of methadone maintenance therapy. Most third-year medical students do not possess the fundamental understandings ofmethadone maintenance treatment, and also fail to recognize some of the legal and often life-threatening pharmacological characteristics of this drug. These misunderstandings can often lead to a multitude of adverse outcomes, including iatrogenic drug overdose, the mismanagement of acute pain syndromes in the methadone maintenance patient, and a failure to abide by the basic legalities governing methadone maintenance treatment. Our hypothesis is that a small group teaching session based on a case discussion can facilitate the learning of these critical medical concepts in the target population. Methods: 21 third-year medical students at the University of Michigan were randomly divided into five cohorts, consisting of 3-6 students each. Each group was provided with a case summary of a female patient with opioid dependence who was inappropriately managed with methadone during an inpatient medical admission. A 60-minute discussion followed, which was led by an addiction psychiatry fellow. The discussion aimed to highlight the key points of the case, and to give instruction on the clinically relevant concepts in opioid dependence and methadone pharmacology. Students were given a pre-test before the discussion, which consisted of 10 multiple choice questions regarding some of the legal and pharmacological characteristics of methadone pertinent to patient care. For each question one of the choices read: Œì√á¬£I don't know, I would be guessing.Œì√á¬• This was to eliminate the possibility of correct answers based on guessing alone. Additionally, students were asked not to guess, and to choose an answer only if they were reasonably sure that their choice was correct. After the case discussion, the students were given a post-test, which was exactly the same as the pre-test. They were not informed of the post-test until the very end of the discussion. This was to eliminate the possibility of note taking or selective retention during the discussion. The difference between the pre- and post-test scores was compared to access the effectiveness of this teaching model. Results:Apaired samples t testwas conducted to test the effectiveness of this small group discussion model. On average, the post test scores were 52.3 (SD = 14.8) percentage points higher compared to pre-test scores- (t (20) = 16.2, p &lt; 0.0005). The mean pre-test score was 37.1% (SD = 15.5) and the mean post-test score was 89.5% (SD = 12.0). There was no statistically significant difference found in the pre- and post-test scores between the individual cohorts. Conclusions: The use of a small group case-based discussion teaching paradigm was effective in the shortterm at educating third-year medical students on the key concepts of methadone prescribing in the medically hospitalized opioid-dependent patient.</t>
  </si>
  <si>
    <t>(Jouney E.A.; Brower K.) 22nd Annual Meeting and Symposium of the American Academy of Addiction Psychiatry, AAAP 2011 Scottsdale, AZ, United States 2011-12-08 to 2011-12-11 Wiley-Blackwell Publishing Ltd; ID: 1133</t>
  </si>
  <si>
    <t>Joy,F. B.;April,L. M.</t>
  </si>
  <si>
    <t>Innovative Teaching Strategy for Pharmacology in Psychiatric-Mental Health Nursing: Moving from Content to Concepts</t>
  </si>
  <si>
    <t>Journal of Psychosocial Nursing &amp; Mental Health Services</t>
  </si>
  <si>
    <t>29 8p</t>
  </si>
  <si>
    <t>Mental Disorders -- Drug Therapy;Pharmacy and Pharmacology -- Education;Psychiatric Nursing -- Education;Psychotropic Drugs -- Therapeutic Use;Teaching Methods;Antianxiety Agents -- Adverse Effects;Antianxiety Agents -- Therapeutic Use;Antianxiety Agents, Benzodiazepine -- Adverse Effects;Antianxiety Agents, Benzodiazepine -- Therapeutic Use;Anticonvulsants -- Adverse Effects;Anticonvulsants -- Therapeutic Use;Antidepressive Agents -- Adverse Effects;Antidepressive Agents -- Therapeutic Use;Antipsychotic Agents -- Adverse Effects;Antipsychotic Agents -- Therapeutic Use;Anxiety Disorders;Attention Deficit Hyperactivity Disorder -- Drug Therapy;Central Nervous System Stimulants -- Adverse Effects;Central Nervous System Stimulants -- Therapeutic Use;Course Content;Curriculum;Depression -- Drug Therapy;Education, Continuing (Credit);Narcotic Antagonists -- Adverse Effects;Narcotic Antagonists -- Therapeutic Use;Outcomes of Education;Psychotic Disorders -- Drug Therapy;Psychotropic Drugs -- Adverse Effects;Students, Undergraduate;Substance Use Disorders -- Drug Therapy</t>
  </si>
  <si>
    <t>Faculty teaching an undergraduate psychiatric-mental health nursing course noted that the vast content related to psychotropic medication interventions needed to be conceptualized creatively to help students develop expertise. In this article, an innovative pedagogical approach is presented for teaching nursing students psychopharmacology by moving from content to concepts</t>
  </si>
  <si>
    <t>Entry Date: 20130118. Revision Date: 20150818. Publication Type: Journal Article; CEU; pictorial; tables/charts. Journal Subset: Core Nursing; Nursing; Peer Reviewed; USA. Special Interest: Psychiatry/Psychology. NLM UID: 8200911. PMID: 23457714.; ID: 1923</t>
  </si>
  <si>
    <t>0279-3695</t>
  </si>
  <si>
    <t>3452 Fishinger Mill Drive, Hilliard, OH 43026; e-mail: cobjfb@columbus.rr.com.</t>
  </si>
  <si>
    <t>http://proxy.lib.umich.edu/login?url=http://search.ebscohost.com/login.aspx?direct=true&amp;db=ccm&amp;AN=104391315&amp;site=ehost-live&amp;scope=site</t>
  </si>
  <si>
    <t>10.3928/02793695-20121107-03</t>
  </si>
  <si>
    <t>ccm; EBSCOhost; Innovative Teaching Strategy for Pharmacology in Psychiatric-Mental Health Nursing: Moving from Content to Concepts</t>
  </si>
  <si>
    <t>Jungnickel,Paul W.;DeSimone,Edward M.;Kissack,Julie C.;Lawson,Lisa A.;Murawski,Matthew M.;Patterson,Brandon J.;Rospond,Raylene M.;Scott,David M.;Athay,Jennifer</t>
  </si>
  <si>
    <t>Report of the AACP Special Committee on Substance Abuse and Pharmacy Education</t>
  </si>
  <si>
    <t>4 4p</t>
  </si>
  <si>
    <t>Entry Date: 20130301. Revision Date: 20150711. Publication Type: Journal Article. Journal Subset: Biomedical; USA.; ID: 2019</t>
  </si>
  <si>
    <t>Harrison School of Pharmacy, Auburn University School of Pharmacy and Allied Health Professions, Creighton University College of Pharmacy, Harding University Philadelphia College of Pharmacy, University of the Sciences in Philadelphia School of Pharmacy and Pharmaceutical Sciences, Purdue University College of Pharmacy, The University of Iowa College of Pharmacy and Health Sciences, Drake University College of Pharmacy, Nursing and Allied Sciences, North Dakota State University American Association of Colleges of Pharmacy</t>
  </si>
  <si>
    <t>http://proxy.lib.umich.edu/login?url=http://search.ebscohost.com/login.aspx?direct=true&amp;db=ccm&amp;AN=104338159&amp;site=ehost-live&amp;scope=site</t>
  </si>
  <si>
    <t>ccm; EBSCOhost; Report of the AACP Special Committee on Substance Abuse and Pharmacy Education</t>
  </si>
  <si>
    <t>Kaae,S.;Sorensen,E. W.;Norgaard,L. S.</t>
  </si>
  <si>
    <t>Exploring communications around medication review in community pharmacy</t>
  </si>
  <si>
    <t>*Communication;Community Pharmacy Services/st Standards];*Community Pharmacy Services;*Drug Utilization Review/mt Methods];General Practitioners/px Psychology];General Practitioners/st Standards];Humans;Medication Systems/st Standards];Pharmacies/st Standards];*Professional-Patient Relations;Students, Pharmacy/px Psychology];*Students, Pharmacy</t>
  </si>
  <si>
    <t>OBJECTIVES: Investigation into aspects that influence outcomes of medication reviews have been called for. The aim of this study was to assess how pharmacy internship students in a Danish medication review and reconciliation model communicated with both diabetes patients and the patients' General Practitioners (GPs) when conveying the results of the review by writing letters to the different parties. Special attention was drawn to how differences in health care provider and patient perspectives of the disease as well as inclusion of the patient in the decision making process is influenced by the identified practices of communication. SETTING: 18 Danish community pharmacies with The Department of Pharmacology and Pharmacotherapy at the Faculty of Pharmaceutical Sciences, University of Copenhagen. METHOD: Number of identified drug related problems, life-world problems and solutions to these described in the letters sent to patients and their GPs were registered. Further a qualitative documentary analysis was conducted by analyzing the letters using the theory of transactional analysis, developed by Berne. MAIN OUTCOME MEASURES: Identified and conveyed drug related and life-world related problems when comparing patients' letters with GPs' letters. Whether students assumed a superior, inferior or equal role in relation to the recipient of the letter and compared whether students assumed the same role in relation to patients and GPs. RESULTS: 18 pairs of patient and GP letters were analyzed. The analysis showed that students conveyed more drug-related problems to GPs than to patients. Furthermore, students assumed an equal relationship to GPs, whereas they frequently took superior positions when writing to patients. Students reported lifestyle problems both to GPs and to patients. CONCLUSION: Pharmacy students in a Danish medication review and reconciliation model managed to detect and address lifestyle problems of patients to their GPs, thereby facilitating the merger of their professional-technical perspective with the life-world perspective of patients. However, patients were not encouraged to become more involved in the disease management process.</t>
  </si>
  <si>
    <t>J2: Int J Clin Pharm; Kaae, Susanne Sorensen, Ellen Westh Norgaard, Lotte Stig; ID: 225</t>
  </si>
  <si>
    <t>Kaae,Susanne. The Department of Pharmacology and Pharmacotherapy, Section for Social Pharmacy, The Faculty of Pharmaceutical Sciences, University of Copenhagen, Universitetsparken 2, 2100 Kobenhavn O, Denmark. ska@farma.ku.dk</t>
  </si>
  <si>
    <t>http://ovidsp.ovid.com/ovidweb.cgi?T=JS&amp;CSC=Y&amp;NEWS=N&amp;PAGE=fulltext&amp;D=med5&amp;AN=21442285</t>
  </si>
  <si>
    <t>http://dx.doi.org/10.1007/s11096-011-9502-5</t>
  </si>
  <si>
    <t>MEDLINE; Ovid Technologies; Exploring communications around medication review in community pharmacy</t>
  </si>
  <si>
    <t>Kabli,N.;Liu,B.;Seifert,T.;Arnot,M. I.</t>
  </si>
  <si>
    <t>PMC3631738; Effects of academic service learning in drug misuse and addiction on students' learning preferences and attitudes toward harm reduction</t>
  </si>
  <si>
    <t>*Attitude of Health Personnel;*Behavior, Addictive/px Psychology];Behavior, Addictive/th Therapy];Choice Behavior;Data Collection/mt Methods];*Harm Reduction;Humans;*Learning;*Social Welfare/px Psychology];*Students, Pharmacy/px Psychology];Substance-Related Disorders/px Psychology];Substance-Related Disorders/th Therapy]</t>
  </si>
  <si>
    <t>OBJECTIVE. To examine academic service-learning pedagogy on student learning and perceptions of drug misuse and addiction. DESIGN. Third- and fourth-year pharmacology students were exposed to an academic service-learning pedagogy that integrated a community service experience with lectures, in-class discussions and debates, group projects, a final paper, and an examination. Reflective writing assignments throughout the course required students to assimilate and apply what they had learned in the classroom to what they learned in their community placement. ASSESSMENT. Changes in students' responses on pre- and post-course survey instruments reflected shifts toward higher-order thinking. Also, subjective student-learning modalities shifted toward learning by writing. Students' perspectives and attitudes allowed improved context of issues associated with drug misuse and harm reduction models. CONCLUSION. Academic service-learning pedagogy contributes to developing adaptable, well-rounded, engaged learners who become more compassionate and pragmatic in addressing scientific and social questions relating to drug addiction.</t>
  </si>
  <si>
    <t>J2: Am J Pharm Educ; Kabli, Noufissa Liu, Ben Seifert, Tricia Arnot, Michelle I; ID: 122</t>
  </si>
  <si>
    <t>Kabli,Noufissa. Department of Pharmacology and Toxicology, University of Toronto, Ontario, Canada.</t>
  </si>
  <si>
    <t>http://ovidsp.ovid.com/ovidweb.cgi?T=JS&amp;CSC=Y&amp;NEWS=N&amp;PAGE=fulltext&amp;D=medl&amp;AN=23610481</t>
  </si>
  <si>
    <t>http://dx.doi.org/10.5688/ajpe77363</t>
  </si>
  <si>
    <t>MEDLINE; Ovid Technologies; Effects of academic service learning in drug misuse and addiction on students' learning preferences and attitudes toward harm reduction</t>
  </si>
  <si>
    <t>Kafle,K. K.;Gartoulla,R. P.;Pradhan,Y. M.;Shrestha,A. D.;Karkee,S. B.;Quick,J. D.</t>
  </si>
  <si>
    <t>Drug retailer training: experiences from Nepal</t>
  </si>
  <si>
    <t>Costs and Cost Analysis;Curriculum;*Drug Industry;Education, Pharmacy/ec Economics];*Education, Pharmacy/og Organization &amp; Administration];Humans;Medically Underserved Area;Nepal;Organizational Objectives;Private Sector;Program Development;*Self Medication</t>
  </si>
  <si>
    <t>Sale of modern medicines by untrained peddlers, general merchants, and other drug sellers is common throughout the developing world. Drug sellers operating in the 'informal sector' are often the first source of health care outside the home. Reasons given by patients for using private drug sellers include expediency, convenience, efficacy of the medicines, dependability of supply, and reasonable cost. At the same time, self-medication through private drug sellers can be ineffective, wasteful, and at times distinctly harmful. Regulatory approaches to controlling drug selling in the informal sector, widely endorsed on paper through national drug control legislation, require a cadre of professional regulatory staff and enforcement mechanisms which are too often beyond the current economic and political reach of countries. In Nepal, where rugged terrain has limited infrastructure development, the doctor to population ratio is 1:23,000, utilization of government health services averages only 0.2 visits per person per year. Retail drug outlets outnumber health posts and health centers by a ratio of 4:1 and private drug sellers often offer the only access to modern medicine for much of the population. Community surveys have found that drug retailers are very often the first and only source of health care outside the home. Given the importance of retail drug outlets and the lack of trained pharmacists, the Department of Drug Administration in 1981 established a 45-hr course for drug retailers which emphasized practical training as well as formal teaching on pharmacology, ethics, storage of drugs, and legal issues. By the end of 1989, 4096 drug retailers had graduated from the course. Still run by the Ministry of Health Department of Drug Administration, the course has proven to be administratively feasible and has been quite popular with drug retailers. Initial reservations expressed by doctors and some pharmacists were soon overcome, and the course is now well accepted by professional groups. Because the course is offered in different locations, geographic coverage has also been very good despite Nepal's logistic constraints. The operating cost of the course averages about U.S. $18 per trainee. Informal evaluations have resulted in plans for refresher training more narrowly focused on safe dispensing and appropriate referral for a limited number of important public health problems. Since 50-90% of pharmaceutical expenditures typically pass through the informal private sector in developing countries, it is suggested that other countries consider focused drug retailer training as a response to the problems of manpower shortages and drug dispensing by unqualified staff.</t>
  </si>
  <si>
    <t>J2: Soc Sci Med; Kafle, K K Gartoulla, R P Pradhan, Y M Shrestha, A D Karkee, S B Quick, J D; ID: 653</t>
  </si>
  <si>
    <t>Kafle,K K. Institute of Medicine, Tribhuvan University Teaching Hospital, Kathmandu, Nepal.</t>
  </si>
  <si>
    <t>http://ovidsp.ovid.com/ovidweb.cgi?T=JS&amp;CSC=Y&amp;NEWS=N&amp;PAGE=fulltext&amp;D=med3&amp;AN=1411696</t>
  </si>
  <si>
    <t>MEDLINE; Ovid Technologies; Drug retailer training: experiences from Nepal</t>
  </si>
  <si>
    <t>Kahan,M.;Wilson,L.;Wenghofer,E. F.;Srivastava,A.;Resnick,A.;Janecek,E.;Sheehan,C.;Author,Addresses;Addiction Medicine,Services Clinic;Joseph's,Health Centre;St. Joseph's,Health;Centre,Family Medicine East Wing The Queensway Toronto O.N.M.R.B.;Canada;Department,of;Family;Community Medicine, University of,Toronto Canada;Centre for,Rural;Northern,Health Research;University,Sudbury O. N. Canada;School of,Rural;Northern Health,Laurentian University;Sudbury,O. N. C.;Centre for,Addiction;Mental Health,Toronto;On,Canada;Ontario College,of Pharmacists;Child,Care Resources;Correspondence,Address;Kahan, St Joseph's Health Centre Family Medicine East Wing The,M.;Queensway,Toronto O.N.M.R.B.Canada Email kahanm stjoe on ca</t>
  </si>
  <si>
    <t>22084475; Pharmacists' experiences with dispensing opioids: Provincial survey</t>
  </si>
  <si>
    <t>e448</t>
  </si>
  <si>
    <t>e454</t>
  </si>
  <si>
    <t>(MAJOR FOCUS);opiate;benzodiazepine;drug marketing;pharmacist attitude;alcohol consumption;article;drug abuse;drug intoxication;health care survey;human;inappropriate prescribing;patient compliance;pharmacist;physician attitude;practice guideline;professional competence;work experience;benzodiazepine (12794-10-4);opiate (53663-61-9, 8002-76-4, 8008-60-4);Public Health, Social Medicine and Epidemiology (17);Clinical and Experimental Biochemistry (29)</t>
  </si>
  <si>
    <t>Objective: To explore pharmacists' beliefs, practices, and experiences regarding opioid dispensing. Design: Mailed survey. Setting: The province of Ontario. Participants: A total of 1011 pharmacists selected from the Ontario College of Pharmacists' registration list. Main outcome measures: Pharmacists' experiences with opioid-related adverse events (intoxication and aberrant drug-related behaviour) and their interactions with physicians. Results: A total of 652 pharmacists returned the survey, for a response rate of 64%. Most (86%) reported that they were concerned about several or many of their patients who were taking opioids; 36% reported that at least 1 patient was intoxicated from opioids while visiting their pharmacies within the past year. Reasons for opioid intoxication included the patient taking more than prescribed (84%), the patient using alcohol or sedating drugs along with the opioid (69.9%), or the prescribed dose being too high (34%). Participants' most common concerns in the 3 months before the survey were patients coming in early for prescription refills, suspected double-doctoring, and requests for replacement doses for lost medication (reported frequently by 39%, 12%, and 16% of respondents, respectively). Pharmacists were concerned about physician practices, such as prescribing benzodiazepines along with opioids. Pharmacists reported difficulty in reaching physicians directly by telephone (43%), and indicated that physicians frequently did not return their calls promptly (28%). The strategies rated as most helpful for improving opioid dispensing were a provincial prescription database and opioid prescribing guidelines. Conclusion: Pharmacists commonly observe opioid intoxication and aberrant drug-related behaviour in their patients but have difficulty communicating their concerns to physicians. System-wide strategies are urgently needed to improve the safety of opioid prescribing and to enhance communication between physicians and pharmacists.</t>
  </si>
  <si>
    <t>(Kahan M., kahanm@stjoe.on.ca) (Kahan M., kahanm@stjoe.on.ca; Wilson L.; Srivastava A.) (Wenghofer E.F.) (Srivastava A.; Janecek E.) (Resnick A.) (Sheehan C.) College of Family Physicians of Canada, 2630 Skymark Avenue, Mississauga Ont., Canada.; ID: 1220</t>
  </si>
  <si>
    <t>http://www.ncbi.nlm.nih.gov/pubmed/22084475</t>
  </si>
  <si>
    <t>Pharmacists' experiences with dispensing opioids: Provincial survey</t>
  </si>
  <si>
    <t>Kaldy,J.</t>
  </si>
  <si>
    <t>Riding the wave of younger residents in long-term care</t>
  </si>
  <si>
    <t>Adult;Age Factors;Humans;*Long-Term Care/mt Methods];Long-Term Care/st Standards];Middle Aged;*Nursing Homes/og Organization &amp; Administration];Pharmaceutical Services/og Organization &amp; Administration];Pharmacists/og Organization &amp; Administration];*Quality of Health Care;Quality of Life</t>
  </si>
  <si>
    <t>Younger patients represent a growing percentage of nursing facility residents. Patients younger than 65 years of age comprise about 14% of the population in this setting. They are victims of traumatic brain or spinal cord injuries and diseases such as amyotrophic lateral sclerosis and Huntington's disease. These individuals present some novel challenges for pharmacists and other practitioners because they often are more informed and involved in their care, have younger family members (including small children), have addiction issues, and may have expected life spans much longer than the average elder nursing facility resident. By understanding these individuals and their special needs and issues, pharmacists can help maximize the quality of care younger residents receive, enhancing their quality of life.</t>
  </si>
  <si>
    <t>J2: Consult Pharm; Kaldy, Joanne; ID: 199</t>
  </si>
  <si>
    <t>http://ovidsp.ovid.com/ovidweb.cgi?T=JS&amp;CSC=Y&amp;NEWS=N&amp;PAGE=fulltext&amp;D=medl&amp;AN=22910174</t>
  </si>
  <si>
    <t>http://dx.doi.org/10.4140/TCP.n.2012.538</t>
  </si>
  <si>
    <t>MEDLINE; Ovid Technologies; Riding the wave of younger residents in long-term care</t>
  </si>
  <si>
    <t>Kalivas,P. W.</t>
  </si>
  <si>
    <t>Neurobiology of cocaine addiction: implications for new pharmacotherapy</t>
  </si>
  <si>
    <t>*Brain/de Drug Effects];*Brain/me Metabolism];*Cocaine-Related Disorders/dt Drug Therapy];*Cocaine-Related Disorders/me Metabolism];Dopamine/me Metabolism];*Drug Therapy/mt Methods];Humans;Learning;Neuronal Plasticity/ph Physiology];*Receptors, GABA/de Drug Effects];*Receptors, GABA/me Metabolism];*Receptors, Glutamate/de Drug Effects];*Receptors, Glutamate/me Metabolism];Reward;Synaptic Transmission/de Drug Effects];0 (Receptors, GABA);0 (Receptors, Glutamate);VTD58H1Z2X (Dopamine)</t>
  </si>
  <si>
    <t>The development of pharmacotherapies for cocaine addiction has been disappointingly slow. However, new neurobiological knowledge of how the brain is changed by chronic pharmacological insult with cocaine is revealing novel targets for drug development. Certain drugs currently being tested in clinical trials tap into the underlying cocaine-induced neuroplasticity, including drugs promoting GABA or inhibiting glutamate transmission. Armed with rationales derived from a neurobiological perspective that cocaine addiction is a pharmacologically induced disease of neuroplasticity in brain circuits mediating normal reward learning, one can expect novel pharmacotherapies to emerge that directly target the biological pathology of addiction. References: 55]</t>
  </si>
  <si>
    <t>J2: Am J Addict; Kalivas, Peter W DA03906 (United States NIDA NIH HHS) DA05369 (United States NIDA NIH HHS) DA12513 (United States NIDA NIH HHS); ID: 386</t>
  </si>
  <si>
    <t>Kalivas,Peter W. Department of Neurosciences, Medical University of South Carolina. Charleston, South Carolina 29425, USA. kalivasp@musc.edu</t>
  </si>
  <si>
    <t>http://ovidsp.ovid.com/ovidweb.cgi?T=JS&amp;CSC=Y&amp;NEWS=N&amp;PAGE=fulltext&amp;D=med5&amp;AN=17453607</t>
  </si>
  <si>
    <t>MEDLINE; Ovid Technologies; Neurobiology of cocaine addiction: implications for new pharmacotherapy</t>
  </si>
  <si>
    <t>Kalivas,P. W.;Pierce,R. C.;Cornish,J.;Sorg,B. A.</t>
  </si>
  <si>
    <t>A role for sensitization in craving and relapse in cocaine addiction</t>
  </si>
  <si>
    <t>Behavior/de Drug Effects];*Brain/de Drug Effects];Brain/ph Physiology];*Cocaine/ae Adverse Effects];Cocaine-Related Disorders/pc Prevention &amp; Control];*Cocaine-Related Disorders/px Psychology];*Dopamine Uptake Inhibitors/ae Adverse Effects];Humans;Recurrence;Substance-Related Disorders/pc Prevention &amp; Control];Substance-Related Disorders/px Psychology];Synaptic Transmission/de Drug Effects];0 (Dopamine Uptake Inhibitors);I5Y540LHVR (Cocaine)</t>
  </si>
  <si>
    <t>Sensitization to cocaine refers to the behavioral model of cocaine addiction where the motor stimulant effect of cocaine is augmented for months after discontinuing a regimen of repeated cocaine injections. There has been speculation that the neuroadaptations mediating this sensitization phenomenon may, in part, underlie the behavioral changes produced by chronic cocaine abuse, including paranoia, craving and relapse. Criteria are proposed that may assist in determining which neuroadaptations are most relevant in this regard. Using these criteria, a model is presented that endeavors to incorporate neuroadaptations issuing directly from the pharmacological effects of cocaine and those arising from learned associations the organism makes with the cocaine injection procedure and pharmacological actions. It is proposed that the pharmacological neuroadaptations predominate in the manifestation of cocaine-induced paranoia, while the changes derived from learning may provide more critical underpinnings for cocaine craving and relapse.</t>
  </si>
  <si>
    <t>J2: J Psychopharmacol; Kalivas, P W Pierce, R C Cornish, J Sorg, B A; ID: 592</t>
  </si>
  <si>
    <t>0269-8811</t>
  </si>
  <si>
    <t>Kalivas,P W. Alcohol and Drug Abuse Program, Washington State University, Pullman 99164-6520, USA. pwk@vetmed.wsu.edu</t>
  </si>
  <si>
    <t>http://ovidsp.ovid.com/ovidweb.cgi?T=JS&amp;CSC=Y&amp;NEWS=N&amp;PAGE=fulltext&amp;D=med4&amp;AN=9584968</t>
  </si>
  <si>
    <t>MEDLINE; Ovid Technologies; A role for sensitization in craving and relapse in cocaine addiction</t>
  </si>
  <si>
    <t>Kane,J. M.;Leucht,S.;Carpenter,D.;Docherty,J. P.;Expert Consensus Panel for Optimizing Pharmacologic Treatment,of Psychotic</t>
  </si>
  <si>
    <t>The expert consensus guideline series. Optimizing pharmacologic treatment of psychotic disorders. Introduction: methods, commentary, and summary</t>
  </si>
  <si>
    <t>64 Suppl 12</t>
  </si>
  <si>
    <t>*Antipsychotic Agents/tu Therapeutic Use];Humans;Practice Guidelines as Topic;*Psychotic Disorders/dt Drug Therapy];0 (Antipsychotic Agents)</t>
  </si>
  <si>
    <t>OBJECTIVES: A growing number of atypical antipsychotics are available for clinicians to choose from in the treatment of psychotic disorders. However, a number of important questions concerning medication selection, dosing and dose equivalence, and the management of inadequate response, compliance problems, and relapse have not been adequately addressed by clinical trials. To aid clinical decision-making, a consensus survey of expert opinion on the pharmacologic treatment of psychotic disorders was undertaken to address questions not definitively answered in the research literature. METHOD: Based on a literature review, a written survey was developed with 60 questions and 994 options. Approximately half of the options were scored using a modified version of the RAND 9-point scale for rating the appropriateness of medical decisions. For the other options, the experts were asked to write in answers (e.g., average doses) or check a box to indicate their preferred answer. The survey was sent to 50 national experts on the pharmacologic treatment of psychotic disorders, 47 (94%) of whom completed it. In analyzing the responses to items rated on the 9-point scale, consensus on each option was defined as a non random distribution of scores by chi-square "goodness-of-fit"test. We assigned a categorical rank (first line/preferred choice,second line/alternate choice, third line/usually inappropriate) to each option based on the 95% confidence interval around the mean rating. Guideline tables indicating preferred treatment strategies were then developed for key clinical situations. RESULTS: The expert panel reached consensus on 88% of the options rated on the 9-point scale. The experts overwhelmingly endorsed the atypical antipsychotics for the treatment of psychotic disorders. Risperidone was the top choice for first-episode and multi-episode patients, with the other newer atypicals rated first line or high second line depending on the clinical situation. Clozapine and a long-acting injectable atypical (when available)were other high second line options for multi-episode patients. The expert's dosing recommendations agreed closely with the package inserts for the drugs, and their estimates of dose equivalence among the antipsychotics followed a linear pattern. The experts considered 3-6 weeks an adequate antipsychotic trial, but would wait a little longer (4-10 weeks) before making a major change in treatment regimen if there is a partial response. The experts recommended trying to improve response by increasing the dose of atypical and depot antipsychotics before switching to a different agent; there was less agreement about increasing the dose of conventional antipsychotics before switching, probably because of concern about side effects at higher doses. If it is decided to switch because of inadequate response, risperidone was the expert's first choice to switch to, no matter what drug was initially tried. Although there was some disparity in the expert's recommendations concerning how many agents to try before switching to clozapine, the expert's responses suggest that switching to clozapine should be Clozapine was also the antipsychotic of choice for patients with suicidal behavior. When switching oral antipsychotics,the experts considered cross-titration the preferred strategy. When switching to an injectable antipsychotic, the experts stressed the importance of continuing the oral antipsychotic until therapeutic levels of the injectable agent are achieved. The experts considered psychosocial interventions the first choice strategy for partially compliant patients, with pharmacologic interventions the first choice for patients with clear evidence of noncompliance. However, because it can be difficult to distinguish partially compliant from noncompliant patients, the editors recommended combining psychosocial and pharmacologic interventions to improve compliance whenever possible. When patients relapse because of compliance problems or if there is any doubt about compliance, the experts recommended the use of a long-acting injectable antipsychotic and would select an injectable atypical when this option becomes available. The experts would also consider using an injectable atypical antipsychotic (when available) in many clinical situations that do not involve compliance problems. The experts stressed the importance of monitoring for health problems-especially obesity, diabetes, cardiovascular problems,HIV risk behaviors, medical complications of substance abuse, heavy smoking and its effects, hypertension, and amenorrhea-in patients being treated with antipsychotics. Although many patients are prescribed adjunctive treatments,multiple antipsychotics, and combinations of different classes of drugs (e.g., antipsychotics plus mood stabilizers or antidepressants) in an effort to enhance response, the experts gave little support to any of these strategies, with the exception of antidepressants for patients with dysphoria/depression, antidepressants or ECT for patients with suicidal behavior, and mood stabilizers for patients with aggression/violence. When asked about indicators of remission and recovery, the experts considered acute improvement in psychotic symptoms the most important indicator of remission, whereas they considered more sustained improvement in multiple outcome domains (e.g., occupational/educational functioning, peer relationships,independent living) important in assessing recovery. CONCLUSIONS: The experts reached a high level of consensus on many of the key treatment questions in the survey. Within the limits of expert opinion and with the expectation that future research data will take precedence, these guidelines provide direction for addressing common clinical dilemmas that arise in the pharmacologic treatment of psychotic disorders. They can be used to inform clinicians and educate patients regarding the relative merits of a variety of interventions. Clinicians should keep in mind that no guidelines can address the complexities involved in the care of each individual patient and that sound clinical judgment based on clinical experience should be used in applying these recommendations.</t>
  </si>
  <si>
    <t>J2: J Clin Psychiatry; Kane, John M Leucht, Stefan Carpenter, Daniel Docherty, John P Expert Consensus Panel for Optimizing Pharmacologic Treatment of Psychotic Disorders; ID: 496</t>
  </si>
  <si>
    <t>http://ovidsp.ovid.com/ovidweb.cgi?T=JS&amp;CSC=Y&amp;NEWS=N&amp;PAGE=fulltext&amp;D=med4&amp;AN=14640142</t>
  </si>
  <si>
    <t>MEDLINE; Ovid Technologies; The expert consensus guideline series. Optimizing pharmacologic treatment of psychotic disorders. Introduction: methods, commentary, and summary</t>
  </si>
  <si>
    <t>Kane,Michael P.</t>
  </si>
  <si>
    <t>Solving Drug-Related Problems in the Professional Experience Program</t>
  </si>
  <si>
    <t>Allied Health Occupations Education;Classroom Techniques;Comparative Analysis;Higher Education;Instructional Material Evaluation;Professional Education;(Major): Clinical Experience;Pharmaceutical Education;Pharmacology;Problem Solving;Time Factors (Learning);Identifier: Albany College of Pharmacy NY;Pharmacists Workup of Drug Therapy</t>
  </si>
  <si>
    <t>A study investigated the effectiveness of using the Pharmacist's Work-up of Drug Therapy (PWDT) in teaching 91 pharmacy students in a clinical clerkship program to identify and solve drug-related problems. Because the instructional technique was recently implemented, the study looked at effects of 3 different quantities of training (0, 1, and 3 semesters). (Author/MSE)</t>
  </si>
  <si>
    <t>FirstSearch indicates your institution subscribes to this publication. Libraries worldwide that own item: 1082 University of Michigan Library INDEPENDENT U-M LIBRARIES Search the Mirlyn catalog at the University of MichiganLocal Holdings Information: 1998-Local Holdings Information: 1-66,68-70,72-76; 1937-2012; 1994- Article (EJ); ID: 2082</t>
  </si>
  <si>
    <t>EJ477835</t>
  </si>
  <si>
    <t>ERIC; OCLC; Solving Drug-Related Problems in the Professional Experience Program</t>
  </si>
  <si>
    <t>Kantak,K. M.;Nic Dhonnchadha,B. A.</t>
  </si>
  <si>
    <t>NIHMS254751 PMC3064474; Pharmacological enhancement of drug cue extinction learning: translational challenges</t>
  </si>
  <si>
    <t>Annals of the New York Academy of Sciences</t>
  </si>
  <si>
    <t>Ann.N.Y.Acad.Sci.</t>
  </si>
  <si>
    <t>Cognitive Therapy;Cycloserine/pd Pharmacology];*Extinction, Psychological/de Drug Effects];Humans;Psychomotor Performance/de Drug Effects];Substance-Related Disorders/px Psychology];*Substance-Related Disorders/th Therapy];Translational Medical Research;95IK5KI84Z (Cycloserine)</t>
  </si>
  <si>
    <t>Augmentation of cue exposure (extinction) therapy with cognitive-enhancing pharmacotherapy may constitute a rational strategy for the clinical management of drug relapse. While certain success has been reported for this form of therapy in anxiety disorders, in this paper we highlight several obstacles that may undermine the efficacy of exposure therapy for substance use disorders. We also review translational studies that have evaluated the facilitative effects of the cognitive enhancer D-cycloserine on extinction targeting drug-related cues. Finally, important considerations for the design and implementation of future studies evaluating exposure therapy combined with pharmacotherapy for substance use disorders are discussed.Copyright ‚î¨‚åê 2011 New York Academy of Sciences.</t>
  </si>
  <si>
    <t>J2: Ann N Y Acad Sci; Kantak, K M Nic Dhonnchadha, B A DA024315 (United States NIDA NIH HHS) R01 DA024315 (United States NIDA NIH HHS) R01 DA024315-01 (United States NIDA NIH HHS) R01 DA024315-02 (United States NIDA NIH HHS) R01 DA024315-02S1 (United States NIDA NIH HHS) R01 DA024315-03 (United States NIDA NIH HHS) R01 DA024315-04 (United States NIDA NIH HHS) R01 DA024315-05 (United States NIDA NIH HHS); ID: 259</t>
  </si>
  <si>
    <t>1749-6632</t>
  </si>
  <si>
    <t>Kantak,K M. Laboratory of Behavioral Neuroscience, Department of Psychology, Boston University, Boston, Massachusetts 02215, USA. kkantak@bu.edu</t>
  </si>
  <si>
    <t>http://ovidsp.ovid.com/ovidweb.cgi?T=JS&amp;CSC=Y&amp;NEWS=N&amp;PAGE=fulltext&amp;D=med5&amp;AN=21272016</t>
  </si>
  <si>
    <t>http://dx.doi.org/10.1111/j.1749-6632.2010.05899.x</t>
  </si>
  <si>
    <t>MEDLINE; Ovid Technologies; Pharmacological enhancement of drug cue extinction learning: translational challenges</t>
  </si>
  <si>
    <t>Kaper,R.;Schmider,J.;Bradway,R.;Floyd,E.;Author,Addresses;Cephalon Inc,Frazer United;States;Correspondence,Address;Kaper, Cephalon Inc Frazer United States,R.</t>
  </si>
  <si>
    <t>A Risk Evaluation and Mitigation Strategy (REMS) to manage the risks of overdose, abuse, addiction, and diversion with rapid-onset opioids</t>
  </si>
  <si>
    <t>Journal of Pain</t>
  </si>
  <si>
    <t>S23</t>
  </si>
  <si>
    <t>fentanyl;fentanyl citrate;opiate;abuse;addiction;intoxication;pain;risk;society;drug therapy;food and drug administration;model;patient;patient safety;pharmacist;pharmacy;prescription;tablet;writing</t>
  </si>
  <si>
    <t>A Risk Evaluation and Mitigation Strategy (REMS), formalized in the Food and Drug Administration Amendments Act (FDAAA) in 2007, is a regulatory strategy to manage a known or potential serious risk. This presentation describes a REMS model developed for the rapid-onset opioids fentanyl buccal tablet (FBT) and oral transmucosal fentanyl citrate (OTFC). In response to requirements delineated by FDA, the model includes elements to assure safe use, a medication guide, an implementation system, and a timetable for assessment. The model is aimed at safeguarding patient safety, specifically at avoiding use of FBT and OTFC in opioid non-tolerant patients and at mitigating the risk of abuse, misuse, and diversion, while maintaining access for appropriate patients. The model enrolls wholesalers/distributors, prescribers, pharmacies, and patients into a single system. To enroll, prescribers and pharmacists first complete a mandatory educational module. Enrolled prescribers select and counsel appropriate patients before writing a prescription for FBT or OTFC. At the pharmacy level, controls built in to the system verify enrollment of the prescriber before a prescription for FBT or OTFC is dispensed. In addition, patients are counseled by the pharmacist on the risks and appropriate use of FBT or OTFC. In summary, the REMS model has been designed in partnership with the FDA to ensure wholesalers/distributors, prescribers, pharmacists, and patients are aware of and understand the risks and appropriate use of FBT and OTFC. The effectiveness of the model will be assessed according to an agreed schedule.</t>
  </si>
  <si>
    <t>(Kaper R.; Schmider J.; Bradway R.; Floyd E.) 29th Annual Scientific Meeting of the American Pain Society, APS Baltimore, MD, United States 2010-05-06 to 2010-05-08 Churchill Livingstone Inc.; ID: 1377</t>
  </si>
  <si>
    <t>1526-5900</t>
  </si>
  <si>
    <t>Kaplan,B.;Shimp,L. A.;Mason,N. A.;Ascione,F. J.</t>
  </si>
  <si>
    <t>Chronic hemodialysis patients. Part II: Reducing drug-related problems through application of the focused drug therapy review program</t>
  </si>
  <si>
    <t>Adolescent;Adult;Aged;Drug Prescriptions;*Drug-Related Side Effects and Adverse Reactions;Female;Hospitals, University;Humans;Interprofessional Relations;*Kidney Failure, Chronic/th Therapy];Male;Middle Aged;Monitoring, Physiologic;Patient Care Planning;Pharmacists;*Pharmacy Service, Hospital;Problem Solving;*Renal Dialysis</t>
  </si>
  <si>
    <t>OBJECTIVE: To test the value and measure the impact of a model of pharmacy practice called the Focused Drug Therapy Review Program (FDTRP) in patients with endstage renal disease on hemodialysis. DESIGN: A modified version of FDTRP, adapted for a hemodialysis population, was assessed for its impact on prescriber behavior. The impact was measured by examining the percentage of pharmacist therapeutic recommendations accepted and implemented by the prescriber. SETTING: Thirty patients at a university hospital-based outpatient hemodialysis unit participated in the study. Twenty-four patients completed the study through the implementation evaluation. RESULTS: The pharmacist generated 114 therapeutic recommendations and 85 informative comments regarding drug therapy. The prescriber accepted 76 percent and implemented 70 percent of the therapeutic recommendations. The prescriber considered the informative comments to be helpful, even if the information was known previously. CONCLUSIONS: The FDTRP has been shown to be useful in the care of chronic hemodialysis patients. In addition, the pharmacist was able to provide clinically important recommendations in a closely monitored patient population.</t>
  </si>
  <si>
    <t>J2: Ann Pharmacother; Kaplan, B Shimp, L A Mason, N A Ascione, F J; ID: 638</t>
  </si>
  <si>
    <t>Kaplan,B. College of Pharmacy, University of Michigan, Ann Arbor.</t>
  </si>
  <si>
    <t>http://ovidsp.ovid.com/ovidweb.cgi?T=JS&amp;CSC=Y&amp;NEWS=N&amp;PAGE=fulltext&amp;D=med3&amp;AN=8193417</t>
  </si>
  <si>
    <t>MEDLINE; Ovid Technologies; Chronic hemodialysis patients. Part II: Reducing drug-related problems through application of the focused drug therapy review program</t>
  </si>
  <si>
    <t>Kaplan,G. B.;Heinrichs,S. C.;Carey,R. J.</t>
  </si>
  <si>
    <t>Treatment of addiction and anxiety using extinction approaches: neural mechanisms and their treatment implications</t>
  </si>
  <si>
    <t>Pharmacology, Biochemistry &amp; Behavior</t>
  </si>
  <si>
    <t>Animals;Anxiety/px Psychology];*Anxiety/th Therapy];Conditioning, Classical;Fear;Humans;Motivation;Substance-Related Disorders/px Psychology];*Substance-Related Disorders/th Therapy]</t>
  </si>
  <si>
    <t>Clinical interventions which produce cue and contextual extinction learning can reduce craving and relapse in substance abuse and inhibit conditioned fear responses in anxiety disorders. In both types of disorders, classical conditioning links unconditioned drug or fear responses to associated contextual cues and result in enduring pathological responses to multiple stimuli. Extinction therapy countermeasures seek to reduce conditioned responses using a set of techniques in which patients are repeatedly exposed to conditioned appetitive or aversive stimuli using imaginal imagery, in vivo exposure, or written scripts. Such interventions allow patients to rehearse more adaptive responses to conditioned stimuli. The ultimate goal of these interventions, extinction of the original conditioned response, is a new learning process that results in a decrease in frequency or intensity of conditioned responses to drug or fear cues. This review explores extinction approaches in conditioned drug reward and fear responses. The behavioral, neuroanatomical and neurochemical mechanisms of conditioned reward and fear responses and their extinction are derived from our understanding of the animal literature. Extensive neuroscience research shows that even though many mechanisms differ in conditioned fear and reward, converging prefrontal cortical glutamatergic pathways underlie extinction learning. Efficacy of pharmacological and behavioral treatment approaches in addiction and anxiety disorders may be optimized by enhancing extinction and weakening the bond between the original conditioned stimuli and conditioned responses. Adjunctive pharmacotherapy approaches using agents which alter glutamate or gamma-aminobutyric acid signaling or epigenetic mechanisms in prefrontal cortical pathways can enhance extinction learning. A comparative study of extinction processes and its neural mechanisms can be translated into more effective behavioral and pharmacological treatment approaches in substance abuse and anxiety.Copyright Published by Elsevier Inc.</t>
  </si>
  <si>
    <t>J2: Pharmacol Biochem Behav; Kaplan, Gary B Heinrichs, Stephen C Carey, Robert J; ID: 270</t>
  </si>
  <si>
    <t>1873-5177</t>
  </si>
  <si>
    <t>Kaplan,Gary B. VA Boston Healthcare System, Mental Health and Research Services, Boston, MA 02130, USA. gary.kaplan@va.gov</t>
  </si>
  <si>
    <t>http://ovidsp.ovid.com/ovidweb.cgi?T=JS&amp;CSC=Y&amp;NEWS=N&amp;PAGE=fulltext&amp;D=med5&amp;AN=20723558</t>
  </si>
  <si>
    <t>http://dx.doi.org/10.1016/j.pbb.2010.08.004</t>
  </si>
  <si>
    <t>MEDLINE; Ovid Technologies; Treatment of addiction and anxiety using extinction approaches: neural mechanisms and their treatment implications</t>
  </si>
  <si>
    <t>Karami,M.;Zarrindast,M. R.;Author,Addresses;Department of Biology, Faculty,of Basic;Sciences,Shahed University Tehran Iran;Basic Sciences,Research Center;University,Tehran Iran;Department of Pharmacology, School of,Medicine Tehran;University of,Medical Sciences;Correspondence,Address;Karami, Department of Biology Faculty of Basic Sciences Shahed,M.;University,Tehran Iran Email karami shahed ac ir</t>
  </si>
  <si>
    <t>Place aversion by morphine in offspring born of female morphine administered wistar rats</t>
  </si>
  <si>
    <t>(MAJOR FOCUS);morphine (drug toxicity);opiate;aversion therapy;opiate addiction;prenatal exposure;sex difference;animal experiment;animal model;article;behavior therapy;body weight;conditioning;controlled study;female;gestational age;locomotion;male;maternal behavior;nonhuman;rat;morphine (52-26-6, 57-27-2);opiate (53663-61-9, 8002-76-4, 8008-60-4);Obstetrics and Gynecology (10);Drug Dependence, Alcohol Abuse and Alcoholism (40);Toxicology (52)</t>
  </si>
  <si>
    <t>This research was designed to study sexual differences in place conditioning induced by morphine in offspring born of female Wistar rats mated with drug-na‚îú¬ªve males. Mothers were exposed to morphine during the 14(th)-16(th) days of gestational. Control dams were simply saline-injected. Female and male virgin offspring born of morphine-treated or saline-treated mothers were separately housed until become fully matured. A 3-day schedule of an unbiased conditioning procedure was used to the induce conditioning to morphine (2.5-7.5 mg/Kg, SC) in the offspring. According to the results, female offspring born of saline-administered mothers were morphine place-conditioned at lower doses of opioid (2.5 mg/Kg) in comparison to the males. An increase in locomotor activity in the females at 7.5 mg/Kg of opioid was also revealed. In contrast, administration of morphine (2.5-7.5 mg/Kg, SC), induced a significant aversion in either sexes of offspring born of morphine-exposed mothers. Moreover, female offspring of this category acquired more pronounced aversion at higher doses of morphine than males. In addition, a significant morphine-dose effect (7.5 mg/Kg, SC) on locomotor activity of these females' offspring was observed. This study may highlight sex differences in conditioning effects induced by morphine between offspring derived of morphine-treated mothers and those of saline-treated. ‚î¨‚åê 2011 by School of Pharmacy.</t>
  </si>
  <si>
    <t>(Karami M., karami@shahed.ac.ir) (Zarrindast M.R.) Iranian Journal of Pharmaceutical Research, P.O. Box 14155-6153, Vali-e-Asr Avenue, Niayesh Junction, Tehran, Iran.; ID: 1245</t>
  </si>
  <si>
    <t>Karapinar-Carkit,F.;Borgsteede,S. D.;Zoer,J.;Smit,H. J.;Egberts,A. C.;van,den Bemt</t>
  </si>
  <si>
    <t>Effect of medication reconciliation with and without patient counseling on the number of pharmaceutical interventions among patients discharged from the hospital</t>
  </si>
  <si>
    <t>Aged;Aged, 80 and over;*Directive Counseling;*Drug-Related Side Effects and Adverse Reactions;Female;Hospitals, Teaching;Humans;Male;*Medical History Taking/mt Methods];*Medication Errors/pc Prevention &amp; Control];Middle Aged;Netherlands;Patient Discharge/st Standards];Pharmacists/og Organization &amp; Administration];Prospective Studies;Quality of Health Care</t>
  </si>
  <si>
    <t>BACKGROUND: Hospital admissions are a risk factor for the occurrence of unintended medication discrepancies between drugs used before admission and after discharge. To diminish such discrepancies and improve quality of care, medication reconciliation has been developed. The exact contribution of patient counseling to the medication reconciliation process is unknown, especially not when compared with community pharmacy medication records, which are considered reliable in the Netherlands. OBJECTIVE: To examine the effect of medication reconciliation with and without patient counseling among patients at the time of hospital discharge on the number and type of interventions aimed at preventing drug-related problems. METHODS: A prospective observational study in a general teaching hospital was performed. Patients discharged from the pulmonology department were included. A pharmacy team assessed the interventions with and without patient counseling on discharge medications for each patient. RESULTS: Two hundred sixty-two patients were included. Medication reconciliation without patient counseling was responsible for at least one intervention in 87% of patients (mean 2.7 interventions/patient). After patient counseling, at least one intervention (mean 5.3 interventions/patient) was performed in 97% of patients. After patient counseling, discharge prescriptions were frequently adjusted due to discrepancies in use or need of drug therapy. Most interventions led to the start of medication due to omission and dose changes due to incorrect dosages being prescribed. Patients also addressed their problems/concerns with use of the drug, which were discussed before discharge. CONCLUSIONS: Significantly more interventions were identified after patient counseling. Therefore, patient information is essential in medication reconciliation.</t>
  </si>
  <si>
    <t>J2: Ann Pharmacother; Karapinar-Carkit, Fatma Borgsteede, Sander D Zoer, Jan Smit, Henk J Egberts, Antoine C G van den Bemt, Patricia M L A; ID: 332</t>
  </si>
  <si>
    <t>Karapinar-Carkit,Fatma. Department of Hospital Pharmacy, Sint Lucas Andreas Hospital, Amsterdam, Netherlands.</t>
  </si>
  <si>
    <t>http://ovidsp.ovid.com/ovidweb.cgi?T=JS&amp;CSC=Y&amp;NEWS=N&amp;PAGE=fulltext&amp;D=med5&amp;AN=19491320</t>
  </si>
  <si>
    <t>http://dx.doi.org/10.1345/aph.1L597</t>
  </si>
  <si>
    <t>MEDLINE; Ovid Technologies; Effect of medication reconciliation with and without patient counseling on the number of pharmaceutical interventions among patients discharged from the hospital</t>
  </si>
  <si>
    <t>Karimi,S.;Karami,M.;Zardooz,H.;Salimi,S. H.;Sahraei,H.;Author,Addresses;Department of Biology, Faculty of,Sciences Shahed;University,Tehran Iran;Department of Physiology, School of Medicine,Shahid Beheshti;University of,Medical Sciences;Department of Psychology, School of,Medicine Baqiyatallah;Iran,University of Medical Sciences Tehran;Neuroscience,Research Center;University of,Medical Sciences;Correspondence,Address;Sahraei, Department of Biology Faculty of Sciences Shahed University,H.;Tehran,Iran Email h sahrei bmsu ac ir</t>
  </si>
  <si>
    <t>Biphasic effects of naloxone in the rats receiving morphine overdose a place preference study</t>
  </si>
  <si>
    <t>(MAJOR FOCUS);morphine;naloxone (pharmacology);place preference;animal behavior;animal experiment;article;aversive behavior;conditioning;controlled study;drug seeking behavior;locomotion;male;nonhuman;provocation test;rat;rearing;reward;sniffing;television camera;DRUG MANUFACTURERS;(United States)Sigma;morphine (52-26-6, 57-27-2);naloxone (357-08-4, 465-65-6);Neurology and Neurosurgery (8);Clinical and Experimental Pharmacology (30);Drug Literature Index (37)</t>
  </si>
  <si>
    <t>Downward phase of dose-response morphine converted U shape curve was chosen as a base for investigating the effects of different doses of naloxone (0.05-0.4 mg/Kg) on morphine reward/aversion properties using place preference method. First, male Wistar rats (200-220 g) were received morphine (1-7.5 mg/Kg) for place conditioning and marginal dose of morphine (5 mg/Kg) calculated by GraphPad software. In the next part, the animals received different naloxone challenge doses (0.05-0.4 mg/Kg; IP) on the test day. Animals' behavior was monitored using a video camera during the test session. Time spent in each compartment was calculated as the main sign of drug seeking behavior. In addition, numbers of rearing and sniffing as well as locomotion activity for each animal were counted as important dopamine-dependent behavioral signs. More over, the total compartment crossing by each animal as the sign of decision making was also counted. Our results indicated that naloxone showed biphasic effects on the appearance of morphine-induced place preference. The antagonist potentiates the expression of morphine-induced place preference on the dose of 0.05 and 0.4 mg/Kg while inhibits the morphine effect on the dose of 0.1 mg/Kg. On the other hand, the total animal sniffing, rearing, locomotion, and compartment entering were not significantly changed among the groups. It could be concluded that the inhibition of opioid receptors may enhance or inhibit the expression of morphine reward according to the naloxone dose, which in turn indicate the influence of several opioid receptor in this regard. In addition, opioid receptor blocking did not enhance the signs of drug seeking behavior linked to the activity of mesolimbic dopamine system. ‚î¨‚åê 2011 by School of Pharmacy.</t>
  </si>
  <si>
    <t>(Karimi S.; Karami M.) (Zardooz H.) (Salimi S.H.) (A.S.) (Sahraei H., h.sahrei@bmsu.ac.ir) Iranian Journal of Pharmaceutical Research, P.O. Box 14155-6153, Vali-e-Asr Avenue, Niayesh Junction, Tehran, Iran.; ID: 1246</t>
  </si>
  <si>
    <t>Karnik,K. A.;Boynton,P. R.;Fincham,J. E.;Author,Addresses;Sch,Pharmacy Allied;Profession,Creighton University California Plaza Omaha N.E.;United,States;Correspondence,Address;KA Karnik, Sch Pharmacy Allied Hlth Profession,Creighton University;California Plaza,Omaha,N.E.United States</t>
  </si>
  <si>
    <t>Geriatric assessment team case studies: An elderly patient requiring extensive care and scrutiny to avoid drug misadventuring</t>
  </si>
  <si>
    <t>non prescription drug;drug misuse (etiology, prevention);aged;article;caregiver;case report;drug use;female;geriatrics;health education;human;memory;mental function;pharmacist;Public Health, Social Medicine and Epidemiology (17);Gerontology and Geriatrics (20);Clinical and Experimental Pharmacology (30)</t>
  </si>
  <si>
    <t>This case history of a 76 year old female with severely deteriorated mental and functional status is indicative of the important role the clinical pharmacist can play in Geriatric Assessment Teams (GATs). In this case, the patient was not taking any prescription medications, however, over-the-counter (OTC) drug consumption was problematic and often not recalled by the patient. Proper supervision and administration of medication was identified as a necessary function needed to be performed by someone other than the patient. A plan for the administration of necessary OTC drugs by caregivers was implemented. The role of the clinical pharmacist focused on the education of the caregivers about the potential misuse of OTC medication and the need to implement a mechanism for drug administration to proactively avoid current and future drug related problems.</t>
  </si>
  <si>
    <t>(Karnik K.A.; Boynton P.R.; Fincham J.E.); ID: 1699</t>
  </si>
  <si>
    <t>Kasashi,K.;Author,Addresses;Department,of Pharmacy;University Hospital,Kita-Nishi-Kita-ku,Sapporo Japan;Correspondence,Address;Kasashi, Department of Pharmacy Hokkaido University Hospital Kita,K.;Nishi,Kita-ku Sapporo Japan Email kasashi den hokudai ac jp</t>
  </si>
  <si>
    <t>Specialist pharmacist training from the viewpoint of sports pharmacology</t>
  </si>
  <si>
    <t>Yakugaku Zasshi</t>
  </si>
  <si>
    <t>illicit drug;doping;pharmacist;sports medicine;sports pharmacology;athlete;clinical pharmacology;drug metabolism;education program;human;medical practice;medical staff;review;sports science;staff training;Public Health, Social Medicine and Epidemiology (17);Clinical and Experimental Pharmacology (30);Forensic Science Abstracts (49)</t>
  </si>
  <si>
    <t>When athletes consult sports outpatient or orthopedic clinics it is possible to undergo drug treatment with the medical staff having prior knowledge of that patient being an athlete. However, if athletes seek any other diagnosis and treatment as an ordinary patient, the possibility of medical staff realizing the potential for imposing a doping issue on the athlete is extremely low. As a result, if the athlete fails to provide medical staff with information regarding anti-doping regulations when receiving clinical treatment, drug treatment administered as part of medical practices could be viewed as doping, resulting in the athlete being disciplined. In order to avoid this, pharmacist should participate in training in order to be able to provide information for anti-doping purposes. It is my personal opinion that knowledge regarding antidoping is something that should be shared by all pharmacists, as pharmacists are educated in the fields of pharmacology and pharmacokinetics during the pharmacy education process, and sports pharmacology is a part of this. However, in order for pharmacists to understand sports pharmacology, it is necessary to provide education not only on the benefits and adverse effects of pharmaceutical products, but also on the concept of banned substances. It can be considered one of the pharmacist's duties to protect athletes who purchase drugs at a pharmacy or consult medical institutions as patients. With this, I would like to propose considering the potential for introducing sports pharmacology to pharmaceutical education, and specialist pharmacist training in the sports spectrum. ‚î¨‚åê 2012 The Pharmaceutical Society of Japan.</t>
  </si>
  <si>
    <t>(Kasashi K., kasashi@den.hokudai.ac.jp) Pharmaceutical Society of Japan, 2-12-15-201, Shibuya, Shibuya-ku, Tokyo, Japan.; ID: 1090</t>
  </si>
  <si>
    <t>0031-6903 1347-5231 (electronic)</t>
  </si>
  <si>
    <t>2012728177 FULL TEXT LINK http://dx.doi.org/10.1248/yakushi.12-00230-1</t>
  </si>
  <si>
    <t>Kassam,R.;Farris,K. B.;Burback,L.;Volume,C. I.;Cox,C. E.;Cave,A.</t>
  </si>
  <si>
    <t>Pharmaceutical care research and education project: pharmacists' interventions</t>
  </si>
  <si>
    <t>Aged;Aged, 80 and over;*Community Pharmacy Services;Female;Follow-Up Studies;Humans;Male;Middle Aged;*Pharmacists;Referral and Consultation</t>
  </si>
  <si>
    <t>OBJECTIVES: To describe the processes of care used by community pharmacists participating in the Pharmaceutical Care Research and Education Project (PREP) in terms of drug-related problems (DRPs), pharmacists' recommendations, and status of DRPs at follow-up, and to determine characteristics associated with DRPs. DESIGN: Descriptive analysis of the treatment group from a larger randomized, controlled cluster design. SETTING: Five independent community pharmacies in Alberta. PARTICIPANTS: One hundred fifty-nine patients who were covered under Alberta Health and Wellness's senior drug benefit plan (i.e., 65 years or older), were taking three or more medications concurrently according to pharmacy records, were able to complete telephone interviews as determined by pharmacists, maintained residence in Alberta for 12 of the 15 study months, agreed to receive their prescription medications only from the study pharmacy during the study period, and provided informed consent. MAIN OUTCOME MEASURES: Frequency of DRPs, recommendations, status of DRPs, and analysis of clinical results as determined during pharmacists' follow-up care. RESULTS: In telephone surveys, patients reported taking 4.7 prescription medications per day, but pharmacists documented 8.7 prescription medications per day in their records. Pharmacists documented 559 DRPs, a mean (+/- SD) of 3.9+/-3.2 problems per patient. Approximately 39% of problems were actual DRPs, while 60% were potential DRPs. Medical conditions associated most frequently with a DRP involved the respiratory, cardiovascular, and musculoskeletal systems. The most common DRP categories were "patient requires drug therapy" or "patient requires influenza or pneumococcal vaccination." Pharmacists wrote 551 initial clinical notes using the subjective, objective, assessment, plan (SOAP) format, and they recorded 346 follow-up interventions, also using SOAP notes. Counseling, preventive consultations, and clinical monitoring represented 40% of their recommendations. In 80% of situations, the pharmacist made the recommendation directly to the patient. On follow-up, 40% of the 559 DRPs identified were resolved, controlled, or improved. Patients accepted 76% of pharmacists' recommendations, and physicians accepted 72% of pharmacists' suggested resolutions of DRPs. Pharmacists were more likely to follow up about actual DRPs, as compared with potential ones; overall, they followed up on 62% of identified DRPs. CONCLUSION: Pharmacists identified more DRPs for study patients than previous community-based, observational studies have reported. Undertreatment appears to be a prevalent DRP. Community pharmacists' recommendations to prevent and resolve DRPs were made primarily to patients and were well accepted. More follow-up was needed for all DRPs. When follow-up occurred, the DRP results generally showed improvement.</t>
  </si>
  <si>
    <t>J2: J Am Pharm Assoc (Wash); Kassam, R Farris, K B Burback, L Volume, C I Cox, C E Cave, A; ID: 540</t>
  </si>
  <si>
    <t>Kassam,R. Structured Pharmacy Education Program, Faculty of Pharmaceutical Sciences, University of British Columbia, Vancouver, Canada.</t>
  </si>
  <si>
    <t>http://ovidsp.ovid.com/ovidweb.cgi?T=JS&amp;CSC=Y&amp;NEWS=N&amp;PAGE=fulltext&amp;D=med4&amp;AN=11372905</t>
  </si>
  <si>
    <t>MEDLINE; Ovid Technologies; Pharmaceutical care research and education project: pharmacists' interventions</t>
  </si>
  <si>
    <t>Kassam,R.;Farris,K. B.;Cox,C. E.;Volume,C. I.;Cave,A.;Schopflocher,D. P.;Tessier,G.</t>
  </si>
  <si>
    <t>Tools used to help community pharmacists implement comprehensive pharmaceutical care</t>
  </si>
  <si>
    <t>Aged;Alberta;Algorithms;*Community Pharmacy Services/og Organization &amp; Administration];*Education, Pharmacy, Continuing;Female;Geriatrics;Health Knowledge, Attitudes, Practice;Humans;Medical Records</t>
  </si>
  <si>
    <t>OBJECTIVE: To describe the tools and processes used in the practice enhancement program (PEP) of the Pharmaceutical Care Research and Education Project to enable community pharmacists to acquire the necessary skills, knowledge, and attitudes to deliver comprehensive pharmaceutical care to elderly ambulatory patients. SETTING: Independent community pharmacies in Alberta. PRACTICE DESCRIPTION: The PEP was designed to allow self-directed learning in a problem-based environment. The intent was for pharmacists to apply the knowledge they gained to improve drug therapy outcomes. PRACTICE INNOVATION: As a systematic approach to providing care, several tools were adapted to help pharmacists execute tasks required by the nine steps of the pharmaceutical care process proposed by Helper and Strand. These tools and processes facilitated (1) self-directed learning about diseases and drugs, (2) acquisition of relevant patient data, (3) a consistent and stepwise approach to the identification and resolution of drug-related problems, (4) documentation of care provided, and (5) continuity of care. RESULTS: To help pharmacists in the PEP acquire the necessary competency to provide pharmaceutical care, they were required to use the tools and processes described herein to work up and resolve patient problems. Initially, patient problems were presented as paper cases covering a range of acute and chronic problems, including topics applicable to geriatric patients. This was followed by a practicum phase wherein patient problems represented individuals from among their clientele. CONCLUSION: The tools and processes used in the project increased community pharmacists' competency for providing pharmaceutical care, by helping them develop the needed skills, knowledge, and attitudes.</t>
  </si>
  <si>
    <t>J2: J Am Pharm Assoc (Wash); Kassam, R Farris, K B Cox, C E Volume, C I Cave, A Schopflocher, D P Tessier, G; ID: 560</t>
  </si>
  <si>
    <t>Kassam,R. Faculty of Pharmaceutical Sciences, University of British Columbia, Vancouver. rokassam@unixg.ubc.ca</t>
  </si>
  <si>
    <t>http://ovidsp.ovid.com/ovidweb.cgi?T=JS&amp;CSC=Y&amp;NEWS=N&amp;PAGE=fulltext&amp;D=med4&amp;AN=10609451</t>
  </si>
  <si>
    <t>MEDLINE; Ovid Technologies; Tools used to help community pharmacists implement comprehensive pharmaceutical care</t>
  </si>
  <si>
    <t>Kassam,R.;Kwong,M.;Collins,J. B.</t>
  </si>
  <si>
    <t>Promoting direct patient care services at community pharmacies through advanced pharmacy practice experiences</t>
  </si>
  <si>
    <t>Clinical Competence;*Community Pharmacy Services;*Education, Pharmacy;Female;Humans;Male;Middle Aged;*Patient Care;Program Development</t>
  </si>
  <si>
    <t>OBJECTIVES: To determine the relative benefits of three different models of advanced pharmacy practice experience (APPE) in successfully integrating the delivery of direct patient care into students' final year community pharmacy clerkships. METHODS: All fourth-year pharmacy students at the University of British Columbia were divided into one of three study arms for their community APPE: a 2x4-week rotation in a traditional format, a 1x8-week rotation where their preceptors had experienced a 2-day education course and a 1x8-week rotation with both preceptor education plus a 5-day pre-APPE in-store orientation and peer debriefing. KEY FINDINGS: All 123 students conducted patient consultations and documented their care. Students in the pre-APPE+preceptor education arm provided nearly double the number of direct patient consultations than did students in the preceptor-education-only arm or the traditional 2x4-week arm. Numbers of drug-related problems identified and interventions performed per patient consult did not differ across study arms. CONCLUSIONS: Pre-APPE orientation activities provided an enhanced learning environment, promoted greater student engagement, provided care to more patients, increased preceptor preparedness and enhanced in-store patient-centred care practice. Certain of these learning activities can also form part of third- and fourth-year introductory pharmacy practice experiences to prepare students for their final-year APPE.Copyright ‚î¨‚åê 2013 Royal Pharmaceutical Society.</t>
  </si>
  <si>
    <t>J2: Int J Pharm Pract; Kassam, Rosemin Kwong, Mona Collins, John B; ID: 70</t>
  </si>
  <si>
    <t>Kassam,Rosemin. Structured Practice Education Program, Faculty of Pharmaceutical Sciences, University of British Columbia, Vancouver, BC, Canada.</t>
  </si>
  <si>
    <t>http://ovidsp.ovid.com/ovidweb.cgi?T=JS&amp;CSC=Y&amp;NEWS=N&amp;PAGE=fulltext&amp;D=medl&amp;AN=23419050</t>
  </si>
  <si>
    <t>http://dx.doi.org/10.1111/ijpp.12016</t>
  </si>
  <si>
    <t>MEDLINE; Ovid Technologies; Promoting direct patient care services at community pharmacies through advanced pharmacy practice experiences</t>
  </si>
  <si>
    <t>Katlam,S.;Divya,S.;Ray,I.;Deshmukh,Y. A.;Author,Addresses;Department,of Pharmacology;Medical College, Kamothe Navi,Mumbai India;Correspondence,Address;Medical College Kamothe Navi,S.Katlam, Department of Pharmacology M.G.M.;Mumbai,India</t>
  </si>
  <si>
    <t>Assessment of knowledge, attitude and practice of self medication among medical and engineering students at Mgm institute</t>
  </si>
  <si>
    <t>45 SUPPL. 1</t>
  </si>
  <si>
    <t>S258</t>
  </si>
  <si>
    <t>S259</t>
  </si>
  <si>
    <t>analgesic agent;antibiotic agent;antipyretic agent;antitussive agent;engineering;human;Indian;self medication;society;student;book;common cold;coughing;cross-sectional study;diseases;drug resistance;fever;friend;headache;health hazard;medical student;parent;pharmacist;prescription;prevalence;structured questionnaire;wellbeing</t>
  </si>
  <si>
    <t>Objective: Self medication may results in wastage of resources, drug resistance, dependence, prolonged suffering and serious health hazards. The study was undertaken to determine the pattern and reasons for self medication among medical students as compared to their age matched non-medical professional groups. Materials and Methods: The cross sectional study was conducted among Medical and Engineering students using a pretested semi-structured questionnaire. The data was analyzed and results were expressed as percentages. Results: A total of 126 medical students and 100 engineering students were surveyed. The common ailments for which self medication were used in medical students were fever (89%) , common cold (84%), headache (83%) and in engineering were common cold (73%), headache (71%), Cough (65%). The most common drug class used for self medication were Antipyretic (70%), Analgesic (65%), Antibiotics (57%) among medical students and Antibiotics (34%), Cough suppressants (34%), Analgesics (20%) among engineering students. Medical students consulted their family (73%), Medical books (49%), old prescription (30%) whereas engineering students consulted family (56%) , pharmacists (33%), friends (25%) for self medication. The reasons cited for self medication among medical students were mild illness (76%), know which drug to take (56%), urgency (43%) and mild illness (48%), and time saving (29%), general well being(25%) among engineering students. 54% respondents among medical students and 15% engineering students had knowledge of drugs. Conclusion: The prevalence of self-medication among medical students is higher as compared to engineering students. This is facilitated by the easy availability of drugs, information from textbooks and medical background of their parents.</t>
  </si>
  <si>
    <t>(Katlam S.; Divya S.; Ray I.; Deshmukh Y.A.) 46th Annual Conference of the Indian Pharmacological Society, IPSCON 2013 Bangalore, India 2013-12-16 to 2013-12-18 Medknow Publications and Media Pvt. Ltd; ID: 970</t>
  </si>
  <si>
    <t>Kato,H.;Author,Addresses;School,of Pharmacy;University,Shirokane Minato-ku Tokyo Japan;Correspondence,Address;Kato, School of Pharmacy Kitasato University Shirokane,H.;Minato-ku,Tokyo</t>
  </si>
  <si>
    <t>22129873; Pharmacy student's approach on dope prevention education</t>
  </si>
  <si>
    <t>doping;education;pharmacy student;article;athlete;human;pharmacist;sport;staff;university;Public Health, Social Medicine and Epidemiology (17)</t>
  </si>
  <si>
    <t>Recently, the sports pharmacist system was established and, a great deal of attention has been paid by students. However, the learning opportunity of anti doping education at the university is still rare. There is some experience of dope test staff's chaperon in an anti doping activity as a student. Through the experience of the chaperon, we can learn about a chain of flows of the doping inspection, characteristics of the sports games, and the desire of the player who cannot learn by the seat studies. I will describe the impression of the experience of the chaperon, the meaning, utility, and the view of the future. ‚î¨‚åê 2011 The Pharmaceutical Society of Japan.</t>
  </si>
  <si>
    <t>(Kato H., hi_royuki2002@yahoo.co.jp) Pharmaceutical Society of Japan, 2-12-15-201, Shibuya, Shibuya-ku, Tokyo, Japan.; ID: 1211</t>
  </si>
  <si>
    <t>http://www.ncbi.nlm.nih.gov/pubmed/22129873</t>
  </si>
  <si>
    <t>Pharmacy student's approach on dope prevention education</t>
  </si>
  <si>
    <t>Katz,N.;Sun,S.;Johnson,F.;Stauffer,J.</t>
  </si>
  <si>
    <t>ALO-01 (morphine sulfate and naltrexone hydrochloride) extended-release capsules in the treatment of chronic pain of osteoarthritis of the hip or knee: pharmacokinetics, efficacy, and safety</t>
  </si>
  <si>
    <t>Adult;Aged;Aged, 80 and over;*Analgesics, Opioid/ad Administration &amp; Dosage];Analgesics, Opioid/ae Adverse Effects];Analgesics, Opioid/pk Pharmacokinetics];Chronic Disease/dt Drug Therapy];Cross-Over Studies;Double-Blind Method;Drug Combinations;Female;Humans;Male;Middle Aged;*Morphine/ad Administration &amp; Dosage];Morphine/ae Adverse Effects];Morphine/pk Pharmacokinetics];Morphine Dependence/dt Drug Therapy];Morphine Dependence/pc Prevention &amp; Control];*Naltrexone/ad Administration &amp; Dosage];Naltrexone/ae Adverse Effects];Naltrexone/pk Pharmacokinetics];Narcotic Antagonists/ad Administration &amp; Dosage];Narcotic Antagonists/ae Adverse Effects];Narcotic Antagonists/pk Pharmacokinetics];*Osteoarthritis, Hip/dt Drug Therapy];Osteoarthritis, Hip/pp Physiopathology];*Osteoarthritis, Knee/dt Drug Therapy];Osteoarthritis, Knee/pp Physiopathology];Pain Measurement/de Drug Effects];Street Drugs/pk Pharmacokinetics];Treatment Outcome;0 (Analgesics, Opioid);0 (Drug Combinations);0 (Narcotic Antagonists);0 (Street Drugs);0 (morphine, naltrexone combination);5S6W795CQM (Naltrexone);76I7G6D29C (Morphine)</t>
  </si>
  <si>
    <t>UNLABELLED: ALO-01 (EMBEDA morphine sulfate and naltrexone hydrochloride] extended-release capsules King Pharmaceuticals, Inc, Bridgewater, NJ]), indicated for chronic moderate-to-severe pain, is designed to release naltrexone upon tampering (eg, by crushing), reducing morphine-induced subjective effects. This multicenter, randomized, double-blind, crossover study assessed pharmacokinetics, efficacy, and safety of ALO-01 and compared them with extended-release morphine sulfate (ERMS, KADIAN morphine sulfate extended-release] capsules Actavis US, Morristown, NJ]) in adults (N = 113) with osteoarthritis pain. Study periods included washout until pain flare (intensity &gt; or =5, 0 to 10; 0 = no pain, 10 = worst pain); dose titration with ERMS (20 to 160mg BID); and randomization to 2 (crossover) 14-day treatment periods with ERMS or ALO-01, separated by 7 days of open-label ERMS. Assessments included pharmacokinetics (morphine, naltrexone), pain scores (0 to 10), Western Ontario and McMaster Universities (WOMAC) Osteoarthritis Index; Patient Global Assessment of Medication (1 to 5; poor to excellent). Mean score at pain flare was 7.1. Morphine exposure from both formulations at steady state was similar. Plasma naltrexone concentrations were below limit-of-quantification for most patients and, when present, did not impact pain scores. During treatment, mean pain intensity (day 14: ERMS, 2.4; ALO-01, 2.3, P = .31), WOMAC change-from-baseline (mean pain, physical function, composite scores), and adverse event frequency were similar. ALO-01 and ERMS provided similar relief of osteoarthritis pain. PERSPECTIVE: We present data demonstrating that ALO-01 has steady-state morphine exposure, efficacy, and safety similar to marketed ERMS capsules. Results highlight the potential for morphine in ALO-01 to manage moderate-to-severe osteoarthritis pain, while the sequestered naltrexone does not interfere with efficacy.Copyright 2010 American Pain Society. Published by Elsevier Inc. All rights reserved.</t>
  </si>
  <si>
    <t>J2: J Pain; Katz, Nathaniel Sun, Stephen Johnson, Franklin Stauffer, Joseph; ID: 298</t>
  </si>
  <si>
    <t>1528-8447</t>
  </si>
  <si>
    <t>Katz,Nathaniel. Tufts University School of Medicine, Boston, Massachusetts; Analgesic Research, Needham, MA 02494, USA. nkatz@analgesicresearch.com</t>
  </si>
  <si>
    <t>http://ovidsp.ovid.com/ovidweb.cgi?T=JS&amp;CSC=Y&amp;NEWS=N&amp;PAGE=fulltext&amp;D=med5&amp;AN=19944650</t>
  </si>
  <si>
    <t>http://dx.doi.org/10.1016/j.jpain.2009.07.017</t>
  </si>
  <si>
    <t>MEDLINE; Ovid Technologies; ALO-01 (morphine sulfate and naltrexone hydrochloride) extended-release capsules in the treatment of chronic pain of osteoarthritis of the hip or knee: pharmacokinetics, efficacy, and safety</t>
  </si>
  <si>
    <t>Katzman,J. G.;Comerci,G. D.;Landen,M.;Loring,L.;Jenkusky,S. M.;Arora,S.;Kalishman,S.;Marr,L.;Camarata,C.;Duhigg,D.;Dillow,J.;Koshkin,E.;Taylor,D. E.;Geppert,C. M.;Author,Addresses;Katzman,Joanna G.;Sanjeev Arora, Summers Kalishman Lisa Marr Chris Camarata,Daniel Duhigg;Jennifer Dillow,Eugene Koshkin;Denise,E. T.;University of New Mexico Health,Sciences Center;Landen is with the New Mexico Department of Health, Santa Fe,Larry Loring;is with the New Mexico Board of Pharmacy, Albuquerque Steven,M.Jenkusky is;with the New Mexico,Medical Board;Correspondence,Address;Katzman,J. G.</t>
  </si>
  <si>
    <t>24922121; Rules and values: a coordinated regulatory and educational approach to the public health crises of chronic pain and addiction</t>
  </si>
  <si>
    <t>(MAJOR FOCUS);narcotic analgesic agent (drug therapy);chronic pain (drug therapy);medical education;opiate addiction (prevention);analgesia;article;drug overdose (prevention);human;methodology;prescription;public health;United States</t>
  </si>
  <si>
    <t>Chronic pain and opioid addiction are 2 pressing public health problems, and prescribing clinicians often lack the skills necessary to manage these conditions. Our study sought to address the benefits of a coalition of an academic medical center pain faculty and government agencies in addressing the high unintentional overdose death rates in New Mexico. New Mexico's 2012-2013 mandated chronic pain and addiction education programs studied more than 1000 clinicians. Positive changes were noted in precourse and postcourse surveys of knowledge, self-efficacy, and attitudes. Controlled substance dispensing data from the New Mexico Board of Pharmacy also demonstrated safer prescribing. The total morphine and Valium milligram equivalents dispensed have decreased continually since 2011. There was also a concomitant decline in total drug overdose deaths.</t>
  </si>
  <si>
    <t>(Katzman J.G.) (UNM) (Comerci G.D.; Landen M.; Loring L.; Jenkusky S.M.; Arora S.; Kalishman S.; Marr L.; Camarata C.; Duhigg D.; Dillow J.; Koshkin E.; Taylor D.E.; Geppert C.M.); ID: 924</t>
  </si>
  <si>
    <t>1541-0048 (electronic)</t>
  </si>
  <si>
    <t>http://www.ncbi.nlm.nih.gov/pubmed/24922121</t>
  </si>
  <si>
    <t>Rules and values: a coordinated regulatory and educational approach to the public health crises of chronic pain and addiction</t>
  </si>
  <si>
    <t>Katzman,M. A.;Sternat,T.</t>
  </si>
  <si>
    <t>A review of OROS methylphenidate (Concerta()) in the treatment of attention-deficit/hyperactivity disorder</t>
  </si>
  <si>
    <t>Administration, Oral;*Attention Deficit Disorder with Hyperactivity/dt Drug Therapy];Central Nervous System Stimulants/ad Administration &amp; Dosage];*Central Nervous System Stimulants/tu Therapeutic Use];Clinical Trials as Topic;Delayed-Action Preparations;Drug Administration Schedule;*Drug Delivery Systems;Humans;Methylphenidate/ad Administration &amp; Dosage];*Methylphenidate/tu Therapeutic Use];Treatment Outcome;0 (Central Nervous System Stimulants);0 (Delayed-Action Preparations);207ZZ9QZ49 (Methylphenidate)</t>
  </si>
  <si>
    <t>Attention-deficit/hyperactivity disorder (ADHD) is a common neurobehavioural disorder with onset during childhood. It affects a child's development, both at home and at school, and impacts on social, emotional and cognitive functioning, in both the home and the school environment. Untreated ADHD is very often associated with poor academic achievement, low occupational status, increased risk of substance abuse and delinquency. Current practice guidelines recommend a multimodal approach in the treatment of ADHD, which includes educational, behavioural and mental health interventions, and pharmacological management. Stimulant medications, including methylphenidate (MPH) and amphetamine products, are recommended as first-line pharmacotherapy in the treatment of ADHD. The choice of stimulant is influenced by several factors; the most influential factor is the duration of action. Long-acting medication provides benefits long after school and work. It also increases the likelihood of once-daily dosing, thereby eliminating the need for mid-day dosing, making the treatment more private, avoiding stigma and improving adherence to medication. MPH is the most widely used psychotropic medication in child psychiatry. It was first developed for use in children as an oral, immediate-release formulation and more recently as various extended-release formulations. These latter formulations include the 12 h preparation Concerta() (osmotic-release oral system OROS] MPH), which utilizes an osmotic pump system, designed to overcome the difficulties of multiple daily dosing. Since it received approval from the US Food and Drug Administration in August 2000, OROS MPH has been quickly and widely accepted as one of the preferred treatments for ADHD because of its once-daily dosing. This paper reviews the data in support of long-acting OROS MPH in children, adolescents and adults, both in ADHD and in association with its comorbidities.</t>
  </si>
  <si>
    <t>J2: CNS Drugs; Katzman, Martin A Sternat, Tia; ID: 42</t>
  </si>
  <si>
    <t>Katzman,Martin A. START Clinic for Mood and Anxiety Disorders, 32 Park Road, Toronto, ON, M4W 2N4, Canada, mkatzman@startclinic.ca.</t>
  </si>
  <si>
    <t>http://ovidsp.ovid.com/ovidweb.cgi?T=JS&amp;CSC=Y&amp;NEWS=N&amp;PAGE=fulltext&amp;D=medl&amp;AN=25120227</t>
  </si>
  <si>
    <t>http://dx.doi.org/10.1007/s40263-014-0175-1</t>
  </si>
  <si>
    <t>MEDLINE; Ovid Technologies; A review of OROS methylphenidate (Concerta()) in the treatment of attention-deficit/hyperactivity disorder</t>
  </si>
  <si>
    <t>Kauffman,J. F.;Shaffer,H.;Burglass,M. E.</t>
  </si>
  <si>
    <t>A strategy for the biological assessment of addiction</t>
  </si>
  <si>
    <t>Advances in Alcohol &amp; Substance Abuse</t>
  </si>
  <si>
    <t>Adv.Alcohol Subst.Abuse</t>
  </si>
  <si>
    <t>Fall-Winter</t>
  </si>
  <si>
    <t>Amphetamines/pd Pharmacology];Cannabis;Central Nervous System Agents/pd Pharmacology];Diazepam/ae Adverse Effects];Drug Contamination;Drug Synergism;Hallucinogens/pd Pharmacology];Humans;Hypnotics and Sedatives/ae Adverse Effects];Hypnotics and Sedatives/pd Pharmacology];Narcotics/po Poisoning];Opioid-Related Disorders/px Psychology];*Pharmacology;Phencyclidine/ae Adverse Effects];*Psychotropic Drugs/pd Pharmacology];Stimulation, Chemical;*Street Drugs/pd Pharmacology];Substance Withdrawal Syndrome/pp Physiopathology];*Substance-Related Disorders/di Diagnosis];0 (Amphetamines);0 (Central Nervous System Agents);0 (Hallucinogens);0 (Hypnotics and Sedatives);0 (Narcotics);0 (Psychotropic Drugs);0 (Street Drugs);J1DOI7UV76 (Phencyclidine);Q3JTX2Q7TU (Diazepam)</t>
  </si>
  <si>
    <t>Substances and drugs with powerful psychotropic effects have come into common use during the past decade. Involvement with these substances can range from benign to tragic experiences. Such use may include: experimental, social or recreational use, long-term habituation, toxic reactions, medical-psychologic complications, overdose, and death. Although clinicians tend to analyze and explain many patterns of drug use in terms of various psychodynamic, sociologic and behavioral theories, all of these perspectives begin with the biological and pharmacological effects produced by the various drugs. During the assessment process, the clinician can avoid much confusion by learning to differentiate between the direct pharmacological effects and the diverse psychological and behavioral effects of the drug(s) or substances(s) in question. In order to make these distinctions, a foundation in the "biological basics" is essential. This paper presents a strategy for learning the direct tropic effects produced by various drugs. This approach organizes commonly used drugs into six basic categories reflecting the primary action of each: narcotics and related analgesics; sedative-hypnotics (including barbiturates, non-barbiturate sedatives, minor tranquilizers and alcohol); stimulants (including amphetamines, cocaine, and others); hallucinogens; and others like phencyclidine, cannabis and inhalants, which do not readily fit the other categories. References: 26]</t>
  </si>
  <si>
    <t>J2: Adv Alcohol Subst Abuse; Kauffman, J F Shaffer, H Burglass, M E 86140 (United States PHS HHS); ID: 707</t>
  </si>
  <si>
    <t>0270-3106</t>
  </si>
  <si>
    <t>http://ovidsp.ovid.com/ovidweb.cgi?T=JS&amp;CSC=Y&amp;NEWS=N&amp;PAGE=fulltext&amp;D=med2&amp;AN=6391104</t>
  </si>
  <si>
    <t>MEDLINE; Ovid Technologies; A strategy for the biological assessment of addiction</t>
  </si>
  <si>
    <t>Kavalirova,A.;Visnovsky,P.</t>
  </si>
  <si>
    <t>Use of marijuana in pharmacy students (2000-2005)</t>
  </si>
  <si>
    <t>Biomedical Papers of the Medical Faculty of Palacky University in Olomouc, Czech Republic</t>
  </si>
  <si>
    <t>Adult;Czech Republic/ep Epidemiology];Female;Humans;Male;*Marijuana Abuse/ep Epidemiology];*Marijuana Smoking/ep Epidemiology];Prevalence;*Students, Pharmacy/sn Statistics &amp; Numerical Data]</t>
  </si>
  <si>
    <t>In 2000-2005, a survey on the consumption of legal and illegal drugs of abuse was conducted in 1571 students of Faculty of Pharmacy in Hradec Kralove, Charles University in Prague. The availability of cannabis and the prevalence rates of its use in university students were investigated. A standardized anonymous questionnaire was employed for the survey. The average age of respondents was 20 years. The number of females was higher (82.8 %) than that of males. Marijuana was the most available and the most commonly used illegal drug of abuse in the group of pharmacy students. Its offer and the life-time prevalence increased over the 5 year period of the survey from 55.8 % to 72.9 % and from 30.3 % to 48.4 %, respectively. There was a predominance of the male users over the female ones, mainly in a category of high frequency of marijuana consumption ("used more than five times"). Almost three quarters of marijuana consumers admitted more than one experience with marijuana. Our data provide worrying statistics and support the need of continuous education also in university students to advise them on the risks of drug misuse.</t>
  </si>
  <si>
    <t>J2: Biomed Pap Med Fac Univ Palacky Olomouc Czech Repub; Kavalirova, Alena Visnovsky, Peter; ID: 385</t>
  </si>
  <si>
    <t>1213-8118</t>
  </si>
  <si>
    <t>Kavalirova,Alena. Department of Pharmacology and Toxicology, Faculty of Pharmacy in Hradec Kralove, Charles University in Prague, Hradec Kralove, Czech Republic. kavalirovaa@faf.cuni.cz</t>
  </si>
  <si>
    <t>http://ovidsp.ovid.com/ovidweb.cgi?T=JS&amp;CSC=Y&amp;NEWS=N&amp;PAGE=fulltext&amp;D=med5&amp;AN=16601814</t>
  </si>
  <si>
    <t>MEDLINE; Ovid Technologies; Use of marijuana in pharmacy students (2000-2005)</t>
  </si>
  <si>
    <t>Kaye,A. M.;Kaye,A. D.;Lofton,E. C.</t>
  </si>
  <si>
    <t>PMC3865831; Basic concepts in opioid prescribing and current concepts of opioid-mediated effects on driving</t>
  </si>
  <si>
    <t>Ochsner Journal</t>
  </si>
  <si>
    <t>BACKGROUND: Many patients with chronic pain receive substandard analgesic therapy. Incomplete or inadequate care often stems from physician fears of patient addiction and/or drug toxicity. As a result, many chronic pain patients are undertreated and have unrelieved pain that tempts them to overuse or to abuse prescribed pharmacologic treatments. In the last few years, educational efforts have targeted physicians who treat chronic, nonmalignant pain with information to improve prescribing strategies and to appreciate side effects. Additionally, opioid prescribing guidelines and educational programs, including World Health Organization-published guidelines for the management of cancer pain in 1986 and the American Pain Society's promotion of pain as the 5(th) vital sign, have increased the propensity of pharmacists, physicians, and pain specialists to dispense pain treatments. METHODS: Controversial and evolving consequences from this explosion of prescription opioid use have emerged and are discussed in this review, including prescribing principles, opioid analgesic side effects, and driving concerns. CONCLUSION: With additional appreciation for the untoward effects of chronic analgesia and a better understanding of opioid pharmacology, physicians can utilize pain management treatments in a safer and more effective manner.</t>
  </si>
  <si>
    <t>J2: Ochsner J; Kaye, Adam M Kaye, Alan D Lofton, Elise C; ID: 96</t>
  </si>
  <si>
    <t>1524-5012</t>
  </si>
  <si>
    <t>Kaye,Adam M. Thomas J. Long School of Pharmacy and Health Sciences, University of the Pacific, Stockton, CA. Kaye,Alan D. Departments of Anesthesiology and Pharmacology, Louisiana State University School of Medicine, New Orleans, LA. Lofton,Elise C. Department of Anesthesiology, Ochsner Clinic Foundation, New Orleans, LA.</t>
  </si>
  <si>
    <t>http://ovidsp.ovid.com/ovidweb.cgi?T=JS&amp;CSC=Y&amp;NEWS=N&amp;PAGE=fulltext&amp;D=prem&amp;AN=24358001</t>
  </si>
  <si>
    <t>MEDLINE; Ovid Technologies; Basic concepts in opioid prescribing and current concepts of opioid-mediated effects on driving</t>
  </si>
  <si>
    <t>Kaye,S.;Darke,S.</t>
  </si>
  <si>
    <t>The diversion and misuse of pharmaceutical stimulants: what do we know and why should we care?</t>
  </si>
  <si>
    <t>Adolescent;Adult;*Attention Deficit Disorder with Hyperactivity/dt Drug Therapy];*Central Nervous System Stimulants;Drug Prescriptions/sn Statistics &amp; Numerical Data];Health Services Misuse/sn Statistics &amp; Numerical Data];Humans;Motivation;Prevalence;Street Drugs/sd Supply &amp; Distribution];Substance-Related Disorders/ep Epidemiology];*Substance-Related Disorders/et Etiology];Young Adult;0 (Central Nervous System Stimulants);0 (Street Drugs)</t>
  </si>
  <si>
    <t>AIMS: To examine the literature pertaining to the diversion and misuse of pharmaceutical stimulants. METHODS: Relevant literature was identified through comprehensive MEDLINE, EMBASE and PubMed searches. RESULTS: The evidence to date suggests that the prevalence of diversion and misuse of pharmaceutical stimulants varies across adolescent and young adult student populations, but is higher than that among the general population, with the highest prevalence found among adults with attention deficit-hyperactive disorder (ADHD) and users of other illicit drugs. Concerns that these practices have become more prevalent as a result of increased prescribing are not supported by large-scale population surveys. Information on trends in misuse in countries where there have been recent increases in prescription and consumption rates, however, is limited. Little is known about the frequency and chronicity of misuse, or the extent of associated harms, particularly among those populations, i.e. adolescents, young adult student populations, those with ADHD and illicit drug users, where abuse may be more likely to occur. CONCLUSIONS: Continued monitoring of the diversion and misuse of pharmaceutical stimulants is of major clinical importance. Despite recognition of the abuse liability of these medications, there is a paucity of data on the prevalence, patterns and harms of diversion and misuse among populations where problematic use and abuse may be most likely to occur (e.g. adolescents, young adults, illicit drug users). Comprehensive investigations of diversion and misuse among these populations should be a major research priority, as should the assessment of abuse and dependence criteria among those identified as regular users.Copyright ‚î¨‚åê 2012 The Authors, Addiction ‚î¨‚åê 2012 Society for the Study of Addiction.</t>
  </si>
  <si>
    <t>J2: Addiction; Kaye, Sharlene Darke, Shane; ID: 221</t>
  </si>
  <si>
    <t>Kaye,Sharlene. National Drug and Alcohol Research Centre, University of New South Wales, NSW, Australia. s.kaye@med.unsw.edu.au</t>
  </si>
  <si>
    <t>http://ovidsp.ovid.com/ovidweb.cgi?T=JS&amp;CSC=Y&amp;NEWS=N&amp;PAGE=fulltext&amp;D=medl&amp;AN=22313101</t>
  </si>
  <si>
    <t>http://dx.doi.org/10.1111/j.1360-0443.2011.03720.x</t>
  </si>
  <si>
    <t>MEDLINE; Ovid Technologies; The diversion and misuse of pharmaceutical stimulants: what do we know and why should we care?</t>
  </si>
  <si>
    <t>Kehoe,W. A., J.</t>
  </si>
  <si>
    <t>Substance abuse: new numbers are a cause for action</t>
  </si>
  <si>
    <t>Diagnostic and Statistical Manual of Mental Disorders;Health Surveys;Humans;Street Drugs/ae Adverse Effects];*Substance-Related Disorders/ep Epidemiology];*Substance-Related Disorders/pc Prevention &amp; Control];Substance-Related Disorders/px Psychology];0 (Street Drugs)</t>
  </si>
  <si>
    <t>Substance abuse is a highly prevalent problem. Results from the National Epidemiologic Survey on Alcohol and Related Conditions show that about 1 in 10 Americans will have a substance use disorder in their lifetime. Pharmacists are critical professionals in addressing this problem; they will care for patients with substance use issues on nearly a daily basis. Prescription drug abuse is epidemic. Because substance abuse and dependence are complex problems and treatment requires a multifaceted approach, long-term treatment plans that often require psychotherapeutic and pharmacotherappeutic interventions are now being used. Armed with treatment guidelines and other available information, pharmacists need to play a central role. The results of this recent study are described here and suggestions for educational efforts and interventions are provided to help pharmacists address this national problem.</t>
  </si>
  <si>
    <t>J2: Ann Pharmacother; Kehoe, William A Jr; ID: 365</t>
  </si>
  <si>
    <t>http://ovidsp.ovid.com/ovidweb.cgi?T=JS&amp;CSC=Y&amp;NEWS=N&amp;PAGE=fulltext&amp;D=med5&amp;AN=18198240</t>
  </si>
  <si>
    <t>http://dx.doi.org/10.1345/aph.1K523</t>
  </si>
  <si>
    <t>MEDLINE; Ovid Technologies; Substance abuse: new numbers are a cause for action</t>
  </si>
  <si>
    <t>Kelber,O.;Steinhoff,B.;Nauert,C.;Biller,A.;Adler,M.;Abdel-Aziz,H.;Okpanyi,S. N.;Kraft,K.;Author,Addresses;Steigerwald,Arzneimittelwerk Gmb;Scientific Department,Havelstr,Darmstadt Germany;Kooperation,Phytopharmaka Working;Efficacy;Safety,Plittersdorfer Str Bonn Germany;Bundesverband,der Arzneimittel;Bonn,Germany;Cassella-med Gmb,H.;Co. Kg,Gereonsm‚îú‚ïùhlengasse K‚îú‚ï¢ln;Germany;Dr Loges + Co GmbH, Sch‚îú‚ïùtzenstr,Winsen Germany;Institute for Integrative,Medicine Siegen;Siegen,Germany;University of Rostock, Center of,Internal Medicine;Ernst-Heydemann-Str,Rostock Germany;Correspondence,Address;Kelber, Steigerwald Arzneimittelwerk GmbH Scientific Department,O.;Havelstr,Darmstadt Germany</t>
  </si>
  <si>
    <t>Ethanol in herbal medicinal products for children: No toxicological concerns</t>
  </si>
  <si>
    <t>385 SUPPL. 1</t>
  </si>
  <si>
    <t>(MAJOR FOCUS);alcohol;herbaceous agent;child;human;abuse;adverse drug reaction;alcoholic beverage;drug surveillance program;drug therapy;Germany;groups by age;health insurance;liquid;patient;pharmacokinetics;pharmacology;prescription;retrospective study;safety;self medication;single drug dose;solvent extraction;toxicology;university</t>
  </si>
  <si>
    <t>Ethanol is a component of many herbal fluid preparations 1], since it is an excellent extraction solvent for the phytochemical components of herbal drugs and contributes to the stability of these medicines. Toxicological and pharmacokinetic evaluations 2] have shown that the small amounts of ethanol applied with therapeutic doses are safe even in children. Despite that these medicines have been used safely since many decades, they have occasionally been subject of discussion in the public, triggered by the increasing problem of recreational abuse of alcoholic beverages by children and young persons 3, 4]. Therefore, there is a growing need of a systematic evaluation of pharmacovigilance data on these medicines. For evaluating the experience gained from the therapeutic use of these medicines, 16 pro- and retrospective studies with 10 herbal medicinal products containing ethanol at doses of 40 to 240 mg per single dose, depending on the age group, have been analyzed, covering 49 816 patients of 0-12 years of age. In these studies, altogether 15 adverse drug effects have been described, none of which was attributable to the ethanol content of the medicines. In a survey of the worldwide use of these and other 6 herbal medicinal products it was shown that during the past few years, more than 764 Mio daily doses have been sold, corresponding to more than 33 Mio of patients (data obtained from manufacturers; figures available partly from 1993 onwards, partly from 2003/4 onwards). From the packages sold in Germany in the years between 2005 and 2009, 48.1 Mio were attributable to self-medication, 10.8 Mio to prescriptions reimbursed by health insurance (IMS, Frankfurt). As non prescription medicines are reimbursed in Germany only in children, at least the latter part of the prescriptions can be attributed mainly to children. All of these medicines are registered or licensed by regulatory authorities. Adverse effects are covered by the pharmacovigilance system, and no adverse effects attributable to the ethanol content have been reported. This set of data supports the conclusion drawn from the experience of a safe use over decades, i.e. that the ethanol content of herbal medicinal products does not give any causes for concern regarding their safety even in children. Dedication: This contribution is dedicated to Prof. Dr. Hilke Winterhoff, Institute for Pharmacology and Toxicology, University of M‚îú‚ïùnster, who died on 9 May 2010. She has initiated this work.</t>
  </si>
  <si>
    <t>(Kelber O.; Abdel-Aziz H.; Okpanyi S.N.) (Kelber O.; Steinhoff B.; Kraft K.) (Steinhoff B.) (Nauert C.) (Biller A.) (Adler M.) (Kraft K.) Abstracts of the 78th Annual Meeting of the Deutsche Gesellschaft fur Experimentelle und Klinische Pharmakologie und Toxikologie e.V. Dresden, Germany 2012-03-19 to 2012-03-22 Springer Verlag; ID: 1177</t>
  </si>
  <si>
    <t>Kelleher,J. A.;Chhay,S. N.;Ip,K. H.;Devine,C. M.;Pervanas,H. C.;Author,Addresses;McPhs;University,Manchester United States;Correspondence,Address;JA Kelleher, Mcphs University Manchester,United States</t>
  </si>
  <si>
    <t>Assess the knowledge and perceptions of middle school and high school-aged students about alcohol and prescription drug abuse</t>
  </si>
  <si>
    <t>e283</t>
  </si>
  <si>
    <t>(MAJOR FOCUS);alcohol;prescription drug;illicit drug;American;clinical pharmacy;college;drug abuse;high school;human;middle school;student;adolescent;boy;Caucasian;child;drug therapy;education;female;girl;male;peer pressure;pharmacist;prescription;safety;United States</t>
  </si>
  <si>
    <t>PURPOSE: Alcohol and prescription drug abuse in teens continues to be a nationwide concern. The purpose of the study was to educate adolescents and teens about the dangers associated with alcohol and prescription drugs and to determine their perceptions regarding these substances. METHODS: Student pharmacists representing the campus organization Student Pharmacists Against Prescription Drug Abuse (SPARxDA), conducted an educational program at the Boys and Girls Club of Souhegan Valley located in Milford, New Hampshire. Prior to the educational program a 9 question survey focusing on peer pressure, use of drugs and alcohol and safety of overthe- counter and prescription medications was administered to the participants. RESULTS: Forty-four teens completed the survey. The majority of the participants were Caucasian (72%) and were female (52%) with a median age of 13 years. Most of the participants believe alcohol (39%) and illegal drugs (34%) are most abused by teens versus prescription drugs (4%). Fifty-two percent of the participants reported that prescription drugs are safer than illegal drugs. Of the middle school-aged participants (11-12 years of age) 81% believe that prescription drugs are safer than illegal drugs versus 21% of thirteen to eighteen year-olds. CONCLUSION: Despite their potential to cause harm if misused, a high percentage of middle school-aged children perceived prescription medications to be safer than illegal drugs. More education about medication safety is needed at a younger age to develop a common knowledge that prescription medications can be equally as dangerous as illegal drugs if not taken as prescribed by a provider.</t>
  </si>
  <si>
    <t>(Kelleher J.A.; Chhay S.N.; Ip K.H.; Devine C.M.; Pervanas H.C.) 2013 Annual Meeting of the American College of Clinical Pharmacy, ACCP 2013 Albuquerque, NM, United States 2013-10-13 to 2013-10-16 Pharmacotherapy Publications Inc.; ID: 982</t>
  </si>
  <si>
    <t>Keller,D. S.;Dermatis,H.</t>
  </si>
  <si>
    <t>Current status of professional training in the addictions</t>
  </si>
  <si>
    <t>140 18p</t>
  </si>
  <si>
    <t>Substance Abuse -- Education;Substance Abuse -- Rehabilitation;Multidisciplinary Care Team -- Education;Certification;Psychologists;Social Workers;Physicians, Family;Psychiatry</t>
  </si>
  <si>
    <t>Addictions training curricula within traditional graduate and postgraduate programs of professional disciplines lag behind those devoted to other disorders. After presenting a brief historical overview of addictions training in the United States, this paper focuses on current addictions training practices for each of the major health care professions, highlighting both recent advancements as well as shortcomings, particularly with respect to the ability to disseminate recent empirically tested addiction treatments. New psychosocial and pharmacotherapies for addictive disorders are then discussed which would be better disseminated within training programs with enhanced addictions training components. The paper concludes with a discussion of and recommendations for enhancing substance abuse training and knowledge dissemination.</t>
  </si>
  <si>
    <t>Entry Date: 19991201. Revision Date: 20150711. Publication Type: Journal Article; tables/charts. Journal Subset: Biomedical; Peer Reviewed; USA. NLM UID: 8808537.; ID: 1860</t>
  </si>
  <si>
    <t>Department of Psychiatry, New York University School of Medicine, 550 First Avenue, New York, NY 10016</t>
  </si>
  <si>
    <t>http://proxy.lib.umich.edu/login?url=http://search.ebscohost.com/login.aspx?direct=true&amp;db=ccm&amp;AN=107228821&amp;site=ehost-live&amp;scope=site</t>
  </si>
  <si>
    <t>ccm; EBSCOhost; Current status of professional training in the addictions</t>
  </si>
  <si>
    <t>Kelly,M.;Dixon,D.;Author,Addresses;Virginia Commonwealth University, School,of Pharmacy;Richmond,United States;Correspondence,Address;Kelly, Virginia Commonwealth University School of Pharmacy Richmond,M.;United,States</t>
  </si>
  <si>
    <t>Interim results from a cardiologist-pharmacist collaboration to improve blood pressure in an ambulatory cardiology clinic</t>
  </si>
  <si>
    <t>e271</t>
  </si>
  <si>
    <t>antihypertensive agent;American;blood pressure;cardiologist;cardiology;clinical pharmacy;college;hospital;human;pharmacist;achievement;diabetes mellitus;drug dose titration;dyslipidemia;electronic medical record;follow up;health care;hypertensive crisis;indigent;medical history;patient;smoking cessation</t>
  </si>
  <si>
    <t>PURPOSE: Indigent patients requiring cardiovascular care are seen one half-day per week in an ambulatory, cardiology fellow's clinic at VCU Health System. A pharmacist collaborated with the attending cardiologist to assist with medication titration and management. The aim of this study was to describe the pharmacist impact on blood pressure (BP) and characterize the interventions made by the pharmacist. METHODS: Electronic medical records of patients seen at least once by the pharmacist between June 1, 2012 and January 7, 2013 were reviewed to obtain the patient's medical history, initial and most recent BP, and pharmacist interventions. The primary endpoint was mean change in systolic and diastolic BP from baseline to most recent visit. Patients were excluded from the primary endpoint if they presented to clinic in hypertensive crisis or if a follow-up BP was unavailable. RESULTS: Out of 38 patients seen by the pharmacist during the study period, 29 met inclusion criteria for the primary endpoint. Mean systolic BP decreased from 135.5 ‚î¨‚ñí 19.3 mmHg at baseline to 126.0 ‚î¨‚ñí 18.1 mmHg at follow-up (p=0.014). Diastolic BP and goal achievement improved but was not found to be statistically significant. All 38 patients were included in the characterization of pharmacist interventions, which found a total of 51 interventions (31 related to antihypertensives; 20 related to dyslipidemia, diabetes, COPD, and smoking cessation) and identification of 17 drug-related problems. CONCLUSIONS: Patients seen by the pharmacist had significant improvements in systolic BP. A cardiologist-pharmacist collaboration may be an effective method to improve blood pressure in an ambulatory cardiology clinic.</t>
  </si>
  <si>
    <t>(Kelly M.; Dixon D.) 2013 Annual Meeting of the American College of Clinical Pharmacy, ACCP 2013 Albuquerque, NM, United States 2013-10-13 to 2013-10-16 Pharmacotherapy Publications Inc.; ID: 985</t>
  </si>
  <si>
    <t>Kenna,G.;Author,Addresses;Brown,University;Correspondence,Address;Kenna,Brown University,G.</t>
  </si>
  <si>
    <t>A symposium to facilitate substance abuse education into the curriculum at a northeast college of pharmacy</t>
  </si>
  <si>
    <t>alcohol;college;curriculum;education;pharmacy;substance abuse;abuse;alcoholism;drug dependence;health care personnel;occupation;patient;pharmacist;pharmacy student;school;screening;student;United States;university;waste</t>
  </si>
  <si>
    <t>Objectives: (1) Hold a 3 speaker symposium that presented various aspects of substance use disorders to 4 years of pharmacy students (Œì√á¬£What the Pharmacy Profession Should Know about Substance Use and Abuse SymposiumŒì√á¬•); (2) send two students to the University of Utah School on Alcoholism and Other Drug Dependencies; (3) Encourage as many students as possible to become members of Healthcare Professional Students for Substance Abuse Training (HPSSAT). Method: 313 pharmacy students representing the 4 professional years (Pl-P4) attended the symposium held in Edwards Auditorium on the main URI campus. Four assessments of the students were sought: an Overall Symposium Evaluation as well as evaluations of the three speakers. Results: To measure the first objective, evaluations used a Likert scale with l = Strongly Disagree to S = Strongly Agree. Students leaned toward Disagreeing or Strongly Disagreeing (3.5) with the following statements: I feel more confident that if I ask for help, my treatment is confidential; I feel more confident that I understand the importance for screening for substance use disorders at an early age; The second objective, two obtain funds to send 2 students to Utah was accomplished. The third objective was accomplished as 27 pharmacy students joined HPSSAT. Conclusion: The symposium and program was deemed successful.</t>
  </si>
  <si>
    <t>(Kenna G.) 2007 AMERSA National Meeting Haworth Press Inc.; ID: 1438</t>
  </si>
  <si>
    <t>Kenna,G. A.;Wood,M. D.</t>
  </si>
  <si>
    <t>Prevalence of substance use by pharmacists and other health professionals</t>
  </si>
  <si>
    <t>Adult;Cross-Sectional Studies;Female;*Health Personnel/sn Statistics &amp; Numerical Data];Humans;Male;Middle Aged;Pharmacists/sn Statistics &amp; Numerical Data];Prevalence;*Substance-Related Disorders/ep Epidemiology];Surveys and Questionnaires;United States/ep Epidemiology]</t>
  </si>
  <si>
    <t>OBJECTIVES: To assess substance use, misuse, and abuse rates across a representative sample of dentists, nurses, pharmacists, and physicians; compare these rates to available general population data; and determine whether pharmacists report disproportionate unauthorized or illicit substance use. DESIGN: Cross-sectional, descriptive self-report survey. SETTING: A small northeastern state. PARTICIPANTS: Stratified random sample of dentists, nurses, pharmacists, and physicians. INTERVENTIONS: Mailed 7-page survey. MAIN OUTCOME MEASURES: Demographic characteristics; lifetime, past-year, and month prevalence of substance use; frequency of use; drug-related dysfunctions; drug misuse; and abuse potential. RESULTS: Six contacts with participants in the summer 2002 resulted in a 68.7% response rate. More than one half (58.7%) of pharmacists reported using a nonprescribed drug at least once in their lifetime. Though total illicit drug use rates by pharmacists were not noticeably different from those of other health professional (HP) groups, a greater proportion of pharmacists reported lifetime use of minor opiates, anxiolytics, and stimulants. Past-year prevalence of drug use was highest among pharmacists (12.8%). Except for anxiolytics, past-year prevalence of use of most other medications by pharmacists was slightly greater than prevalence of use rates reported by physicians and more prevalent than use rates reported in the general population. As with the other HP groups, pharmacists reported low levels of substance-associated dysfunctions and potential abuse. CONCLUSION: The findings suggest that lifetime nonprescribed drug use by pharmacists does not appear to be disproportionate when compared with other groups of HPs. Specific drug use rates varied across HP groups, possibly suggesting medication access facilitates drug-associated experiences by HPs. Consequently, unauthorized or illicit substance use by HPs, including pharmacists, suggests the need for more intensive educational programs on practitioner impairment.</t>
  </si>
  <si>
    <t>J2: J Am Pharm Assoc (2003); Kenna, George A Wood, Mark D; ID: 465</t>
  </si>
  <si>
    <t>Kenna,George A. Department of Community Health, Brown University, Providence, RI 02908, USA. George_Kenna@Brown.edu</t>
  </si>
  <si>
    <t>http://ovidsp.ovid.com/ovidweb.cgi?T=JS&amp;CSC=Y&amp;NEWS=N&amp;PAGE=fulltext&amp;D=med5&amp;AN=15637851</t>
  </si>
  <si>
    <t>MEDLINE; Ovid Technologies; Prevalence of substance use by pharmacists and other health professionals</t>
  </si>
  <si>
    <t>Substance use by pharmacy and nursing practitioners and students in a northeastern state</t>
  </si>
  <si>
    <t>Humans;New England/ep Epidemiology];*Nurses;*Pharmacists;*Professional Impairment;*Students;*Substance-Related Disorders/ep Epidemiology]</t>
  </si>
  <si>
    <t>PURPOSE: The prevalence and predictors of substance use among pharmacists and nurses and pharmacy and nursing students were studied. METHODS: During summer 2002, pharmacists and nurses in a northeastern state were mailed an anonymous survey to determine their use of alcohol, tobacco, and commonly abused drugs; to determine their ease of access to controlled substances; and to measure their family history of alcohol and drug problems. A similar but not identical survey was distributed to pharmacy and nursing students during spring 2000. RESULTS: A total of 262 usable questionnaires were received from pharmacists and nurses (response rate, 72.8%), and 138 usable questionnaires were received from students (35.3%). Large majorities of nursing students, pharmacy students, and nurses were women. A higher percentage of pharmacists reported having used an opioid or an anxiolytic at least once in their lives (24.8% and 14.3%, respectively) than nurses (14.5% and 7.8%). Higher percentages of nursing students and nurses reported having ever used an unprescribed drug (74.5% of nursing students and 63.6% of nurses). CONCLUSION: A survey of pharmacy and nursing practitioners and students in a northeastern state provided important information on alcohol, tobacco, and illicit drug use among these groups and highlighted the need for prevention and intervention.</t>
  </si>
  <si>
    <t>J2: Am J Health-Syst Pharm; Kenna, George A Wood, Mark D; ID: 476</t>
  </si>
  <si>
    <t>Kenna,George A. Department of Psychiatry and Human Behavior, Brown University Medical School, Providence, RI, USA. george_kenna@brown.edu</t>
  </si>
  <si>
    <t>http://ovidsp.ovid.com/ovidweb.cgi?T=JS&amp;CSC=Y&amp;NEWS=N&amp;PAGE=fulltext&amp;D=med5&amp;AN=15156968</t>
  </si>
  <si>
    <t>MEDLINE; Ovid Technologies; Substance use by pharmacy and nursing practitioners and students in a northeastern state</t>
  </si>
  <si>
    <t>Kennedy,A. G.;Chen,H.;Corriveau,M.;MacLean,C. D.</t>
  </si>
  <si>
    <t>Improving population management through pharmacist-primary care integration: a pilot study</t>
  </si>
  <si>
    <t>Population Health Management</t>
  </si>
  <si>
    <t>Humans;Medication Errors/pc Prevention &amp; Control];Medication Errors/sn Statistics &amp; Numerical Data];*Medication Errors;Medication Therapy Management/ec Economics];*Medication Therapy Management/og Organization &amp; Administration];Pharmacists/ec Economics];*Pharmacists/og Organization &amp; Administration];Pilot Projects;Primary Health Care/ec Economics];*Primary Health Care/og Organization &amp; Administration];Vermont</t>
  </si>
  <si>
    <t>Pharmacists have unique skills that may benefit primary care practices. The objective of this demonstration project was to determine the impact of integrating pharmacists into patient-centered medical homes, with a focus on population management. Pharmacists were partnered into 5 primary care practices in Vermont 1 day per week to provide direct patient care, population-based medication management, and prescriber education. The main measures included a description of drug therapy problems identified and cost avoidance models. The pharmacists identified 708 drug therapy problems through direct patient care (336/708; 47.5%), population-based strategies (276/708; 38.9%), and education (96/708; 13.6%). Common population-based strategies included adjusting doses and discontinuing unnecessary medications. Pharmacists' recommendations to correct drug therapy problems were accepted by prescribers 86% of the time, when data about acceptance were known. Of the 49 recommendations not accepted, 47/49 (96%) were population-based and 2/49 (4%) were related to direct patient care. The cost avoidance model suggests $2.11 in cost was avoided for every $1.00 spent on a pharmacist ($373,092/$176,690). There was clear value in integrating pharmacists into primary care teams. Their inclusion prevented adverse drug events, avoided costs, and improved patient outcomes. Primary care providers should consider pharmacists well suited to offer direct patient care, population-based management, and prescriber education to their practices. To be successful, pharmacists must have full permission to document findings in the primary care practices' electronic health records. Given that many pharmacist services do not involve billable activities, sustainability requires identifying alternative funding mechanisms that do not rely on a traditional fee-for-service approach.</t>
  </si>
  <si>
    <t>J2: Popul Health Manag; Kennedy, Amanda G Chen, Harry Corriveau, Michele MacLean, Charles D; ID: 22</t>
  </si>
  <si>
    <t>1942-7905</t>
  </si>
  <si>
    <t>Kennedy,Amanda G. 1 Division of General Internal Medicine, University of Vermont College of Medicine , Burlington, Vermont.</t>
  </si>
  <si>
    <t>http://ovidsp.ovid.com/ovidweb.cgi?T=JS&amp;CSC=Y&amp;NEWS=N&amp;PAGE=fulltext&amp;D=medl&amp;AN=25029631</t>
  </si>
  <si>
    <t>http://dx.doi.org/10.1089/pop.2014.0043</t>
  </si>
  <si>
    <t>MEDLINE; Ovid Technologies; Improving population management through pharmacist-primary care integration: a pilot study</t>
  </si>
  <si>
    <t>Kennedy,D. T.;Giles,J. T.;Chang,Z. G.;Small,R. E.;Edwards,J. H.</t>
  </si>
  <si>
    <t>Results of a smoking cessation clinic in community pharmacy practice</t>
  </si>
  <si>
    <t>Adult;Chi-Square Distribution;*Community Pharmacy Services/og Organization &amp; Administration];Female;Humans;Male;Middle Aged;Patient Satisfaction;Professional-Patient Relations;*Smoking Cessation/mt Methods];Treatment Outcome;Virginia</t>
  </si>
  <si>
    <t>OBJECTIVES: To describe and assess the effectiveness of a smoking cessation clinic. DESIGN: Single group, unblinded study. SETTING: Seven chain (mass-merchandise) community pharmacies in Virginia. PARTICIPANTS: Forty-eight patients who were smokers when admitted to the study. INTERVENTIONS: Fifteen community chain pharmacists were trained using a smoking cessation training manual developed at the Virginia Commonwealth University School of Pharmacy. From April 1, 1997, through December 31, 1999, interested patients met individually with a study pharmacist during scheduled clinic times in semiprivate counseling areas. A patient chart was maintained at the site and updated after each visit. The first 30 patients completed a questionnaire after the third visit to the smoking cessation clinic to assess satisfaction with pharmacists and the overall program. MAIN OUTCOME MEASURE: Rate of long-term smoking cessation. RESULTS: Of the 48 patients, 12 (25.0%) abstained from smoking cigarettes for 12 months or more beyond their predetermined quit dates. Abstinence rates for 1, 3, and 6 months were 43.8%, 31.3%, and 25.0%, respectively. Women were nearly five times more successful in attaining long-term abstinence than were men (33.3% versus 6.7%; P= .047). No significant differences were observed in cessation rates related to age, number of cigarettes smoked per day, level of nicotine dependence, number of previous quit attempts, or method of cessation. Increased appetite and weight gain were the most frequently reported withdrawal symptoms (16.7% of patients). Patients expressed satisfaction with the pharmacists and the smoking cessation program. CONCLUSION: Compared with other types of previously reported interventions, a community pharmacist-managed smoking cessation clinic achieved greater long-term smoking cessation rates.</t>
  </si>
  <si>
    <t>J2: J Am Pharm Assoc (Wash); Kennedy, Daniel T Giles, Joel T Chang, Ziba Gorji Small, Ralph E Edwards, Jennifer H Comment in: J Am Pharm Assoc (Wash). 2002 Jan-Feb;42(1):10-1; PMID: 11833499; ID: 531</t>
  </si>
  <si>
    <t>Kennedy,Daniel T. Pulmonary Research, Group Practice Clinics, Hunter Holmes McGuire Veterans Affairs Medical Center, Richmond, Va 23248, USA. Daniel.Kennedy2@med.va.gov</t>
  </si>
  <si>
    <t>http://ovidsp.ovid.com/ovidweb.cgi?T=JS&amp;CSC=Y&amp;NEWS=N&amp;PAGE=fulltext&amp;D=med4&amp;AN=11833517</t>
  </si>
  <si>
    <t>MEDLINE; Ovid Technologies; Results of a smoking cessation clinic in community pharmacy practice</t>
  </si>
  <si>
    <t>Kennedy,D. T.;Small,R. E.</t>
  </si>
  <si>
    <t>Development and implementation of a smoking cessation clinic in community pharmacy practice</t>
  </si>
  <si>
    <t>*Community Pharmacy Services/og Organization &amp; Administration];Counseling;Humans;Models, Theoretical;Process Assessment (Health Care);Professional-Patient Relations;Program Development;*Smoking Cessation/mt Methods];Virginia</t>
  </si>
  <si>
    <t>OBJECTIVE: To describe a pharmacist-operated program to help people stop smoking. SETTING: Community chain (mass-merchandise) pharmacy practice sites in Virginia. PARTICIPANTS: Faculty at the Virginia Commonwealth University School of Pharmacy (VCU) and 15 practicing pharmacists. PRACTICE DESCRIPTION: Smoking cessation clinics within the pharmacy departments of seven Target stores. PRACTICE INNOVATION: With input from the practicing pharmacists and using the most current strategies reported in the literature, faculty at VCU developed a training manual for smoking cessation counseling. This manual was used to facilitate a 4-hour training session and also served as a resource for pharmacists in the smoking cessation clinics. Pharmacists were taught about behavioral modifications, the Transtheoretical Model of Change as applied to smoking cessation, documentation, the Fagerstrom Test for Nicotine Dependence, smoking cessation therapies, patient counseling techniques, physical assessment skills, and how to develop an individualized action plan for smoking cessation. As pharmacists established smoking cessation clinics, issues such as workflow, continuous quality improvement, and marketing were addressed by the faculty members and practitioners. RESULTS: Using the process and tools described in this article, pharmacists successfully established and operated smoking cessation clinics. CONCLUSION: The process and materials developed for this demonstration project can serve as templates for other pharmacy faculty members and community pharmacists who wish to offer smoking cessation clinics.</t>
  </si>
  <si>
    <t>J2: J Am Pharm Assoc (Wash); Kennedy, Daniel T Small, Ralph E Comment in: J Am Pharm Assoc (Wash). 2002 Jan-Feb;42(1):10-1; PMID: 11833499; ID: 530</t>
  </si>
  <si>
    <t>Kennedy,Daniel T. Pulmonary Research, Group Practice Clinics, Hunter Holmes McGuire Veterans Affairs Medical Center, Richmond, Va 23248, USA. daniel.kennedy2@med.va.gov</t>
  </si>
  <si>
    <t>http://ovidsp.ovid.com/ovidweb.cgi?T=JS&amp;CSC=Y&amp;NEWS=N&amp;PAGE=fulltext&amp;D=med4&amp;AN=11833523</t>
  </si>
  <si>
    <t>MEDLINE; Ovid Technologies; Development and implementation of a smoking cessation clinic in community pharmacy practice</t>
  </si>
  <si>
    <t>Kennedy,M. J.;Phan,H.;Benavides,S.;Potts,A.;Sorensen,S.</t>
  </si>
  <si>
    <t>PMC3208440; The role of the pediatric pharmacist in personalized medicine and clinical pharmacogenomics for children: pediatric pharmacogenomics working group</t>
  </si>
  <si>
    <t>The Journal of Pediatric Pharmacology &amp; Therapeutics</t>
  </si>
  <si>
    <t>With the initiatives by the National Institutes of Health and the Food and Drug Administration, pharmacogenomics has now moved from the laboratory to the patient bedside. Over 100 drug-products now contain pharmacogenomic information as part of their labeling. Many of these are commonly used in the pediatric population. Direct-to-consumer genetic test kits also require intervention and guidance from healthcare professionals. This increased trend towards personalized medicine mandates that healthcare professionals develop a working knowledge about pharmacogenomics and its application towards patient care. Because pharmacogenomic testing can provide patient-specific predictors for response to and safety of medications, pharmacists are positioned to play an active role in pharmacogenomic testing, clinical interpretation of results, and recommendations for individualization of drug therapy. Opportunities for pharmacists exist in both inpatient and outpatient settings, such as pharmacist-managed clinical pharmacogenomics consultation services and educating patients and families about pharmacogenomic testing. In addition to clinical roles, pharmacists may also be involved in genetically-influenced drug discovery and development. Given the potential for genetic and age-dependent factors to influence drug selection and dosing, pediatric pharmacists should be involved in the development of dosing recommendations and interprofessional practice guidelines regarding pharmacogenomic testing in pediatric patients. Opportunities to become knowledgeable and competent in pharmacogenomics span from coursework as part of the pharmacy curriculum to postgraduate education (e.g., residencies, fellowships, continuing education). However, there exists a need for additional postgraduate learning opportunities for practicing pharmacists. As a result, the Pediatric Pharmacy Advocacy Group (PPAG) acknowledges a need for increased education of both student and practicing pharmacists, with consideration of special patient populations, such as infants and children. PPAG endorses and advocates for the involvement of pediatric pharmacists in pharmacogenomic testing and in using those results to provide safe and effective medication use in pediatric patients of all ages. Additionally, PPAG strongly encourages pediatric pharmacists to take responsibility for educating patients and their families about the importance of pharmacogenomic testing and its role in the safe and effective use of medications.</t>
  </si>
  <si>
    <t>J2: J; Kennedy, Mary Jayne Phan, Hanna Benavides, Sandra Potts, Amy Sorensen, Susan; ID: 205</t>
  </si>
  <si>
    <t>1551-6776</t>
  </si>
  <si>
    <t>http://ovidsp.ovid.com/ovidweb.cgi?T=JS&amp;CSC=Y&amp;NEWS=N&amp;PAGE=fulltext&amp;D=prem&amp;AN=22477836</t>
  </si>
  <si>
    <t>http://dx.doi.org/10.5863/1551-6776-16.2.118</t>
  </si>
  <si>
    <t>MEDLINE; Ovid Technologies; The role of the pediatric pharmacist in personalized medicine and clinical pharmacogenomics for children: pediatric pharmacogenomics working group</t>
  </si>
  <si>
    <t>Keramati,M.;Gutkin,B.</t>
  </si>
  <si>
    <t>PMC3634778; Imbalanced decision hierarchy in addicts emerging from drug-hijacked dopamine spiraling circuit</t>
  </si>
  <si>
    <t>e61489</t>
  </si>
  <si>
    <t>Algorithms;Basal Ganglia/de Drug Effects];Basal Ganglia/me Metabolism];*Behavior, Addictive/px Psychology];Computer Simulation;Cues;*Decision Making;*Dopamine/me Metabolism];Humans;*Models, Psychological;Motivation;Reinforcement (Psychology);Reward;*Substance-Related Disorders/px Psychology];VTD58H1Z2X (Dopamine)</t>
  </si>
  <si>
    <t>Despite explicitly wanting to quit, long-term addicts find themselves powerless to resist drugs, despite knowing that drug-taking may be a harmful course of action. Such inconsistency between the explicit knowledge of negative consequences and the compulsive behavioral patterns represents a cognitive/behavioral conflict that is a central characteristic of addiction. Neurobiologically, differential cue-induced activity in distinct striatal subregions, as well as the dopamine connectivity spiraling from ventral striatal regions to the dorsal regions, play critical roles in compulsive drug seeking. However, the functional mechanism that integrates these neuropharmacological observations with the above-mentioned cognitive/behavioral conflict is unknown. Here we provide a formal computational explanation for the drug-induced cognitive inconsistency that is apparent in the addicts' "self-described mistake". We show that addictive drugs gradually produce a motivational bias toward drug-seeking at low-level habitual decision processes, despite the low abstract cognitive valuation of this behavior. This pathology emerges within the hierarchical reinforcement learning framework when chronic exposure to the drug pharmacologically produces pathologicaly persistent phasic dopamine signals. Thereby the drug hijacks the dopaminergic spirals that cascade the reinforcement signals down the ventro-dorsal cortico-striatal hierarchy. Neurobiologically, our theory accounts for rapid development of drug cue-elicited dopamine efflux in the ventral striatum and a delayed response in the dorsal striatum. Our theory also shows how this response pattern depends critically on the dopamine spiraling circuitry. Behaviorally, our framework explains gradual insensitivity of drug-seeking to drug-associated punishments, the blocking phenomenon for drug outcomes, and the persistent preference for drugs over natural rewards by addicts. The model suggests testable predictions and beyond that, sets the stage for a view of addiction as a pathology of hierarchical decision-making processes. This view is complementary to the traditional interpretation of addiction as interaction between habitual and goal-directed decision systems.</t>
  </si>
  <si>
    <t>J2: PLoS ONE; Keramati, Mehdi Gutkin, Boris; ID: 136</t>
  </si>
  <si>
    <t>Keramati,Mehdi. Group for Neural Theory, INSERM U960, Departement des Etudes Cognitives, Ecole Normale Superieure, Paris, France. Mr.Mehdi.Keramati@gmail.com</t>
  </si>
  <si>
    <t>http://ovidsp.ovid.com/ovidweb.cgi?T=JS&amp;CSC=Y&amp;NEWS=N&amp;PAGE=fulltext&amp;D=medl&amp;AN=23637842</t>
  </si>
  <si>
    <t>http://dx.doi.org/10.1371/journal.pone.0061489</t>
  </si>
  <si>
    <t>MEDLINE; Ovid Technologies; Imbalanced decision hierarchy in addicts emerging from drug-hijacked dopamine spiraling circuit</t>
  </si>
  <si>
    <t>Khalili,H.;Farsaei,S.;Rezaee,H.;Dashti-Khavidaki,S.</t>
  </si>
  <si>
    <t>Role of clinical pharmacists' interventions in detection and prevention of medication errors in a medical ward</t>
  </si>
  <si>
    <t>Adult;Aged;*Anti-Infective Agents/tu Therapeutic Use];*Communicable Diseases/dt Drug Therapy];Drug Interactions;Female;*Health Knowledge, Attitudes, Practice;Hospital Units;Hospitals, Teaching;Humans;Iran;Male;Medical Records;*Medication Errors/pc Prevention &amp; Control];Medication Errors/sn Statistics &amp; Numerical Data];Middle Aged;Odds Ratio;Pharmacists/sn Statistics &amp; Numerical Data];*Pharmacists;Pharmacy Service, Hospital/sn Statistics &amp; Numerical Data];*Pharmacy Service, Hospital;*Professional Role;Regression Analysis;Risk Assessment;Risk Factors;Young Adult;0 (Anti-Infective Agents)</t>
  </si>
  <si>
    <t>OBJECTIVE: Frequency and type of medication errors and role of clinical pharmacists in detection and prevention of these errors were evaluated in this study. METHOD: During this interventional study, clinical pharmacists monitored 861 patients' medical records and detected, reported, and prevented medication errors in the infectious disease ward of a major referral teaching hospital in Tehran, Iran. Error was defined as any preventable events that lead to inappropriate medication use related to the health care professionals or patients regardless of outcomes. Classification of the errors was done based on Pharmaceutical Care Network Europe Foundation drug-related problem coding. RESULTS: During the study period, 112 medication errors (0.13 errors per patient) were detected by clinical pharmacists. Physicians, nurses, and patients were responsible for 55 (49.1%), 54 (48.2%), and 3 (2.7%) of medication errors, respectively. Drug dosing, choice, use and interactions were the most causes of error in medication processes, respectively. All of these errors were detected, reported, and prevented by infectious diseases ward clinical pharmacists. CONCLUSION: Medication errors occur frequently in medical wards. Clinical pharmacists' interventions can effectively prevent these errors. The types of errors indicate the need for continuous education and implementation of clinical pharmacist's interventions.</t>
  </si>
  <si>
    <t>J2: Int J Clin Pharm; Khalili, Hossein Farsaei, Shadi Rezaee, Haleh Dashti-Khavidaki, Simin; ID: 239</t>
  </si>
  <si>
    <t>Khalili,Hossein. Department of Clinical Pharmacy, Faculty of Pharmacy, Tehran University of Medical Sciences, Tehran, Iran. khalilih@tums.ac.ir</t>
  </si>
  <si>
    <t>http://ovidsp.ovid.com/ovidweb.cgi?T=JS&amp;CSC=Y&amp;NEWS=N&amp;PAGE=fulltext&amp;D=med5&amp;AN=21394569</t>
  </si>
  <si>
    <t>http://dx.doi.org/10.1007/s11096-011-9494-1</t>
  </si>
  <si>
    <t>MEDLINE; Ovid Technologies; Role of clinical pharmacists' interventions in detection and prevention of medication errors in a medical ward</t>
  </si>
  <si>
    <t>Khan,I.</t>
  </si>
  <si>
    <t>Pharmacy education and drug abuse in Pakistan</t>
  </si>
  <si>
    <t>World health forum</t>
  </si>
  <si>
    <t>World Health Forum</t>
  </si>
  <si>
    <t>*Education, Pharmacy;Legislation, Drug;Pakistan;*Substance-Related Disorders/pc Prevention &amp; Control]</t>
  </si>
  <si>
    <t>J2: World Health Forum; Khan, I; ID: 655</t>
  </si>
  <si>
    <t>0251-2432</t>
  </si>
  <si>
    <t>http://ovidsp.ovid.com/ovidweb.cgi?T=JS&amp;CSC=Y&amp;NEWS=N&amp;PAGE=fulltext&amp;D=med3&amp;AN=1637476</t>
  </si>
  <si>
    <t>MEDLINE; Ovid Technologies; Pharmacy education and drug abuse in Pakistan</t>
  </si>
  <si>
    <t>Khazaei Koohpar,Z.;Hashemi,M.;Mahdian,R.;Parivar,K.;Author,Addresses;Department,of;Biology,Science;Research Branch, Islamic Azad University,Tehran Iran;Department of Genetics, Islamic Azad University,Tehran Medical;Branch,Tehran Iran;Biotechnology Research Center, Molecular,Medicine Department;Pasteur Institute,of Iran;Correspondence,Address;Khazaei Koohpar, Department of Biology Science,Z.;Research,Branch;Islamic Azad University, Tehran Iran Email Z Khazaei,yahoo com</t>
  </si>
  <si>
    <t>The effect of pentoxifylline on bcl-2 gene expression changes in hippocampus after long-term use of ecstasy in wistar rats</t>
  </si>
  <si>
    <t>(MAJOR FOCUS);3,4 methylenedioxymethamphetamine (drug toxicity);pentoxifylline (drug development, intraperitoneal drug administration);protein bcl 2 (endogenous compound);unclassified drug;gene expression;animal experiment;animal tissue;article;controlled study;hippocampus;male;neurotoxicity;nonhuman;rat;real time polymerase chain reaction;reverse transcription;RNA isolation;pentoxifylline (6493-05-6);protein bcl 2 (219306-68-0);Neurology and Neurosurgery (8);Drug Literature Index (37);Toxicology (52)</t>
  </si>
  <si>
    <t>3,4-Methylenedioxymethamphetamine (MDMA or "Ecstasy") is a psychoactive and hallucinogenic drug of abuse. MDMA has been shown to produce neurotoxicity both in animals and humans. Recently, the vasodilator drugs such as pentoxifylline is one of the new strategies which have been considered as neuro Protector. In this study effect of pentoxifylline on bcl-2 gene expression changes in hippocampus of rat following long- term use of ecstasy was investigated. 30 male Wistar rats weighing 250-300 g were randomly divided into 5 groups: control (normal), sham (MDMA injection), experimental 1 (MDMA and then PTX injections), experimental 2 (PTX injection and after 1 week, MDMA injection) and vehicle (saline injection) groups. All drugs were injected intraperitoneally.Two weeks later, the hippocampus were removed for studying the changes in bcl-2 gene expression. We used quantitative real time PCR for detection of bcl-2 gene expression in treated groups and then compared them to control samples. The results showed the gene dosage ratio of 0.49, 0.78 and 1.17 for sham, experimental 1 and experimental 2 groups, respectively. The results also showed the bcl-2 gene expression declined in sham group as compared to the experimental groups. Furthermore, we observed a significant difference in the bcl-2 gene expression between sham and experimental 2 groups. We conclude that quantitative real time PCR could be used as a direct method for the detection of bcl-2 gene expression in tested and normal samples. ‚î¨‚åê 2013 by School of Pharmacy.</t>
  </si>
  <si>
    <t>(Khazaei Koohpar Z., Z_Khazaei09@yahoo.com; Parivar K.) (Hashemi M.) (Mahdian R.) Iranian Journal of Pharmaceutical Research, P.O. Box 14155-6153, Vali-e-Asr Avenue, Niayesh Junction, Tehran, Iran.; ID: 998</t>
  </si>
  <si>
    <t>Khazaie,H.;Rezaie,L.;de Jong,D. M.</t>
  </si>
  <si>
    <t>Dropping out of outpatient psychiatric treatment: a preliminary report of a 2-year follow-up of 1500 psychiatric outpatients in Kermanshah, Iran</t>
  </si>
  <si>
    <t>General hospital psychiatry</t>
  </si>
  <si>
    <t>Gen.Hosp.Psychiatry</t>
  </si>
  <si>
    <t>Adolescent;Adult;Age Distribution;Female;Follow-Up Studies;Humans;Iran/ep Epidemiology];Male;Medication Adherence/sn Statistics &amp; Numerical Data];Mental Disorders/ep Epidemiology];*Mental Disorders/th Therapy];*Outpatients/sn Statistics &amp; Numerical Data];*Patient Compliance/sn Statistics &amp; Numerical Data];Patient Dropouts/px Psychology];*Patient Dropouts/sn Statistics &amp; Numerical Data];Psychotherapy;Psychotic Disorders/ep Epidemiology];Psychotic Disorders/th Therapy];Psychotropic Drugs/tu Therapeutic Use];Schizophrenia/ep Epidemiology];Schizophrenia/th Therapy];Sex Distribution;Substance-Related Disorders/ep Epidemiology];Substance-Related Disorders/th Therapy];Young Adult;0 (Psychotropic Drugs)</t>
  </si>
  <si>
    <t>BACKGROUND: Outpatient psychiatric treatment provides both psychotherapy and pharmacotherapy for a large portion of psychiatric patients. Dropping out, or early termination of treatment, may be considered a common barrier to outpatient's psychiatric treatment. There are limited studies on this issue in Iran. The current study aimed to examine rates, predictors and reasons of dropping out of an outpatient psychiatric treatment. MATERIALS AND METHOD: In this 6-month cohort study, 1500 outpatients who visited 10 psychiatrist's offices in the Iranian city of Kermanshah were recruited and followed for 2 years (2009-2011) for recommended treatments including admission to hospital, pharmacotherapy, psychotherapy and a combination of both psychotherapy and pharmacotherapy. Characteristics of patients who dropped out of the current study were collected, and reasons for dropping out were collected via phone or in person interview. RESULTS: Dropouts were prevalent in prescribed treatments. Pretreatment (primary) dropout rates in psychotherapy treatment were 4 times greater than dropout rates in pharmacotherapy treatment (80% and 20%, respectively). There were significance differences between dropouts and non-dropouts of pharmacotherapy with respect to patient characteristics; younger age, male gender, low level of education, unemployment, lack of insurance, new cases and divorce were more prevalent among dropouts (P&lt;.001). With regard to diagnosis, dropping out was more prevalent among patients with substance-related disorders, schizophrenia and other psychotic disorders when compared to other diagnoses (P&lt;.001). Commonly reported reasons for dropping out included overslept and too ill to attend treatment and fear of becoming addicted to prescribed psychotropic medication (30% and 18%, respectively). Lack of confidence in therapist ability and lack of confidence in the efficacy of the treatment were more prevalent in patients who dropped out of psychotherapy (P&lt;.001). CONCLUSION: Patient dropout is a common problem in outpatient psychiatric treatment, particularly in psychotherapy treatment. Further research on reasons for dropping out and strategies to reduce rates of dropouts is recommended.Copyright ‚î¨‚åê 2013 Elsevier Inc. All rights reserved.</t>
  </si>
  <si>
    <t>J2: Gen Hosp Psychiatry; Khazaie, Habibolah Rezaie, Leeba de Jong, Desiree M S0163-8343(12)00326-X; ID: 126</t>
  </si>
  <si>
    <t>1873-7714</t>
  </si>
  <si>
    <t>Khazaie,Habibolah. Sleep Research Center, Department of Psychiatry, Kermanshah University of Medical Sciences, Kermanshah 6719851151, Iran.</t>
  </si>
  <si>
    <t>http://ovidsp.ovid.com/ovidweb.cgi?T=JS&amp;CSC=Y&amp;NEWS=N&amp;PAGE=fulltext&amp;D=medl&amp;AN=23265950</t>
  </si>
  <si>
    <t>http://dx.doi.org/10.1016/j.genhosppsych.2012.10.008</t>
  </si>
  <si>
    <t>MEDLINE; Ovid Technologies; Dropping out of outpatient psychiatric treatment: a preliminary report of a 2-year follow-up of 1500 psychiatric outpatients in Kermanshah, Iran</t>
  </si>
  <si>
    <t>Khdour,M. R.;Alayasa,K. S.;Alshahed,Q. N.;Hawwa,A. F.</t>
  </si>
  <si>
    <t>Physicians' perceptions, attitudes and expectations regarding the role of hospital-based pharmacists in the West Bank, Palestine</t>
  </si>
  <si>
    <t>Adult;*Attitude of Health Personnel;Female;Humans;Male;Medication Errors/pc Prevention &amp; Control];Middle Aged;Middle East;Patient Education as Topic/mt Methods];*Pharmacists/og Organization &amp; Administration];*Pharmacy Service, Hospital/og Organization &amp; Administration];*Physicians/px Psychology];Professional Role;Surveys and Questionnaires</t>
  </si>
  <si>
    <t>OBJECTIVE: To evaluate the perceptions, expectations and experiences of physicians with regard to hospital-based pharmacists in the West Bank, Palestine. METHODS: A self-administered questionnaire was distributed to 250 physicians practising in four general hospitals in the West Bank, Palestine. The main sections of the questionnaire comprised a series of statements pertaining to physicians' perceptions, expectations and experiences with pharmacists. KEY FINDINGS: One hundred and fifty seven questionnaires were completed and returned (response rate, 62.8%). The majority of respondents were most comfortable with pharmacists detecting and preventing prescription errors (76.4%; 95% confidence interval (CI) 69.5-81.2%) and patient education (57.9%; CI 51.2-63.4%) but they were not comfortable with pharmacists suggesting the use of prescription medications to patients (56.7%; CI 49.8-62.4%). Most physicians (62.4%; CI 56.8-69.1%) expected the pharmacist to educate their patients about the safe and appropriate use of their medication. However, approximately one-third (31.7%; CI 26.0-39.6%) did not expect pharmacists to be available for consultation during rounds. Physicians' experiences with pharmacists were less favourable; whereas 77% (CI 70.2-81.5%) of the physicians agreed that pharmacists were always a reliable source of information, only 11.5% (CI 6.2-16.4%) agreed that pharmacists appeared to be willing to take responsibility for solving any drug-related problems. CONCLUSION: The present study showed that hospital physicians are more likely to accept traditional pharmacy services than newer clinical services for hospital-based pharmacists in the West Bank, Palestine. Pharmacists should therefore interact more positively and more frequently with physicians. This will close the gap between the physicians' commonly held perceptions of what they expect pharmacists to do and what pharmacists can actually do, and gain support for an extended role of hospital-based pharmacists in future patient therapy management.Copyright ‚î¨‚åê 2012 The Authors. IJPP ‚î¨‚åê 2012 Royal Pharmaceutical Society.</t>
  </si>
  <si>
    <t>J2: Int J Pharm Pract; Khdour, Maher R Alayasa, Kawther S Alshahed, Qusai N Hawwa, Ahmed F; ID: 129</t>
  </si>
  <si>
    <t>Khdour,Maher R. Faculty of Pharmacy, Al-Quds University, Jerusalem, Palestine. mkhdour@pharm.alquds.edu</t>
  </si>
  <si>
    <t>http://ovidsp.ovid.com/ovidweb.cgi?T=JS&amp;CSC=Y&amp;NEWS=N&amp;PAGE=fulltext&amp;D=medl&amp;AN=23418962</t>
  </si>
  <si>
    <t>http://dx.doi.org/10.1111/j.2042-7174.2012.00246.x</t>
  </si>
  <si>
    <t>MEDLINE; Ovid Technologies; Physicians' perceptions, attitudes and expectations regarding the role of hospital-based pharmacists in the West Bank, Palestine</t>
  </si>
  <si>
    <t>Khilnani,G.;Author,Addresses;Gmers,Medical College;Gujarat,India;Correspondence,Address;Khilnani, Gmers Medical College Dharpur Patan Gujarat India Email,G.;drgurudas@gmail.com</t>
  </si>
  <si>
    <t>Need for restructuring practical pharmacology undergraduate curriculum</t>
  </si>
  <si>
    <t>National Journal of Physiology, Pharmacy and Pharmacology</t>
  </si>
  <si>
    <t>antibiotic agent;bisphosphonic acid derivative;glyceryl trinitrate;insulin;metformin;theophylline;voglibose;curriculum development;pharmacological science;antibiotic resistance;awareness;communication skill;cost effectiveness analysis;drug dosage form;drug efficacy;drug misuse;drug release;drug safety;drug treatment failure;editorial;human;medical education;medication error;pharmacoeconomics;practice guideline;prescription;skill;unspecified side effect;glyceryl trinitrate (55-63-0);insulin (9004-10-8);metformin (1115-70-4, 657-24-9);theophylline (58-55-9, 5967-84-0, 8055-07-0, 8061-56-1, 99007-19-9);voglibose (112653-29-9, 83480-29-9);Public Health, Social Medicine and Epidemiology (17);Drug Literature Index (37)</t>
  </si>
  <si>
    <t>With the advent of new curriculum of pharmacology and availability of precompounded, 'ready to use' dosage forms, clinical pharmacy has replaced the conventional dispensing pharmacology. Current curriculum incorporates several exercises in accordance to MCI recommendations but several clinically and therapeutically relevant aspects remain to be considered (vide infra). Forgotten is an art of preparing mixtures and lotions extemporaneously. Many things were learnt during preparations of various dosage forms.</t>
  </si>
  <si>
    <t>(Khilnani G., drgurudas@gmail.com) Association of Physiologists, Pharmacists and Pharmacologist, Govt. Medical College and New Civil Hospital, Majura Gate, Surat, Gujarat, India.; ID: 918</t>
  </si>
  <si>
    <t>2320-4672 2231-3206 (electronic)</t>
  </si>
  <si>
    <t>2014025231 FULL TEXT LINK http://dx.doi.org/10.5455/njppp.2014.4.010120141</t>
  </si>
  <si>
    <t>Khodayar,M. J.;Taherzadeh,E.;Siahpoosh,A.;Mansourzadeh,Z.;Tabatabaei,S. A. H.;Author,Addresses;Toxicology Research Center, Department of,Pharmacology and;Toxicology,School of Pharmacy Ahvaz Jundishapur University of Medical;Sciences,Ahvaz Iran;Medicinal,Plants;Natural Products Research Center, School,of Pharmacy;Ahvaz Jundishapur University of,Medical Sciences;Arvand,International Division;University of,Medical Sciences;Correspondence,Address;Taherzadeh,Department of Pharmacology,E.;Toxicology,Toxicology;Research Center, School of Pharmacy Ahvaz Jundishapur University,of Medical;Sciences,Ahvaz Iran Email jkhodayar yahoo com</t>
  </si>
  <si>
    <t>Thymus daenensis extract and essential oils effects on morphine withdrawal signs in mice</t>
  </si>
  <si>
    <t>9:3 Article Number: e9959.</t>
  </si>
  <si>
    <t>(MAJOR FOCUS);essential oil (drug comparison, drug development, drug therapy,;intraperitoneal drug administration);plant extract (drug comparison, drug development, drug therapy,;Thymus daenensis essential oil (drug comparison, drug development, drug;therapy, intraperitoneal drug administration);Thymus daenensis extract (drug comparison, drug development, drug therapy,;diazepam;morphine sulfate;naloxone;unclassified drug;withdrawal syndrome (drug therapy, drug therapy);animal experiment;article;controlled study;defecation;diarrhea;jumping;male;medicinal plant;morphine addiction;mouse;nonhuman;standing;Thymus (plant);Thymus daenensis;diazepam (439-14-5);morphine sulfate (23095-84-3, 35764-55-7, 64-31-3);naloxone (357-08-4, 465-65-6);Psychiatry (32);Drug Literature Index (37);Drug Dependence, Alcohol Abuse and Alcoholism (40)</t>
  </si>
  <si>
    <t>Background: Thymus species are well known medicinal plants which the previous studies suggested the involvement of the opioid system in them. Objectives: This study aimed to investigate the effects of methanolic extract and essential oil of aerial parts of Thymus daenensis (TD), an endemic aromatic medicinal plant of Iran, on morphine withdrawal syndrome in mice. Materials and Methods: Experiments were performed in two groups of five, each group treated with extracts or essential oils of TD. Dependency was induced by subcutaneous injection of morphine for three consecutive days. On the fourth day, the last dose of morphine was injected two hours prior to intraperitoneal injection of naloxone while the extract or essential oil of TD was administered 30 minutes before naloxone. A period of 20 minutes after naloxone injection was considered the critical period of the withdrawal syndrome. The number of jumps, standing, leaning, and the weight of stools were recorded as withdrawal signs. Results: The 200 mg/kg and 400 mg/kg doses of extract and all doses of essential oil decreased significantly the number of jumps, standing, leaning and the weight of stool. Administration of 100 mg/kg of extract only decreased the weight of stool and had no effect on the other factors. Conclusions: Extract and essential oil of TD attenuates morphine withdrawal behaviors in mice and may be useful in alleviating the signs and symptoms of opiate withdrawal syndrome in human. ‚î¨‚åê 2014, School of Pharmacy, Ahvaz Jundishapur University of Medical Sciences.</t>
  </si>
  <si>
    <t>(Khodayar M.J.) (Taherzadeh E., jkhodayar@yahoo.com; Siahpoosh A.; Mansourzadeh Z.) (Tabatabaei S.A.H.) Ahvaz Jundishapur University of Medical Sciences, PO Box 61357-33184, Ahvaz, Tehran, Iran.; ID: 941</t>
  </si>
  <si>
    <t>Khorsandi,P.;Dopheide,J. A.;Author,Addresses;University of,Southern California;Pharmacy,United States;Correspondence,Address;Khorsandi, University of Southern California School of Pharmacy United,P.;States</t>
  </si>
  <si>
    <t>Psychiatric pharmacist management of depression in patients with diabetes</t>
  </si>
  <si>
    <t>hemoglobin;hemoglobin A1c;college;diabetes mellitus;human;patient;pharmacist;bipolar disorder;cardiovascular risk;diagnosis;diet restriction;disability;diseases;ethnicity;follow up;gender;general practitioner;glucose blood level;glycemic control;health care personnel;health care utilization;medical record review;mortality;physician;primary medical care;remission;schizophrenia;self care;substance abuse;therapy;weight</t>
  </si>
  <si>
    <t>Objective: The aim of this study is to compare the outcome of depression management in patients with diabetes referred to the psychiatric pharmacist compared to patients whose depression was managed by their primary care clinician. Background: Depression and diabetes are both highly prevalent disorders, each with their own respective negative consequences when left untreated. The presence of untreated depression in patients with diabetes has been associated with a multitude of negative consequences, including poor self-care and treatment adherence, worsening glycemic control, increase in severity or number of diabetic complications, increased likelihood of cardiovascular risk factors, higher rates of functional disability, increase in health care use and expenditures and higher all cause mortality. A growing body of evidence suggests that collaborative care between primary care physicians and other healthcare providers may be an effective intervention to improve quality of care and outcomes in patients with depression and diabetes. Methods: This study is a retrospective chart review of individuals receiving care for a diagnosis of diabetes and also receiving treatment for depression from the psychiatric pharmacist or their primary care physician. Inclusion criteria for analysis is a diagnosis of diabetes (Type 1 or Type 2) by a physician, a PHQ-9 score Œì√´√ë 10, greater than 17 years of age and being treated for depression by the psychiatric pharmacist or primary care provider. Patients will be excluded if they had a diagnosis of Bipolar Disorder or Schizophrenia, have co-morbid substance abuse not currently in remission or were lost to follow-up. Patients currently receiving an anti-depressant will not be excluded, providing they met the inclusion criteria. Data will be abstracted from the medical chart for each group. Baseline characteristics to be collected include age, gender, weight, BMI, PHQ-9, ethnicity, Axis I diagnosis, co-morbid diagnosis, Hemoglobin A1C (HbA1c), fasting blood glucose (FBG), anti-depressant therapy (if applicable) and type of diabetes. The primary outcome of this study is the change in PHQ-9 score from baseline after four months in patients receiving care from the psychiatric pharmacist compared to those receiving care from their primary care provider. Results: In progress. Conclusion: In progress.</t>
  </si>
  <si>
    <t>(Khorsandi P.; Dopheide J.A.) 15th Annual Meeting of the College of Psychiatric and Neurologic Pharmacists, CPNP 2012 Tampa, FL, United States 2012-04-29 to 2012-05-02 SAGE Publications Inc.; ID: 1161</t>
  </si>
  <si>
    <t>Kiang,T. K. L.;Bains,A.;Feeney,S.;Legal,M.;Lagnado,G.;Author,Addresses;Correspondence,Address;Kiang,T. K. L.</t>
  </si>
  <si>
    <t>Frequency and type of interventions aimed at reducing cardiovascular risk in mental health patients in an urban teaching hospital</t>
  </si>
  <si>
    <t>antihypertensive agent;atypical antipsychotic agent;hydroxymethylglutaryl coenzyme A reductase inhibitor;mood stabilizer;statin (protein);cardiovascular risk;college;human;mental health;patient;pharmacist;teaching hospital;alertness;antihypertensive therapy;cardiovascular disease;consultation;counseling;diabetes mellitus;drug therapy;dyslipidemia;health;hospital;hospitalization;hypertension;monitoring;pharmacy;population;psychiatric department;risk;smoking cessation;therapy</t>
  </si>
  <si>
    <t>Background/Purpose: Mental health patients have an increased risk of cardiovascular disease (CVD). Unfortunately, drugs commonly prescribed in this setting (ie, atypical antipsychotics or mood stabilizers) can further elevate the risk. Although recommended as a part of the routine workup, metabolic monitoring is infrequently done. As well, little is known of the interventions commonly implemented in this patient population to reduce the CVD risk. Endpoints: (i) To characterize the frequency and type of nondrug and drug interventions used to manage CVD risk, (ii) to determine the rate of baseline metabolic monitoring, and (iii) to identify commonly missed pharmacotherapy. Methods: Mental health patients 18 years or older, admitted between July 2008 and October 2009 to psychiatric units in a tertiary, teaching hospital and prescribed regularly scheduled atypical antipsychotics or mood stabilizers were included. Patients were excluded if they were discharged within 3 days of hospital stay. Health records for these individuals were analyzed retrospectively. Results: A high proportion (77%) received interventions to reduce their CVD risk, and nonpharmacological interventions (68%) were more common than pharmacological interventions (41%). The most common nonpharmacological interventions were professional consultation, metabolic monitoring, and recommendation provided at time of discharge. Pharmacotherapy directed toward the management of hypertension, diabetes, and dyslipidemia were the frequent pharmacological interventions. Only 40% of the study population received baseline metabolic monitoring. Equally alarming is the large proportion (57%) of the study population that would benefit from additional pharmacotherapy. When categorized by drug or drug class, the commonly missed interventions were statin, smoking cessation, and antihypertensive therapies. Conclusions: A high proportion of the study population received interventions aimed at reducing CVD risk. There are opportunities for additional interventions to reduce CVD risk: (i) streamlined metabolic monitoring, (ii) routine smoking cessation counseling and drug therapy, (iii) enhanced prescribing of statins, ASA, and antihypertensive agents where indicated. Recommendations: Œì√á√≥ implementation of a comprehensive metabolic monitoring process Œì√á√≥ increased participation by pharmacy and medicine in metabolic clinics Œì√á√≥ enhanced metabolic and smoking cessation counseling Œì√á√≥ increased vigilance for drug-related problems and possible interventions (statin, antihypertensive, smoking cessation, or antiplatelet therapy).</t>
  </si>
  <si>
    <t>(Kiang T.K.L.; Bains A.; Feeney S.; Legal M.; Lagnado G.) 14th Annual Meeting of the College of Psychiatric and Neurologic Pharmacists, CPNP 2011 Phoenix, AZ, United States 2011-05-01 to 2011-05-04 Sage Publications; ID: 1286</t>
  </si>
  <si>
    <t>Kieve,M.</t>
  </si>
  <si>
    <t>Adverse drug reactions (ADRs): a patient perspective on assessment and prevention in primary care</t>
  </si>
  <si>
    <t>Quality in Primary Care</t>
  </si>
  <si>
    <t>227 7p</t>
  </si>
  <si>
    <t>Adverse Drug Event;Primary Health Care -- United Kingdom;Adverse Drug Event -- In Pregnancy;Adverse Drug Event -- Prevention and Control;Depression -- Chemically Induced;Education, Medical;Family Practice;Female;Fluoxetine -- Adverse Effects;Iatrogenic Disease;Isotretinoin -- Adverse Effects;Nursing Role;Pharmacy and Pharmacology -- Education;Pregnancy;Proton Pump Inhibitors -- Adverse Effects;Rhabdomyolysis -- Chemically Induced;Substance Withdrawal, Controlled;Suicide -- Chemically Induced;United Kingdom;Voluntary Reporting</t>
  </si>
  <si>
    <t>A British Medical Association (BMA) report Reporting Adverse Drug Reactions, May 2006, estimated that 250 000 people a year are admitted to hospital suffering harmful effects of prescription drugs at a cost to the NHS of about ‚î¨√∫466 million a year. This is based on a 2004 study of hospital admissions. The BMA report draws attention to a crisis in public health that is largely being ignored and considers how medical education is failing both patients and doctors. The number of patients suffering and deaths due to adverse drug reactions (ADRs), addiction and withdrawal problems is underestimated, often unrecognised and not well reported. Ignoring the problem is costly in financial and human terms. The following paper describes the importance of the patient experience and recommends the need for systematic changes in practice and education of both the profession and the public in the recognition of ADRs. The paper includes recommendations for primary care trusts to be proactive in encouraging professional and patient Yellow Card ADR reporting, and to remind doctors of their moral duty to inform coroners of possible ADRs that may have preceded sudden death, suicide or fatal accidents. The paper concludes by emphasising the need for good practice in monitoring the sideeffects of medicines, in order that patients gain the maximum benefits from their medicines.</t>
  </si>
  <si>
    <t>Entry Date: 20071130. Revision Date: 20150820. Publication Type: Journal Article. Journal Subset: Editorial Board Reviewed; Europe; Expert Peer Reviewed; Health Services Administration; Nursing; Peer Reviewed; UK &amp; Ireland. Special Interest: Patient Safety; Public Health; Quality Assurance. NLM UID: 101182136.; ID: 1811</t>
  </si>
  <si>
    <t>1479-1072</t>
  </si>
  <si>
    <t>http://proxy.lib.umich.edu/login?url=http://search.ebscohost.com/login.aspx?direct=true&amp;db=ccm&amp;AN=106200286&amp;site=ehost-live&amp;scope=site</t>
  </si>
  <si>
    <t>ccm; EBSCOhost; Adverse drug reactions (ADRs): a patient perspective on assessment and prevention in primary care</t>
  </si>
  <si>
    <t>Kim,D.;DiPaula,B. A.;Author,Addresses;School of Pharmacy, Fairleigh,Dickinson University;Florham Park,N.J.United States;Springfield Hospital Center, Sykesville,M.D.United States;School of Pharmacy, University of Maryland,Baltimore M.;United,States;Correspondence,Address;Kim, School of Pharmacy Fairleigh Dickinson University Park Ave,D.;M-Sp,Florham</t>
  </si>
  <si>
    <t>A survey of pharmacy experiential learning in substance dependence</t>
  </si>
  <si>
    <t>experiential learning;pharmacy;substance abuse;article;health survey;human;interview;paramedical education;priority journal;staff training;Public Health, Social Medicine and Epidemiology (17);Psychiatry (32);Pharmacy (39)</t>
  </si>
  <si>
    <t>Objective: The role of pharmacists in managing patients with substance use disorders has expanded, since the passage of the Drug Addiction Treatment Act of 2000. However, pharmacy experiential education in substance dependence has never been systematically assessed. Methods: An online survey was administered to the administrators of experiential education in all American Council of Pharmaceutical Education (ACPE)-accredited schools of pharmacy. Results: Of 73 schools that responded (79.3% response rate), ten (13.7%) offered a sole-standing substance dependence experiential education opportunity and two (2.7%) included substance dependence experiential learning as part of their curricular requirement. The greatest barriers to substance dependence experiential learning were lack of preceptors and qualified sites. Conclusion: The extent of pharmacy experiential education in substance dependence is limited and variable. Further research is necessary to determine whether overcoming identified barriers would increase the availability of substance dependence experiential learning offerings. ‚î¨‚åê 2013 Elsevier Inc.</t>
  </si>
  <si>
    <t>(Kim D., dongmi@fdu.edu) (DiPaula B.A.) Elsevier Inc., 360 Park Avenue South, New York, United States.; ID: 928</t>
  </si>
  <si>
    <t>2014038428 FULL TEXT LINK http://dx.doi.org/10.1016/j.cptl.2013.09.007</t>
  </si>
  <si>
    <t>Kim,D. I.;Deutsch,H. M.;Ye,X.;Schweri,M. M.</t>
  </si>
  <si>
    <t>Synthesis and pharmacology of site-specific cocaine abuse treatment agents: restricted rotation analogues of methylphenidate</t>
  </si>
  <si>
    <t>Journal of medicinal chemistry</t>
  </si>
  <si>
    <t>J.Med.Chem.</t>
  </si>
  <si>
    <t>Animals;*Bicyclo Compounds, Heterocyclic/cs Chemical Synthesis];Bicyclo Compounds, Heterocyclic/pd Pharmacology];*Brain/me Metabolism];Citalopram/pd Pharmacology];Cocaine/aa Analogs &amp; Derivatives];Cocaine/pd Pharmacology];*Cocaine-Related Disorders/dt Drug Therapy];Dopamine/me Metabolism];Dopamine Plasma Membrane Transport Proteins/me Metabolism];Fluoxetine/aa Analogs &amp; Derivatives];Fluoxetine/pd Pharmacology];In Vitro Techniques;Male;*Methylphenidate/aa Analogs &amp; Derivatives];*Methylphenidate/cs Chemical Synthesis];Methylphenidate/pd Pharmacology];*Quinolizines/cs Chemical Synthesis];Quinolizines/pd Pharmacology];Radioligand Assay;Rats;Rats, Sprague-Dawley;Serotonin Plasma Membrane Transport Proteins/me Metabolism];Stereoisomerism;Structure-Activity Relationship;0 (1-aza-4-ethyl-5-(3,4-dichlorophenyl)bicyclo(4.4.0)decane);0 (Bicyclo Compounds, Heterocyclic);0 (Dopamine Plasma Membrane Transport Proteins);0 (Quinolizines);0 (Serotonin Plasma Membrane Transport Proteins);01K63SUP8D (Fluoxetine);0DHU5B8D6V (Citalopram);17NV064B2D (nisoxetine);207ZZ9QZ49 (Methylphenidate);50370-56-4 ((1R-(exo,exo))-3-(4-fluorophenyl)-8-methyl-8- azabicyclo(3.2.1)octane-2-carboxylic acid, methyl ester);I5Y540LHVR (Cocaine);VTD58H1Z2X (Dopamine)</t>
  </si>
  <si>
    <t>A series of threo-1-aza-3 or 4-substituted-5-phenyl4.4.0]decanes (quinolizidines), which were envisioned as restricted rotational analogues (RRAs) of methylphenidate (MP), was synthesized and tested for inhibitory potency against (3)H]WIN35,428, 3H]citalopram, and 3H]nisoxetine binding to the dopamine, serotonin, and norepinephrine transporters, respectively. Two different synthetic schemes were used; a Wittig reaction or acylation (followed by an intramolecular condensation) was a key feature of each scheme. The unsubstituted RRA, threo(trans)-1-aza-5-phenyl4.4.0]decane (12a), was equipotent to unconstrained threo-MP against (3)H]WIN35,428 binding. The extra ring in these RRAs (which reduces the conformational freedom) and the orientation and polarity of substituents at the 4-position on this extra ring are of critical importance to the biological activity. Generally, the RRAs paralleled the corresponding unconstrained MP derivatives in binding affinity to the three transporters. The results suggest that the conformation of MP in which the carbonyl group of the methyl ester is H-bonded to the piperidinyl N-H may be the bioactive form of the molecule.</t>
  </si>
  <si>
    <t>J2: J Med Chem; Kim, Deog-Il Deutsch, Howard M Ye, Xiaocong Schweri, Margaret M DA 06305 (United States NIDA NIH HHS) DA 11541 (United States NIDA NIH HHS); ID: 389</t>
  </si>
  <si>
    <t>0022-2623</t>
  </si>
  <si>
    <t>Kim,Deog-Il. School of Chemistry and Biochemistry, Georgia Institute of Technology, Atlanta, Georgia 30332-0400, USA.</t>
  </si>
  <si>
    <t>http://ovidsp.ovid.com/ovidweb.cgi?T=JS&amp;CSC=Y&amp;NEWS=N&amp;PAGE=fulltext&amp;D=med5&amp;AN=17489581</t>
  </si>
  <si>
    <t>MEDLINE; Ovid Technologies; Synthesis and pharmacology of site-specific cocaine abuse treatment agents: restricted rotation analogues of methylphenidate</t>
  </si>
  <si>
    <t>Kimberlin,C. L.;Berardo,D. H.;Pendergast,J. F.;McKenzie,L. C.</t>
  </si>
  <si>
    <t>Effects of an education program for community pharmacists on detecting drug-related problems in elderly patients</t>
  </si>
  <si>
    <t>Aged;Counseling;*Drug-Related Side Effects and Adverse Reactions;*Education, Pharmacy/td Trends];Female;Florida;Follow-Up Studies;Humans;Male;Middle Aged;Patient Compliance;Pharmaceutical Preparations/ad Administration &amp; Dosage];*Professional-Patient Relations;Time Factors;0 (Pharmaceutical Preparations)</t>
  </si>
  <si>
    <t>Community pharmacists are in a position to assume increased responsibility for preventing and resolving drug-related problems in ambulatory patients. Such an expanded role is mandated under provisions of the Omnibus Budget Reconciliation Act of 1990. The need for pharmacist oversight of drug therapy may be most acute in elderly patients. This study reports on a program to teach community pharmacists a process of assessing drug therapy of elderly patients and intervening to correct problems. Community pharmacists (N = 102) were assigned to treatment and control conditions. Both groups targeted patients meeting criteria and enrolled them into the study. Treatment group pharmacists, who participated in a training program, also assessed the medication use of enrolled patients to identify and resolve medication-related problems. Patients (N = 762) were telephoned by researchers 1 month after enrollment for an interview. Comparisons between treatment and control group patients were made on reports of pharmacist activities, knowledge of regimens, compliance, and potential drug therapy problems, such as interactions and side effects. Treatment patients were more likely to report that pharmacists provided information and assessed for problems than were control patients. These differences were maintained on 3-month follow-up questionnaires. No differences were found on the odds that patients indicated misunderstanding of regimens, non-compliance, or potential therapeutic problems.</t>
  </si>
  <si>
    <t>J2: Med Care; Kimberlin, C L Berardo, D H Pendergast, J F McKenzie, L C; ID: 645</t>
  </si>
  <si>
    <t>0025-7079</t>
  </si>
  <si>
    <t>Kimberlin,C L. Department of Pharmacy Health Care Administration, University of Florida, Gainesville 32610.</t>
  </si>
  <si>
    <t>http://ovidsp.ovid.com/ovidweb.cgi?T=JS&amp;CSC=Y&amp;NEWS=N&amp;PAGE=fulltext&amp;D=med3&amp;AN=8501992</t>
  </si>
  <si>
    <t>MEDLINE; Ovid Technologies; Effects of an education program for community pharmacists on detecting drug-related problems in elderly patients</t>
  </si>
  <si>
    <t>Kirby,K. C.;Bickel,W. K.;Author,Addresses;Department of Psychiatry, Medical,College of;Pennsylvania,Philadelphia;Correspondence,Address;KC Kirby, Department of Psychiatry Medical College,of Pennsylvania;Philadelphia</t>
  </si>
  <si>
    <t>7706145; Implications of behavioral pharmacology research for applied behavior analyses: JEAB's special issue celebrating the contributions of Joseph V. Brady (March 1994)</t>
  </si>
  <si>
    <t>Journal of applied behavior analysis</t>
  </si>
  <si>
    <t>J.Appl.Behav.Anal.</t>
  </si>
  <si>
    <t>(MAJOR FOCUS);psychotropic agent;addiction;instrumental conditioning;publication;adult;article;history;human;male;motivation;psychological aspect</t>
  </si>
  <si>
    <t>We review four articles from JEAB's March 1994 issue celebrating the contributions of Joseph V. Brady. These articles have implications for studying private events and for studying multiple operants. We suggest that regularly including self-reports about private events in behavioral pharmacological research has resulted in an accumulated knowledge that has facilitated examination of interesting relations among self-reports, environmental factors, and other observable behaviors. Methodological lessons that behavioral pharmacologists have learned regarding the study of multiple operants are also relayed. We provide examples of how these lessons could be useful to applied behavior analysts studying nonpharmacological issues.</t>
  </si>
  <si>
    <t>(Kirby K.C.; Bickel W.K.); ID: 1697</t>
  </si>
  <si>
    <t>0021-8855</t>
  </si>
  <si>
    <t>http://www.ncbi.nlm.nih.gov/pubmed/7706145</t>
  </si>
  <si>
    <t>Implications of behavioral pharmacology research for applied behavior analyses: JEAB's special issue celebrating the contributions of Joseph V. Brady (March 1994)</t>
  </si>
  <si>
    <t>Kiyatkin,E. A.</t>
  </si>
  <si>
    <t>NIHMS712633 PMC4529070; Critical role of peripheral sensory systems in mediating the neural effects of nicotine following its acute and repeated exposure</t>
  </si>
  <si>
    <t>Reviews in the neurosciences</t>
  </si>
  <si>
    <t>Rev.Neurosci.</t>
  </si>
  <si>
    <t>Animals;Humans;*Nicotine/pd Pharmacology];*Nicotinic Agonists/pd Pharmacology];*Peripheral Nervous System/de Drug Effects];0 (Nicotinic Agonists);6M3C89ZY6R (Nicotine)</t>
  </si>
  <si>
    <t>It is well established that the reinforcing properties of nicotine (NIC) depend on its action on nicotinic acetylcholine receptors expressed by brain neurons. However, when administered systemically, NIC first phasically activates nicotinic receptors located on the afferents of sensory nerves at the sites of drug administration before reaching the brain and directly interacting with central neurons. While this peripheral action of NIC has been known for years, it is usually neglected in any consideration of the drug's reinforcing properties and experience-dependent changes of its behavioral and physiological effects. The goal of this work was to review our recent behavioral, electrophysiological, and physiological data suggesting the critical importance of peripheral actions of NIC in mediating its neural effects following acute drug exposure and their involvement in alterations of NIC effects consistently occurring following repeated drug exposure. Because NIC, by acting peripherally, produces a rapid sensory signal to the central nervous system that is followed by slower, more prolonged direct drug actions in the brain, these two pharmacological actions interact in the central nervous system during repeated drug use with the development of Pavlovian conditioned association. This within-drug conditioning mechanism could explain the experience-dependent changes in the physiological, behavioral, and human psychoemotional effects of NIC, which, in drug-experienced individuals, always represent a combination of pharmacological and learning variables.</t>
  </si>
  <si>
    <t>J2: Rev Neurosci; Kiyatkin, Eugene A /j/revneuro.2014.25.issue-2/revneuro-2013-0067/revneuro-2013-0067.xml ZIA DA000566-05 (United States Intramural NIH HHS); ID: 87</t>
  </si>
  <si>
    <t>0334-1763</t>
  </si>
  <si>
    <t>http://ovidsp.ovid.com/ovidweb.cgi?T=JS&amp;CSC=Y&amp;NEWS=N&amp;PAGE=fulltext&amp;D=medl&amp;AN=24535300</t>
  </si>
  <si>
    <t>http://dx.doi.org/10.1515/revneuro-2013-0067</t>
  </si>
  <si>
    <t>MEDLINE; Ovid Technologies; Critical role of peripheral sensory systems in mediating the neural effects of nicotine following its acute and repeated exposure</t>
  </si>
  <si>
    <t>Kiyatkin,E. A.;Brown,P. L.</t>
  </si>
  <si>
    <t>Brain temperature fluctuations during passive vs. active cocaine administration: clues for understanding the pharmacological determination of drug-taking behavior</t>
  </si>
  <si>
    <t>Brain research</t>
  </si>
  <si>
    <t>Brain Res.</t>
  </si>
  <si>
    <t>Animals;*Behavior, Addictive/pp Physiopathology];*Behavior, Addictive/px Psychology];*Body Temperature/de Drug Effects];Body Temperature/ph Physiology];*Brain/de Drug Effects];Brain/ph Physiology];*Cocaine/ad Administration &amp; Dosage];Male;Rats;Rats, Long-Evans;Self Administration/px Psychology];I5Y540LHVR (Cocaine)</t>
  </si>
  <si>
    <t>While it is generally assumed that cocaine self-administration (SA) is determined and maintained by the pharmacological actions of cocaine in the brain, it is also a drug-motivated and drug-reinforced goal-directed behavior, which is determined by concurrent learning and behavioral performance. To dissociate the contributions of pharmacological and behavioral factors to cocaine SA, it is important to compare cocaine SA with its pharmacological copy, passive intravenous (iv) cocaine administration. This approach was employed in the present study with respect to brain temperatures, a dynamic parameter that reflects metabolic neural activity and shows consistent fluctuations during cocaine SA. Passive cocaine injections performed with the same dose/pattern as SA induced brain temperature fluctuations similar in many ways to those in behaving animals. The initial passive drug administration of a session elevated brain temperature, while subsequent repeated injections were associated with biphasic temperature fluctuations that maintained at a relatively stable plateau. Although the magnitude of these fluctuations was twofold smaller than in behaving animals, passive animals had the same pattern; brain temperatures transiently decreased after cocaine injection, then increased, and were inhibited again by the next cocaine infusion. In contrast to self-administering animals, rats exposed to passive cocaine injections had significantly lower basal temperatures and never showed gradual temperature increases preceding the initial injection. Striking differences in brain temperature dynamics seen in the beginning of a session suggest that during the development of drug-taking behavior the initial cocaine-induced neural activation becomes transformed into behavior-related "anticipatory" neural activation (motivational arousal) that fuels drug seeking and results in the initial drug intake. While this activation is triggered by drug-related cues and enhanced by the initial cocaine intake, subsequent highly cyclical cocaine intakes appear to be primarily pharmacologically determined.</t>
  </si>
  <si>
    <t>J2: Brain Res; Kiyatkin, Eugene A Brown, P Leon; ID: 482</t>
  </si>
  <si>
    <t>Kiyatkin,Eugene A. National Institute on Drug Abuse-Intramural Research Program, National Institutes of Health, DHHS, 5500 Nathan Shock Drive, Baltimore, MD 21224, USA. ekiyatki@intra.nida.nih.gov</t>
  </si>
  <si>
    <t>http://ovidsp.ovid.com/ovidweb.cgi?T=JS&amp;CSC=Y&amp;NEWS=N&amp;PAGE=fulltext&amp;D=med5&amp;AN=15044070</t>
  </si>
  <si>
    <t>MEDLINE; Ovid Technologies; Brain temperature fluctuations during passive vs. active cocaine administration: clues for understanding the pharmacological determination of drug-taking behavior</t>
  </si>
  <si>
    <t>Kjeldsen,L. J.;Clemmensen,M. H.;Hedegaard,U.;Olsen,I.;Nielsen,J. L.;Author,Addresses;Danish,Research Unit;Amgros I/S, K‚îú‚ïïbenhavn ‚îú√ø Denmark;Dept. Clinical,Biochemistry;Pharmacology,University of;Southern Denmark,Odense Denmark;Hospital Pharmacy, Lilleb‚îú¬™lt Hospital,Kolding Denmark;Hospital Pharmacy, Aarhus University,Hospital Skejby;Denmark;Correspondence,Address;LJ Kjeldsen, Danish Research Unit Hospital Pharmacy,Amgros I.;K‚îú‚ïïbenhavn ‚îú√ø,Denmark</t>
  </si>
  <si>
    <t>A clinical pharmacy screening service of risk medications showed room for improvement</t>
  </si>
  <si>
    <t>digoxin;laxative;methotrexate;clinical pharmacy;drug therapy;risk;screening;therapy;anticoagulant therapy;Denmark;hospital;hospital admission;hospital department;human;patient;pharmacist;pharmacy student;physician;prescription;ward</t>
  </si>
  <si>
    <t>Background and objective: The use of risk medications leads to adverse events, hospital admissions and increased economic costs. Hence, risk medications were chosen as the subject for a national clinical pharmacy study in Denmark. The aim was to examine the effect of a national clinical pharmacy screening service of risk medications. Setting and method: The study was performed at 43 wards at hospitals throughout Denmark, and data were collected by 49 clinical pharmacists, 22 pharmaconomists and 10 pharmacy students. According to the literature, five risk medication areas were chosen for the intervention: Anticoagulant therapy, opioids, digoxin, methotrexate and NSAIDs. The intervention included a screening service of patients treated with one or more risk medications admitted to hospital. Potential medication related problems were identified, and recommendations were made to physicians at the ward. Baseline and intervention data were collected during weeks 5-9 in 2011 and weeks 18-22 in 2011, respectively. Main outcome measures: Number of identified risk medications. Results: In total, 2,909 and 2,399 patients were screened in the baseline and intervention periods. Of these patients, 1,458 (50 %) and 1,144 (48 %), respectively, were treated with at least one risk medication. Sufficient data for analysis were available for 1,042 and 804 patients. The risk medication most commonly identified was opioids; 704 (68 %) at baseline and 529 (66 %) during the intervention period. Methotrexate was least frequently identified medication with 20 (1.9 %) and 20 (2.5 %), respectively. During the intervention period one prescription of methotrexate daily instead of weekly was identified and the suggested recommendation was accepted Lack of concurrent treatment with opioids and laxatives was the most commonly identified problem; 204 (29 %) at baseline and 91 (17 %) during the intervention period. In the intervention period, 37 recommendations of addition of laxative were accepted, 26 refused and 28 had no response. Conclusions: The study showed that a national generic clinical pharmacy service on risk medications in the Danish hospital setting could effectively identify drug-related problems associated with risk medications. Room for improvement still exists regarding acceptance of the suggested recommendations.</t>
  </si>
  <si>
    <t>(Kjeldsen L.J.; Clemmensen M.H.) (Hedegaard U.) (Olsen I.) (Nielsen J.L.) 41st ESCP Symposium on Clinical Pharmacy: Personalised and Safe Therapy Barcelona, Spain 2012-10-29 to 2012-10-31 Springer Netherlands; ID: 994</t>
  </si>
  <si>
    <t>Klech,H.;Brooksbank,C.;Price,S.;Verpillat,P.;Buhler,F. R.;Dubois,D.;Haider,N.;Johnson,C.;Linden,H. H.;Payton,T.;Renn,O.;See,W.</t>
  </si>
  <si>
    <t>European initiative towards quality standards in education and training for discovery, development and use of medicines</t>
  </si>
  <si>
    <t>European Journal of Pharmaceutical Sciences</t>
  </si>
  <si>
    <t>*Biomedical Research/ed Education];Biomedical Research/st Standards];*Drug Discovery/ed Education];*Drug Discovery/st Standards];*Drug Industry/ed Education];Drug Industry/st Standards];*Education, Pharmacy, Continuing/st Standards];Europe;Humans;*Pharmaceutical Preparations/st Standards];*Research/ed Education];Research/st Standards];Substance-Related Disorders;0 (Pharmaceutical Preparations)</t>
  </si>
  <si>
    <t>This position paper recommends a set of standards for quality assessment of continuing professional development (CPD) for medicines research and development (R&amp;D). We have developed these standards to help us achieve the education and training goals of the Innovative Medicines Initiative (IMI; www.imi.europa.eu/), which is developing courses to address the skills gaps in European medicines R&amp;D. The IMI shared standard for course quality will enable professionals in medicines R&amp;D to create a personalized portfolio of education and training that best suits their needs. Individuals already working in the pharmaceutical industry will be able to select modules for study on an as-needs basis, which may be combined to gain a qualification that is recognized throughout Europe. By seeking input from the medicines R&amp;D community, especially professional bodies involved in the career development of biomedical scientists, we hope to initiate the creation of a mutually recognized framework for lifelong learning in medicines R&amp;D. The shared standards call for defined and transparent admission criteria, a predefined set of teaching objectives leading to defined learning outcomes, assessment of the students' achievement, a system for collecting, assessing and addressing feedback, and provision of appropriate and updated reference material. This framework will make it easier for professionals to develop the skills required by industry, and easier for employers to recognize professionals with appropriate skills. It will obviate some of the need for retraining personnel who have already developed appropriate skills in a different setting, thereby saving the industry additional effort. Fulfilment of quality standards by course providers will be made transparent within the IMI's catalogue of courses, on-course (www.on-course.eu), which will be made publicly available during 2012.Copyright ‚î¨‚åê 2011. Published by Elsevier B.V.</t>
  </si>
  <si>
    <t>J2: Eur J Pharm Sci; Klech, Heinrich Brooksbank, Cath Price, Shirley Verpillat, Patrice Buhler, Fritz R Dubois, Dominique Haider, Norbert Johnson, Claire Linden, Hans H Payton, Tony Renn, Oliver See, Wolf; ID: 200</t>
  </si>
  <si>
    <t>1879-0720</t>
  </si>
  <si>
    <t>Klech,Heinrich. PharmaTrain, Vienna School of Clinical Research, Campus Biocenter Vienna, Helmut-Qualtinger str. 2, 1030 Vienna, Austria. heinrich.klech@vscr.at</t>
  </si>
  <si>
    <t>http://ovidsp.ovid.com/ovidweb.cgi?T=JS&amp;CSC=Y&amp;NEWS=N&amp;PAGE=fulltext&amp;D=medl&amp;AN=22178534</t>
  </si>
  <si>
    <t>http://dx.doi.org/10.1016/j.ejps.2011.12.005</t>
  </si>
  <si>
    <t>MEDLINE; Ovid Technologies; European initiative towards quality standards in education and training for discovery, development and use of medicines</t>
  </si>
  <si>
    <t>Klein,S. J.;Harris-Valente,K.;Candelas,A. R.;Radigan,M.;Narcisse-Pean,M.;Tesoriero,J. M.;Birkhead,G. S.</t>
  </si>
  <si>
    <t>PMC3455869; What do pharmacists think about New York state's new nonprescription syringe sale program? Results of a survey</t>
  </si>
  <si>
    <t>*Attitude of Health Personnel;Commerce;Data Collection;Humans;Information Systems;Medical Waste Disposal;New York;Pharmacies/ut Utilization];*Pharmacists/px Psychology];Pharmacists/sn Statistics &amp; Numerical Data];Pilot Projects;Substance Abuse, Intravenous;*Syringes/sd Supply &amp; Distribution];0 (Medical Waste Disposal)</t>
  </si>
  <si>
    <t>Access to sterile syringes can prevent transmission of blood-borne diseases such as human immunodeficiency virus (HIV) and hepatitis B and C. We conducted survey of attitudes of pharmacists to aid in development of the Expanded Syringe Access Demonstration Program (ESAP) in New York State. ESAP is an HIV prevention initiative that authorizes nonprescription sale of hypodermic needles and syringes by registered pharmacies in New York State beginning January 1, 2001. As part of planning for program implementation, the New York State Department of Health (NYSDOH), in collaboration with the New York State Education Department, conducted mailed survey of all 4, 392 licensed pharmacies in New York State during the summer of 2000. Some surveys (171) were returned as undeliverable. Of the 4,221 eligible respondents, 874 (20.7%) completed surveys were received, of which 574 (65.7%) indicated that their pharmacy would likely participate in ESAP. An additional 11.0% were not sure. Only 139 (15.9%) indicated that they would definitely not participate; 7.4% left this question blank. There were 608 responses to questions on safe disposal practices. Of these, 315 (51.8%) respondents indicated that their pharmacy sold sharps containers, and an additional 29 made them available at no cost. Only 133 (21.9%) respondents to this question did not offer sharps containers and were not interested in doing so. In all, 54 responses indicated that they accepted used hypodermic needles and syringes for disposal. Some (170, 28%) that did not accept sharps for disposal were interested in doing so. More than half (382, 63.0%) did not wish to do so. NYSDOH considered respondent suggestions and minimized ESAP requirements. By March 31, 2001, only 3 months after ESAP became effective, more than half of all licensed pharmacies in New York State were registered for ESAP. Survey results provided useful information to NYSDOH and good indication of likelihood of registration. The high level of pharmacy participation in ESAP may be reflective of NYSDOH attention to issues raised by pharmacists, as well as the direct effects of outreach to pharmacy chains regarding ESAP.</t>
  </si>
  <si>
    <t>J2: J Urban Health; Klein, S J Harris-Valente, K Candelas, A R Radigan, M Narcisse-Pean, M Tesoriero, J M Birkhead, G S U62/CCU202061-16 (United States ODCDC CDC HHS); ID: 532</t>
  </si>
  <si>
    <t>Klein,S J. The AIDS Institute, New York State Department of Health, Albany, New York 12237-0684, USA. sjk06@health.state.ny.us</t>
  </si>
  <si>
    <t>http://ovidsp.ovid.com/ovidweb.cgi?T=JS&amp;CSC=Y&amp;NEWS=N&amp;PAGE=fulltext&amp;D=med4&amp;AN=11796814</t>
  </si>
  <si>
    <t>MEDLINE; Ovid Technologies; What do pharmacists think about New York state's new nonprescription syringe sale program? Results of a survey</t>
  </si>
  <si>
    <t>Kleppisch,T.;Feil,R.</t>
  </si>
  <si>
    <t>cGMP signalling in the mammalian brain: role in synaptic plasticity and behaviour</t>
  </si>
  <si>
    <t>Handbook of Experimental Pharmacology</t>
  </si>
  <si>
    <t>Handb.Exp.Pharmacol.</t>
  </si>
  <si>
    <t>Animals;*Brain/me Metabolism];*Cyclic GMP/me Metabolism];Gene Expression Regulation/ph Physiology];Humans;Neuronal Plasticity/ph Physiology];Nitric Oxide/me Metabolism];*Signal Transduction;Synaptic Transmission/ph Physiology];31C4KY9ESH (Nitric Oxide);H2D2X058MU (Cyclic GMP)</t>
  </si>
  <si>
    <t>The second messenger cyclic guanosine 3',5'-monophosphate (cGMP) plays a crucial role in the control of cardiovascular and gastrointestinal homeostastis, but its effects on neuronal functions are less established. This review summarizes recent biochemical and functional data on the role of the cGMP signalling pathway in the mammalian brain, with a focus on the regulation of synaptic plasticity, learning, and other complex behaviours. Expression profiling, along with pharmacological and genetic manipulations, indicates important functions of nitric oxide (NO)-sensitive soluble guanylyl cyclases (sGCs), cGMP-dependent protein kinases (cGKs), and cGMP-regulated phosphodiesterases (PDEs) as generators, effectors, and modulators of cGMP signals in the brain, respectively. In addition, neuronal cGMP signalling can be transmitted through cyclic nucleotide-gated (CNG) or hyperpolarization-activated cyclic nucleotide-gated (HCN) ion channels. The canonical NO/sGC/cGMP/cGK pathway modulates long-term changes of synaptic activity in the hippocampus, amygdala, cerebellum, and other brain regions, and contributes to distinct forms of learning and memory, such as fear conditioning, motor adaptation, and object recognition. Behavioural studies indicate that cGMP signalling is also involved in anxiety, addiction, and the pathogenesis of depression and schizophrenia. At the molecular level, different cGK isoforms appear to mediate effects of cGMP on presynaptic transmitter release and postsynaptic functions. The cGKs have been suggested to modulate cytoskeletal organization, vesicle and AMPA receptor trafficking, and gene expression via phosphorylation of various substrates including VASP, RhoA, RGS2, hSERT, GluR1, G-substrate, and DARPP-32. These and other components of the cGMP signalling cascade may be attractive new targets for the treatment of cognitive impairment, drug abuse, and psychiatric disorders. References: 220]</t>
  </si>
  <si>
    <t>J2: Handb; Kleppisch, Thomas Feil, Robert; ID: 341</t>
  </si>
  <si>
    <t>0171-2004</t>
  </si>
  <si>
    <t>Kleppisch,Thomas. Institut fur Pharmakologie und Toxikologie, Technische Universitat Munchen, Biedersteiner Strabetae 29, Munchen, 80802, Germany.</t>
  </si>
  <si>
    <t>http://ovidsp.ovid.com/ovidweb.cgi?T=JS&amp;CSC=Y&amp;NEWS=N&amp;PAGE=fulltext&amp;D=med5&amp;AN=19089345</t>
  </si>
  <si>
    <t>http://dx.doi.org/10.1007/978-3-540-68964-5_24</t>
  </si>
  <si>
    <t>MEDLINE; Ovid Technologies; cGMP signalling in the mammalian brain: role in synaptic plasticity and behaviour</t>
  </si>
  <si>
    <t>Kliethermes,M. A.;Schullo-Feulner,A.;Tilton,J.;Kim,S.;Pellegrino,A. N.</t>
  </si>
  <si>
    <t>Model for medication therapy management in a university clinic</t>
  </si>
  <si>
    <t>Continuity of Patient Care/td Trends];*Drug Therapy;Hospitals, University;Humans;*Models, Organizational;Outpatients;*Patient Care Planning;Pharmacists;Pharmacy Service, Hospital;Referral and Consultation</t>
  </si>
  <si>
    <t>PURPOSE: Experience with a referral-based medication therapy management (MTM) clinic in a university medical center is described. SUMMARY: The MTM clinic's mission is to assist patients who take multiple medications due to multiple chronic conditions with the management of their drug therapy to improve or maintain their health and prevent or minimize drug-related problems. The clinical services provided at the clinic have evolved into a comprehensive program providing five distinct service areas: access, adherence, coordination of care, medication therapy review, and education. During initial visits, patient information is collected, patients are interviewed, medications are reconciled, and the pharmacist identifies and attempts to solve any immediate drug-related problems and concerns. Routine visits are scheduled monthly to coincide with a patient's medication refills. On a typical day, a minimum of two MTM pharmacists and one pharmacy technician staff the clinic. On two days of the week, three MTM pharmacists are available in the clinic. The clinic averages 9-13 scheduled patient visits per day. The MTM clinic functions as a subset of the outpatient pharmacy and is merged financially in the general operational budget of the ambulatory care pharmacy. This model of MTM patient care is intensive and comprehensive and is significantly different from the majority of MTM models currently provided by Medicare Part D plans. CONCLUSION: A referral-based MTM clinic managed by pharmacists at a university medical center outpatient pharmacy provides care to patients with the goal of improving medication access, medication adherence, continuity of care, medication therapy management, and patient education.</t>
  </si>
  <si>
    <t>J2: Am J Health-Syst Pharm; Kliethermes, Mary Ann Schullo-Feulner, Anne Marie Tilton, Jessica Kim, Shiyun Pellegrino, Annette Nicole; ID: 367</t>
  </si>
  <si>
    <t>Kliethermes,Mary Ann. Department of Pharmacy Practice, Chicago College of Pharmacy, Midwestern University, Downers Grove, IL 60515, USA. mkliet@midwestern.edu</t>
  </si>
  <si>
    <t>http://ovidsp.ovid.com/ovidweb.cgi?T=JS&amp;CSC=Y&amp;NEWS=N&amp;PAGE=fulltext&amp;D=med5&amp;AN=18436731</t>
  </si>
  <si>
    <t>http://dx.doi.org/10.2146/ajhp070338</t>
  </si>
  <si>
    <t>MEDLINE; Ovid Technologies; Model for medication therapy management in a university clinic</t>
  </si>
  <si>
    <t>Knapp,D. E.;Morris,L. A.</t>
  </si>
  <si>
    <t>Drug-use problem solving</t>
  </si>
  <si>
    <t>*Education, Pharmacy;Humans;*Patient Compliance;Pharmacists;Professional-Patient Relations;*Psychology, Social/ed Education]</t>
  </si>
  <si>
    <t>J2: Am J Pharm Educ; Knapp, D E Morris, L A; ID: 727</t>
  </si>
  <si>
    <t>http://ovidsp.ovid.com/ovidweb.cgi?T=JS&amp;CSC=Y&amp;NEWS=N&amp;PAGE=fulltext&amp;D=med1&amp;AN=10237167</t>
  </si>
  <si>
    <t>MEDLINE; Ovid Technologies; Drug-use problem solving</t>
  </si>
  <si>
    <t>Knudsen,H. K.;Roman,P. M.</t>
  </si>
  <si>
    <t>PMC4002860; Dissemination, adoption, and implementation of acamprosate for treating alcohol use disorders</t>
  </si>
  <si>
    <t>Journal of Studies on Alcohol &amp; Drugs</t>
  </si>
  <si>
    <t>*Alcohol Deterrents/tu Therapeutic Use];Alcohol-Related Disorders/di Diagnosis];*Alcohol-Related Disorders/dt Drug Therapy];Alcohol-Related Disorders/ep Epidemiology];Cross-Sectional Studies;*Health Plan Implementation/td Trends];Health Plan Implementation/ut Utilization];Humans;*Information Dissemination;*Taurine/aa Analogs &amp; Derivatives];Taurine/tu Therapeutic Use];Treatment Outcome;United States/ep Epidemiology];*United States Substance Abuse and Mental Health Services Administration/td Trends];0 (Alcohol Deterrents);1EQV5MLY3D (Taurine);N4K14YGM3J (acamprosate)</t>
  </si>
  <si>
    <t>OBJECTIVE: Acamprosate has been available in the United States for treating alcohol use disorders (AUDs) for nearly a decade, yet few studies have examined its use within AUD treatment organizations. In addition to describing dissemination and adoption of acamprosate, this study provides novel data regarding organizational processes that underlie its implementation within adopting programs. METHOD: Data were drawn from interviews with leaders of a nationally representative sample of 307 organizations delivering AUD treatment. Quantitative indicators of organizational characteristics, dissemination, adoption, and implementation of acamprosate, as well as qualitative measures of implementation processes, were measured during face-to-face interviews. RESULTS: Only 18.0% (n = 55) of sampled organizations had adopted acamprosate for treating AUDs, and adoption was positively associated with accreditation, having a physician on staff, receiving information about acamprosate via pharmaceutical representatives, and learning about this medication from other treatment providers. Within adopting programs, an average of 6.0% of AUD patients were currently receiving acamprosate. Numerous implementation challenges were identified, including appropriate patient selection, patient reluctance to be prescribed acamprosate, suboptimal adherence, its costs, and limited counselor training. CONCLUSIONS: The limited adoption and implementation of acamprosate likely limits the potential public health impact of this adjunct to AUD treatment. Research integrating the perspectives of organizational leaders, medical professionals, and patients is needed to determine whether specific strategies can address the implementation challenges identified in the current study and increase use of acamprosate in specialty AUD treatment settings.</t>
  </si>
  <si>
    <t>J2: J Stud Alcohol; Knudsen, Hannah K Roman, Paul M R01 AA015974 (United States NIAAA NIH HHS) R01AA015974 (United States NIAAA NIH HHS); ID: 63</t>
  </si>
  <si>
    <t>1938-4114</t>
  </si>
  <si>
    <t>Knudsen,Hannah K. Department of Behavioral Science, University of Kentucky, Lexington, Kentucky. Roman,Paul M. Owens Institute for Behavioral Research and Department of Sociology, University of Georgia, Athens, Georgia.</t>
  </si>
  <si>
    <t>http://ovidsp.ovid.com/ovidweb.cgi?T=JS&amp;CSC=Y&amp;NEWS=N&amp;PAGE=fulltext&amp;D=medl&amp;AN=24766759</t>
  </si>
  <si>
    <t>MEDLINE; Ovid Technologies; Dissemination, adoption, and implementation of acamprosate for treating alcohol use disorders</t>
  </si>
  <si>
    <t>Ko‚îú¬∫yi‚ïü¬∫it,M.;‚îú√ªzhatay,N.;Author,Addresses;Istanbul,University;Faculty of Pharmacy, Department of,Pharmaceutical Botany;Beyazit-Istanbul,Turkey;Correspondence,Address;Ko‚îú¬∫yi‚ïü¬∫it, Istanbul University Faculty of Pharmacy Department of,M.;Pharmaceutical Botany,Beyazit-Istanbul,Turkey Email;minekocyigit@hotmail.com</t>
  </si>
  <si>
    <t>Wild plants used as medicinal purpose in Yalova (Northwest Turkey)</t>
  </si>
  <si>
    <t>Turkish Journal of Pharmaceutical Sciences</t>
  </si>
  <si>
    <t>(MAJOR FOCUS);herbaceous agent (adverse drug reaction, drug dose, drug therapy, oral drug;administration, pharmaceutics);latex;medicinal plant;wild plant;abscess (drug therapy);alcoholism (drug therapy);amenorrhea (drug therapy);anemia (drug therapy);anesthesia;angiosperm;Apiales;Araliaceae;arteriosclerosis (drug therapy);article;Asteraceae;asthma (drug therapy);bioinformatics;bronchitis (drug therapy, side effect);burn (drug therapy);callus (drug therapy);Caprifoliaceae;chicory;chill (drug therapy);Clusiaceae;common cold symptom (drug therapy);coughing (drug therapy);cucumber;Cupressaceae;cystitis (drug therapy);diabetes mellitus (side effect);drug synthesis;eczema (drug therapy);embolism (drug therapy);epistaxis (drug therapy);Equisetaceae;ethnobotany;experimental study;female sterility (drug therapy);flower;fracture (drug therapy);gastrointestinal symptom (side effect);gingiva disease (drug therapy);headache (drug therapy);heart disease (drug therapy);heat stroke (drug therapy);hemorrhoid (drug therapy);hepatitis (drug therapy);herb;herpes simplex (drug therapy);hip disease (drug therapy);human;hypotension (drug therapy);infertility (drug therapy);insomnia (drug therapy);ischialgia (drug therapy);jaundice (drug therapy);kidney disease (drug therapy);knee pain (drug therapy);large intestine hemorrhage (drug therapy);liver disease (drug therapy);Malvaceae;metritis (drug therapy);neoplasm (drug therapy);nephrolithiasis (drug therapy);nocturnal enuresis (drug therapy);Oleaceae;otalgia (drug therapy);parasitosis (drug therapy);Plantaginaceae;Poaceae;prostatitis (drug therapy);Ranunculaceae;respiratory tract infection (drug therapy);rheumatic disease (drug therapy);Rosaceae;scabies (drug therapy);sinusitis (drug therapy);skin disease (side effect);snakebite (drug therapy);sore throat (drug therapy);stomach hemorrhage (drug therapy);stomach pain (drug therapy);stomach ulcer (drug therapy);tea;tooth pain (drug therapy);Turkey (republic);ulcer (drug therapy);urethritis (drug therapy);Urticaceae;verruca vulgaris (drug therapy);Vitaceae;vitiligo (drug therapy);willow;wound healing (drug therapy);Zygophyllaceae;Drug Literature Index (37);Adverse Reactions Titles (38);Pharmacy (39)</t>
  </si>
  <si>
    <t>In this study, medicinal uses and methods of administration of 45 wild plant taxa belonging to 27 families in Yalova are documented. The plant specimens were collected with informants. During the field works all the settlements (58 villages) were visited. The information was recorded and the collected plants were identified and prepared voucher specimens were kept in the Herbarium of Istanbul University Faculty of Pharmacy (ISTE).</t>
  </si>
  <si>
    <t>(Ko‚îú¬∫yi‚ïü¬∫it M., minekocyigit@hotmail.com; ‚îú√ªzhatay N.) Turkish Pharmacists Association, Willy Brandt Str. 9, Cankaya Ankara, Turkey.; ID: 1508</t>
  </si>
  <si>
    <t>1304-530X</t>
  </si>
  <si>
    <t>Koesters,S. C.;Rogers,P. D.;Rajasingham,C. R.;Author,Addresses;Department of,Adolescent;Medicine,Columbus Children's Hospital Children's Drive Columbus O.H.;States,United;Correspondence,Address;PD Rogers, Department of Adolescent Medicine,Columbus Children;Hospital,Children's Drive Columbus O.H.United States</t>
  </si>
  <si>
    <t>11993291; MDMA ('ecstasy') and other 'club drugs': The new epidemic</t>
  </si>
  <si>
    <t>Pediatric clinics of North America</t>
  </si>
  <si>
    <t>Pediatr.Clin.North Am.</t>
  </si>
  <si>
    <t>(MAJOR FOCUS);3,4 methylenedioxymethamphetamine (drug administration, drug toxicity,;inhalational drug administration, pharmaceutics, pharmacokinetics,;pharmacology);3,4 methylenedioxyamphetamine;4 hydroxybutyric acid (drug dose, drug toxicity, pharmacoeconomics,;pharmacokinetics, pharmacology);acetylsalicylic acid;benzodiazepine derivative (drug therapy);beta adrenergic receptor blocking agent (drug therapy);caffeine;calcium channel blocking agent (drug therapy);cannabis;dextromethorphan;ephedrine;flumazenil (drug therapy);ketamine (drug dose, drug toxicity, intramuscular drug administration, oral;drug administration, pharmacokinetics, pharmacology, subcutaneous drug;administration);methamphetamine;methylenedioxyethylamphetamine;naloxone (drug therapy);paracetamol (drug therapy);phencyclidine;physostigmine (drug therapy, intravenous drug administration);pseudoephedrine;sedative agent (drug therapy);unclassified drug;drug dependence (epidemiology, therapy);epidemic;child behavior;cooling;drug abuse;drug effect;drug formulation;drug intoxication (drug therapy, therapy);drug mechanism;drug metabolism;epidemiological data;human;hydration;injection;lifestyle;neurotoxicity;patient education;review;tablet;3,4 methylenedioxyamphetamine (4764-17-4);3,4 methylenedioxymethamphetamine (42542-10-9);4 hydroxybutyric acid (591-81-1);acetylsalicylic acid (493-53-8, 50-78-2, 53663-74-4, 53664-49-6, 63781-77-1);caffeine (58-08-2);cannabis (8001-45-4, 8063-14-7);dextromethorphan (125-69-9, 125-71-3);ephedrine (299-42-3, 50-98-6);flumazenil (78755-81-4);ketamine (1867-66-9, 6740-88-1, 81771-21-3);methamphetamine (28297-73-6, 51-57-0, 537-46-2, 7632-10-2);naloxone (357-08-4, 465-65-6);paracetamol (103-90-2);phencyclidine (77-10-1, 956-90-1);physostigmine (57-47-6, 64-47-1);pseudoephedrine (345-78-8, 7460-12-0, 90-82-4);Clinical and Experimental Pharmacology (30);Psychiatry (32);Drug Literature Index (37);Drug Dependence, Alcohol Abuse and Alcoholism (40);Toxicology (52)</t>
  </si>
  <si>
    <t>Unfortunately, perceptions that the club drugs can be safe endure. Some groups, such as the Multidisciplinary Association for Psychedelic Study, continue to lobby for the legalization of MDMA for research purposes 76]. DanceSafe is an organization that seeks to educate the "nonaddicted" user to decrease the risks 82]. The DanceSafe Web site offers tips on the safe use of MDMA, such as attention to hydration status and ambient temperature. It also offers free testing of tablets submitted by mail and sells home testing kits to determine the content of pills sold as "ecstasy." Although much remains unknown about the long-term consequences of MDMA and the club drugs, there are clearly enough short-term dangers to prompt more aggressive education and surveillance for its use. Scare tactics and exaggerations often are ignored 53], while Web sites full of anecdotal or incomplete information may lead the unaware user to increased use 113]. Organizations such as DanceSafe imply that proper education decreases addiction and that only uneducated users or addicts suffer the life-altering consequences of drug use. The fallacy in the mission of educating "nonaddicted" users is evident. Peer-based education, with a focus on both he short-term dangers and long-term consequences, may be a more effective approach 9]. Both new and established drugs of abuse continue to plague teens and young adults. Pediatric, family practice, and Med-Peds physicians, and pediatric pharmacologists need to remain vigilant about patterns and trends of drug abuse. MDMA and the other "club drugs" are not benign. Their effects target the brain, alter neurochemistry, and possibly cause irreversible structural damage. What may seem like a harmless drug in a weekend dance club has the potential for major public health problems in years to come 109]. Effective education and timely intervention may prevent these addictive drugs from becoming a way of life, a lifestyle that may have a literal "dead end".</t>
  </si>
  <si>
    <t>(Koesters S.C.; Rogers P.D.; Rajasingham C.R.) W.B. Saunders, Independence Square West, Philadelphia, United States.; ID: 1611</t>
  </si>
  <si>
    <t>0031-3955</t>
  </si>
  <si>
    <t>http://www.ncbi.nlm.nih.gov/pubmed/11993291</t>
  </si>
  <si>
    <t>MDMA ('ecstasy') and other 'club drugs': The new epidemic</t>
  </si>
  <si>
    <t>Kohler,Maxie P.;Collins,Charles B., Jr.</t>
  </si>
  <si>
    <t>Tools for Prevention: Building Healthy Youths. A Training Program for: School Counselors, School Nurses, School Psychologists. Participant Manual</t>
  </si>
  <si>
    <t>Academic Achievement;Alcohol Abuse;Communication Skills;Counselor Training;Drug Abuse;Elementary Secondary Education;Health Education;Health Services;Intervention;Prevention;Psychologists;School Counseling;Self Destructive Behavior;Skill Development;Symptoms (Individual Disorders);Teaching Guides;Training;Training Objectives;(Major): At Risk Persons;Child Health;School Counselors;School Nurses;School Psychologists;Substance Abuse;Identifier: Children of Alcoholics</t>
  </si>
  <si>
    <t>This training program participants' manual is designed to assist K-12 school counselors, nurses, and psychologists in offering aid to youths at risk for substance abuse. The training objectives for participants in the workshop are to be able to demonstrate: (1) competence in knowledge of basic substance abuse information to include age-appropriate signs and symptoms of substance abuse in students; (2) competency at recognizing age-appropriate risk/resiliency factors of students; (3) knowledge of pharmacological effects of substances on students' physical, cognitive, and social/emotional well-being; (4) skill at developing basic prevention activities/programs including but not limited to Student Assistance Programs (SAP); and (5) skill for appropriate counseling and referral techniques for youths at risk of substance abuse. Chapters are: (1) Introductions; (2) Connections between Substance Use and Academics; (3) Signs and Symptoms of Substance Use; (4) Psychopharmacology; (5) Professional Communication Skills; (6) Legal and Ethical Issues; (7) Risk, Resiliency and Protective Factors; (8) Children of Substance Using Parents; (9) Best Practices in Prevention; and (10) Resource Directory (not included). (JBJ)</t>
  </si>
  <si>
    <t>Connect to the Mirlyn catalog at the University of Michigan For corresponding Trainer Manual, see CG 026 572./ Audience: Counselors/ Practitioners/ Students; Associated Inst: Alabama State Dept. of Education, Montgomery.; Office of Elementary and Secondary Education, Washington, DC. School Improvement Programs. Level: 1; RP: Connect to the Mirlyn catalog at the University of Michigan For corresponding Trainer Manual, see CG 026 572./ Audience: Counselors/ Practitioners/ Students; Associated Inst: Alabama State Dept. of Education, Montgomery.; Office of Elementary and Secondary Education, Washington, DC. School Improvement Programs. Level: 1; ID: 2118</t>
  </si>
  <si>
    <t>ED387763</t>
  </si>
  <si>
    <t>ERIC; OCLC; Tools for Prevention: Building Healthy Youths. A Training Program for: School Counselors, School Nurses, School Psychologists. Participant Manual</t>
  </si>
  <si>
    <t>Tools for Prevention: Building Healthy Youths. A Training Program for: School Counselors, School Nurses, School Psychologists. Trainer Manual</t>
  </si>
  <si>
    <t>This training program instructor's manual is designed to assist K-12 school counselors, nurses, and psychologists in offering aid to youths at risk for substance abuse. The training objectives for participants in the workshop are to be able to demonstrate: (1) competence in knowledge of basic substance abuse information to include age-appropriate signs and symptoms of substance abuse in students; (2) competency at recognizing age-appropriate risk/resiliency factors of students; (3) knowledge of pharmacological effects of substances on students' physical, cognitive, and social/emotional well-being; (4) skill at developing basic prevention activities/programs including but not limited to Student Assistance Programs (SAP); and (5) skill for appropriate counseling and referral techniques for youths at risk of substance abuse. Chapters are: (1) Introductions; (2) Connections between Substance Use and Academics; (3) Signs and Symptoms of Substance Use; (4) Psychopharmacology; (5) Professional Communication Skills; (6) Legal and Ethical Issues; (7) Risk, Resiliency and Protective Factors; (8) Children of Substance Using Parents; (9) Best Practices in Prevention; and (10) Resource Directory (not included). Includes activity instructions and facilitation notes, in addition to the resources and activity sheets found in the participant manual. (JBJ)</t>
  </si>
  <si>
    <t>Connect to the Mirlyn catalog at the University of Michigan For the corresponding Participant Manual, see CG 0/ Audience: Counselors/ Practitioners/ Teachers; Associated Inst: Alabama State Dept. of Education, Montgomery.; Office of Elementary and Secondary Education, Washington, DC. School Improvement Programs. Level: 1; RP: Connect to the Mirlyn catalog at the University of Michigan For the corresponding Participant Manual, see CG 0/ Audience: Counselors/ Practitioners/ Teachers; Associated Inst: Alabama State Dept. of Education, Montgomery.; Office of Elementary and Secondary Education, Washington, DC. School Improvement Programs. Level: 1; ID: 2119</t>
  </si>
  <si>
    <t>ED387764</t>
  </si>
  <si>
    <t>ERIC; OCLC; Tools for Prevention: Building Healthy Youths. A Training Program for: School Counselors, School Nurses, School Psychologists. Trainer Manual</t>
  </si>
  <si>
    <t>Komosinska-Vassev,K.;Olczyk,P.;Olczyk,K.;Author,Addresses;The,Faculty;of Pharmacy, Medical University of Silesia,Jednosci Sosnowiec;Poland</t>
  </si>
  <si>
    <t>The postgraduate education of pharmacists in Poland</t>
  </si>
  <si>
    <t>human;pharmacist;Poland;postgraduate education;accreditation;clinical pharmacy;continuing education;drug analysis;drug dosage form;drug therapy;ethics;graduate;health care personnel;health care system;hospital pharmacy;knowledge base;learning;medical specialist;occupation;patient;pharmaceutical care;pharmaceutics;pharmacokinetics;pharmacy;pharmacy student;physician;postgraduate student;public health;safety;skill;technology;university;vocational education;workshop</t>
  </si>
  <si>
    <t>Introduction The professional activity of pharmacists is based on the constantly developing pharmaceutical sciences. The aim of pharmacists is not just to dispense medications but identify patient problems, implement and assess the pharmacotherapy effectiveness and safety, educate patients and collaborate with other healthcare providers in order to optimize therapeutic outcomes and avoid or correct drug-related problems. Profound changes concerning the role of pharmacists in the healthcare system causes a need for continuing education and acquisition of additional skills of pharmacists throughout their whole professional career. Description of programme Postgraduate education of pharmacists in Poland consists of various forms of training, including optional pharmacy specialisation courses, continuing trainings and doctoral programmes. The Faculty of Pharmacy at Medical University of Silesia organises courses for pharmacy practitioners, which are part of their specializing process in the field of community pharmacy as well as their postgraduate continuing education. Every year 165 pharmacists begin specialisation in community pharmacy. The three-year programme includes both theoretical courses and practical workshops divided into seven modules. The first, advances in pharmaceutical sciences, takes 75 hours. A second module discussing problems of the modern formulation encompasses 30 hours of training. Another 15 hours refers to the applied pharmacokinetics. Subsequent training in biopharmaceutical evaluation of technology, drug dosage form, pharmaceutical care, and legal and ethical aspects of pharmaceutical services takes 55, 20 and 15 hours, respectively. The last five hours of training are dedicated for the summarizing module. During specialisation pharmacist must submit a publication to be assessed by the specialisation supervisor. State exam ending the specialisation consists of two parts, a practical test and theory exam. Graduates of the community pharmacy specialisation gain specific qualifications and practical skills to function as an independent adviser, providing patientŒì√á∆ís safe and responsible pharmacotherapy. The professional community pharmacy specialist may also be responsible for the provision, supervising and development training programmes carried out in pharmacies for the pharmacy staff and pharmacy students. With the exception of the postgraduate specialisation programme, the Faculty of Pharmacy at Medical University of Silesia can organize continuing learning courses. Continuous compulsory postgraduate education was incorporated in 2003 as a new element of postgraduate training of pharmacists in Poland. Through continued clinical and additional learning opportunities, pharmacists improve their knowledge base and skills necessary for advance professional qualifications in accordance with the progress of pharmacy science and related fields. Since a pharmacist must be able to define patientsŒì√á∆í medical problems and assess current pharmacotherapy, a strong position of clinical pharmacy and pharmaceutical care appears in permanent courses provided by our Faculty. The participants taking part in the permanent learning courses receive educational points required according of law regulations of their profession. Finally, the Faculty of Pharmacy has been offering both intramural and extramural doctoral studies within the framework of postgraduate studies in the field of pharmaceutical sciences. The doctoral programme lasting four years is open only to holders of MasterŒì√á∆ís degree. Evaluation Assessment of continued professional education is carried out in the five-year educational period, during which the pharmacist should collect at least 100 educational points. Furthermore, the National Accreditation Commission evaluated postgraduate specialisation programmes and our Faculty received an accreditation certificate authorizing specialisation in the field of community pharmacy. Future plans Future plans include implementation of the new programmes of specialisation in Clinical Pharmacy, Hospital Pharmacy, Pharmaceutical Analysis and Public Health into postgraduate educational practice.</t>
  </si>
  <si>
    <t>(Komosinska-Vassev K.; Olczyk P., olczyk@sum.edu.pl; Olczyk K.) EAFP Annual Conference, 2009 Oslo, Norway 2009-06-18 to 2009-06-20 FIP; ID: 1425</t>
  </si>
  <si>
    <t>Koster,E. S.;Philbert,D.;Bouvy,M. L.</t>
  </si>
  <si>
    <t>Health literacy among pharmacy visitors in the Netherlands</t>
  </si>
  <si>
    <t>Pharmacoepidemiology &amp; Drug Safety</t>
  </si>
  <si>
    <t>Community Pharmacy Services/sn Statistics &amp; Numerical Data];*Community Pharmacy Services;Comprehension;Cross-Sectional Studies;*Drug Labeling;Female;Health Literacy/sn Statistics &amp; Numerical Data];*Health Literacy;Humans;Male;Middle Aged;Netherlands;Patient Education as Topic/sn Statistics &amp; Numerical Data];*Patient Education as Topic;Socioeconomic Factors;Surveys and Questionnaires</t>
  </si>
  <si>
    <t>PURPOSE: Health literacy is defined as the ability to obtain, understand and apply information to make appropriate health decisions. Most health literacy research has been performed in the USA. Our objective was to study the prevalence of limited health literacy among adult pharmacy visitors in the Netherlands and to assess the association between health literacy and understanding of drug label information. METHODS: A cross-sectional study was performed in community pharmacies belonging to the Utrecht Pharmacy Practice network for Education and Research. Adult pharmacy visitors (aged &gt;18years) were approached in the pharmacy waiting area and invited for a brief interview including the newest vital sign, a validated health literacy assessment measure and questions about understanding of standard drug label instructions. RESULTS: A total of 984 pharmacy visitors were included in the study: 63% were women, mean age was 56years and the majority was of native origin (84%). Based on newest vital sign scores, 52% had limited health literacy skills. Pharmacy visitors with limited health literacy skills had significantly lower understanding of drug label instructions (p&lt;0.001). CONCLUSION: Approximately half of the pharmacy visitors in this study had limited health literacy skills. These individuals experienced more difficulties understanding drug label instructions. These findings emphasize the need to identify patients with limited health literacy skills, as these patients might be at increased risk for drug-related problems caused by misunderstanding of information. Copyright ‚î¨‚åê 2015 John Wiley &amp; Sons, Ltd.Copyright ‚î¨‚åê 2015 John Wiley &amp; Sons, Ltd.</t>
  </si>
  <si>
    <t>J2: Pharmacoepidemiol Drug Saf; Koster, Ellen S Philbert, Daphne Bouvy, Marcel L; ID: 2</t>
  </si>
  <si>
    <t>1099-1557</t>
  </si>
  <si>
    <t>Koster,Ellen S. Utrecht Pharmacy Practice network for Education and Research (UPPER), Division of Pharmacoepidemiology and Clinical Pharmacology, Utrecht University, Utrecht, The Netherlands. Philbert,Daphne. Utrecht Pharmacy Practice network for Education and Research (UPPER), Division of Pharmacoepidemiology and Clinical Pharmacology, Utrecht University, Utrecht, The Netherlands. Bouvy,Marcel L. Utrecht Pharmacy Practice network for Education and Research (UPPER), Division of Pharmacoepidemiology and Clinical Pharmacology, Utrecht University, Utrecht, The Netherlands. Bouvy,Marcel L. SIR Institute for Pharmacy Practice and Policy, Leiden, The Netherlands.</t>
  </si>
  <si>
    <t>http://ovidsp.ovid.com/ovidweb.cgi?T=JS&amp;CSC=Y&amp;NEWS=N&amp;PAGE=fulltext&amp;D=medl&amp;AN=26016832</t>
  </si>
  <si>
    <t>http://dx.doi.org/10.1002/pds.3803</t>
  </si>
  <si>
    <t>MEDLINE; Ovid Technologies; Health literacy among pharmacy visitors in the Netherlands</t>
  </si>
  <si>
    <t>Koster,E. S.;Philbert,D.;Bouvy,M. L.;Author,Addresses;Upper,Pharmacoepidemiology and;Clinical Pharmacology, Utrecht University,Utrecht Netherlands;Correspondence,Address;E.S. Koster,Upper Pharmacoepidemiology;Clinical Pharmacology,Utrecht;University,Utrecht Netherlands</t>
  </si>
  <si>
    <t>Health literacy skills and correct use of medicines in the Netherlands: A study in community pharmacies</t>
  </si>
  <si>
    <t>24 Supplement 1</t>
  </si>
  <si>
    <t>health literacy;Netherlands;skill;adult;clinical study;cross-sectional study;drug abuse;female;human;interview;male;medical information;prevalence;vital sign</t>
  </si>
  <si>
    <t>Background: Health literacy is defined as the ability to obtain, understand and apply information to make appropriate health decisions. Health literacy is specific and depends on the context, meaning that each situation requires specific skills. Most previous research has been performed in the US, and research in the context of medication use is limited. Objectives: The study aimed to study the prevalence of limited health literacy among adult pharmacy visitors in the Netherlands and to assess the association between health literacy and understanding of medical information. Methods: A cross-sectional study was performed in 33 community pharmacies belonging to the Utrecht Pharmacy Practice network for Education and Research. Adult pharmacy visitors (aged Œì√´√ë18 years) were approached in the pharmacy waiting area and invited for a brief interview including the Newest Vital Sign (NVS), a validated health literacy assessment measure, and questions about understanding of standard drug label instructions. Results: A total of 984 pharmacy visitors were included in the study (44% response rate): 63% were female, mean age was 56 years and the majority was of native origin (84%). Based on NVS scores, 52% had limited health literacy skills. Pharmacy visitors with limited health literacy skills had significant lower understanding of drug label instructions (p&lt;0.001). Conclusions: Approximately half of the pharmacy visitors in this study had limited health literacy skills. These individuals experienced more difficulties understanding medical information. There is a need to identify patients with limited literacy skills in an early stage of treatment to provide tailored care as these patients might be at increased risk for drug-related problems caused by misunderstanding of information.</t>
  </si>
  <si>
    <t>(Koster E.S.; Philbert D.; Bouvy M.L.) 31st International Conference on Pharmacoepidemiology and Therapeutic Risk Management Boston, MA, United States 2015-08-22 to 2015-08-26 John Wiley and Sons Ltd; ID: 809</t>
  </si>
  <si>
    <t>Kotecki,J. E.;Torabi,M. R.;Elanjian,S. I.;Author,Addresses;Department of Physiology Science, Ball,State University;Department of Applied,Health Science;Department of,Pharmacy Practice;Department of Physiology Science, Ball,State University;Muncie,I. N. U.;Correspondence,Address;JE Kotecki,Dept,of Physiol;Health Science,Ball,State University;Muncie,I. N. U.</t>
  </si>
  <si>
    <t>9403403; Pharmacists' opinions and practices related to the sale of cigarettes and alcohol - A follow-up study</t>
  </si>
  <si>
    <t>Journal of community health</t>
  </si>
  <si>
    <t>J.Community Health</t>
  </si>
  <si>
    <t>health promotion;pharmacist;adult;aged;alcohol consumption;article;attitude;drug marketing;human;normal human;professional practice;smoking;Public Health, Social Medicine and Epidemiology (17);Health Policy, Economics and Management (36)</t>
  </si>
  <si>
    <t>Opinions that pharmacists hold and their practices concerning sale of cigarettes and alcohol are of interest to health experts. As a follow-up to a 1990 statewide survey of pharmacists opinions and practices related to the sale of cigarettes and alcohol, this study was designed (1) to determine current opinions and practices of pharmacists' related to the sale of cigarettes and alcohol; (2) compare these findings with results from the 1990 study; and (3) to gather new information on pharmacists' practice of health promotion activities. A structured survey questionnaire was designed and reviewed by a jury of experts and subsequently administered to hair of the 1340 pharmacies in Indiana. Collected data were analyzed by using descriptive and inferential statistical methods. Findings reveal that 64 percent of responding pharmacists sell cigarettes in their stores even though 82 percent think that their stores should not sell cigarettes. Approximately 42 percent of the pharmacies sell alcoholic beverages while more than two-thirds of the pharmacists (68%) think pharmacies should not sell alcoholic beverages. These findings represent a decline of 7.2 percent in pharmacies that sell cigarettes and a 6.8 percent increase in pharmacies selling alcoholic beverages compared to the 1990 study. Study results also revealed that most pharmacists agree the use of cigarettes and alcohol were important causes of morbidity and mortality and that pharmacists should play a role in health promotion and disease prevention to the public. However, the majority do not ask their patients about their smoking and alcohol habits and do not participate in health education/promotion programs for the general community.</t>
  </si>
  <si>
    <t>(Kotecki J.E.) (Torabi M.R.) (Elanjian S.I.) Kluwer Academic Publishers, Van Godewijckstraat 30, Dordrecht, Netherlands.; ID: 1669</t>
  </si>
  <si>
    <t>0094-5145</t>
  </si>
  <si>
    <t>http://www.ncbi.nlm.nih.gov/pubmed/9403403</t>
  </si>
  <si>
    <t>Pharmacists' opinions and practices related to the sale of cigarettes and alcohol - A follow-up study</t>
  </si>
  <si>
    <t>Koubaity,M.;Lelubre,M.;De Wulf,I.;Amighi,K.;De Vriese,C.;Author,Addresses;Laboratory of,Pharmaceutics;Biopharmaceutics,Facult‚îú‚åê de Pharmacie;Universit‚îú‚åê Libre,de Bruxelle;Service,Projets Scientifiques;Belgium;Correspondence,Address;Koubaity,Laboratory of Pharmaceutics,M.;Biopharmaceutics,Facult‚îú‚åê de;Pharmacie,Universit‚îú‚åê Libre de Bruxelle Belgium Email mkoubait ulb ac be</t>
  </si>
  <si>
    <t>Evaluation of a drug related problem classification tool in community pharmacy daily practice</t>
  </si>
  <si>
    <t>classification;pharmacy;Belgium;cardiac resynchronization therapy device;consultation;drug dose;hospital patient;human;lake;medication compliance;Medline;monitoring;occupation;patient;pharmacist;pharmacy student;prescription;questionnaire;registration;speech;student;tool use;university;validity</t>
  </si>
  <si>
    <t>Background An adapted PCNE DRP classification tool has been validated by Belgian pharmacists. The tool was reliable and had adequate validity to measure the frequency and the nature of DRP detected in Belgian community pharmacies. Purpose In 2012, a study was initiated to collect the different DRPs by pharmacy student during 5 days of their internship. The aim of this study was to evaluate the daily use of the PCNE classification tool by community pharmacists and their perception of this classification tool. Method A self-completion questionnaire, in a web-based format, was send to 210 pharmacy students from the French-speaking universities of Belgium. It was organized into 3 different parts. The first one revealed the prescription analysis method at the moment of dispensing or a posteriori, for a new or a repeat prescription. The second part aimed to identify if some complementary information sources are necessary for an optimal DRP detection. The third part identified barriers to the tool's use and its advantages in the DRP detection. Findings In total, 79 students completed the questionnaire. For optimal DRPs detection, they needed complementary information about the patients (54 and 75 % for unknown patients and known patients by the pharmacist, respectively) but also information from scientific sources, which are mainly Belgian publications (96 %). This study also showed that scientific international sources like PubMed are rarely used in the detection of DRPs (15 %). The drug dosage in patient pharmaceutical file (PF) was checked in 48 and 56 % of cases at the moment of dispensing and a posteriori, respectively. Similarly, medication adherence was checked in 44 and 55 % of cases at the moment of dispensing and a posteriori, respectively. This suggested that the patient PF was underused while its consultation allowed to identify DRPs (78 %). Finally, DRPs detection could promote the profession (84 %), strengthen the pharmacist patient relationship (91 %) and improve patients monitoring by the pharmacy team (92 %). Lake of time seems to be the major barrier to the use of this tool in daily practice (79 %), as the necessity to consult complementary information sources (70 %). Conclusion The PCNE classification tool is very helpful to identify nature and frequency of DRPs and interventions performed by pharmacists. Besides, pharmacists used substantially the same analysis method at the moment of dispensing and a posteriori allowing to establish a protocol that would facilitate the registration of DRPs. However, the time required to complete the tool is too long for a daily use.</t>
  </si>
  <si>
    <t>(Koubaity M., mkoubait@ulb.ac.be; Lelubre M.; Amighi K.; De Vriese C.) (De Wulf I.) PCNE Working Symposium 2014 Sliema, Malta 2014-03-14 to 2014-03-15 Kluwer Academic Publishers; ID: 895</t>
  </si>
  <si>
    <t>Kovarik,J. M.;Schmouder,R. L.;Hartmann,S.;Riviere,G. J.;Picard,F.;Voss,B.;Weiss,M.;Wagner,F.;Schmidt,H. H. J.;Author,Addresses;Novartis Pharmaceutical,Basel Switzerland;Novartis Pharmaceutical, East Hanover,N.J.United States;Novartis Pharmaceutical,Rueil-Malmaison France;ClinicalResearch,Henningsdorf Germany;Universit‚îú√±tsklinikum Charit‚îú‚åê,Berlin Germany;Transplantationshepatologie,Universit‚îú√±tsklinikum M‚îú‚ïùnster;M‚îú‚ïùnster,Germany;Novartis,Pharma Ag;Switzerland;Correspondence,Address;JM Kovarik, Novartis Pharma,A.G.Building W.;Switzerland</t>
  </si>
  <si>
    <t>16432266; Fingolimod (FTY720) in severe hepatic impairment: Pharmacokinetics and relationship to markers of liver function</t>
  </si>
  <si>
    <t>(MAJOR FOCUS);fingolimod (adverse drug reaction, drug administration, drug concentration,;drug dose, drug therapy, oral drug administration, pharmacokinetics);albumin (endogenous compound);aspartic acid (drug therapy);bilirubin (endogenous compound);folic acid (drug therapy);furosemide (drug therapy);immunomodulating agent (adverse drug reaction, drug administration, drug;concentration, drug dose, drug therapy, oral drug administration,;pharmacokinetics);lactulose (drug therapy);pantoprazole (drug therapy);phytomenadione (drug therapy);spironolactone (drug therapy);torasemide (drug therapy);xipamide (drug therapy);drug metabolism;immunosuppressive treatment;liver disease (drug therapy);liver function;adult;alcoholism;article;ascites (drug therapy);atrioventricular block (side effect);bilirubin blood level;clinical article;controlled study;disease severity;dose time effect relation;drug capsule;drug clearance;drug elimination;drug half life;drug protein binding;female;heart rate;hepatitis C;human;immunomodulation;liquid chromatography;liver cirrhosis (drug therapy);lymphocyte count;male;multiple sclerosis;open study;prothrombin time;single drug dose;tandem mass spectrometry;treatment outcome;DRUG TRADE NAMES;fty 720;aspartic acid (56-84-8, 6899-03-2);bilirubin (18422-02-1, 635-65-4);fingolimod (162359-56-0);folic acid (59-30-3, 6484-89-5);furosemide (54-31-9);lactulose (4618-18-2);pantoprazole (102625-70-7);phytomenadione (11104-38-4, 84-80-0);spironolactone (52-01-7);torasemide (56211-40-6);xipamide (14293-44-8);Neurology and Neurosurgery (8);Clinical and Experimental Pharmacology (30);Drug Literature Index (37);Adverse Reactions Titles (38);Gastroenterology (48)</t>
  </si>
  <si>
    <t>The authors assessed the impact of severe hepatic impairment on the disposition of fingolimod-a sphingosine-1-phosphate receptor immunomodulator primarily metabolized by CYP4F2-in 6 patients and 6 matched healthy controls who received a single 5-mg oral dose. Compared with healthy controls, severe hepatic-impaired subjects had a doubled area under the concentration time curve (AUC) and 50% prolonged elimination half-life but a similar peak blood concentration. When these data were combined with those from a previous study in mild and moderate hepatic-impaired subjects, there were significant positive correlations between fingolimod AUC versus bilirubin (r = 0.683) and prothrombin time (r = 0.777) and a significant negative correlation versus albumin (r = 0.578), confirming the importance of liver function for fingolimod clearance. For patients with severe hepatic impairment (Child-Pugh class C), a standard first dose of fingolimod could be given followed by a maintenance dose that is reduced by half from the normal maintenance dose. ‚î¨‚åê2006 the American College of Clinical Pharmacology.</t>
  </si>
  <si>
    <t>(Kovarik J.M.; Schmouder R.L.; Hartmann S.; Riviere G.-J.; Picard F.; Voss B.; Weiss M.) (Kovarik J.M.; Schmouder R.L.; Hartmann S.; Riviere G.-J.; Picard F.; Voss B.; Weiss M.) (Kovarik J.M.; Schmouder R.L.; Hartmann S.; Riviere G.-J.; Picard F.; Voss B.; Weiss M.) (Wagner F.) (Schmidt H.H.-J.) (Kovarik J.M.) SAGE Publications Inc., 2455 Teller Road, Thousand Oaks, United States.; ID: 1533</t>
  </si>
  <si>
    <t>http://www.ncbi.nlm.nih.gov/pubmed/16432266</t>
  </si>
  <si>
    <t>Fingolimod (FTY720) in severe hepatic impairment: Pharmacokinetics and relationship to markers of liver function</t>
  </si>
  <si>
    <t>Kralikova,E.;Kmetova,A.;Stepankova,L.;Zvolska,K.;Felbrova,V.;Kulovana,S.;Bortlicek,Z.;Blaha,M.;Fraser,K.</t>
  </si>
  <si>
    <t>Tobacco dependence, the most important cardiovascular risk factor: treatment in the Czech Republic</t>
  </si>
  <si>
    <t>Physiological Research</t>
  </si>
  <si>
    <t>63 Suppl 3</t>
  </si>
  <si>
    <t>S361</t>
  </si>
  <si>
    <t>Adult;*Cardiovascular Diseases/ep Epidemiology];*Cardiovascular Diseases/pc Prevention &amp; Control];Cohort Studies;Czech Republic/ep Epidemiology];Female;Follow-Up Studies;Humans;Male;Middle Aged;Risk Factors;Smoking/ep Epidemiology];Smoking/th Therapy];*Smoking Cessation/mt Methods];*Tobacco Use Disorder/ep Epidemiology];*Tobacco Use Disorder/th Therapy];Treatment Outcome</t>
  </si>
  <si>
    <t>Smoking is the most important cardiovascular (CV) risk factor. Stopping smoking halves the CV risk. Every clinician should provide a brief intervention with smokers. Intensive treatment should be available to those who need it. There are 37 Centers for Tobacco Dependence in the Czech Republic, which offer treatment including a psychobehavioral intervention and pharmacotherapy (varenicline, nicotine, bupropion). Czech physicians, pharmacists and nurses are regularly educated about smoking cessation. We describe the results of intensive treatment offered by our centers. Treatment includes screening (1 h), an intervention (2 h), and follow-up visits during the next 12 months. Among 3532 patients, 34.3 % had CO-validated abstinence at 12-months (including 489 patients who attended the screening visit + only the 12-month follow up visit). Among patients who underwent the intervention, the abstinence rate was 38.2 %. The majority of patients who underwent the intervention (N=2470) used some form of pharmacotherapy. After one year, the abstinence rate was 43.4 %, compared to 15.9 % (N=573) without pharmacotherapy. Only 28 % of patients came on the recommendation of a physician. Despite the decrease in CV risk following smoking cessation and the effectiveness of treatment, centers are underutilized.</t>
  </si>
  <si>
    <t>J2: Physiol Res; Kralikova, E Kmetova, A Stepankova, L Zvolska, K Felbrova, V Kulovana, S Bortlicek, Z Blaha, M Fraser, K; ID: 9</t>
  </si>
  <si>
    <t>1802-9973</t>
  </si>
  <si>
    <t>Kralikova,E. Institute of Hygiene and Epidemiology, First Faculty of Medicine, Charles University and General University Hospital, Prague, Czech Republic. eva.kralikova@lf1.cuni.cz.</t>
  </si>
  <si>
    <t>http://ovidsp.ovid.com/ovidweb.cgi?T=JS&amp;CSC=Y&amp;NEWS=N&amp;PAGE=fulltext&amp;D=medl&amp;AN=25428741</t>
  </si>
  <si>
    <t>MEDLINE; Ovid Technologies; Tobacco dependence, the most important cardiovascular risk factor: treatment in the Czech Republic</t>
  </si>
  <si>
    <t>Kramer,J. C.;Author,Addresses;Dept Med Pharmacol Therapeut, Univ,California Irvine;Calif;Correspondence,Address;Dept Med Pharmacol Therapeut, Univ California,Irvine Calif</t>
  </si>
  <si>
    <t>Heroin in the treatment of morphine addiction</t>
  </si>
  <si>
    <t>Journal of psychedelic drugs</t>
  </si>
  <si>
    <t>J.Psychedelic Drugs</t>
  </si>
  <si>
    <t>(MAJOR FOCUS);diamorphine;drug dependence treatment;morphine addiction;therapy;diamorphine (1502-95-0, 561-27-3);Drug Dependence, Alcohol Abuse and Alcoholism (40)</t>
  </si>
  <si>
    <t>Heroin, diacetylmorphine, is a drug whose pharmacology and history have been widely misperceived. It is popularly assumed to be more addicting than morphine. In fact, its addictiveness, though high, is of about the same order as morphine; some of its pharmacological characteristics make it somewhat more so, others less so. The similarities between the two are reinforced because heroin is rapidly metabolized to morphine. Heroin gained a heinous reputation once it became evident that it was addicting. First believed to be either non-addicting or less addicting than morphine, some reports of its addictive potential appeared within a year or two after its introduction in 1898. Heroin was first synthesized in 1874 by C.R. Wright (St. Mary's Hospital, London) who, while attempting to study the characteristics of some of the opium alkaloids, boiled morphine with acetic anhydride. F.M. Pierce (Owens College, London) studied its pharmacological effects from a sample sent by Wright. In 1898 the German pharmaceutical company Bayer marketed it and gave it the trade name 'Heroin'. It was introduced as a substitute for codeine in the control of cough. There is no evidence whatever that it was introduced as a substitute for morphine or for the treatment of morphine addiction. The small doses of heroin used and its oral administration obscured two important effects, however: the very first observers saw neither analgesia nor habituation. While by 1900 it was evident that heroin could be addicting, it still seemed to be less so than morphine. Between 1899 and 1902, physicians, a German, 2 Frenchman and an American, wrote papers advocating the use of heroin as an aid in withdrawal from morphine addiction, a heroin substitution-heroin withdrawal scheme. Between 1902 and 1905, 3 French reports expressed concern about the procedure, though one was critical of the misapplication of the technique rather than of the technique itself, which insisted that heroin be used as an aid in withdrawal, not as a maintenance drug. These French critics of heroin substitution based their arguments on the (erroneous) presumption that heroin was more toxic and caused a more persistent addiction than morphine, and on their unsubstantiated assumption that heroin addiction secondary to treatment of morphine addiction was becoming very widespread. It seems more likely that their conclusions reflected their concerns rather than their observation. In the United States heroin addiction was uncommon until after 1910 and did not constitute an important portion of the opiate problem until several years later. Most of the few who became addicted to heroin in those early years of the 20th century became so following its use for general medical purposes rather than because they received it as a treatment for addiction or a substitute for morphine. If any blame is to be accorded for the rising popularity of heroin among addicts, it can be attributed to the new laws controlling opiate dispensing (the Harrison Narcotic Tax Act of 1914 and subsequent Treasury Department restrictions and Supreme Court interpretations): because it was readily available from the illicit market while other opiates were not. The bad press that heroin, 'the Demon Flower,' received during the late 1910's and the 1920's was unjustified. This distortion of history was one of many promulgated by people whose purposes were honorable. They believed that drug use was a threat to the country and that essential legislation would be enacted only by rousing people and Congress. Their maneuver was effective. The law was passed and it came to be narrowly interpreted. This in turn led to the American system of addiction control, whereby responsibility for it turned over from the physician to the police and the option of narcotic maintenance, the British choice, was foreclosed. Thus was provided a fertile soil as well as the seeds for a black market that would become the source of new addiction as well as the sustainer of old addiction. Careful examination of the historical record can serve to correct long-held but erroneous assumptions and perhaps may alter the attitudes and policies that flowed from those errors. The historical record that heroin was not introduced as a treatment for morphine dependence, and that it was probably not even used very extensively for that purpose, may induce us to examine the origins of other of our assumptions about drug dependence.</t>
  </si>
  <si>
    <t>(Kramer J.C.); ID: 1781</t>
  </si>
  <si>
    <t>0022-393X</t>
  </si>
  <si>
    <t>Kramers,C.;Maassen Van,Den Brink;Hessel,M. H.;Janssen,B.;Knol,W.;Mulder,W. M.;Rissmann,R.;Tichelaar,J.;Author,Addresses;Radboud University,Medical Center;Erasmus University,Medical Center;Netherlands;Leiden University,Medical Center;Netherlands;Maastricht University,Medical Center;University Medical,Center Utrecht;Academic,Medical Center;Vu,Medical Center;Correspondence,Address;Kramers, Radboud University Medical Center Nijmegen Netherlands,C.</t>
  </si>
  <si>
    <t>The Dutch/Flemish prescribing assessment project</t>
  </si>
  <si>
    <t>e165</t>
  </si>
  <si>
    <t>e166</t>
  </si>
  <si>
    <t>anticoagulant agent;cardiovascular agent;clinical pharmacology;European;therapy;drug therapy;education;human;medical student;multiple choice test;Netherlands;pain;pharmacokinetics;philosophy;reading;student;university</t>
  </si>
  <si>
    <t>Educational Objectives: To develop a pharmacotherapy end test aimed to improve safe prescribing in the Netherlands and Flanders. At the conclusion of this presentation, participants know about the philosophy behind and practical implications of this test. Purpose: The project aims to develop a Dutch/Flemish pharmacotherapy end test. Methods: Most preventable serious adverse events are due to a relative small list of drugs (eg, pain killers, anticoagulants, cardiovascular drugs, antidiabetics1). Based on these drug-related problems and on basic pharmacological principles (pharmacokinetics, good prescribing, prescribing laws), a list of end terms has been formulated, which each prescriber has to know before starting to prescribe independently. A test has been developed covering these end terms. Education material to prepare for this pharmacotherapy end test has been developed. Ultimately, each medical student in the Netherlands and Flanders has to pass this test before graduating. Results: End terms covering 11 different subjects have been developed. Educational material (youtube channel, pharmacotherapy reader, cases in www.pscribe.nl) has been made available. A total of 215 multiple choice questions covering the end terms have been developed. Based on these, the pharmacotherapy end test has been taken since September 2014 in Nijmegen, the Netherlands. About 30% of students fail per test; however, ultimately all students pass. The other universities in the Netherlands and Flanders are preparing to start the test. Conclusions: A Dutch/Flemish pharmacotherapy end test has been developed based on end terms covering the most frequent preventable serious adverse events and basic pharmacotherapy principles. The test has been taken in Nijmegen, the Netherlands since September 2014. The other universities in the Netherlands and Flanders are preparing to start testing. Whether this test will lead to safe prescribing is subject of an oncoming study.</t>
  </si>
  <si>
    <t>(Kramers C.) (Maassen Van Den Brink A.) (Hessel M.H.; Rissmann R.) (Janssen B.) (Knol W.) (Mulder W.M.) (Tichelaar J.) 12th Congress of the European Association for Clinical Pharmacology and Therapeutics, EACPT 2015 Madrid, Spain 2015-06-27 to 2015-06-30 Excerpta Medica Inc.; ID: 817</t>
  </si>
  <si>
    <t>Kranzler,H. R.;Author,Addresses;Alcohol Research Center, Department,of Psychiatry;University of Connecticut School,of Medicine;States;University of Connecticut,Health Center;Farmington Avenue,Farmington,C.T.United States;Correspondence,Address;HR Kranzler, Univ of Connecticut Health,Center M.;Avenue,Farmington C. T. United States</t>
  </si>
  <si>
    <t>11093959; Pharmacotherapy of alcoholism: Gaps in knowledge and opportunities for research</t>
  </si>
  <si>
    <t>(MAJOR FOCUS);acamprosate (clinical trial, drug dose, drug therapy);disulfiram (clinical trial, drug dose, drug therapy);nalmefene (clinical trial, drug combination, drug comparison, drug dose,;drug therapy, oral drug administration);naltrexone (clinical trial, drug comparison, drug dose, drug therapy, oral;drug administration, pharmaceutics);opiate antagonist (clinical trial, drug combination, drug therapy);serotonin agonist (clinical trial, drug therapy);citalopram (clinical trial, drug dose, drug therapy);fluoxetine (clinical trial, drug dose, drug therapy);alcoholism (drug therapy, therapy);adolescent;aged;clinical trial;comorbidity;drug abuse;drug effect;drug efficacy;drug research;female;human;patient selection;priority journal;psychosocial care;review;sustained release formulation;treatment indication;acamprosate (77337-73-6);citalopram (59729-33-8);disulfiram (97-77-8);fluoxetine (54910-89-3, 56296-78-7, 59333-67-4);nalmefene (55096-26-9);naltrexone (16590-41-3, 16676-29-2);Drug Literature Index (37);Drug Dependence, Alcohol Abuse and Alcoholism (40)</t>
  </si>
  <si>
    <t>During the past decade, renewed interest in medications to prevent relapse in alcoholics has yielded a number of promising candidates. Although two of these medications, naltrexone and acamprosate, are currently in clinical use in a number of countries, overall, their effectiveness appears to be limited. Disulfiram, the deterrent medication that was approved 50 years ago for the treatment of alcoholism, has not consistently been shown to be efficacious. However, since inadequate dosing and other modifiable factors may limit its deterrent effects, the identification of a more potent metabolite of disulfiram appears to warrant further evaluation. Studies of serotonergic agonists for treatment of alcoholism have also yielded inconsistent results. There is evidence, however, that subgroups of alcoholics may respond well to such medications, suggesting that treatment matching may enhance their efficacy. In addition, nalmefene, a compound with effects similar to naltrexone, as well as a sustained release formulation of naltrexone, may enhance the beneficial effects of opioid antagonist therapy. Despite these developments, much remains to be learned about the pharmacotherapy of alcoholism. The ongoing development and evaluation of novel medications should be given a high priority. However, such basic issues as the optimal dosing strategy and duration of treatment for existing therapies are not known. Similarly, combination therapy, involving either multiple medications or the combination of medication with specific psychotherapies, has not been well studied. The utility of specific pharmacotherapies in women, different ethnic/racial groups, adolescent and geriatric patients, and individuals with co-morbid alcohol and drug use disorders (including nicotine dependence) is also largely unknown, as is the appropriateness of medication therapy for treatment of early problem drinkers. The ultimate aim of these efforts is the development of algorithms for the pharmacological treatment of heavy drinking, which incorporate the characteristics of the patient and of pharmacological and psychosocial treatments with demonstrated efficacy. Although a general framework for such an effort currently exists, much detail is needed before it will be of widespread clinical value.</t>
  </si>
  <si>
    <t>(Kranzler H.R.) Oxford University Press, Great Clarendon Street, Oxford, United Kingdom.; ID: 1628</t>
  </si>
  <si>
    <t>http://www.ncbi.nlm.nih.gov/pubmed/11093959</t>
  </si>
  <si>
    <t>Pharmacotherapy of alcoholism: Gaps in knowledge and opportunities for research</t>
  </si>
  <si>
    <t>Kratz,A. M.</t>
  </si>
  <si>
    <t>Planning a drug abuse prevention program for junior and senior high school students</t>
  </si>
  <si>
    <t>American Journal of Pharmacy &amp; the Sciences Supporting Public Health</t>
  </si>
  <si>
    <t>Adolescent;*Health Education;Humans;*Students;Students, Pharmacy;*Substance-Related Disorders/pc Prevention &amp; Control]</t>
  </si>
  <si>
    <t>J2: Am J Pharm Sci Support Public Health; Kratz, A M; ID: 741</t>
  </si>
  <si>
    <t>http://ovidsp.ovid.com/ovidweb.cgi?T=JS&amp;CSC=Y&amp;NEWS=N&amp;PAGE=fulltext&amp;D=med1&amp;AN=5514566</t>
  </si>
  <si>
    <t>MEDLINE; Ovid Technologies; Planning a drug abuse prevention program for junior and senior high school students</t>
  </si>
  <si>
    <t>Kreek,M. J.</t>
  </si>
  <si>
    <t>Methadone-related opioid agonist pharmacotherapy for heroin addiction. History, recent molecular and neurochemical research and future in mainstream medicine</t>
  </si>
  <si>
    <t>Adrenocorticotropic Hormone/se Secretion];Corticotropin-Releasing Hormone/se Secretion];*Heroin Dependence/dt Drug Therapy];Heroin Dependence/me Metabolism];Humans;Hypothalamo-Hypophyseal System/de Drug Effects];Methadone/pd Pharmacology];*Methadone/tu Therapeutic Use];Methadyl Acetate/tu Therapeutic Use];Pituitary-Adrenal System/de Drug Effects];Pro-Opiomelanocortin/me Metabolism];beta-Endorphin/ph Physiology];60617-12-1 (beta-Endorphin);66796-54-1 (Pro-Opiomelanocortin);9002-60-2 (Adrenocorticotropic Hormone);9015-71-8 (Corticotropin-Releasing Hormone);L59OC40KWJ (Methadyl Acetate);UC6VBE7V1Z (Methadone)</t>
  </si>
  <si>
    <t>In 1963, Professor Vincent P. Dole at the Rockefeller University formed a small team to develop a pharmacotherapy for the management of heroin addiction. They hypothesized that heroin addiction is a disease of the brain with behavioral manifestations, and not merely a personality disorder or criminal behavior and began to address the specific question of whether a long-acting opioid agonist could be used in the long-term maintenance treatment of heroin addiction. Over the next 35 years, many studies documented the safety, efficacy and effectiveness of methadone pharmacotherapy for heroin addiction, but Federal regulations and stigmatization of heroin addiction prevented implementation of treatment. Finally, in 1999, NIH published a report unequivocally supporting methadone maintenance pharmacotherapy for heroin addiction. Two other effective opioid agonist treatments have been developed: the even longer acting opioid agonist l-alpha-acetylmethadol (LAAM) has been approved for pharmacotherapy for heroin addiction, and still under study is the opioid partial agonist-antagonist buprenorphine-naloxone combination. A variety of studies, both laboratory based and clinical, have revealed the mechanisms of action of long-acting opioid agonists in treatment, including prevention of disruption of molecular, cellular and physiologic events and, in fact, allowing normalization of those functions disrupted by chronic heroin use. Recent molecular biological studies have revealed single nucleotide polymorphisms of the human mu opioid receptor gene; the mu opioid receptor is the site of action of heroin, the major opiate drug of abuse, analgesic agents such as morphine, and the major treatment agents for heroin addiction. These findings support the early hypotheses of our laboratory that addiction may be due to a combination of genetic, drug-induced and environmental (including behavioral) factors and also, that atypical stress responsivity may contribute to the acquisition and persistence of, as well as relapse to, use of addictive drugs. References: 109]</t>
  </si>
  <si>
    <t>J2: Ann N Y Acad Sci; Kreek, M J DA-KO5-00049 (United States NIDA NIH HHS) DA-P50-05130 (United States NIDA NIH HHS) DA-RO1-09444 (United States NIDA NIH HHS) etc.; ID: 553</t>
  </si>
  <si>
    <t>0077-8923</t>
  </si>
  <si>
    <t>Kreek,M J. Laboratory of the Biology of Addictive Diseases, Rockefeller University, New York, New York 10021, USA. kreek@mail.rockefeller.edu</t>
  </si>
  <si>
    <t>http://ovidsp.ovid.com/ovidweb.cgi?T=JS&amp;CSC=Y&amp;NEWS=N&amp;PAGE=fulltext&amp;D=med4&amp;AN=10911931</t>
  </si>
  <si>
    <t>MEDLINE; Ovid Technologies; Methadone-related opioid agonist pharmacotherapy for heroin addiction. History, recent molecular and neurochemical research and future in mainstream medicine</t>
  </si>
  <si>
    <t>Opiate and cocaine addictions: challenge for pharmacotherapies</t>
  </si>
  <si>
    <t>Animals;*Cocaine/pd Pharmacology];Drug Therapy;Heroin/pd Pharmacology];Humans;Methadone/pd Pharmacology];*Narcotics/pd Pharmacology];*Opioid-Related Disorders;0 (Narcotics);70D95007SX (Heroin);I5Y540LHVR (Cocaine);UC6VBE7V1Z (Methadone)</t>
  </si>
  <si>
    <t>Neurobiological and behavioral studies, as well as basic and applied clinical research studies, may all contribute to the development of a pharmacotherapy for a specific addictive disease. This paper reviews recent findings from research work, primarily from one laboratory along with collaborative laboratories, that could have some relevance for the development of pharmacotherapy for cocaine dependency. The much earlier experiences of this laboratory in the development of a pharmacotherapy for opiate addiction will be addressed in the context of providing both some specific suggestions for addictive disease pharmacotherapy development and some warnings about the complexities of the introduction and implementation of a pharmacotherapy once developed. Finally, based on both the earlier perspectives and the more recent research findings, some very specific, though speculative, suggestions will be made about the development of novel pharmacotherapies for early opiate addiction, especially for cocaine abuse or addiction and prevention of relapse to cocaine use. The complex and diverse nature of the challenge for pharmacotherapy for the addictive diseases is presented, including specifically a mandate for broadening educational efforts concerning the basis of addictive diseases and the need for treatment, in parallel with the scientific efforts to develop increasingly sophisticated and targeted pharmacotherapies. References: 152]</t>
  </si>
  <si>
    <t>J2: Pharmacol Biochem Behav; Kreek, M J KO5-DA00049 (United States NIDA NIH HHS) M01-RR00102 (United States NCRR NIH HHS) P50-DAO5130 (United States NIDA NIH HHS); ID: 600</t>
  </si>
  <si>
    <t>0091-3057</t>
  </si>
  <si>
    <t>Kreek,M J. Laboratory on the Biology of Addictive Diseases, Rockefeller University, New York, NY 10021, USA.</t>
  </si>
  <si>
    <t>http://ovidsp.ovid.com/ovidweb.cgi?T=JS&amp;CSC=Y&amp;NEWS=N&amp;PAGE=fulltext&amp;D=med4&amp;AN=9218280</t>
  </si>
  <si>
    <t>MEDLINE; Ovid Technologies; Opiate and cocaine addictions: challenge for pharmacotherapies</t>
  </si>
  <si>
    <t>Kreek,M. J.;Vocci,F. J.</t>
  </si>
  <si>
    <t>History and current status of opioid maintenance treatments: blending conference session</t>
  </si>
  <si>
    <t>Buprenorphine/tu Therapeutic Use];Clinical Trials as Topic;History, 20th Century;Humans;Methadone/hi History];*Methadone/tu Therapeutic Use];Methadyl Acetate/hi History];*Methadyl Acetate/tu Therapeutic Use];Naloxone/tu Therapeutic Use];Narcotic Antagonists/tu Therapeutic Use];Narcotics/hi History];*Narcotics/tu Therapeutic Use];Opioid-Related Disorders/hi History];Opioid-Related Disorders/pp Physiopathology];*Opioid-Related Disorders/rh Rehabilitation];0 (Narcotic Antagonists);0 (Narcotics);36B82AMQ7N (Naloxone);40D3SCR4GZ (Buprenorphine);L59OC40KWJ (Methadyl Acetate);UC6VBE7V1Z (Methadone)</t>
  </si>
  <si>
    <t>Opiate addiction is a chronic, relapsing disorder. Left untreated, high morbidity and mortality rates are seen. Pharmacotherapies for this disorder using mu opiate agonists (methadone and levomethadyl acetate) and partial agonists have been developed in the last 40 years. Agonist pharmacotherapy with oral methadone for the treatment of opiate dependence was developed in clinical pharmacology studies at Rockefeller University by Dole, Nyswander, and Kreek. Further studies by this laboratory and others established that moderate to high dose treatment with methadone (80-120 mg) reduced or eliminated opiate use in outpatient settings with consequent reductions in morbidity and up to 4-fold reductions in mortality. Levomethadyl acetate (LAAM), a congener of methadone, is biotransformed to active metabolites responsible for its longer duration of action. The Federal Regulations regarding the dispensation of methadone and LAAM have recently been revised to facilitate the treatment of patients under a "medical maintenance" model. Future regulatory reform will likely involve the establishment of rules for "office based opioid treatment."Copyright 2002 Elsevier Science Inc. References: 107]</t>
  </si>
  <si>
    <t>J2: J Subst Abuse Treat; Kreek, Mary Jeanne Vocci, Frank J DA K05-00049 (United States NIDA NIH HHS) DA P50-05130 (United States NIDA NIH HHS) DA R01-12848 (United States NIDA NIH HHS) M01-RR00102 (United States NCRR NIH HHS); ID: 503</t>
  </si>
  <si>
    <t>0740-5472</t>
  </si>
  <si>
    <t>Kreek,Mary Jeanne. The Laboratory of the Biology of Addictive Diseases, The Rockefeller University and The Rockefeller University Hospital, New York, NY 10021, USA.</t>
  </si>
  <si>
    <t>http://ovidsp.ovid.com/ovidweb.cgi?T=JS&amp;CSC=Y&amp;NEWS=N&amp;PAGE=fulltext&amp;D=med4&amp;AN=12220607</t>
  </si>
  <si>
    <t>MEDLINE; Ovid Technologies; History and current status of opioid maintenance treatments: blending conference session</t>
  </si>
  <si>
    <t>Krenzelok,E. P.</t>
  </si>
  <si>
    <t>The FDA Acetaminophen Advisory Committee Meeting - what is the future of acetaminophen in the United States? The perspective of a committee member</t>
  </si>
  <si>
    <t>Clinical Toxicology: The Official Journal of the American Academy of Clinical Toxicology &amp; European Association of Poisons Centres &amp; Clinical Toxicologists</t>
  </si>
  <si>
    <t>Acetaminophen/ad Administration &amp; Dosage];*Acetaminophen/po Poisoning];*Advisory Committees;Analgesics, Non-Narcotic/ad Administration &amp; Dosage];*Analgesics, Non-Narcotic/po Poisoning];Congresses as Topic;Consumer Product Safety;Drug Approval/lj Legislation &amp; Jurisprudence];*Drug Approval;Drug Combinations;Drug Compounding;Drug Labeling;Drug Overdose/pc Prevention &amp; Control];Evidence-Based Medicine;Government Regulation;Humans;Nonprescription Drugs/ad Administration &amp; Dosage];*Nonprescription Drugs/po Poisoning];Practice Guidelines as Topic;Prescription Drugs/ad Administration &amp; Dosage];*Prescription Drugs/po Poisoning];Risk Assessment;United States;0 (Analgesics, Non-Narcotic);0 (Drug Combinations);0 (Nonprescription Drugs);0 (Prescription Drugs);362O9ITL9D (Acetaminophen)</t>
  </si>
  <si>
    <t>BACKGROUND: Unintentional acetaminophen toxicity is a common problem throughout the world but particularly in the more developed countries. To deal with the problem, several countries have attempted to decrease the risk of acetaminophen overdose by reducing package sizes. The U.S. Food and Drug Administration (FDA) convened a joint meeting recently of three Advisory Committees to consider the issue of unintentional acetaminophen-related toxicity and to explore strategies to address the problem. PROPOSALS AND RECOMMENDATIONS: Three strategies addressed the issue of dose reduction as a way to decrease morbidity and mortality. The FDA proposed a decrease in the maximum daily dose from 4,000 to 3,250 mg, reducing the maximum individual dose from 1,000 to 650 mg and relegating 500 mg tablets to prescription status. The Committees voted in favor of each of those initiatives. Restricting the number of doses that could be purchased by regulating package sizes, as has been done in some European countries, was proposed, but rejected by the Committees. Proposals also addressed the elimination of nonprescription and prescription acetaminophen combination products (e.g., multi-symptom cold relief combinations and acetaminophen/opioid combinations) as a strategy to decrease unintentional poisoning when individuals unknowingly take different products, all of which contain acetaminophen. The Committees rejected the proposal to eliminate the nonprescription combinations but recommended the elimination of prescription combination products. Currently, liquid acetaminophen is available in the United States in three different concentrations. To reduce the confusion associated with the variance in concentrations the Committees voted to have a single concentration for all acetaminophen liquid products. Finally, the Committees voted, almost unanimously, to encourage the FDA to place a boxed warning in the product information to create awareness among prescribers and pharmacists about acetaminophen toxicity and to educate their patients accordingly. CONCLUSIONS: Many of the recommendations were not evidence-based but instead have an anecdotal basis. However, the Committees are advisory to the FDA, their recommendations are not binding and it remains to be seen which of the recommendations will be implemented.</t>
  </si>
  <si>
    <t>J2: Clin Toxicol (Phila); Krenzelok, Edward P; ID: 321</t>
  </si>
  <si>
    <t>1556-9519</t>
  </si>
  <si>
    <t>Krenzelok,Edward P. Pittsburgh Poison Center and Drug Information Center, University of Pittsburgh Medical Center, Schools of Pharmacy and Medicine, University of Pittsburgh, Pittsburgh, PA 15213, USA. krenzelokep@upmc.edu</t>
  </si>
  <si>
    <t>http://ovidsp.ovid.com/ovidweb.cgi?T=JS&amp;CSC=Y&amp;NEWS=N&amp;PAGE=fulltext&amp;D=med5&amp;AN=19735211</t>
  </si>
  <si>
    <t>http://dx.doi.org/10.1080/15563650903232345</t>
  </si>
  <si>
    <t>MEDLINE; Ovid Technologies; The FDA Acetaminophen Advisory Committee Meeting - what is the future of acetaminophen in the United States? The perspective of a committee member</t>
  </si>
  <si>
    <t>Kresina,T. F.;Sylvestre,D.;Seeff,L.;Litwin,A. H.;Hoffman,K.;Lubran,R.;Clark,H. W.</t>
  </si>
  <si>
    <t>PMC4395041; Hepatitis infection in the treatment of opioid dependence and abuse</t>
  </si>
  <si>
    <t>Many new and existing cases of viral hepatitis infections are related to injection drug use. Transmission of these infections can result directly from the use of injection equipment that is contaminated with blood containing the hepatitis B or C virus or through sexual contact with an infected individual. In the latter case, drug use can indirectly contribute to hepatitis transmission through the dis-inhibited at-risk behavior, that is, unprotected sex with an infected partner. Individuals who inject drugs are at-risk for infection from different hepatitis viruses, hepatitis A, B, or C. Those with chronic hepatitis B virus infection also face additional risk should they become co-infected with hepatitis D virus. Protection from the transmission of hepatitis viruses A and B is best achieved by vaccination. For those with a history of or who currently inject drugs, the medical management of viral hepatitis infection comprising screening, testing, counseling and providing care and treatment is evolving. Components of the medical management of hepatitis infection, for persons considering, initiating, or receiving pharmacologic therapy for opioid addiction include: testing for hepatitis B and C infections; education and counseling regarding at-risk behavior and hepatitis transmission, acute and chronic hepatitis infection, liver disease and its care and treatment; vaccination against hepatitis A and B infection; and integrative primary care as part of the comprehensive treatment approach for recovery from opioid abuse and dependence. In addition, participation in a peer support group as part of integrated medical care enhances treatment outcomes. Liver disease is highly prevalent in patient populations seeking recovery from opioid addiction or who are currently receiving pharmacotherapy for opioid addiction. Pharmacotherapy for opioid addiction is not a contraindication to evaluation, care, or treatment of liver disease due to hepatitis virus infection. Successful pharmacotherapy for opioid addiction stabilizes patients and improves patient compliance to care and treatment regimens as well as promotes good patient outcomes. Implementation and integration of effective hepatitis prevention programs, care programs, and treatment regimens in concert with the pharmacological therapy of opioid addiction can reduce the public health burdens of hepatitis and injection drug use.</t>
  </si>
  <si>
    <t>J2: Subst Abus; Kresina, Thomas F Sylvestre, Diana Seeff, Leonard Litwin, Alain H Hoffman, Kenneth Lubran, Robert Clark, H Westley; ID: 47</t>
  </si>
  <si>
    <t>1178-2218</t>
  </si>
  <si>
    <t>Kresina,Thomas F. Center for Substance Abuse Treatment, Substance Abuse and Mental Health Services Administration, Rockville, MD. Sylvestre,Diana. Department of Medicine, University of California, San Francisco and Organization to Achieve Solutions In Substance Abuse (O.A.S.I.S.) Oakland, CA. Seeff,Leonard. Division of Digestive Diseases and Nutrition, National Institute on Diabetes, Digestive, and Kidney Diseases, National Institutes of Health, DHHS, Bethesda, MD. Litwin,Alain H. Division of Substance Abuse, Albert Einstein College of Medicine, Montefiore Medical Center Bronx, NY. Hoffman,Kenneth. Center for Substance Abuse Treatment, Substance Abuse and Mental Health Services Administration, Rockville, MD. Lubran,Robert. Center for Substance Abuse Treatment, Substance Abuse and Mental Health Services Administration, Rockville, MD. Clark,H Westley. Center for Substance Abuse Treatment, Substance Abuse and Mental Health Services Administration, Rockville, MD.</t>
  </si>
  <si>
    <t>http://ovidsp.ovid.com/ovidweb.cgi?T=JS&amp;CSC=Y&amp;NEWS=N&amp;PAGE=fulltext&amp;D=prem&amp;AN=25977607</t>
  </si>
  <si>
    <t>MEDLINE; Ovid Technologies; Hepatitis infection in the treatment of opioid dependence and abuse</t>
  </si>
  <si>
    <t>Kreyenbuhl,J.;Marcus,S. C.;West,J. C.;Wilk,J.;Olfson,M.;Author,Addresses;Department of,Psychiatry;Division of Services Research, University of Maryland School,of Medicine;Baltimore,M. D. U.;Department,of;Veterans Affairs Capitol,Healthcare Network;Research,Education;Clinical Center, W Lombard St,Baltimore M.;States,United;School,of Social;Practice,University of;Pennsylvania,Philadelphia P. A. United States;American Psychiatric,Institute for;Education;Arlington,V. A. U.;Department of Psychiatry, Columbia University New,York City;Ny,United States;New York State Psychiatric Institute, New York,City N.;States;Correspondence,Address;Kreyenbuhl, Department of Veterans Affairs Capitol Healthcare Network,J.;Education,Mental Illness Research;Clinical Center,W.;Lombard St, Baltimore M D United,States Email;jkreyenb@psych.umaryland.edu</t>
  </si>
  <si>
    <t>17602016; Adding or switching antipsychotic medications in treatment-refractory schizophrenia</t>
  </si>
  <si>
    <t>Psychiatric Services</t>
  </si>
  <si>
    <t>antidepressant agent (drug dose, drug therapy);anxiolytic agent (drug therapy);aripiprazole (drug combination, drug dose, drug therapy);clozapine (drug combination, drug dose, drug therapy);neuroleptic agent (drug therapy);olanzapine (drug therapy);quetiapine (drug therapy);risperidone (drug therapy);ziprasidone (drug therapy);schizophrenia (drug resistance, drug therapy);adjuvant therapy;article;clinical feature;combination chemotherapy;controlled study;drug efficacy;drug industry;drug response;drug substitution;female;health program;health survey;human;major clinical study;major depression (diagnosis, drug therapy);male;prescription;psychiatrist;substance abuse;aripiprazole (129722-12-9);clozapine (5786-21-0);olanzapine (132539-06-1);quetiapine (111974-72-2);risperidone (106266-06-2);ziprasidone (118289-78-4, 122883-93-6, 138982-67-9, 199191-69-0);Public Health, Social Medicine and Epidemiology (17);Psychiatry (32);Drug Literature Index (37)</t>
  </si>
  <si>
    <t>Objective: This study compared patients with schizophrenia whose antipsychotic medications were switched to manage treatment-resistant positive psychotic symptoms with those for whom another antipsychotic was added. Psychiatrists' characteristics and perceptions of effectiveness of the medication change on clinical outcomes were also reported. Methods: Psychiatrists participating in a nationally representative mailed survey (N=209) reported on the clinical features, management, and response to the change in antipsychotic medication (added versus switched) of one adult patient with treatment-refractory schizophrenia under their care for at least one year. Results: Thirty-three percent of patients were treated with an added antipsychotic medication. Compared with patients whose antipsychotic medications were switched, those with an added antipsychotic medication were more likely to be female, to have received care from the same psychiatrist for more than two years, and to have been recently prescribed an antidepressant. Compared with psychiatrists who switched antipsychotic prescriptions, those who added an antipsychotic reported that the change was less likely to reduce positive symptoms, improve functioning, and prevent hospitalization. Psychiatrists who added rather than switched antipsychotics reported more frequent attendance at educational programs sponsored by a pharmaceutical company. Conclusions: Consistent with other lines of research and practice guideline recommendations, psychiatrists perceive antipsychotic polypharmacy to be a generally ineffective strategy for treatment-resistant positive psychotic symptoms. In light of these findings, efforts to identify and implement more effective evidence-based pharmacologic approaches should be undertaken.</t>
  </si>
  <si>
    <t>(Kreyenbuhl J., jkreyenb@psych.umaryland.edu) (Kreyenbuhl J., jkreyenb@psych.umaryland.edu; Marcus S.C.) (VISN 5) (West J.C.; Wilk J.) (Wilk J.) (Olfson M.) American Psychiatric Association, 1000 Wilson Boulevard, Suite 1825, Arlington, United States.; ID: 1493</t>
  </si>
  <si>
    <t>1075-2730</t>
  </si>
  <si>
    <t>http://www.ncbi.nlm.nih.gov/pubmed/17602016</t>
  </si>
  <si>
    <t>Adding or switching antipsychotic medications in treatment-refractory schizophrenia</t>
  </si>
  <si>
    <t>Kreys,T. J.;Coley,K.;Saul,M.;Fabian,T.;Author,Addresses;Medical University of South Carolina,Medical Center;States;South Carolina College of Pharmacy,at Medical;South Carolina,United States;University of Pittsburgh, School of,Pharmacy United;States;University of Pittsburgh, Department of,Biomedical Informatics;United,States;Western Psychiatric,Institute;Clinic,United States;Correspondence,Address;T-J Kreys, Medical University of South Carolina Medical,Center United;States</t>
  </si>
  <si>
    <t>Evaluation of treatment continuation rates of aripiprazole and quetiapine in patients with bipolar disorder</t>
  </si>
  <si>
    <t>(MAJOR FOCUS);aripiprazole;quetiapine;atypical antipsychotic agent;lithium;mood stabilizer;neuroleptic agent;bipolar disorder;college;patient;pharmacist;cohort analysis;diagnosis;documentation;drug therapy;hospital;hospitalization;length of stay;logistic regression analysis;maintenance therapy;population;regression analysis;substance abuse;university</t>
  </si>
  <si>
    <t>Abstract Type: Original Research. Background: Several atypical antipsychotic agents are indicated for the treatment of acute bipolar episodes and/or maintenance therapy; however, few head-to-head comparison studies have been conducted. Objective: The objective of this naturalistic study was to assess treatment continuation rates for aripiprazole and quetiapine in patients with bipolar disorder at the time of discharge from the hospital. Patient and treatment variables that may influence treatment continuation rates were also evaluated. Methods: This was a retrospective, cohort study conducted at Western Psychiatric Institute and Clinic of the University of Pittsburgh Medical Center. Patients were included in the analysis if they were greater than or equal to 18 years of age, had an ICD-9 diagnosis code of bipolar affective disorder, were admitted between July 2005 and June 2008, and were newly initiated on aripiprazole or quetiapine. Patients were excluded from the study if they had no documentation of admission and/or discharge medications, were treated with quetiapine at doses less than 200 mg/d, or were treated with both aripiprazole and quetiapine during the index hospitalization. A multivariate regression analysis was used to assess covariates that impacted treatment continuation rates. Results: A total of 392 patients were included in the study (aripiprazole cohort: n = 209; quetiapine cohort: n = 183). Baseline demographics were similar between cohorts with the exception of bipolar subtype (P = 0.045) and substance abuse history (P &lt; 0.001). There was no difference in antipsychotic treatment continuation rates between cohorts, with 85% of aripiprazole patients and 81% of quetiapine patients continuing their index antipsychotic agent at discharge (P = 0.254). Logistic regression analysis revealed that younger patients (P = 0.001) and those with a shorter length of stay (P = 0.002) were more likely to continue treatment with their index antipsychotic. Patients who were treated concomitantly with valproic acid/divalproex (OR = 0.52, P = 0.034) or lithium (OR = 0.40, P = 0.008) were less likely to continue treatment with their index antipsychotic. Conclusion: There was no significant difference in antipsychotic treatment continuation rates at discharge in patients with bipolar disorder treated with quetiapine or aripiprazole. However, in this patient population, antipsychotic treatment continuation was influenced by patient age, length of stay, and concomitant use of mood stabilizers.</t>
  </si>
  <si>
    <t>(Kreys T.-J.) (Coley K.; Fabian T.) (Saul M.) (Fabian T.) 13th Annual Meeting of the College of Psychiatric and Neurologic Pharmacists, CPNP 2010 San Antonio, TX, United States 2010-04-18 to 2010-04-21 SAGE Publications Inc.; ID: 1366</t>
  </si>
  <si>
    <t>Krick,S. E.;Lindley,C. M.;Bennett,M.</t>
  </si>
  <si>
    <t>Pharmacy-perceived barriers to cancer pain control: results of the North Carolina Cancer Pain Initiative Pharmacist Survey</t>
  </si>
  <si>
    <t>Community Pharmacy Services;Female;*Health Knowledge, Attitudes, Practice;Humans;Male;*Neoplasms/pp Physiopathology];North Carolina;Pain/dt Drug Therapy];*Pain/pc Prevention &amp; Control];Patient Education as Topic;*Pharmacists/px Psychology];Pharmacists/sn Statistics &amp; Numerical Data];Pharmacy Service, Hospital;Surveys and Questionnaires</t>
  </si>
  <si>
    <t>OBJECTIVE: To assess pharmacists' knowledge, attitudes, and beliefs regarding the use of narcotics in cancer pain management, identify pharmacist counseling activities for cancer pain patients, assess pharmacy-related barriers to cancer pain management, and evaluate the availability of narcotic analgesics. METHODS: Mailing of a six-page survey. SETTING: Five hundred randomly selected pharmacists registered in North Carolina. PARTICIPANTS: Of 500 pharmacists surveyed, 141 surveys were completed and returned for a response rate of 28.2 percent. RESULTS: Pharmacists surveyed were knowledgeable regarding the problem of undertreatment of cancer pain. More than 80 percent of respondents replied that most cancer patients experience pain at some time during their illness. Eighty-five percent of respondents agreed that the nurse must believe the patient's report of pain and that the patient is the best judge of the intensity of the pain. Conservative physician prescribing patterns and conservative administration patterns of nurses were identified as perceived barriers to adequate pain management by 51 and 44 percent of respondents, respectively. Less than 30 percent of respondents frequently counseled cancer pain patients and were unable to identify patients who have cancer pain as a major medical illness. Hospital pharmacists recommended adjunctive therapy more often than did community pharmacists (p = 0.013). Interventions in pain management regimens were more often conducted by hospital pharmacists than by community pharmacists (p = 0.049). Differences in availability of narcotics was noted among practice sites for some more potent narcotics. Of the pharmacists surveyed, only 43 percent had attended a continuing education program on cancer pain management. Ninety-six percent of respondents were interested in attending a continuing education program in the future. CONCLUSIONS: Pharmacists in North Carolina are aware that the undertreatment of cancer pain is a serious medical problem. Unfortunately, pharmacists appear to be unable to identify patients with cancer pain as a major medical problem; therefore, counseling activity is limited. Addiction is still perceived as a barrier by some pharmacists. Through organizations such as the North Carolina Pain Initiative, these problems can be addressed.</t>
  </si>
  <si>
    <t>J2: Ann Pharmacother; Krick, S E Lindley, C M Bennett, M; ID: 632</t>
  </si>
  <si>
    <t>Krick,S E. Campbell University School of Pharmacy, Buies Creek, NC.</t>
  </si>
  <si>
    <t>http://ovidsp.ovid.com/ovidweb.cgi?T=JS&amp;CSC=Y&amp;NEWS=N&amp;PAGE=fulltext&amp;D=med3&amp;AN=7949500</t>
  </si>
  <si>
    <t>MEDLINE; Ovid Technologies; Pharmacy-perceived barriers to cancer pain control: results of the North Carolina Cancer Pain Initiative Pharmacist Survey</t>
  </si>
  <si>
    <t>Krieger,K.;Krishnaswamy,S.;Canzoneri,J.;Hyatt,J. M.;Author,Addresses;Buffalo,V. A. M.;Center,United States;Correspondence,Address;Medical Center United States,K.Krieger, Buffalo V.A.</t>
  </si>
  <si>
    <t>Predictors of recovery and rate of buprenorphine dosage reduction in veterans being treated in the buprenorphine clinic at the vawny healthcare system</t>
  </si>
  <si>
    <t>(MAJOR FOCUS);buprenorphine;opiate;college;drug dose reduction;health care system;hospital;human;pharmacist;veteran;bipolar disorder;buffalo;data analysis;dependent variable;diagnosis;female;impulsiveness;independent variable;male;model;opiate addiction;patient;personality;personality disorder;pilot study;population;proportional hazards model;questionnaire;recurrence risk;regression analysis;relapse;schizophrenia;statistical significance;Student t test;substance abuse;temperament;therapy</t>
  </si>
  <si>
    <t>Background: Studies have shown that substance abusers can be more impulsive and may have more personality disorder traits than the general population. Additionally, patients treated for opiate dependence often relapse. Models of buprenorphine treatment for opiate dependence include maintaining patients on buprenorphine therapy long term, or having buprenorphine tapered off over time until the patient is no longer opiate-dependent and may be discharged from the Buprenorphine Clinic. Some patients may be tapered off of buprenorphine relatively quickly while others may be more difficult to taper off buprenorphine requiring a longer tapering period. Having the ability to predict which patients may benefit from a slower taper will allow clinicians to individualize a buprenorphine treatment plan to improve likelihood of treatment success and reduce relapse rates. Objective: This is a prospective pilot study to determine whether impulsivity and certain personality traits can predict how quickly buprenorphine dosage can be reduced, and in patients who withdraw from therapy, time to relapse. Methods: Male or female Veterans newly enrolled in the Buffalo VA Buprenorphine Clinic, aged 18-65 years old, and excluding those with a diagnosis of schizophrenia or Bipolar disorder, are eligible for enrollment. Patients who consent to participate in the study are asked to complete two questionnaires: one to evaluate impulsivity (Barratt Impulsiveness Scale 11 - BIS 11) and one to evaluate personality traits (Temperament and Character Inventory - TCI- 140). Patients are then followed through the VA electronic chart system to monitor their rate of dose reduction and time to relapse. Data Analysis: Two dependent variables will be evaluated: the rate of reduction in buprenorphine dosage and the time to relapse. Weekly rate of buprenorphine dosage reduction will be calculated as: (initial daily dosage - final daily dosage)/number of weeks of treatment. A student T-test will be used to evaluate the dependent variable, buprenorphine dosage reduction, and the two independent variables, BIS-11 scores and TCI scores. Cox regression analysis will be used to evaluate the potential relationship between BIS-11 scores, TCI scores and time to relapse. Statistical significance will be accepted at p &lt; 0.05.</t>
  </si>
  <si>
    <t>(Krieger K.; Krishnaswamy S.; Canzoneri J.; Hyatt J.M.) 15th Annual Meeting of the College of Psychiatric and Neurologic Pharmacists, CPNP 2012 Tampa, FL, United States 2012-04-29 to 2012-05-02 SAGE Publications Inc.; ID: 1151</t>
  </si>
  <si>
    <t>Kriegler,K. A.;Baldwin,J. N.;Scott,D. M.</t>
  </si>
  <si>
    <t>A survey of alcohol and other drug use behaviors and risk factors in health profession students</t>
  </si>
  <si>
    <t>Adult;*Alcohol Drinking/ep Epidemiology];Alcoholism/ep Epidemiology];Female;Humans;Incidence;Male;Nebraska;Peer Group;Self-Assessment;Smoking;*Students, Health Occupations/px Psychology];*Substance-Related Disorders/ep Epidemiology];Surveys and Questionnaires</t>
  </si>
  <si>
    <t>This survey assessed the alcohol and other drug (AOD) use habits and risk factors of health profession students at a midwestern university health science center. The authors administered a 75-item survey to 1,707 students in selected classrooms: 984 students responded for a return rate of 57.6%. In 1990, they found, alcohol use among the health profession students in the past year was comparable to that of undergraduate college students nationally (86%), although significantly fewer health profession students drank heavily (27% had five or more drinks in the past 2 weeks, compared with 41% of college students). The percentage of health profession students who reported using tobacco or illicit drugs was lower than the percentage of undergraduate students who used these substances. At the time of the study, 16% of the respondents may have had a potential current alcohol problem and 3.5% a potential drug problem. Pharmacy students most often reported negative consequences from their AOD use. Peer pressure influenced the drinking decisions of 55% of the respondents; students in dentistry and pharmacy experienced the least support from peers for their decisions to abstain from drinking. Family histories of alcohol problems were reported by 38% of the respondents, and family histories of drug use by 14.8%. Male health profession students, when compared with the female professional students, drank more and experienced more consequences of their drinking or drug use and were also more influenced by peers.</t>
  </si>
  <si>
    <t>J2: J Am Coll Health; Kriegler, K A Baldwin, J N Scott, D M; ID: 634</t>
  </si>
  <si>
    <t>Kriegler,K A. Medical Center Understanding Substance Abuse, Student Counseling Services, University of Nebraska Medical Center, Omaha.</t>
  </si>
  <si>
    <t>http://ovidsp.ovid.com/ovidweb.cgi?T=JS&amp;CSC=Y&amp;NEWS=N&amp;PAGE=fulltext&amp;D=med3&amp;AN=8046165</t>
  </si>
  <si>
    <t>MEDLINE; Ovid Technologies; A survey of alcohol and other drug use behaviors and risk factors in health profession students</t>
  </si>
  <si>
    <t>Krinsky,D.;Bachmann,D.;Harbert,B.;Author,Addresses;Northeast,Ohio;Medical University,United States;Correspondence,Address;Krinsky, Northeast Ohio Medical University United States Email,D.;dkrinsky@neomed.edu</t>
  </si>
  <si>
    <t>Pharmacy student and pharmacist impact on patient safety and care: Interventions in a community pharmacy setting</t>
  </si>
  <si>
    <t>e240</t>
  </si>
  <si>
    <t>human;patient safety;pharmacist;pharmacy;pharmacy student;allergy;counseling;devices;documentation;drug therapy;patient;patient care;patient education;prescription</t>
  </si>
  <si>
    <t>Objective: Community pharmacies offer myriad opportunities to impact patient safety and patient care. Activities such as patient education and device demonstration are taken for granted yet the impact on outcomes is potentially very significant. Previous research suggests many drug-related problems are preventable through pharmacist actions. The objectives of this study are to: (1) evaluate the types and significance of interventions performed in a community pharmacy setting and (2) assess the potential impact on patient safety and care. Methods: At this practice, intervention opportunities are typically identified by pharmacists during the final prescription verification (checking) process. These prescriptions are tagged for counseling and cannot be sold until the counseling is completed. After the encounter, the pharmacist or pharmacy student documents the actions/discussion and assigns a Œì√á¬£significanceŒì√á¬• number based on his or her interpretation of patient value. The encounter documentation form includes the following suggested scale for the ranking of interventions: 1 = mild, 4 = moderate, 7 = major. We evaluated the data pertaining to the types of encounters and conducted a retrospective review of the rankings based on the initial data gathered. We aim to further assess the appropriateness of the severity level assigned at the time of interaction. Results: A retrospective review of the data from June-September 2014 found 491 point-of-care interventions; of these, 177 had a severity level assigned (&gt;90% level 1). Interventions included verifying dose changes, allergies, medication changes, device training, and others. We will retrospectively assess the types of interventions and the potential impact on patient care. A more detailed analysis of these and additional 2014 data will be presented. We anticipate these data will validate the value of community pharmacists' Œì√á¬£routineŒì√á¬• interventions on patient safety and demonstrate the importance of focus on product and patient. We plan to expand this documentation process to other locations in our organization.</t>
  </si>
  <si>
    <t>(Krinsky D., dkrinsky@neomed.edu; Bachmann D.; Harbert B.) APhA2015 San Diego, CA, United States 2015-03-27 to 2015-03-30 American Pharmacists Association; ID: 840</t>
  </si>
  <si>
    <t>Krinsky,D.;Hendrickson,R.;McCorkindale,N.;Author,Addresses;Neomed;United,States;Correspondence,Address;Krinsky, Neomed United States Email dkrinsky neomed edu,D.</t>
  </si>
  <si>
    <t>Telephonic follow-up to assess adherence in patients prescribed new maintenance medications</t>
  </si>
  <si>
    <t>e15</t>
  </si>
  <si>
    <t>drug therapy;follow up;human;patient;adverse drug reaction;eagle;medication compliance;pharmacist;pharmacy;prescription;student;telephone;therapy</t>
  </si>
  <si>
    <t>Objective: The objectives of this study are to: (1) evaluate follow-up phone call data to assess medication adherence for fiscal year (FY) 2012 and determine patient response to therapy; (2) assess medication adherence for at least 6 months prior to the call and at least 6 months after the call, based on refill dates, for chronic medications; and (3) compare adherence data in patients contacted versus those not contact to determine whether the phone call from the student pharmacist had an impact. Methods: Each day, the pharmacy system generates a printout that lists all patients who received a prescription for a new chronic medication 25 days ago. This printout lists the patient name, telephone number, medication, directions, prescriber, and days supply along with other prescribed medications filled within the last 6 months. Before the call is made, potential or real drug-therapy problems are identified and the list is prioritized. Using this information, NEOMED student pharmacists and Giant Eagle pharmacists make at least three attempts to talk with the patient to determine if the medication is truly new (or possibly a dosage change), response, evaluate for possible adverse effects, reinforce the importance of adherence, and answer all questions. For those patients in whom response cannot be determined, a note is made to conduct a second follow-up call. The patient is contacted, issues are discussed, and action steps are noted.</t>
  </si>
  <si>
    <t>(Krinsky D., dkrinsky@neomed.edu; Hendrickson R.; McCorkindale N.) APhA2013 Los Angeles, CA, United States 2013-03-01 to 2013-03-04 American Pharmacists Association; ID: 1074</t>
  </si>
  <si>
    <t>Kristina,S. A.;Thavorncharoensap,M.;Pongcharoensuk,P.;Montakantikul,P.;Suansanae,T.;Prabandari,Y. S.</t>
  </si>
  <si>
    <t>Effectiveness of tobacco education for pharmacy students in Indonesia</t>
  </si>
  <si>
    <t>Asian Pacific Journal of Cancer Prevention: Apjcp</t>
  </si>
  <si>
    <t>Adult;Case-Control Studies;Counseling;Female;Follow-Up Studies;Humans;Indonesia;Male;*Patient Education as Topic;Prognosis;*Self Efficacy;*Smoking/pc Prevention &amp; Control];*Students, Pharmacy;*Tobacco Use Cessation;Tobacco Use Disorder/di Diagnosis];Tobacco Use Disorder/px Psychology];*Tobacco Use Disorder/th Therapy]</t>
  </si>
  <si>
    <t>BACKGROUND: Smoking remains the major preventable cause of death worldwide, especially cancer-related death. Evidence clearly indicates that tobacco-related morbidity and mortality is reduced by smoking cessation. Pharmacists are well-positioned to provide tobacco cessation services an involvement of pharmacists in smoking cessation is encouraged by several organizations. While Indonesia's prevalence of smoking is in the first rank in Asian countries, none of the pharmacy schools in Indonesia are currently offering tobacco-related courses in their existing curricula at present. Our study aimed to develop and to evaluate the effectiveness of tobacco education (TE) for pharmacy students in Indonesia. MATERIALS AND METHODS: A 6-hour TE was developed and evaluated using pre-test/post-test with control group design. A total of 137 fifth-year pharmacy students at Gadjah Mada University (GMU), Yogyakarta, were chosen as an intervention group while a total of 105 fifth-year students of Islamic University of Indonesia, (UII) served as the control group. Knowledge, perceived-role, self-efficacy, and ability to perform counseling using the 5A's framework were evaluated. RESULTS: A significant improvement (P &lt; 0.001) in knowledge, perceived-role, and self-efficacy was found in the intervention group but not in the control group. In addition, we revealed that 89.7% of the intervention group were able to perform counseling using 5A's. CONCLUSIONS: The developed TE significantly improved student knowledge, perceived-rolse, self-efficacy, and created an ability to perform cessation counseling. Integration of TE education in curricula of Indonesian pharmacy schools nation-wide should be encouraged.</t>
  </si>
  <si>
    <t>J2: Asian Pac J Cancer Prev; Kristina, Susi Ari Thavorncharoensap, Montarat Pongcharoensuk, Petcharat Montakantikul, Preecha Suansanae, Thanarat Prabandari, Yayi Suryo; ID: 29</t>
  </si>
  <si>
    <t>1513-7368</t>
  </si>
  <si>
    <t>Kristina,Susi Ari. Department of Pharmacy, Faculty of Pharmacy, Mahidol University, Bangkok, Thailand E-mail : susikristina@yahoo.com.</t>
  </si>
  <si>
    <t>http://ovidsp.ovid.com/ovidweb.cgi?T=JS&amp;CSC=Y&amp;NEWS=N&amp;PAGE=fulltext&amp;D=medl&amp;AN=25605176</t>
  </si>
  <si>
    <t>MEDLINE; Ovid Technologies; Effectiveness of tobacco education for pharmacy students in Indonesia</t>
  </si>
  <si>
    <t>Kristova,V.;Kriska,M.;Vojtko,R.;Petrova,M.;Liskova,S.;Villaris,R.;Varga,Z.;Wawruch,M.</t>
  </si>
  <si>
    <t>PMC3090053; Trends in vascular pharmacology research in the Department of Pharmacology and Clinical Pharmacology, Faculty of Medicine, Comenius University, Bratislava</t>
  </si>
  <si>
    <t>Interdisciplinary Toxicology</t>
  </si>
  <si>
    <t>Research in the Department of Pharmacology started to focus intensively on fetal circulation in the 60s. Results of experiments contributed to clarification of the conversion of fetal circulation type to the adult type: the mechanism of the ductus arteriosus closure, examination of fetal and neonatal pulmonary vessel responses. In the early 80s, increased attention was dedicated to fetal vascular endothelium, later on to vascular reactivity in relation to the endothelium in adult animals. We developed original models of vascular endothelial damage using the perfusion method (repeated vasoconstrictive stimuli, deendothelization by air bubbles). We developed a new technique for in vitro endothelial loss quantification on Millipore filters. Under in vitro conditions, the protective effects of sulodexide and pentoxifylline on vascular endothelium were evaluated. In recent years were studied protective effects of selected substances in vivo in models of endothelial damage (e.g. stress, toxic tissue damage, diabetes mellitus, hypertension). The role of potassium channels in the hypertension model was studied in cooperation with the Czech Academy of Sciences. Assessment of vascular reactivity in the diabetic model was significantly improved by computer. In addition to experimental work, the department is solving problems of clinical pharmacology - especially drug risk evaluation (non-steroidal anti-inflammatory drugs). Recently, we have dealt with pharmacoepidemiological studies in geriatric patients and with cardiovascular risk of NSAIDs in relation to pharmacotherapy. The results of these studies may be an impulse for targeted problem solving in our experiments.</t>
  </si>
  <si>
    <t>J2: Interdiscip; Kristova, Viera Kriska, Milan Vojtko, Robert Petrova, Miriam Liskova, Silvia Villaris, Radoslav Varga, Zoltan Wawruch, Martin; ID: 250</t>
  </si>
  <si>
    <t>1337-9569</t>
  </si>
  <si>
    <t>Kristova,Viera. Department of Pharmacology and Clinical Pharmacology, Faculty of Medicine, Comenius University, Bratislava, Slovak Republic.</t>
  </si>
  <si>
    <t>http://ovidsp.ovid.com/ovidweb.cgi?T=JS&amp;CSC=Y&amp;NEWS=N&amp;PAGE=fulltext&amp;D=prem&amp;AN=21577283</t>
  </si>
  <si>
    <t>http://dx.doi.org/10.2478/v10102-011-0008-8</t>
  </si>
  <si>
    <t>MEDLINE; Ovid Technologies; Trends in vascular pharmacology research in the Department of Pharmacology and Clinical Pharmacology, Faculty of Medicine, Comenius University, Bratislava</t>
  </si>
  <si>
    <t>Kroger,E.;Moisan,J.;Gregoire,J. P.</t>
  </si>
  <si>
    <t>Billing for cognitive services: understanding Quebec pharmacists' behavior</t>
  </si>
  <si>
    <t>Adult;Aged;Attitude of Health Personnel;Data Collection;*Fees, Pharmaceutical;Female;Humans;Male;Middle Aged;*Pharmaceutical Services/ec Economics];Pharmacies/ec Economics];*Pharmacists/ec Economics];Quebec;Surveys and Questionnaires</t>
  </si>
  <si>
    <t>BACKGROUND: There is growing evidence that pharmacists' interventions to solve drug-related problems are effective and cost-saving. Since 1978, under the Quebec provincial drug plan, payment for two cognitive services, the pharmaceutical opinion and the refusal to dispense a prescription, has been disbursed to community pharmacists. However, the number of claims for these services lags far behind expectations. OBJECTIVE: To identify factors influencing Quebec community pharmacists in the billing for a pharmaceutical opinion or for a refusal to dispense. METHODS: Questions on predisposing, enabling, and reinforcing factors potentially related to pharmacists' behavior were included in a self-administered questionnaire sent to all 3517 community pharmacists practicing in the province of Quebec during 1996. Using multivariate logistic regression, models were built to explain billing for an opinion and billing for a refusal. RESULTS: According to our models, the typical pharmacist who billed for opinions or refusals in Quebec is &lt;45 years of age, has attended a continuing education program on this topic, and believes that billing for interventions is important. This typical pharmacist handles a mean daily volume of 100-250 prescriptions, uses a decision-support computer program, and has sufficient technical staff assistance. This pharmacist believes that interventions can be billed rapidly and are consistently paid by the province's drug plan. CONCLUSIONS: In order to increase the billing of pharmaceutical care in community pharmacies, tailored educational programs should be offered to pharmacists. There is also a need to improve working conditions in pharmacies.</t>
  </si>
  <si>
    <t>J2: Ann Pharmacother; Kroger, E Moisan, J Gregoire, J P Comment in: Ann Pharmacother. 2000 Mar;34(3):401-2; PMID: 10917390; ID: 550</t>
  </si>
  <si>
    <t>Kroger,E. Equipe de Pharmaco-Epidemiologie, Faculte de Pharmacie, Universite Laval, Quebec, Canada.</t>
  </si>
  <si>
    <t>http://ovidsp.ovid.com/ovidweb.cgi?T=JS&amp;CSC=Y&amp;NEWS=N&amp;PAGE=fulltext&amp;D=med4&amp;AN=10917375</t>
  </si>
  <si>
    <t>MEDLINE; Ovid Technologies; Billing for cognitive services: understanding Quebec pharmacists' behavior</t>
  </si>
  <si>
    <t>Kudlow,P. A.;Naylor,K. T.;Xie,B.;McIntyre,R. S.</t>
  </si>
  <si>
    <t>Cognitive enhancement in Canadian medical students</t>
  </si>
  <si>
    <t>Adult;Canada/ep Epidemiology];Female;Humans;Male;*Nootropic Agents/ad Administration &amp; Dosage];*Students, Medical/px Psychology];*Substance-Related Disorders/ep Epidemiology];0 (Nootropic Agents)</t>
  </si>
  <si>
    <t>BACKGROUND: Cognitive enhancing agents are substances that may augment functions such as memory, attention, concentration, wakefulness, and intelligence. METHODS: An anonymous, online survey containing a series of questions on the actual and hypothetical use of cognitive enhancers was sent via email to 647 medical students across all four years in one Canadian MD program. RESULTS: The response rate was 50% (326/647). Overall, 49 (15%, 95% CI: 11% to 19%) students admitted to non-medical and/or off-label use of one or more pharmaceutical stimulants, of whom 14 (4%, 95% CI: 2% to 6%) had used stimulants within the last year. Senior medical students reported recent use more often than junior students (8% vs. 2%, P = 0.04). Class seniority and male gender were both associated with positive attitudes towards use of these agents; favorable attitudes were associated with recent use of pharmaceutical stimulant and high-caffeine products. CONCLUSION: A substantial proportion of Canadian medical students have engaged at some point in non-medical and/or off-label use of stimulants for purposes of cognitive enhancement. Male students and those in upper years of the MD program were more likely to have used pharmaceutical stimulants in the last year, and have favorable attitudes concerning use of cognitive-enhancing agents.</t>
  </si>
  <si>
    <t>J2: J Psychoactive Drugs; Kudlow, Paul A Naylor, Karline Treurnicht Xie, Bin McIntyre, Roger S; ID: 119</t>
  </si>
  <si>
    <t>Kudlow,Paul A. Department of Psychiatry, University of Toronto, Toronto, Canada. paul.kudlow@gmail.com Naylor,Karline Treurnicht. Columbia University, New York, NY, USA. Xie,Bin. Department of Obstetrics and Gynecology at the University of Western Ontario, London, Canada. McIntyre,Roger S. University of Toronto, Toronto, Canada.</t>
  </si>
  <si>
    <t>http://ovidsp.ovid.com/ovidweb.cgi?T=JS&amp;CSC=Y&amp;NEWS=N&amp;PAGE=fulltext&amp;D=medl&amp;AN=24377176</t>
  </si>
  <si>
    <t>MEDLINE; Ovid Technologies; Cognitive enhancement in Canadian medical students</t>
  </si>
  <si>
    <t>Kuhr,E.;Casey,G.;Kopacek,K.;Thorpe,J.;Author,Addresses;University,of Wisconsin;Clinics;United,States;University,of Wisconsin;Pharmacy,United States;Correspondence,Address;Kuhr, University of Wisconsin Hospital,E.;Clinics,United States Email;ekuhr@uwhealth.org</t>
  </si>
  <si>
    <t>Implementation and evaluation of a comprehensive medication review and assessment training program for pharmacists</t>
  </si>
  <si>
    <t>drug therapy;pharmacist;training;curriculum;health care organization;human;interview;medication therapy management;patient;pharmacy;physician;school;society;student;Theory of Planned Behavior;United States;university</t>
  </si>
  <si>
    <t>Objective: To measure the effectiveness and impact of a comprehensive medication review and assessment (CMR/A) training program on practicing pharmacists' knowledge and confidence in performing and intention to provide medication therapy management (MTM) services. Methods: Background: The Wisconsin Pharmacy Quality Collaborative (WPQC) is a consortium of health care organizations and pharmacies that has created a qualitybased MTM services demonstration project that aligns incentives for both pharmacists and payers to provide and support MTM services. CMR/A is the highest level of MTM service a pharmacist can provide through WPQC. This service involves a pharmacist meeting with the patient to review all of their medications, medical conditions, and concerns. The design and implementation of a pharmacist CMR/A training program is a collaborative effort between the Pharmacy Society of Wisconsin and the University of Wisconsin-Madison School of Pharmacy. The content of this program draws upon aspects of the Theory of Planned Behavior, and builds upon the School of Pharmacy's current MTM curriculum for student pharmacists. Pharmacists employed at pharmacies offering WPQC services elected to receive additional training on providing CMR/As to enhance their practice. Pharmacists completed a 2.5-hour home study and 6-hour hands-on training program. The training was focused on identifying and recruiting eligible patients, conducting a patient interview and collecting an appropriate medication history, identifying and prioritizing drugrelated problems, communicating drug therapy recommendations to the physician, communicating drug therapy changes to the patient, and electronically documenting and billing for services. The training assessment tool was developed to evaluate domains comprising the Theory of Planned Behavior. Pharmacists completed the assessment tool 1 week prior to home study and immediately following the training session to evaluate (1) their knowledge regarding MTM services and WPQC, (2) confidence in performing WPQC MTM services, (3) attitudes, subjective norms, perceived behavioral control, behavioral beliefs, and intentions to provide WPQC MTM services in the future. Results: NA (research in progress). Conclusion: NA (research in progress).</t>
  </si>
  <si>
    <t>(Kuhr E., ekuhr@uwhealth.org) (Casey G.; Kopacek K.; Thorpe J.) APhA2010 Washington, DC, United States 2010-03-12 to 2010-03-15 American Pharmacists Association; ID: 1392</t>
  </si>
  <si>
    <t>Kunin,C. M.</t>
  </si>
  <si>
    <t>Problem of antibiotic usage. Definitions, causes, and proposed solutions</t>
  </si>
  <si>
    <t>*Anti-Bacterial Agents/tu Therapeutic Use];Drug Industry;*Drug Utilization;Hospitals;Humans;Quality of Health Care;0 (Anti-Bacterial Agents)</t>
  </si>
  <si>
    <t>Standardized surveillance methods are needed in order to obtain valid comparison among institutions concerning use of antimicrobial agents. These include use of data from the hospital pharmacy and review of routine orders for propolyaxis in surgery and for specific infectious diseases. Audits of individual agents should be based on standardized guidelines for use. Attempts to improve the quality of use of antimicrobial agents require understanding of the constraints of medical practice that effect use of drugs to solve problems. These include the practice setting, cost and availability of laboratory support, and patient expectation. Promotion by the pharmaceutical industry capitalizes on the motivation of the physician to help his patient, often in setting in which diagnosis and management are uncertain. Promotion is a continuous process beginning early in medical school and extending to the media and university teaching staffs. The overall solution to inappropriate antibiotic use requires more than educational programs. There should also be a well-structured hospital program regulating pharmaceutical representatives, the formulary, antimicrobial susceptibility tests, justification for high-cost agents, and development of mutually agreed on guidelines for use.</t>
  </si>
  <si>
    <t>J2: Ann Intern Med; Kunin, C M; ID: 725</t>
  </si>
  <si>
    <t>http://ovidsp.ovid.com/ovidweb.cgi?T=JS&amp;CSC=Y&amp;NEWS=N&amp;PAGE=fulltext&amp;D=med1&amp;AN=717959</t>
  </si>
  <si>
    <t>MEDLINE; Ovid Technologies; Problem of antibiotic usage. Definitions, causes, and proposed solutions</t>
  </si>
  <si>
    <t>Kuo,A.;Wyse,B. D.;Meutermans,W.;Smith,M. T.</t>
  </si>
  <si>
    <t>PMC4292966 Available on 01/01/16]; In vivo profiling of seven common opioids for antinociception, constipation and respiratory depression: no two opioids have the same profile</t>
  </si>
  <si>
    <t>British journal of pharmacology</t>
  </si>
  <si>
    <t>Br.J.Pharmacol.</t>
  </si>
  <si>
    <t>*Analgesics, Opioid/ae Adverse Effects];*Analgesics, Opioid/tu Therapeutic Use];Animals;Benzeneacetamides/ae Adverse Effects];Benzeneacetamides/tu Therapeutic Use];Buprenorphine/ae Adverse Effects];Buprenorphine/tu Therapeutic Use];Castor Oil;*Constipation/ci Chemically Induced];Diarrhea/ci Chemically Induced];Diarrhea/dt Drug Therapy];Enkephalin, D-Penicillamine (2,5)-/ae Adverse Effects];Enkephalin, D-Penicillamine (2,5)-/tu Therapeutic Use];Fentanyl/ae Adverse Effects];Fentanyl/tu Therapeutic Use];Hot Temperature;Male;Morphine/ae Adverse Effects];Morphine/tu Therapeutic Use];Morphine Derivatives/ae Adverse Effects];Morphine Derivatives/tu Therapeutic Use];Oxycodone/ae Adverse Effects];Oxycodone/tu Therapeutic Use];*Pain/dt Drug Therapy];Pyrrolidines/ae Adverse Effects];Pyrrolidines/tu Therapeutic Use];Rats, Sprague-Dawley;*Respiratory Insufficiency/ci Chemically Induced];Respiratory Insufficiency/pp Physiopathology];0 (Analgesics, Opioid);0 (Benzeneacetamides);0 (Morphine Derivatives);0 (Pyrrolidines);20290-10-2 (morphine-6-glucuronide);40D3SCR4GZ (Buprenorphine);76I7G6D29C (Morphine);8001-79-4 (Castor Oil);88373-73-3 (Enkephalin, D-Penicillamine (2,5)-);96744-75-1 (u 69593);CD35PMG570 (Oxycodone);UF599785JZ (Fentanyl)</t>
  </si>
  <si>
    <t>BACKGROUND AND PURPOSE: For patients experiencing inadequate analgesia and intolerable opioid-related side effects on one strong opioid analgesic, pain relief with acceptable tolerability is often achieved by rotation to a second strong opioid. These observations suggest subtle pharmacodynamic differences between opioids in vivo. This study in rats was designed to assess differences between opioids in their in vivo profiles. EXPERIMENTAL APPROACH: Male Sprague Dawley rats were given single i.c.v. bolus doses of morphine, morphine-6-glucuronide (M6G), fentanyl, oxycodone, buprenorphine, DPDPE (D-penicillamine(2,5) ]-enkephalin) or U69,593. Antinociception, constipation and respiratory depression were assessed using the warm water tail-flick test, the castor oil-induced diarrhoea test and whole body plethysmography respectively. KEY RESULTS: These opioid agonists produced dose-dependent antinociception, constipation and respiratory depression. For antinociception, morphine, fentanyl and oxycodone were full agonists, buprenorphine and M6G were partial agonists, whereas DPDPE and U69,593 had low potency. For constipation, M6G, fentanyl and buprenorphine were full agonists, oxycodone was a partial agonist, morphine produced a bell-shaped dose-response curve, whereas DPDPE and U69,593 were inactive. For respiratory depression, morphine, M6G, fentanyl and buprenorphine were full agonists, oxycodone was a partial agonist, whereas DPDPE and U69,593 were inactive. The respiratory depressant effects of fentanyl and oxycodone were of short duration, whereas morphine, M6G and buprenorphine evoked prolonged respiratory depression. CONCLUSION AND IMPLICATIONS: For the seven opioids we assessed, no two had the same profile for evoking antinociception, constipation and respiratory depression, suggesting that these effects are differentially regulated. Our findings may explain the clinical success of 'opioid rotation'. LINKED ARTICLES: This article is part of a themed section on Opioids: New Pathways to Functional Selectivity. To view the other articles in this section visit http://dx.doi.org/10.1111/bph.2015.172.issue-2.Copyright ‚î¨‚åê 2014 The British Pharmacological Society.</t>
  </si>
  <si>
    <t>J2: Br J Pharmacol; Kuo, A Wyse, B D Meutermans, W Smith, M T; ID: 32</t>
  </si>
  <si>
    <t>1476-5381</t>
  </si>
  <si>
    <t>Kuo,A. School of Pharmacy, The University of Queensland, Brisbane, Qld, Australia; Centre for Integrated Preclinical Drug Development, St Lucia Campus, The University of Queensland, Brisbane, Qld, Australia.</t>
  </si>
  <si>
    <t>http://ovidsp.ovid.com/ovidweb.cgi?T=JS&amp;CSC=Y&amp;NEWS=N&amp;PAGE=fulltext&amp;D=medl&amp;AN=24641546</t>
  </si>
  <si>
    <t>http://dx.doi.org/10.1111/bph.12696</t>
  </si>
  <si>
    <t>MEDLINE; Ovid Technologies; In vivo profiling of seven common opioids for antinociception, constipation and respiratory depression: no two opioids have the same profile</t>
  </si>
  <si>
    <t>Kuo,C. N.;Lee,P. Y.;Author,Addresses;Taipei Medical University, Wan Fang,Hospital Taiwan;Correspondence,Address;C-N Kuo, Taipei Medical University Wan Fang,Hospital Taiwan</t>
  </si>
  <si>
    <t>Economical analysis of pharmacy intervention in the intensive care units in a medical center in Taiwan</t>
  </si>
  <si>
    <t>e227</t>
  </si>
  <si>
    <t>antiinfective agent;American;clinical pharmacy;college;intensive care unit;pharmacy;Taiwan;adverse drug reaction;cost control;drug therapy;health;hospital;human;injury;intensive care;medication error;patient;patient safety;pharmacist;physician;prescription</t>
  </si>
  <si>
    <t>PURPOSE: Pharmacy interventions in the intensive care unit (ICU) can prevent the injury from medication errors and also bring some economical benefits. A study showed that the potential cost avoidance of the documented interventions was USD 205,919-280,421. Owing to such economical benefits, we performed the economical analysis of pharmacists' intervention in the ICUs in WanFang hospital in Taiwan. METHODS: Four clinical pharmacists documented the interventions made from December 2011 to February 2012 in 1st ICU and January 2012 to February 2012 in 2nd ICU. These data were retrospectively evaluated and we recorded type of intervention, changed prescription, days of the medication used before and after intervention, days of staying in ICU. We also collected patients' data by reviewing charts. Cost saving was calculated from the medical cost differentiation between prescriptions before and after pharmacists' interventions. For cost avoidance, the documented interventions were independently reviewed by two physicians to evaluated whether an actual or potential adverse health consequence would have occurred without the intervention, the probability that an adverse health consequence would have occurred without the intervention, and potential cost avoidance of the intervention. Once the evaluations were completed, cost avoidance can be further calculated. RESULTS: One hundred and forty-two interventions were made during this period. The most drug-related problems were inappropriate dose. The total cost saving was NTD 114,980. Antimicrobial agents were the major category in cost savings (90.73%). The average of total cost avoidance was NTD 1,074,288 (from NTD 778,411 to 1,301,075). Both physicians considered the most common impact of pharmacy intervention as preventing potential adverse drug events. CONCLUSION: Based on the results of this study, providing pharmacy intervention in the critical care settings could not only ensure patient safety but also have financial impact.</t>
  </si>
  <si>
    <t>(Kuo C.-N.; Lee P.-Y.) 2013 Annual Meeting of the American College of Clinical Pharmacy, ACCP 2013 Albuquerque, NM, United States 2013-10-13 to 2013-10-16 Pharmacotherapy Publications Inc.; ID: 987</t>
  </si>
  <si>
    <t>Kuo,D.;Buehler,G.;Patel,K.;Author,Addresses;Baylor College,of Medicine;States;Ben Taub,General Hospital;States;Correspondence,Address;Kuo, Baylor College of Medicine Houston United States,D.</t>
  </si>
  <si>
    <t>Banana bag utilization in the emergency department: Pharmacy educational initiatives can decrease Œì√á¬£dogmaticŒì√á¬• orders for banana bags</t>
  </si>
  <si>
    <t>S257</t>
  </si>
  <si>
    <t>thiamine;banana;college;emergency physician;emergency ward;human;pharmacy;adult;alcoholism;city;cost control;hospital cost;nutritional status;pharmacist;physician;population;student;teaching;Wernicke encephalopathy</t>
  </si>
  <si>
    <t>Study Objective: Œì√á¬£Banana bagsŒì√á¬• have been historically ordered for all potential alcoholics to supplement their nutritional states and prevent Wernicke's encephalopathy despite evidence for their effectiveness. We sought to decrease the ordering of Œì√á¬£banana bagsŒì√á¬• and evaluated the effectiveness of a pharmacy educational initiative to decrease Œì√á¬£banana bagŒì√á¬• orders. Methods: This is retrospective before and after study performed in emergency department (ED) of an academic teaching institution in a major metropolitan city with over 100,000 annual visits. This study was performed in the adult population (&gt; 18 yrs of age). Four months were studied to establish a baseline prior to the intervention and 4 months were studied after the intervention. Pharmacy orders for Œì√á¬£banana bagŒì√á¬• were reviewed by the ED pharmacist before and after an educational initiative was initiated in the ED. This educational initiative consisted of a brief presentation on the lack of evidence to support Œì√á¬£banana bagŒì√á¬• administration that was given during physician and student orientation. IV thiamine alone was recommended as an alternative for malnourished alcoholics. Outcome measures were the number of Œì√á¬£banana bagŒì√á¬• orders written per month. Secondaryoutcome measures were potential cost savings. Results: There were 216, 155, 141, and 165 orders for Œì√á¬£banana bagŒì√á¬• in the baseline control months with zero orders for</t>
  </si>
  <si>
    <t>(Kuo D.; Buehler G.; Patel K.) American College of Emergency Physicians, ACEP 2011 Research Forum San Francisco, CA, United States 2011-10-15 to 2011-10-16 Mosby Inc.; ID: 1221</t>
  </si>
  <si>
    <t>Kurtz,B.;Renner,E.;Author,Addresses;Outpatient,Anticoagulation Service;Michigan,Hospitals;Health Centers, Ann Arbor,United States;Correspondence,Address;Kurtz, Outpatient Anticoagulation Service University of Michigan,B.;Hospitals;Health Centers, Ann Arbor,United States</t>
  </si>
  <si>
    <t>Impact of a pharmacist-managed target-specific oral anticoagulation service</t>
  </si>
  <si>
    <t>e244</t>
  </si>
  <si>
    <t>anticoagulant agent;apixaban;dabigatran;rivaroxaban;warfarin;American;anticoagulation;clinical pharmacy;college;human;pharmacist;adverse drug reaction;anticoagulant therapy;drug therapy;education;follow up;laboratory test;medication compliance;monitoring;outpatient;patient;physician;telephone;therapy;United States;university</t>
  </si>
  <si>
    <t>PURPOSE: While anticoagulation services have been established for warfarin management, their role in the management of targetspecific oral anticoagulants (TSOACs), including dabigatran, rivaroxaban, and apixaban, is unclear. In 2013, the University of Michigan Outpatient Anticoagulation Service developed a pharmacist- managed TSOAC-monitoring service to ensure appropriate use of TSOACs, including appropriate medication selection, dose-ing, and monitoring. Here we evaluate the impact of this new service by describing drug-related problems (DRPs) identified and therapy changes made by pharmacists. METHODS: Patients are enrolled in the service upon receiving a referral from a University of Michigan physician. Physicians can refer for monitoring of a pre-selected TSOAC or for assistance in prescribing a TSOAC. After receiving a referral, patients are contacted via telephone to provide patient-specific anticoagulation education and confirmation of therapy affordability. A follow-up call 2 weeks later assesses adherence and potential adverse effects. After the 2-week appointment, calls are scheduled every 3- 6 months to re-evaluate dosing, barriers to medication adherence, and adverse effects. At all visits, pharmacists make additional recommendations on antiplatelet therapy and order laboratory tests (SCr, AST/ALT) if clinically indicated. RESULTS: To date, 74 patients have been enrolled in the service. Of the 74 patients, 61 were referred for TSOAC monitoring and 13 for pharmacist assistance in initial therapy selection. Fifty-one patients have had at least one follow-up. Pharmacists recommended modification to anticoagulation therapy for 11 patients (18.0%) on a TSOAC medication at the initial visit. Changes were recommended to anticoagulation or antiplatelet therapy for 29 patients (39.2%) during the course of therapy. CONCLUSION: A pharmacist-managed TSOAC service assists providers in improving anticoagulation care by ensuring proper drug selection, correct medication dosing based on patient-specific factors, therapy affordability, and by providing ongoing anticoagulation education to patients.</t>
  </si>
  <si>
    <t>(Kurtz B.; Renner E.) 2014 Annual Meeting of the American College of Clinical Pharmacy, ACCP 2014 Austin, TX, United States 2014-10-12 to 2014-10-15 Pharmacotherapy Publications Inc.; ID: 884</t>
  </si>
  <si>
    <t>L‚îú‚îÇpez,M. G.;De Apodaca, F. O. O.;Rodr‚îú¬°guez,A. Q.;Sim‚îú‚îÇn,C. R.;Author,Addresses;Facultad,de;Farmacia,Universidad de Alcal‚îú√≠ de Henares Ctra Madrid-Barcelona Km ‚î¨‚ïñ Alcal‚îú√≠ de Henares Madrid Spain;Colegio Oficial,de Farmac;C/ Sta. Engracia, Madrid Spain</t>
  </si>
  <si>
    <t>MasterŒì√á√ñs Programme in healthcare pharmacy (pharmaceutical care)</t>
  </si>
  <si>
    <t>health care;pharmaceutical care;pharmacy;college;competence;computer;computer program;environment;follow up;health;health care need;human;information technology;laboratory;learning;methodology;monitoring;patient;patient care;pharmacist;population;quality control;skill;student;teacher;teaching;tic;university;workshop;world health organization</t>
  </si>
  <si>
    <t>Background The main objective of the Master programme in Health Care Pharmacy is to provide the necessary tools and knowledge to community pharmacists who participate in it, which pharmaceutical care activities require. With this purpose, theoretical lectures are complementary to hands-on training on the use of specific computer software (developed by the Madrid College of Pharmacists). The duration of the course is 9 months, and equivalent to 60 ECTS European Credits, during which students will work through all eight modules. Additionally, several workshops will take place both in computer room and community pharmacies. The MasterŒì√á∆ís degree is awarded by the Alcal‚îú√≠ de Henares University along with the Madrid College of Pharmacists. In November 2008, the Faculty of Pharmacy of Universidad de Alcal‚îú√≠ de Henares, the Madrid College of Pharmacists and Normon Laboratories signed a global cooperation agreement in order to promote management, training and information projects and initiatives that would benefit the professional activities of community pharmacists. So far, the result of that agreement has been the creation of a Chair in Pharmaceutical Care and the launch of a MasterŒì√á∆ís programme in Healthcare Pharmacy during the academic year 2008-2009, beginning in January 2009 until December 2009. Aim In response to the growing health needs, community pharmacists have to provide new professional services with a focus on populations and individual patients. In this context, pharmaceutical care is one of the most important practices to be implemented in our health system, especially due to the legal obligation that community pharmacists have to supply it. Consequently, we have designed a masterŒì√á∆ís programme to ensure that participating students will be able to obtain the competences and knowledge required to satisfy the health care needs. The main learning objectives have been set according to the World Health Organization and International Pharmaceutical FederationŒì√á∆ís Handbook of Developing Pharmacy Practice, which includes a description about the concept of the pharmaceutical care, discussion about the therapeutic problems associated with drugs, analysis of main steps in the pharmaceutical care process and how they contribute to Good Pharmaceutical Practice, the elements of pharmaceutical care plans, the therapeutic follow-up and outcome monitoring to assure continuity of care, and the mechanisms for detecting and identifying priorities for pharmaceutical care in resource-limited environments. Method The methodology is meant to be practical and based in the study of the methods, protocols and Information Technology tools (TICs) that guarantee the implementation of pharmaceutical care at the community pharmacy level. With this purpose, it is very important to complement theoretical lectures with training on the use of computer software, specifically targeted to achieve the practical application of the knowledge required. This methodology allows students to obtain conceptual competencies (understanding of the theory and practice of pharmaceutical care), technical competencies (ability to execute skills required in that area) and integrative competencies (ability to connect theory and skills). The duration of the course is nine months and equivalent to 60 ECTS Credits, 15 theoretical (105h) and 45 classes (315h). The lectures take place both at the University and at the Madrid College of Pharmacists in classrooms labs, computer room and community pharmacies. During the course, several workshops will take place both in computer labs and community pharmacies. Both students and faculty are involved in the evaluation process, according to the quality assurance system established in the Alcal‚îú√≠ de Henares University, by using a specific pro forma. This form is distributed to students and teachers during the last meeting of each course. Critical comments will help to revise teaching contents and improve teaching methods. All students are continuously evaluated thorough the acquisitions of competencies described in the objectives. Conclusion The degree is awarded by faculty from the Universidad de Alcal‚îú√≠ de Henares and the Madrid College of Pharmacists. In addition, it is our intention that the coursework will be recognized as formal credits for those students who want to carry out their PhD dissertation later on.</t>
  </si>
  <si>
    <t>(L‚îú‚îÇpez M. G., maria.guinea@uah.es; De Apodaca F. O. O.) (Autov‚îú¬°a A2) (Rodr‚îú¬°guez A. Q.; Sim‚îú‚îÇn C. R.) EAFP Annual Conference, 2009 Oslo, Norway 2009-06-18 to 2009-06-20 FIP; ID: 1430</t>
  </si>
  <si>
    <t>La Pera,G.</t>
  </si>
  <si>
    <t>Sexual education and temporary total androgen blockade in the fight against heroin addiction: a new hypothesis</t>
  </si>
  <si>
    <t>Archivio Italiano di Urologia, Andrologia</t>
  </si>
  <si>
    <t>Adolescent;*Androgen Antagonists/tu Therapeutic Use];*Heroin Dependence/pc Prevention &amp; Control];Humans;Male;*Sex Education;0 (Androgen Antagonists)</t>
  </si>
  <si>
    <t>Various theories have been advanced to account for heroin addiction. One of the causes, upon which little attention has, so far, been focused, concerns the relationship with testosterone and with sexual distress. In the present report, a new strategy in the fight against heroin use is proposed which is based upon the assumption that testosterone, or its metabolites, would exert on drug seeking behaviours and drug taking behaviours through a direct effect upon the rewarding circuit or indirectly eliciting the drug craving and by leading some youths with sexual distress to seek improvement in their sexual performance with the use of drugs. The new strategy proposed here is based upon sexual and affectivity education in adolescents to prevent First Drug Use and for those already addicted, upon sexual and affectivity education and temporary total androgen blockade with pharmaceutical agents that, in a reversible fashion, block both the production and the effect of testosterone and their metabolites until complete disintoxication of drug use is reached.</t>
  </si>
  <si>
    <t>J2: Arch Ital Urol Androl; La Pera, Giuseppe; ID: 373</t>
  </si>
  <si>
    <t>1124-3562</t>
  </si>
  <si>
    <t>La Pera,Giuseppe. Azienda Ospedaliera San Camillo Forlanini, Roma, Italy. lapera@libero.it</t>
  </si>
  <si>
    <t>http://ovidsp.ovid.com/ovidweb.cgi?T=JS&amp;CSC=Y&amp;NEWS=N&amp;PAGE=fulltext&amp;D=med5&amp;AN=18041362</t>
  </si>
  <si>
    <t>MEDLINE; Ovid Technologies; Sexual education and temporary total androgen blockade in the fight against heroin addiction: a new hypothesis</t>
  </si>
  <si>
    <t>Laaksonen,R.;Bates,I.;Duggan,C.;Author,Addresses;Pharmacy Practice Group, Department of,Pharmacy and;Pharmacology,University of Bath Bath United Kingdom;Department of,Practice;Policy;School of Pharmacy, University of London London,United Kingdom;Academic Department of Pharmacy, The Royal,London Hospital;Barts;the London Nhs Trust, London,United Kingdom;Correspondence,Address;Laaksonen, Pharmacy Practice Group Department of Pharmacy and,R.;Pharmacology,University of Bath Bath United Kingdom</t>
  </si>
  <si>
    <t>Training, clinical medication review performance and self-assessed competence: Investigating influences</t>
  </si>
  <si>
    <t>clinical competence;medical education;pharmaceutical care;pharmacy;academic achievement;aged;controlled study;elderly care;female;health care delivery;human;information processing;major clinical study;male;multiple regression;pharmacist;postal mail;prediction;primary medical care;priority journal;problem solving;regression analysis;review;treatment planning;United Kingdom;Public Health, Social Medicine and Epidemiology (17);Gerontology and Geriatrics (20)</t>
  </si>
  <si>
    <t>The aim of the study was to evaluate the influence of community pharmacists' training performance on providing clinical medication reviews, and the influence of their training and medication review performances on their self-assessed competence in two Primary Care Trusts (PCT) in England. Data were collected on training and medication reviews, and a postal survey, developed to measure pharmacists' self-assessed competence, was administered. Simple regression was used to predict medication review performance and multiple regression to predict self-assessed competence. The better the pharmacists' performance in Pharmaceutical care planning module, the better their performance in suggesting actions to solve drug related problems (DRPs) in medication reviews. In addition, the better the pharmacists' performance in suggesting actions to solve DRPs, the poorer their self-assessed competence in "delivery of patient care" competency cluster. While the training supported the provision of medication reviews, pharmacists may need more continuous, individual support and feedback to further develop their ability to self-assess competence.</t>
  </si>
  <si>
    <t>(Laaksonen R.) (Laaksonen R.; Bates I.; Duggan C.) (Duggan C.) International Pharmaceutical Federation, PO Box 84200 The Hague, , Netherlands.; ID: 1491</t>
  </si>
  <si>
    <t>2007470068 FULL TEXT LINK http://dx.doi.org/10.1080/15602210701610367</t>
  </si>
  <si>
    <t>Labbe,E.;Herbert,D.;Haynes,J.</t>
  </si>
  <si>
    <t>Physicians' attitude and practices in sickle cell disease pain management.Erratum appears in J Palliat Care. 2006 Spring;22(1):64]</t>
  </si>
  <si>
    <t>Journal of palliative care</t>
  </si>
  <si>
    <t>J.Palliat.Care</t>
  </si>
  <si>
    <t>Acute Disease;Adult;Analgesia/ae Adverse Effects];Analgesia/ut Utilization];*Anemia, Sickle Cell/co Complications];*Attitude of Health Personnel;Education, Medical, Continuing;Faculty, Medical/og Organization &amp; Administration];Family Practice/ed Education];Family Practice/og Organization &amp; Administration];Fear;Female;Health Knowledge, Attitudes, Practice;Hematology/ed Education];Hematology/og Organization &amp; Administration];Humans;Male;Medical Staff/ed Education];Medical Staff/px Psychology];Middle Aged;Needs Assessment;Pain/di Diagnosis];Pain/et Etiology];*Pain/pc Prevention &amp; Control];Pain Measurement;*Physicians/px Psychology];*Practice Patterns, Physicians'/og Organization &amp; Administration];Substance-Related Disorders/et Etiology];Substance-Related Disorders/pc Prevention &amp; Control];Surveys and Questionnaires;United States</t>
  </si>
  <si>
    <t>Many physicians believe that patients with sickle cell disease (SCD) are more likely to become addicted to pain medication than are other patient populations. This study hypothesizes that physicians' attitudes towards addiction in patients with SCD affects pain management practices. The Physician Attitudes Survey was sent to 286 physicians at seven National Institutes of Health-funded university-based comprehensive sickle cell centres. The survey assessed demographic information; and physician's attitudes toward and knowledge of pain, pain treatment, and drug addiction and abuse. Significant Pearson product-moment correlations were found between attitudes towards pain and beliefs regarding addiction to prescribed opioids. Physicians reported varied pain management strategies, however, many believe that attitudes toward addiction and to patients in pain crises may result in undertreatment of pain. These results indicate that physicians might benefit from additional education regarding sickle cell disease, addiction to pain medication, the pharmacology of opioids, and the assessment and treatment of pain.</t>
  </si>
  <si>
    <t>J2: J Palliat Care; Labbe, Elise Herbert, Donald Haynes, Johnson; ID: 436</t>
  </si>
  <si>
    <t>0825-8597</t>
  </si>
  <si>
    <t>Labbe,Elise. Department of Psychology, University of South Alabama, Comprehensive Sickle Cell Center, Mobile, USA.</t>
  </si>
  <si>
    <t>http://ovidsp.ovid.com/ovidweb.cgi?T=JS&amp;CSC=Y&amp;NEWS=N&amp;PAGE=fulltext&amp;D=med5&amp;AN=16483093</t>
  </si>
  <si>
    <t>MEDLINE; Ovid Technologies; Physicians' attitude and practices in sickle cell disease pain management.[Erratum appears in J Palliat Care. 2006 Spring;22(1):64]</t>
  </si>
  <si>
    <t>LaBella,S.;Li,G.;Barnes,K.;Matthews,D.;Beatty,S.;Author,Addresses;Ohio,State University;Correspondence,Address;LaBella, Ohio State University United States Email,S.;labella.sr@gmail.com</t>
  </si>
  <si>
    <t>Measuring the impact of an interdisciplinary polypharmacy clinic within a patient-centered medical home</t>
  </si>
  <si>
    <t>e144</t>
  </si>
  <si>
    <t>hospital;human;patient;polypharmacy;adverse drug reaction;drug therapy;electronic medical record;geriatrics;medication error;morbidity;pharmacist;physician;quality control;quality of life;risk;safety;statistics;university hospital</t>
  </si>
  <si>
    <t>Objective: The primary objective of this project is to track the types of interventions made in an interdisciplinary polypharmacy clinic to improve medication regimens and medication burden. Polypharmacy has been well documented in the literature as a risk for medication errors, adverse drug events, and morbidity. Team visits, including complete medication reviews, by pharmacists and physicians within a National Committee for Quality Assurance (NCQA) tier 3 patient-centered medical home (PCMH) at an academic medical center, can improve medication regimens. Secondary objectives include: (1) measuring each patient's quality of life at baseline and 1 month post-intervention and (2) tracking the cost of medication additions and discontinuations. Methods: Patients taking Œì√´√ë10 chronic medications will be identified for referral to the polypharmacy clinic from a report generated from the electronic medical record. The polypharmacy clinic will be staffed by a pharmacist and medical resident with oversight from an attending physician who specializes in geriatrics. Drug-related problems identified during the visit will be resolved and categorized based on indication, efficacy, cost, safety, and compliance. The numbers and types of interventions made, both during the primary visit and anticipated in the future, will be tracked. The 12-item short form (SF-12) survey also will be administered at baseline and 1 month post intervention. The increase or decrease in cost for medications added and removed during these visits will be captured using the average wholesale prices. Results: Research in progress. Using descriptive statistics, the types of drugrelated problems identified and interventions made will be reported. Changes in quality of life and monthly medication costs will be described.</t>
  </si>
  <si>
    <t>(LaBella S., labella.sr@gmail.com; Li G.; Barnes K.; Matthews D.; Beatty S.) APhA2014 Orlando, FL, United States 2014-03-28 to 2014-03-31 American Pharmacists Association; ID: 917</t>
  </si>
  <si>
    <t>Lacasse,Y.;Lamontagne,R.;Martin,S.;Simard,S.;Arsenault,M.</t>
  </si>
  <si>
    <t>Randomized trial of a smoking cessation intervention in hospitalized patients</t>
  </si>
  <si>
    <t>Adult;Aged;*Behavior Therapy/mt Methods];Female;*Hospitalization;Humans;Male;Middle Aged;Motivation;*Patient Education as Topic/mt Methods];*Smoking/th Therapy];*Smoking Cessation/mt Methods];*Social Support;Socioeconomic Factors</t>
  </si>
  <si>
    <t>A hospitalization is a time when perceived vulnerability to dangers from smoking and quitting motivation may be at their peak. Aim was to determine whether a smoking cessation intervention of moderate intensity would increase the smoking cessation rate in hospitalized smokers. Design was randomized trial, conducted in a university-affiliated cardio-pulmonary tertiary care center. Participants were hospitalized smokers aged &lt; or =70 years. Intervention was a smoking cessation intervention consisting of education and psychological support, with or without pharmacological therapy, associated with follow-up phone calls. Patients assigned to the control group received usual care. Measurement was point prevalence cessation rate at 1-year follow-up. A total of 468 patients were screened; 196 were randomized. Although the smoking cessation rates at 12-month follow-up were higher than expected, we found no significant difference between the study groups (intervention: 30.3%; control: 27.8%). Similar results were obtained in patients whose smoking status was validated by urinary cotinine assay. Length of stay and dependence to nicotine were the only significant predictors of smoking cessation. A smoking cessation intervention of moderate intensity delivered in a tertiary cardio-pulmonary center did not increase the smoking cessation rate at 1-year follow-up. The results of this trial should not divert those who deliver care to inpatients from delivering a brief smoking cessation intervention.</t>
  </si>
  <si>
    <t>J2: Nicotine Tob Res; Lacasse, Yves Lamontagne, Rejean Martin, Sylvie Simard, Serge Arsenault, Marie; ID: 352</t>
  </si>
  <si>
    <t>Lacasse,Yves. Centre de recherche, Centre de pneumologie, Hopital Laval, Institut universitaire de cardiologie et de pneumologie de l'Universite Laval, Quebec, Canada. Yves.Lacasse@med.ulaval.ca</t>
  </si>
  <si>
    <t>http://ovidsp.ovid.com/ovidweb.cgi?T=JS&amp;CSC=Y&amp;NEWS=N&amp;PAGE=fulltext&amp;D=med5&amp;AN=18629732</t>
  </si>
  <si>
    <t>http://dx.doi.org/10.1080/14622200801979142</t>
  </si>
  <si>
    <t>MEDLINE; Ovid Technologies; Randomized trial of a smoking cessation intervention in hospitalized patients</t>
  </si>
  <si>
    <t>Lacaze,C.;Kauss,T.;Kiechel,J. R.;Caminiti,A.;Fawaz,F.;Terrassin,L.;Cuart,S.;Grislain,L.;Navaratnam,V.;Ghezzoul,B.;Gaudin,K.;White,N. J.;Olliaro,P. L.;Millet,P.</t>
  </si>
  <si>
    <t>PMC3128010; The initial pharmaceutical development of an artesunate/amodiaquine oral formulation for the treatment of malaria: a public-private partnership</t>
  </si>
  <si>
    <t>Malaria Journal</t>
  </si>
  <si>
    <t>Amodiaquine/ad Administration &amp; Dosage];*Amodiaquine/pd Pharmacology];Antimalarials/ad Administration &amp; Dosage];*Antimalarials/pd Pharmacology];Artemisinins/ad Administration &amp; Dosage];*Artemisinins/pd Pharmacology];*Chemistry, Pharmaceutical/mt Methods];Drug Combinations;Humans;*Malaria/dt Drug Therapy];*Public-Private Sector Partnerships;Tablets/ad Administration &amp; Dosage];Tablets/pd Pharmacology];0 (Antimalarials);0 (Artemisinins);0 (Drug Combinations);0 (Tablets);0 (amodiaquine, artesunate drug combination);220236ED28 (Amodiaquine)</t>
  </si>
  <si>
    <t>BACKGROUND: Artemisinin-based combination therapy is currently recommended worldwide for the treatment of uncomplicated malaria. Fixed-dose combinations are preferred as they favour compliance. This paper reports on the initial phases of the pharmaceutical development of an artesunate-amodiaquine (ASAQ) bilayer co-formulation tablet, undertaken following pre-formulation studies by a network of scientists and industrials from institutions of both industrialized and low income countries. METHODS: Pharmaceutical development was performed by a research laboratory at the University Bordeaux Segalen, School of Pharmacy, for feasibility and early stability studies of various drug formulations, further transferred to a company specialized in pharmaceutical development, and then provided to another company for clinical batch manufacturing. The work was conducted by a regional public-private not-for-profit network (TropiVal) within a larger Public Private partnership (the FACT project), set up by WHO/TDR, Medecins Sans Frontieres and the Drugs for Neglected Disease initiative (DNDi). RESULTS: The main pharmaceutical goal was to combine in a solid oral form two incompatible active principles while preventing artesunate degradation under tropical conditions. Several options were attempted and failed to provide satisfactory stability results: incorporating artesunate in the external phase of the tablets, adding a pH regulator, alcoholic wet granulation, dry granulation, addition of an hydrophobic agent, tablet manufacturing in controlled conditions. However, long-term stability could be achieved, in experimental batches under GMP conditions, by physical separation of artesunate and amodiaquine in a bilayer co-formulation tablet in alu-alu blisters. Conduction of the workplan was monitored by DNDi. CONCLUSIONS: Collaborations between research and industrial groups greatly accelerated the process of development of the bi-layered ASAQ tablet. Lack of public funding was the main obstacle hampering the development process, and no intellectual property right was claimed. This approach resulted in a rapid technology transfer to the drug company Sanofi-Aventis, finalizing the process of development, registration and WHO pre-qualification of the fixed-dose co-formulation together with DNDi. The bi-layered tablet is made available under the names of Coarsucam and Artesunate amodiaquine Winthrop, Sanofi-Aventis. The issue related to the difficulty of public institutions to valorise their participation in such initiative by lack of priority and funding of applied research is discussed.</t>
  </si>
  <si>
    <t>J2: Malar J; Lacaze, Catherine Kauss, Tina Kiechel, Jean-Rene Caminiti, Antonella Fawaz, Fawaz Terrassin, Laurent Cuart, Sylvie Grislain, Luc Navaratnam, Visweswaran Ghezzoul, Bellabes Gaudin, Karen White, Nick J Olliaro, Piero L Millet, Pascal 093956 (United Kingdom Wellcome Trust); ID: 245</t>
  </si>
  <si>
    <t>1475-2875</t>
  </si>
  <si>
    <t>Lacaze,Catherine. Ellipse Pharmaceuticals, Pessac, France.</t>
  </si>
  <si>
    <t>http://ovidsp.ovid.com/ovidweb.cgi?T=JS&amp;CSC=Y&amp;NEWS=N&amp;PAGE=fulltext&amp;D=med5&amp;AN=21605361</t>
  </si>
  <si>
    <t>http://dx.doi.org/10.1186/1475-2875-10-142</t>
  </si>
  <si>
    <t>MEDLINE; Ovid Technologies; The initial pharmaceutical development of an artesunate/amodiaquine oral formulation for the treatment of malaria: a public-private partnership</t>
  </si>
  <si>
    <t>Lafferty,L.;Hunter,T. S.;Marsh,W. A.</t>
  </si>
  <si>
    <t>Knowledge, attitudes and practices of pharmacists concerning prescription drug abuse</t>
  </si>
  <si>
    <t>Adult;Analgesics, Opioid/ae Adverse Effects];Analgesics, Opioid/tu Therapeutic Use];Data Collection;*Drug Prescriptions;Female;Florida;*Health Knowledge, Attitudes, Practice;Humans;Male;Opioid-Related Disorders/px Psychology];Pain/co Complications];Pain/dt Drug Therapy];Pain/px Psychology];Patient Education as Topic;*Pharmacists;Professional-Patient Relations;*Substance-Related Disorders/px Psychology];0 (Analgesics, Opioid)</t>
  </si>
  <si>
    <t>This study assessed the knowledge, attitudes, and professional practices of pharmacists regarding addiction and patient use of controlled medications. This research project explored the relationship between pharmacy education, perceived and actual knowledge, and professional interactions as it pertains to problems surrounding dependency and addiction. A questionnaire of 25 items was administered at three separate continuing education programs in Florida in 2005. A total of 484 surveys were completed. Pharmacists (67.5%) reported participating in two hours or less of addiction/substance abuse education in pharmacy school. Of particular concern was that 29.2% reported having received no addiction education. Pharmacists who had greater amounts of addiction-specific education had a higher likelihood of correctly answering questions relating to the science of addiction and substance abuse counseling. In addition, pharmacists who reported more education counseled patients more frequently and felt more confident about counseling. A majority of respondents (53.7%) reported that they had never referred a patient to drug treatment in their career. These findings suggest that the neurobiological basis for addictive diseases, standards of care, and pain management guidelines were not widely understood by the sample. More research should be undertaken to determine the educational needs of practicing pharmacists to enable them to assume a leadership role in detecting, preventing, and treating prescription drug abuse.</t>
  </si>
  <si>
    <t>J2: J Psychoactive Drugs; Lafferty, Lynn Hunter, Tracy S Marsh, Wallace A; ID: 413</t>
  </si>
  <si>
    <t>Lafferty,Lynn. In Depth Programs, San Francisco, CA, USA.</t>
  </si>
  <si>
    <t>http://ovidsp.ovid.com/ovidweb.cgi?T=JS&amp;CSC=Y&amp;NEWS=N&amp;PAGE=fulltext&amp;D=med5&amp;AN=17165365</t>
  </si>
  <si>
    <t>MEDLINE; Ovid Technologies; Knowledge, attitudes and practices of pharmacists concerning prescription drug abuse</t>
  </si>
  <si>
    <t>LaFleur,J.;McBeth,C.;Gunning,K.;Oderda,L.;Steinvoort,C.;Oderda,G. M.</t>
  </si>
  <si>
    <t>Prevalence of drug-related problems and cost-savings opportunities in medicaid high utilizers identified by a pharmacist-run drug regimen review center</t>
  </si>
  <si>
    <t>Aged;Aged, 80 and over;Cost Savings/sn Statistics &amp; Numerical Data];*Cost Savings;Drug Therapy, Combination;*Drug Utilization Review;*Drug-Related Side Effects and Adverse Reactions;Female;Humans;Male;*Medicaid;Middle Aged;Pharmaceutical Services;*Polypharmacy;Utah</t>
  </si>
  <si>
    <t>BACKGROUND: Despite numerous reports of state Medicaid drug utilization review (DUR) programs, little data are available about the prevalence of drugrelated problems (DRPs) in Medicaid patients. A university-based, pharmacist-run DUR program for high utilizers was created as an alternative to imposition of a statutory limit of 7 medications per month in the Utah Medicaid program in 2002. The DUR program was designed to suggest ways that high-utilizing patients could decrease their total number of medications to 7 or fewer prior to imposition of the 7-medication limit at some time in the future. OBJECTIVE: To describe the experience in 1 Medicaid DUR program and to report the prevalence of DRPs and cost-saving opportunities (CSOs) among a population of Medicaid recipients who were high utilizers of prescription drugs. METHODS: DRPs were identified by 5 clinical pharmacists employed by the Drug Regimen Review Center (DRRC) in Salt Lake City. The purpose of the center was to provide drug therapy review services for a select number of Utah Medicaid recipients (200-300 per month) who exceeded a 7-medication limit during the calendar years 2003 and 2004. RESULTS: Out of 391,890 eligible Medicaid recipients, 242,411 (62%) received at least 1 medication, and 16,958 (4.3%) exceeded the 7-medication limit during the review period. Of those exceeding the limit, the DRRC reviewed a total of 3,706 (21.9%) patients, representing the highest utilizers by volume of medication. The prevalence of DRPs considered clinically important in the review cohort was 79.7% of patients, including therapeutic duplications in 54.6% of patients, dose form optimization in 29.7%, and inappropriate uncoordinated care in 25.3%. The average pharmacy cost per month for patients with at least 1 DRP was 1,081 dollars; by contrast, the average pharmacy cost per month for all other patients receiving at least 1 prescription was 91 dollars. CONCLUSIONS: Approximately 4% of Medicaid recipients exceeded the 7-medication monthly limit. Among the 22% highest utilizers in this group, 48% of nursing home residents and 87% of ambulatory recipients had at least 1 DRP, or an overall rate of 80% of high-use Medicaid recipients or as much as 3.2% of the Medicaid population.</t>
  </si>
  <si>
    <t>J2: J Manage Care Pharm; LaFleur, Joanne McBeth, Carrieann Gunning, Karen Oderda, Lynda Steinvoort, Carin Oderda, Gary M; ID: 407</t>
  </si>
  <si>
    <t>1083-4087</t>
  </si>
  <si>
    <t>LaFleur,Joanne. Drug Regimen Review Center, Department of Pharmacotherapy, University of Utah College of Pharmacy, Salt Lake City, UT, USA. joanne.lafleur@pharm.utah.edu</t>
  </si>
  <si>
    <t>http://ovidsp.ovid.com/ovidweb.cgi?T=JS&amp;CSC=Y&amp;NEWS=N&amp;PAGE=fulltext&amp;D=med5&amp;AN=17269846</t>
  </si>
  <si>
    <t>MEDLINE; Ovid Technologies; Prevalence of drug-related problems and cost-savings opportunities in medicaid high utilizers identified by a pharmacist-run drug regimen review center</t>
  </si>
  <si>
    <t>Lai,C. W.;Chan,W. K.</t>
  </si>
  <si>
    <t>Legislations combating counterfeit drugs in Hong Kong</t>
  </si>
  <si>
    <t>Hong Kong Medical Journal</t>
  </si>
  <si>
    <t>*Counterfeit Drugs;Crime;Hong Kong;Humans;*Legislation, Drug;*Pharmaceutical Preparations/st Standards];Pharmaceutical Services/lj Legislation &amp; Jurisprudence];Pharmaceutical Services/og Organization &amp; Administration];Pharmacists/lj Legislation &amp; Jurisprudence];Pharmacists/og Organization &amp; Administration];Professional Role;0 (Counterfeit Drugs);0 (Pharmaceutical Preparations)</t>
  </si>
  <si>
    <t>OBJECTIVE: To understand legislation combating counterfeit drugs in Hong Kong. DESIGN: This study consisted of two parts. In part I, counterfeit drugs-related ordinances and court cases were reviewed. In part II, indepth interviews of the stakeholders were described. SETTING: Hong Kong. PARTICIPANTS: All Hong Kong ordinances were screened manually to identify those combating counterfeit drugs. Court cases were searched for each of the identified cases. Then, the relevant judgement justifications were analysed to identify sentencing issues. Indepth interviews with the stakeholders were conducted to understand their perceptions about such legislation. RESULTS: Trade Marks Ordinance, Patents Ordinance, Trade Descriptions Ordinance, and Pharmacy and Poisons Ordinance were current legislative items combating counterfeit drugs. Sentencing criteria depended on: intention to deceive, quantity of seized drugs, presence of expected therapeutic effect or toxic ingredients, previous criminal records, cooperativeness with Customs officers, honest confessions, pleas of guilty, types of drugs, and precautionary measures to prevent sale of counterfeit drugs. Stakeholders' perceptions were explored with respect to legislation regarding the scale and significance of the counterfeit drug problem, penalties and deterrents, drug-specific legislation and authority, and inspections and enforcement. CONCLUSIONS: To plug the loopholes, a specific law with heavy penalties should be adopted. This could be supplemented by non-legal measures like education of judges, lawyers, and the public; publishing the names of offending pharmacies; and emphasising the role of pharmacists to the public.</t>
  </si>
  <si>
    <t>J2: Hong Kong Med; Lai, C W Chan, W K; ID: 114</t>
  </si>
  <si>
    <t>1024-2708</t>
  </si>
  <si>
    <t>Lai,C W. The Jockey Club School of Public Health and Primary Care, Faculty of Medicine, Prince of Wales Hospital, The Chinese University of Hong Kong, Shatin, Hong Kong.</t>
  </si>
  <si>
    <t>http://ovidsp.ovid.com/ovidweb.cgi?T=JS&amp;CSC=Y&amp;NEWS=N&amp;PAGE=fulltext&amp;D=medl&amp;AN=23687210</t>
  </si>
  <si>
    <t>MEDLINE; Ovid Technologies; Legislations combating counterfeit drugs in Hong Kong</t>
  </si>
  <si>
    <t>Lai,P. S.;Chua,S. S.;Chan,S. P.</t>
  </si>
  <si>
    <t>Pharmaceutical care issues encountered by post-menopausal osteoporotic women prescribed bisphosphonates</t>
  </si>
  <si>
    <t>Adult;Aged;Aged, 80 and over;Alendronate/ae Adverse Effects];Alendronate/tu Therapeutic Use];Bone Density/de Drug Effects];Bone Density Conservation Agents/ae Adverse Effects];Bone Density Conservation Agents/tu Therapeutic Use];*Diphosphonates/ae Adverse Effects];*Diphosphonates/tu Therapeutic Use];Etidronic Acid/ae Adverse Effects];Etidronic Acid/aa Analogs &amp; Derivatives];Etidronic Acid/tu Therapeutic Use];Female;Follow-Up Studies;Health Knowledge, Attitudes, Practice;Humans;Malaysia;Medication Adherence;Middle Aged;*Osteoporosis, Postmenopausal/dt Drug Therapy];Outcome Assessment (Health Care)/mt Methods];Patient Satisfaction;*Pharmaceutical Services;Quality of Life;Risedronate Sodium;0 (Bone Density Conservation Agents);0 (Diphosphonates);M2F465ROXU (Etidronic Acid);OFG5EXG60L (Risedronate Sodium);X1J18R4W8P (Alendronate)</t>
  </si>
  <si>
    <t>WHAT IS KNOWN AND OBJECTIVE: Pharmacists have been involved in providing comprehensive interventions to osteoporosis patients, but pharmaceutical care issues (PCIs) encountered during such interventions have not been well documented. Therefore, the aim of this study was to document PCIs encountered by post-menopausal osteoporotic women prescribed bisphosphonates. METHODS: A randomized controlled study was conducted from September 2005-February 2009 in the University Malaya Medical Centre, Malaysia. This main intervention study measured the effects of pharmaceutical care on medication adherence, persistence, quality of life, knowledge and patient satisfaction. However, this manuscript is part of the main intervention study and focuses only on the PCIs encountered. INCLUSION CRITERIA: post-menopausal women diagnosed with osteoporosis (T-score&lt;-2.5/low-trauma fracture) and prescribed weekly alendronate/risedronate. EXCLUSION CRITERIA: those with metabolic bone disease and could not communicate in English. The PCIs identified were collected via personal interviews or telephone calls, and each participant was followed-up for a period of 2 years. All PCIs were discussed with and confirmed by a physician. RESULTS AND DISCUSSION: Of the 198 participants recruited, 64 (32.3%) experienced adverse effects because of bisphosphonates whereas one participant (0.5%) refused to start bisphosphonates because of fear of adverse effects. Most adverse effects 50 (74.6%)] were reported during the first 3 months of therapy with gastrointestinal problems being the main issue 23 (11.6%)]. Of the nine participants (4.5%) who discontinued bisphosphonates, only three agreed to take another medication. From the 97 PCIs identified, 77 issues could be classified as drug-related problems according to the Pharmaceutical Care Network Europe Classification v6.2]. There were 87 causes, 178 interventions and 77 outcomes. The main problem and cause of the PCIs encountered were adverse drug events (83.1% and 74.7% respectively), whereas the main intervention provided was patient counselling (41.0%). All problems were solved (98.5%) except for one because of the lack of cooperation of a patient. After 2 years, 36 participants (20%) were no longer persistent with therapy, 19 (10.6%) did not have clinic follow-up and 53 (26.8%) did not have a bone mineral density scan. WHAT IS NEW AND CONCLUSION: The main PCIs identified were related to the use of bisphosphonates and its adverse effects. The study showed that the presence of a clinical pharmacist has enabled patients to voice their medication-related issues and to allow appropriate recommendations and actions to be taken to resolve these issues.Copyright ‚î¨‚åê 2012 Blackwell Publishing Ltd.</t>
  </si>
  <si>
    <t>J2: J Clin Pharm Ther; Lai, P S M Chua, S S Chan, S P; ID: 170</t>
  </si>
  <si>
    <t>1365-2710</t>
  </si>
  <si>
    <t>Lai,P S M. Department of Primary Care Medicine, Faculty of Medicine, University of Malaya, Kuala Lumpur, Malaysia. plai@ummc.edu.my</t>
  </si>
  <si>
    <t>http://ovidsp.ovid.com/ovidweb.cgi?T=JS&amp;CSC=Y&amp;NEWS=N&amp;PAGE=fulltext&amp;D=medl&amp;AN=22380577</t>
  </si>
  <si>
    <t>http://dx.doi.org/10.1111/j.1365-2710.2012.01335.x</t>
  </si>
  <si>
    <t>MEDLINE; Ovid Technologies; Pharmaceutical care issues encountered by post-menopausal osteoporotic women prescribed bisphosphonates</t>
  </si>
  <si>
    <t>Lal,A.</t>
  </si>
  <si>
    <t>Information contents of drug advertisements: an Indian experience</t>
  </si>
  <si>
    <t>*Advertising as Topic;*Drug Information Services;Humans;India</t>
  </si>
  <si>
    <t>OBJECTIVE: To critically analyze the drug information contained in Indian pharmaceutical advertisements. DESIGN: Analysis of pharmaceutical advertisements supplied by drug representatives (DRs) to prescribers from July 1, 1995, to June 30, 1996. SETTING: A university-affiliated urban teaching hospital in India. PARTICIPANTS: 585 pharmaceutical ad pamphlets. MAIN OUTCOME MEASURES: The ads supplied by DRs to physicians in different clinical departments of the hospital were collected. These were distributed to different systems/categories and a special reference to fixed-dose drug combinations was given. The drug information contained in these ads was evaluated by using a checklist, framed by incorporating the World Health Organization ethical guidelines for medicinal drug promotion and some relevant items from other studies. RESULTS: The most frequently occurring ads were for antimicrobial agents. The ads on fixed-dose drug combinations constituted 37.9% of the total. More than 85% of the ads mentioned the generic name, brand name, contents, and pharmaceutical dosage forms, as well as the name and address of the company. The information concerning adverse effects, precautions, contraindications, warnings, major interactions, ingredients known to cause problems, pharmacology, drug overdose, references, drug storage, and cost was present in less than 40% of these ads. CONCLUSIONS: There has been inadequate information in pharmaceutical ads supplied by DRs to the physicians in India. The current scenario could be improved by formulating some definite legislative guidelines for the minimum level of information to be included in pharmaceutical ads and adhering to that legislation.</t>
  </si>
  <si>
    <t>J2: Ann Pharmacother; Lal, A; ID: 574</t>
  </si>
  <si>
    <t>Lal,A. Department of Pharmacology, University College of Medical Sciences, Shahdara, Delhi, India. dbmi@ucms.ernet.in</t>
  </si>
  <si>
    <t>http://ovidsp.ovid.com/ovidweb.cgi?T=JS&amp;CSC=Y&amp;NEWS=N&amp;PAGE=fulltext&amp;D=med4&amp;AN=9825093</t>
  </si>
  <si>
    <t>MEDLINE; Ovid Technologies; Information contents of drug advertisements: an Indian experience</t>
  </si>
  <si>
    <t>Lallier,T.;Hoehns,J. D.;Author,Addresses;Northeast Iowa Medical,Education Foundation;Center,Waterloo United States;University of Iowa, College of Pharmacy Northeast,Iowa Family;Practice Center,Waterloo,United States;Correspondence,Address;Lallier, Northeast Iowa Medical Education Foundation Waverly Health,T.;Center,Waterloo United States</t>
  </si>
  <si>
    <t>Prospective pharmacist identification of drug therapy problems in the medical home</t>
  </si>
  <si>
    <t>e242</t>
  </si>
  <si>
    <t>American;clinical pharmacy;college;drug therapy;human;pharmacist;ambulatory care;diabetes mellitus;electronic medical record;general practice;heart failure;high risk patient;hospital;medical record review;medication therapy management;model;patient;patient care;pharmacy;physician;pilot study;student;total quality management;United States</t>
  </si>
  <si>
    <t>PURPOSE: Medication management is an essential component of patient care in the Patient Centered Medical Home. Few ambulatory clinics provide routine prospective pharmacist review of a patient's medication regimen. A previous pilot study at Northeast Iowa Family Practice Center (NEIFPC) established a system for pharmacists to inform providers of patient drug therapy problems via the electronic medical record (EMR) prior to their scheduled appointment. The objective of this study was to implement and expand a systematic process for pharmacists to provide prospective chart review and make patient specific drug therapy recommendations to physicians at NEIFPC. METHODS: The study used a quality improvement design incorporating prospective chart review, attendance at pre-visit team huddles, and select face-to-face encounters with high-risk patients (diabetes, heart failure, or those taking Œì√´√ë6 medications). Data were collected for 5 months. RESULTS: Pharmacy staff prospectively reviewed 3394 of 7573 patient charts (44.8%) prior to their office visit. The resident and student pharmacists completed 72% and 28% of medication reviews, respectively. Pharmacy staff made 752 prospective drug therapy recommendations. Face-to-face medication reviews were completed for 43.6% (103/236) of high-risk patients. Analysis of recommendations demonstrated a 48% acceptance rate, with similar acceptance from resident and faculty physicians. CONCLUSION: With limited resources, pharmacy staff was able to prospectively review nearly half of clinic patient's EMRs prior to their appointment. As pharmacists may need to expand the pool of ambulatory patients they provide services to, this is a pharmacist care model which could readily be adapted to other medical homes.</t>
  </si>
  <si>
    <t>(Lallier T.) (Hoehns J.D.) 2014 Annual Meeting of the American College of Clinical Pharmacy, ACCP 2014 Austin, TX, United States 2014-10-12 to 2014-10-15 Pharmacotherapy Publications Inc.; ID: 882</t>
  </si>
  <si>
    <t>Lalonde,L.;Normandeau,M.;Lamarre,D.;Lord,A.;Berbiche,D.;Corneille,L.;Prud'homme,L.;Laliberte,M. C.</t>
  </si>
  <si>
    <t>Evaluation of a training and communication-network nephrology program for community pharmacists</t>
  </si>
  <si>
    <t>Aged;Aged, 80 and over;Attitude of Health Personnel;Chronic Disease;Communication;*Community Pharmacy Services/og Organization &amp; Administration];Community Pharmacy Services/st Standards];Drug-Related Side Effects and Adverse Reactions;*Education, Pharmacy, Continuing;Female;Follow-Up Studies;Health Knowledge, Attitudes, Practice;Humans;*Kidney Diseases/dt Drug Therapy];Male;Middle Aged;*Pharmacists/og Organization &amp; Administration];Pharmacists/px Psychology];Pharmacists/st Standards];Pilot Projects;Professional Role;Quality Assurance, Health Care/mt Methods];Referral and Consultation</t>
  </si>
  <si>
    <t>OBJECTIVES: To assess the feasibility and impact of implementing ProFiL program to optimize community-pharmacist management of drug-related problems among chronic kidney disease patients followed in a predialysis clinic. The program comprises a training workshop, communication-network program and consultation service. SETTING: Forty-two community pharmacies, 101 pharmacists, and 90 chronic kidney disease patients attending a predialysis clinic in Laval (Canada). Patients were followed-up for 6 months. METHOD: In a six-month, pilot, open, cluster-randomized controlled trial, community pharmacies were assigned to ProFiL or the usual care. Chronic kidney disease patients of these pharmacies attending a predialysis clinic were recruited. ProFiL pharmacists attended a workshop, received patient information (diagnoses, medications, and laboratory-test results) and had access to a consultation service. Their knowledge and satisfaction were measured before and after the workshop. The mean numbers of pharmacists' written recommendations to physicians (pharmaceutical opinions) and refusals to dispense a medication were computed. RESULTS: Of the ProFiL pharmacists, 84% attended the workshop; their knowledge increased from 52% to 88% (95% CI: 29-40%). Most ProFiL pharmacists rated workshop (95%), communication program (82%) and consultation service (59%) as "excellent" or "very good"; 82% said the program improved the quality of their follow-up. The consultation service received 21 requests. ProFiL and usual care pharmacists issued a mean of 0.50 and 0.02 opinion/patient, respectively, (95% CI of the adjusted difference: 0.28-1.01 opinion/patient). CONCLUSION: The results of this pilot study suggest that ProFiL can be implemented and may help community pharmacists intervene more frequently to manage drug-related problems. However, a larger-scale study with longer follow-up is necessary to evaluate the impact of the program on management of drug-related problems and its clinical relevance.</t>
  </si>
  <si>
    <t>J2: Pharm World Sci; Lalonde, Lyne Normandeau, Michelle Lamarre, Diane Lord, Anne Berbiche, Djamal Corneille, Louise Prud'homme, Louis Laliberte, Marie-Claude; ID: 345</t>
  </si>
  <si>
    <t>Lalonde,Lyne. Faculty of Pharmacy, University of Montreal, Montreal, Quebec, Canada. lyne.lalonde@umontreal.ca</t>
  </si>
  <si>
    <t>http://ovidsp.ovid.com/ovidweb.cgi?T=JS&amp;CSC=Y&amp;NEWS=N&amp;PAGE=fulltext&amp;D=med5&amp;AN=18802782</t>
  </si>
  <si>
    <t>http://dx.doi.org/10.1007/s11096-008-9253-0</t>
  </si>
  <si>
    <t>MEDLINE; Ovid Technologies; Evaluation of a training and communication-network nephrology program for community pharmacists</t>
  </si>
  <si>
    <t>Lamberti,J.;Author,Addresses;Correspondence,Address;United States Email,J.Lamberti, Prospect C.T.;josephlamberti@sbcglobal.net</t>
  </si>
  <si>
    <t>Drug samples should be replaced by vouchers to reduce drug diversion; chemistry courses are critical to the education of pharmacy students</t>
  </si>
  <si>
    <t>acamprosate;amfebutamone;buprenorphine;hydroxymethylglutaryl coenzyme A reductase inhibitor;mevinolin;naltrexone;non prescription drug;varenicline;medical education;drug abuse;drug dependence;follow up;food and drug administration;human;letter;liver function test;pharmacy student;prescription;DRUG TRADE NAMES;campral;chantix;lovastatin Merck;revia vivitrol;subutex suboxone;zyban;DRUG MANUFACTURERS;Merck;suboxone;vivitrol;acamprosate (77337-73-6);amfebutamone (31677-93-7, 34911-55-2);buprenorphine (52485-79-7, 53152-21-9);mevinolin (75330-75-5);naltrexone (16590-41-3, 16676-29-2);varenicline (249296-44-4, 375815-87-5);Public Health, Social Medicine and Epidemiology (17);Drug Literature Index (37)</t>
  </si>
  <si>
    <t>(Lamberti J., josephlamberti@sbcglobal.net) Advanstar Communications, One Park Avenue, New York, United States.; ID: 1474</t>
  </si>
  <si>
    <t>Lambing,A.;Author,Addresses;Henry Ford Health System, Detroit,United States;Correspondence,Address;Lambing, Henry Ford Health System Detroit United States,A.</t>
  </si>
  <si>
    <t>Knowledge and attitudes of pain management in hemophilia providers</t>
  </si>
  <si>
    <t>Haemophilia</t>
  </si>
  <si>
    <t>20 SUPPL. 3</t>
  </si>
  <si>
    <t>adjuvant;opiate;analgesia;hemophilia;addiction;adult;bleeding disorder;chronic pain;drug therapy;education;female;gold standard;Haplorhini;health care;human;lifespan;Likert scale;metabolism;nurse;nurse practitioner;pain;pain assessment;patient;pediatrics;pharmacology;physician;substance abuse;United States</t>
  </si>
  <si>
    <t>Introduction and Objectives: The National Pain Survey identified that persons with hemophilia (PWH) reported daily pain ratings of 5/10 as well as describing acute and chronic pain with same words. Additionally 59% of respondents seek pain management from their HTC providers. The purpose of this survey was to assess the knowledge and attitudes of hemophilia providers regarding pain assessment and treatment. Methods: A validated Survey MonkeyŒì√§√≥ survey with 38 true/false and likert scale questions specific to pain management was emailed to every physician and nurse provider in the United States listed via CDC bleeding disorders website. Results: A total of 529 surveys were emailed to HTC providers with 152 completed (response rate 29%); 57 physicians, 22 nurse practitioners, 68 RNs; 5 other providers. Most respondents were female (78%), RNs,(45%) (38% MDs, 15% NPs), and average age of 49 years. While most participants had greater than 20 years in health care (57%), the majority of subjects had 0-5 years of hemophilia experience (28%); followed by greater than 20 years of hemophilia experience (24%). Participants worked in a variety of settings; life span centers (45%), pediatrics only (32%), or adult only (23%). At least 34% of the participants HTCs cared for more than 300 hemophilia patients. Only 19% had taken advanced training in pain management. The greatest response rate was from Region V-East (19%) and lowest Region II (3%). Questions were stratified into four categories; assessment, treatment, pharmacology and substance abuse. In approximately 1/3 of the total questions only 75% of the participants answered correctly. Despite 100% of respondents recognizing patient selfreport of pain as the gold standard, significant attitudinal differences were noted in the assessment and treatment of pain. Knowledge deficits across the spectrum of providers were noted, specifically regarding dose conversions, opioid metabolism, and adjuvant medications. Conclusion: HTC providers demonstrate some knowledge regarding pain management. PWH consider their HTC providers experts in hemophilia care and the conditions related to hemophilia. Since the majority of hemophilia related pain management is provided by HTCs additional education specific to pharmacology, dependence, and addiction concerns may be beneficial.</t>
  </si>
  <si>
    <t>(Lambing A.) World Federation of Hemophilia, WFH 2014 World Congress Melbourne, VIC, Australia 2014-05-11 to 2014-05-15 Blackwell Publishing Ltd; ID: 906</t>
  </si>
  <si>
    <t>1351-8216</t>
  </si>
  <si>
    <t>Lane,N. E.;Leatherdale,S. T.;Dubin,J. A.;Hammond,D.</t>
  </si>
  <si>
    <t>Student and school characteristics associated with use of nicotine replacement therapy: A multilevel analysis among Canadian youth</t>
  </si>
  <si>
    <t>816 6p</t>
  </si>
  <si>
    <t>Nicotine -- Administration and Dosage;Nicotinic Agonists -- Administration and Dosage;Smoking -- Prevention and Control;Smoking Cessation;Industry -- Utilization;Canada;Female;Human;Male;Statistics;Questionnaires;Residence Characteristics;Rural Health;Schools;Smoking -- Epidemiology;Students;Urban Health</t>
  </si>
  <si>
    <t>BACKGROUND: Research indicates that it is common for youths to use nicotine replacement therapy (NRT) despite limited empirical evidence for its effectiveness within this population. Since very little is known about the characteristics associated with NRT use by youth, the current study examined the association between ever and current use of NRT as a function of student characteristics and the characteristics of the schools they attend. METHODS: This study used nationally representative student-level data from 29,296 grade 9 to 12 students who participated in the 2008-2009 Canadian Youth Smoking Survey (YSS). School-level data on the built environment surrounding schools were provided by DMTI-Spatial, and data on school location were provided by the Canadian Census. Two multilevel logistic regression models were used to predict ever use of NRT and current use of NRT as a function of student and school characteristics among current smokers. RESULTS: Overall, 21.1% of youth smokers in Canada had ever used NRT and 5.1% were currently using NRT. Odds of ever and current NRT use were highest among daily smokers and boys, while youths who had made multiple quit attempts or participated in a quit and win contest were more likely to be ever NRT users. Attending a school located within an urban area increased youths' odds of ever and current NRT use, whereas higher density of pharmacies surrounding a school was inversely associated with current NRT use. CONCLUSIONS: Characteristics of students and the schools they attend were associated with the likelihood of youth smokers using NRT. Significant between-school differences in NRT use exist, however further research is needed to identify which school characteristics account for these differences and understand how youth are accessing NRT.</t>
  </si>
  <si>
    <t>Entry Date: 20120921. Revision Date: 20150711. Publication Type: Journal Article; research. Journal Subset: Biomedical; Continental Europe; Europe; Peer Reviewed. Special Interest: Psychiatry/Psychology. NLM UID: 7603486. PMID: 22475584.; ID: 2036</t>
  </si>
  <si>
    <t>School of Public Health and Health Systems, University of Waterloo, 200 University Avenue West, ON, Canada N2L 3G1.</t>
  </si>
  <si>
    <t>http://proxy.lib.umich.edu/login?url=http://search.ebscohost.com/login.aspx?direct=true&amp;db=ccm&amp;AN=104447178&amp;site=ehost-live&amp;scope=site</t>
  </si>
  <si>
    <t>ccm; EBSCOhost; Student and school characteristics associated with use of nicotine replacement therapy: A multilevel analysis among Canadian youth</t>
  </si>
  <si>
    <t>Lanier,W. L.;Kharasch,E. D.</t>
  </si>
  <si>
    <t>Contemporary clinical opioid use: opportunities and challenges</t>
  </si>
  <si>
    <t>Mayo Clinic proceedings</t>
  </si>
  <si>
    <t>Mayo Clin.Proc.</t>
  </si>
  <si>
    <t>575 4p</t>
  </si>
  <si>
    <t>Analgesics, Opioid -- Administration and Dosage;Analgesics, Opioid -- Adverse Effects;Pain -- Drug Therapy;Pain -- Epidemiology;Pharmacy and Pharmacology -- Education;Substance Use Disorders -- Epidemiology;Attitude of Health Personnel</t>
  </si>
  <si>
    <t>Entry Date: 20090807. Revision Date: 20150711. Publication Type: Journal Article. Journal Subset: Biomedical; Blind Peer Reviewed; Editorial Board Reviewed; Expert Peer Reviewed; Peer Reviewed; USA. NLM UID: 0405543. PMID: 19567709.; ID: 1858</t>
  </si>
  <si>
    <t>0025-6196</t>
  </si>
  <si>
    <t>Department of Anesthesiology, Mayo Clinic, Rochester, MN 55905, USA. lanier.william@mayo.edu</t>
  </si>
  <si>
    <t>http://proxy.lib.umich.edu/login?url=http://search.ebscohost.com/login.aspx?direct=true&amp;db=ccm&amp;AN=105375328&amp;site=ehost-live&amp;scope=site</t>
  </si>
  <si>
    <t>10.4065/84.7.572</t>
  </si>
  <si>
    <t>ccm; EBSCOhost; Contemporary clinical opioid use: opportunities and challenges</t>
  </si>
  <si>
    <t>Lao,C. K.;Ho,S. C.;Chan,K. K.;Tou,C. F.;Tong,H. H.;Chan,A.</t>
  </si>
  <si>
    <t>Potentially inappropriate prescribing and drug-drug interactions among elderly Chinese nursing home residents in Macao</t>
  </si>
  <si>
    <t>Aged;Aged, 80 and over;*Aging;China/ep Epidemiology];Cross-Sectional Studies;*Drug Interactions;Drug Monitoring/mt Methods];*Drug-Related Side Effects and Adverse Reactions/ep Epidemiology];Female;Geriatric Assessment;Homes for the Aged;Humans;*Iatrogenic Disease/ep Epidemiology];*Inappropriate Prescribing/ae Adverse Effects];Male;Nursing Homes;Polypharmacy;Prevalence;Risk;Severity of Illness Index</t>
  </si>
  <si>
    <t>BACKGROUND: The ageing of the population has become a concern all over the world, including Macao. In general, older people are more prone to adverse drug events which can result from potentially inappropriate medication (PIM) use and drug-drug interactions (DDIs). OBJECTIVE: This study was designed to evaluate the prevalence of PIM use and DDIs among elderly nursing home residents in Macao, and to find out the factors associated with these drug-related problems. SETTING: This study was conducted in the largest nursing home in Macao, with a bed capacity of 168. METHOD: All data of this cross-sectional study were collected from medical charts and medication administration records. PIM use was determined by the screening tool of older person's prescription (STOPP) criteria and potential DDIs were detected using the preset criteria of two compendia, Drug-Reax and Lexi-Interact. Multivariate logistic regression analysis was performed to identify the independent factors associated with each drug-related problem. MAIN OUTCOME MEASURES: The proportions of elderly nursing home residents who regularly used PIMs and who were exposed to DDIs. RESULTS: A total of 114 elderly residents were eligible for PIM analysis. They consumed an average of 6.9 +/- 3.1 different medications. About 46.5 % of them regularly used one or more PIMs. The prevalence of DDIs was 37.8 % among the 111 elderly residents who consumed at least two different medications. An increased number of drugs used was identified as the independent factor associated with PIM use and DDIs (p &lt; 0.05). However, the use of STOPP-related PIMs did not appear to raise the likelihood of DDIs among the study population. CONCLUSION: Both PIM use and DDIs are common among elderly nursing home residents in Macao. Further studies should be conducted to evaluate the clinical outcomes of pharmacist-led interventions for elderly residents in the local nursing home setting.</t>
  </si>
  <si>
    <t>J2: Int J Clin Pharm; Lao, Cheng Kin Ho, Sao Chan Chan, Ka Kit Tou, Chon Fai Tong, Henry Hoi Yee Chan, Alexandre; ID: 101</t>
  </si>
  <si>
    <t>Lao,Cheng Kin. School of Health Sciences, Macao Polytechnic Institute, Rua de Luis Gonzaga Gomes, Macao, People's Republic of China, cklao@ipm.edu.mo.</t>
  </si>
  <si>
    <t>http://ovidsp.ovid.com/ovidweb.cgi?T=JS&amp;CSC=Y&amp;NEWS=N&amp;PAGE=fulltext&amp;D=medl&amp;AN=23812679</t>
  </si>
  <si>
    <t>http://dx.doi.org/10.1007/s11096-013-9811-y</t>
  </si>
  <si>
    <t>MEDLINE; Ovid Technologies; Potentially inappropriate prescribing and drug-drug interactions among elderly Chinese nursing home residents in Macao</t>
  </si>
  <si>
    <t>Lapeyre-Mestre,M.;Damase-Michel,C.;Adams,P.;Michaud,P.;Montastruc,J. L.</t>
  </si>
  <si>
    <t>Falsified or forged medical prescriptions as an indicator of pharmacodependence: a pilot study. Community pharmacists of the Midi-Pyrenees</t>
  </si>
  <si>
    <t>*Drug Prescriptions;Feasibility Studies;France;*Fraud;*Pharmacies;Pilot Projects;*Substance-Related Disorders</t>
  </si>
  <si>
    <t>OBJECTIVE: While data on drug abuse liability have been determined for selected drugs in experimental studies, there is limited information available about drug abuse in real life. This study presents the results of a simple experimental epidemiologic survey of prescription forgeries in community pharmacies in the Midi-Pyrenees area (southwest France). During four periods (September-October 1991, January-June 1992, September-October 1992 and January-June 1993), resident pharmacy students in several volunteer pharmacies were asked to complete a specific report form for each suspect prescription request. The main criteria used to identify forgeries were: inadequate dosage, multiple use of the prescription form, drafting not in accordance with the rules of prescription or false prescription forms (stolen prescription forms, photocopies). RESULTS: A total of 165 falsified prescriptions were collected. The 305 drugs involved in these forged prescriptions were opiate analgesics, benzodiazepines, amphetamines and minor opiate analgesics. Medications were essentially buprenorphine, flunitrazepam (in 2 mg dosage), phenobarbitone+amphetamine and chlorazepate. CONCLUSION: These results suggest that forged prescriptions can be used as an indicator of potential abuse liability of marketed psychoactive drugs. Although this survey cannot describe the real prevalence of the misuse or abuse of drugs, it constitutes a useful warning epidemiologic system to elicit early observations regarding new misuses of drugs as they are requested at the pharmacy.</t>
  </si>
  <si>
    <t>J2: Eur J Clin Pharmacol; Lapeyre-Mestre, M Damase-Michel, C Adams, P Michaud, P Montastruc, J L; ID: 604</t>
  </si>
  <si>
    <t>Lapeyre-Mestre,M. Department of Clinical Pharmacology, Centre Hospitalier Universitaire, Faculte de Medecine, France.</t>
  </si>
  <si>
    <t>http://ovidsp.ovid.com/ovidweb.cgi?T=JS&amp;CSC=Y&amp;NEWS=N&amp;PAGE=fulltext&amp;D=med4&amp;AN=9143865</t>
  </si>
  <si>
    <t>MEDLINE; Ovid Technologies; Falsified or forged medical prescriptions as an indicator of pharmacodependence: a pilot study. Community pharmacists of the Midi-Pyrenees</t>
  </si>
  <si>
    <t>Laroche,M. L.;Charmes,J. P.;Nouaille,Y.;Fourrier,A.;Merle,L.;Author,Addresses;Centre,of;Pharmacovigilance,University Hospital Dupuytren Limoges France;Department of Geriatrics, University,Hospital Dupuytren;Limoges,France;Inserm U657 University Victor,Segalen Bordeaux;France;Centre of,Pharmacovigilance;University Hospital Dupuytren, Limoges,Cedex France;Correspondence,Address;Merle, Centre of Pharmacovigilance University Hospital Dupuytren,L.;Limoges,Cedex France Email louis merle chu-limoges fr</t>
  </si>
  <si>
    <t>16492069; Impact of hospitalisation in an acute medical geriatric unit on potentially inappropriate medication use</t>
  </si>
  <si>
    <t>Drugs and Aging</t>
  </si>
  <si>
    <t>analgesic agent;psychotropic agent;vasodilator agent;drug misuse;geriatrics;hospitalization;aged;article;clinical practice;controlled study;drug surveillance program;drug use;female;France;geriatric hospital;health education;hospital admission;hospital discharge;human;major clinical study;male;multivariate analysis;physician;prevalence;priority journal;prospective study;Public Health, Social Medicine and Epidemiology (17);Gerontology and Geriatrics (20);Drug Literature Index (37)</t>
  </si>
  <si>
    <t>Background and objective: Potentially inappropriate medication use is a major safety issue in the elderly and may cause a substantial proportion of drug-related hospital admissions. Hospitalisation could result in a change in the quantity and type of drugs, but its effect on potentially inappropriate drug use is still unknown. The aim of this study was to estimate the potentially inappropriate medication prevalence in patients Œì√´√ë70 years of age at admission to and at discharge from an acute medical geriatric unit, and to identify the factors associated with no longer being a potentially inappropriate drug user at hospital discharge. Methods: A prospective drug surveillance study was undertaken in 2018 elderly patients (Œì√´√ë70 years of age) admitted to an acute medical geriatric unit in Limoges University Hospital, France. Prescribing patterns were established at admission and at discharge. Potentially inappropriate medication use was evaluated according to a list derived from the Beers criteria and adapted to French practice. "To be no longer a potentially inappropriate drug user at discharge" was defined as using at least one potentially inappropriate medication at admission and not using it at discharge. Results: The numbers of drugs used at admission/discharge were 6.2 ‚î¨‚ñí 3.1/5.4 ‚î¨‚ñí 2.5. The prevalence of potentially inappropriate medication use decreased from 66% (95% CI 63.8, 68.0) at admission to 43.6% (95% CI 41.3, 45.9) at discharge. At discharge, 535 subjects were no longer potentially inappropriate medication users. Multivariate analysis showed that no longer being a potentially inappropriate medication user was associated with the number of drugs used (4-6 drugs vs Œì√´√±3 odds ratio OR] 1.20; 95% CI 0.86, 1.68; 7-9 drugs vs Œì√´√±3 OR 1.37; 95% CI 0.97, 1.93; Œì√´√ë10 drugs vs Œì√´√±3 OR 1.64; 95% CI 1.10, 2.44), age (80-89 years vs 70-79 years OR 1.38; 95% CI 1.03, 1.85; Œì√´√ë90 years vs 70-79 years OR 1.69; 95% CI 1.22, 2.83), cerebral vasodilator use (OR 2.87; 95% CI 2.31, 3.57), analgesic use (OR 1.54; 95% CI 1.06, 2.25) and concomitant use of psychotropic drugs of the same therapeutic class (OR 1.94; 95% CI 1.29, 2.92). Conclusion: Hospitalisation in geriatric services results in a reduction in potentially inappropriate medication use. Improved pharmacological education of practitioners, especially with regard to drug adverse effects, is desirable to improve management of geriatric patients. ‚î¨‚åê 2006 Adis Data Information BV. All rights reserved.</t>
  </si>
  <si>
    <t>(Laroche M.-L.; Nouaille Y.; Merle L., louis.merle@chu-limoges.fr) (Charmes J.-P.) (Fourrier A.) (Merle L., louis.merle@chu-limoges.fr) Adis International Ltd, 41 Centorian Drive, Private Bag 65901, Mairangi Bay, Auckland 10, New Zealand.; ID: 1531</t>
  </si>
  <si>
    <t>1170-229X 1170-229X (electronic)</t>
  </si>
  <si>
    <t>http://www.ncbi.nlm.nih.gov/pubmed/16492069</t>
  </si>
  <si>
    <t>Impact of hospitalisation in an acute medical geriatric unit on potentially inappropriate medication use</t>
  </si>
  <si>
    <t>Larson,A. M.;Polson,J.;Fontana,R. J.;Davern,T. J.;Lalani,E.;Hynan,L. S.;Reisch,J. S.;Schiodt,F. V.;Ostapowicz,G.;Shakil,A. O.;Lee,W. M.;Acute Liver,Failure Study</t>
  </si>
  <si>
    <t>Acetaminophen-induced acute liver failure: results of a United States multicenter, prospective study</t>
  </si>
  <si>
    <t>Apache;*Acetaminophen/po Poisoning];Adolescent;Adult;Aged;Alcoholism/co Complications];Drug Overdose;Female;Humans;*Liver Failure, Acute/ci Chemically Induced];Liver Failure, Acute/ep Epidemiology];Liver Failure, Acute/pc Prevention &amp; Control];Male;Middle Aged;Prospective Studies;362O9ITL9D (Acetaminophen)</t>
  </si>
  <si>
    <t>Severe acetaminophen hepatotoxicity frequently leads to acute liver failure (ALF). We determined the incidence, risk factors, and outcomes of acetaminophen-induced ALF at 22 tertiary care centers in the United States. Detailed prospective data were gathered on 662 consecutive patients over a 6-year period fulfilling standard criteria for ALF (coagulopathy and encephalopathy), from which 275 (42%) were determined to result from acetaminophen liver injury. The annual percentage of acetaminophen-related ALF rose during the study from 28% in 1998 to 51% in 2003. Median dose ingested was 24 g (equivalent to 48 extra-strength tablets). Unintentional overdoses accounted for 131 (48%) cases, intentional (suicide attempts) 122 (44%), and 22 (8%) were of unknown intent. In the unintentional group, 38% took two or more acetaminophen preparations simultaneously, and 63% used narcotic-containing compounds. Eighty-one percent of unintentional patients reported taking acetaminophen and/or other analgesics for acute or chronic pain syndromes. Overall, 178 subjects (65%) survived, 74 (27%) died without transplantation, and 23 subjects (8%) underwent liver transplantation; 71% were alive at 3 weeks. Transplant-free survival rate and rate of liver transplantation were similar between intentional and unintentional groups. In conclusion, acetaminophen hepatotoxicity far exceeds other causes of acute liver failure in the United States. Susceptible patients have concomitant depression, chronic pain, alcohol or narcotic use, and/or take several preparations simultaneously. Education of patients, physicians, and pharmacies to limit high-risk use settings is recommended.</t>
  </si>
  <si>
    <t>J2: Hepatology; Larson, Anne M Polson, Julie Fontana, Robert J Davern, Timothy J Lalani, Ezmina Hynan, Linda S Reisch, Joan S Schiodt, Frank V Ostapowicz, George Shakil, A Obaid Lee, William M Acute Liver Failure Study Group Comment in: Hepatology. 2005 Dec;42(6):1252-4; PMID: 16317699 Comment in: Hepatology. 2006 Apr;43(4):881; author reply 882; PMID: 16557559 Comment in: Hepatology. 2006 Apr;43(4):880; author reply 882; PMID: 16557558 Comment in: Gastroenterology. 2006 Sep;131(3):963-4; PMID: 16952567 R-01 DK58369 (United States NIDDK NIH HHS) R-01-DK58639 (United States NIDDK NIH HHS) R-03 DK52827 (United States NIDDK NIH HHS); ID: 442</t>
  </si>
  <si>
    <t>Larson,Anne M. Department of Internal Medicine, Division of Gastroenterology, University of Washington Medical Center, Seattle, 98195, USA. amlarson@u.washington.edu</t>
  </si>
  <si>
    <t>http://ovidsp.ovid.com/ovidweb.cgi?T=JS&amp;CSC=Y&amp;NEWS=N&amp;PAGE=fulltext&amp;D=med5&amp;AN=16317692</t>
  </si>
  <si>
    <t>MEDLINE; Ovid Technologies; Acetaminophen-induced acute liver failure: results of a United States multicenter, prospective study</t>
  </si>
  <si>
    <t>Lathers,C. M.;Author,Addresses;Center of,Veterinary Medicine;Drug;Administration,Rockville M. D. United States;Center of,Veterinary Medicine;Drug;Administration,Rockville M. D. United States;Correspondence,Address;CM Lathers, Center of Veterinary,Medicine U.;Drug;Administration,Rockville M. D. United States</t>
  </si>
  <si>
    <t>12043947; Clinical pharmacology of antimicrobial use in humans and animals</t>
  </si>
  <si>
    <t>(MAJOR FOCUS);antiinfective agent (drug therapy, pharmacokinetics, pharmacology);avilamycin (drug therapy, pharmacokinetics, pharmacology);avoparcin (drug therapy, pharmacokinetics, pharmacology);dalfopristin plus quinupristin (drug therapy, pharmacokinetics,;pharmacology);erythromycin (drug therapy, pharmacokinetics, pharmacology);gentamicin (drug therapy, pharmacokinetics, pharmacology);vancomycin (drug therapy, pharmacokinetics, pharmacology);virginiamycin (drug therapy, pharmacokinetics, pharmacology);bacterial infection (drug resistance, drug therapy);animal husbandry;antibiotic resistance;antibiotic therapy;bacterium contamination;drug inactivation;drug misuse;drug uptake;food chain;food safety;human;infection control;kitchen;minimum inhibitory concentration;nonhuman;occupational exposure;pisciculture;policy;review;risk factor;risk management;veterinary medicine;zoonosis;DRUG TRADE NAMES;synercid;avilamycin (11051-71-1, 69787-79-7, 69787-80-0);avoparcin (37332-99-3);dalfopristin plus quinupristin (126602-89-9);erythromycin (114-07-8, 70536-18-4);gentamicin (1392-48-9, 1403-66-3, 1405-41-0);vancomycin (1404-90-6, 1404-93-9);virginiamycin (11006-76-1);Microbiology: Bacteriology, Mycology, Parasitology and Virology (4);Public Health, Social Medicine and Epidemiology (17);Clinical and Experimental Pharmacology (30);Drug Literature Index (37)</t>
  </si>
  <si>
    <t>Veterinary public health is a frontier in the fight against human disease, charged to control and eradicate zoonotic diseases that are naturally transmitted between vertebrate animals and man. Currently there is a need for clinical pharmacologists and all health care givers to limit the development of bacterial resistance in humans to contain the increased health care expenditures related to morbidity and mortality associated with the use of antimicrobials. The development of resistance predates the use of antibiotics and will always be a problem to the successful treatment of patients. Ongoing discussion debates the extent to which antibiotic use in animals contributes to the development of antibiotic resistance in humans. The veterinary use of antibiotics as antimicrobial growth promoters is thought to influence the prevalence of resistance in animal bacteria and to be a risk factor for the emergence of antibiotic resistance in human pathogens. Transfer of antibiotic resistant bacteria from animals to humans may occur via contact, including occupational exposure and via the food chain. Resistance genes may transfer from bacteria of animals to human pathogens in the intestinal flora of humans. Prevention of the development of resistance in humans necessitates good animal husbandry and hygienic measures to prevent cross contamination and a decrease in the use of antibiotics. Appropriate use of antibiotics for food animals will preserve the long-term efficacy of existing antibiotics, support animal health and welfare, and limit the risk of transfer of antibiotic resistance to humans. Investigators must also develop new antimicrobial agents. Poole (J Pharmacy Pharmacol 2001;53:283) recommends targeting the three predominate mechanisms of development of resistance by antimicrobials (i.e., antibiotic inactivation, target site modification, and altered uptake via restricted entry and/or enhanced efflux) to specifically complement the development of novel agents with novel bacterial targets. Bacterial resistance and its selection may be evaluated by comparing the relationship to antibiotic pharmacokinetic (PK) values obtained from serum concentrations and organism MICs (minimum inhibitory concentrations; concentrationdependent killing) to reveal culture and sensitivity tests in patients. Pharmacodynamic (PD) models may be developed to identify factors associated with the probability that bacterial resistance will develop. Thomas et al (Antimicrobial Agents Chemotherapy 1998;42:521) used this combined approach of PK/PD and MICs to examine data retrospectively. The role of clinical pharmacology is to work with PK/PD models such as these to determine the best use of antibiotics in humans to minimize the development of resistance. The role of any regulatory body responsible for the protection of the public health and food safety for consumers is to assess risk and to then communicate and manage the risk. Scientific uncertainty must be interpreted to propose sound policy options. The conversion of sound science into an appropriate regulatory policy to protect the public health is most important. ‚î¨‚åê2002 the American College of Clinical Pharmacology.</t>
  </si>
  <si>
    <t>(Lathers C.M.) SAGE Publications Inc., 2455 Teller Road, Thousand Oaks, United States.; ID: 1610</t>
  </si>
  <si>
    <t>http://www.ncbi.nlm.nih.gov/pubmed/12043947</t>
  </si>
  <si>
    <t>Clinical pharmacology of antimicrobial use in humans and animals</t>
  </si>
  <si>
    <t>Lathers,C. M.;Smith,C. M.</t>
  </si>
  <si>
    <t>Development of innovative teaching materials: clinical pharmacology problem-solving (CPPS) units: comparison with patient-oriented problem-solving units and problem-based learning--a 10-year review</t>
  </si>
  <si>
    <t>Anisocoria;Anticonvulsants;Education, Medical;Education, Pharmacy;Geriatrics/ed Education];Glaucoma;Netherlands;Osteopathic Medicine/ed Education];Patients;*Pharmacology, Clinical/ed Education];*Problem-Based Learning;Program Evaluation;*Teaching/mt Methods];United States;0 (Anticonvulsants)</t>
  </si>
  <si>
    <t>The First Teaching Clinic in Clinical Pharmacology, sponsored by the American College of Clinical Pharmacology in September 1992, was designed for the preparation and development of new clinical pharmacology problem-solving (CPPS) units. CPPS units are case histories that illustrate pertinent principles in clinical pharmacology. Each unit consists of the following sections: introduction, learning objectives, pretest, four clinical pharmacology scenarios, posttest, answers to pre- and posttest questions, and selected references. The clinical pharmacology content of the CPPS units place greater emphasis on clinical information, drug selection, and risk/benefit analyses, and thus they complement the basic pharmacology presented in the patient-oriented problem-solving (POPS) units. In general, the CPPS units are intended for use by students more advanced in clinical pharmacology than first- and second-year medical students. The CPPS unit "Clinical Pharmacology of Antiepileptic Drug Use: Clinical Pearls about the Perils of Patty" was developed for use by third- and fourth-year medical students doing rotations in neurology or clinical pharmacology; advanced pharmacy students; residents in neurology, pediatrics, internal medicine, and family practice; fellows in clinical pharmacology, and those taking the board examination in clinical pharmacology. The CPPS unit titled "Geriatric Clinical Psychopharmacology" was written for third- and fourth-year medical students; residents in psychiatry, family practice, and internal medicine;fellows in clinical pharmacology; and those studying for boards in clinical pharmacology. The CPPS unit "Anisocoria and Glaucoma" was written for more advanced students of clinical pharmacology. The CPPS unit titled "Antiepileptic Drugs" was intended for second-year medical students. The second teaching clinic was held in November 1993 and focused on the development and editing of the CPPS units and their evaluations by faculty and students from academic centers. Evaluations by faculty and students have been overwhelmingly positive. Requests to use the CPPS units in various clinical pharmacology teaching programs were received from numerous schools within the United States and from abroad. The third teaching clinic in September 1995 included a follow-up focused on the uses of drug information databases in case problem exercises. These examples are presented to demonstrate the variety of educational activities the American College of Clinical Pharmacology is sponsoring to fulfill its strategic initiative dedicated to offer innovative teaching programs and to develop new teaching materials in clinical pharmacology. Collectively, all of the teaching clinics, symposia, and workshop efforts, sponsored by the various academic professional societies alone or together over the past decade, are necessary if new and innovative teaching materials in the field of basic science and in the fields of pharmacology and clinical pharmacology are to be continuously developed to keep pace with the new, rapidly changing developments in medicine to provide the best treatment for patients in the 21st century.</t>
  </si>
  <si>
    <t>J2: J Clin Pharmacol; Lathers, Claire M Smith, Cedric M; ID: 514</t>
  </si>
  <si>
    <t>Lathers,Claire M. U.S. Food and Drug Administration, Office of New Animal Drug Evaluation, Center for Veterinary Medicine, Rockville, Maryland 20855, USA.</t>
  </si>
  <si>
    <t>http://ovidsp.ovid.com/ovidweb.cgi?T=JS&amp;CSC=Y&amp;NEWS=N&amp;PAGE=fulltext&amp;D=med4&amp;AN=12017342</t>
  </si>
  <si>
    <t>MEDLINE; Ovid Technologies; Development of innovative teaching materials: clinical pharmacology problem-solving (CPPS) units: comparison with patient-oriented problem-solving units and problem-based learning--a 10-year review</t>
  </si>
  <si>
    <t>Lathers,C. M.;Smith,C. M.;Author,Addresses;Department of Pharmacology, Medical,College of;Pennsylvania/Eppi,Philadelphia P. A.;Correspondence,Address;Department of Pharmacology, Medical College of,Pennsylvania Eppi;Philadelphia,P. A.</t>
  </si>
  <si>
    <t>2668349; Teaching clinical pharmacology: Coordination with medical pharmacology courses</t>
  </si>
  <si>
    <t>alcoholism;clinical pharmacology;education;human;methodology;organization and management;review;United States;Clinical and Experimental Pharmacology (30)</t>
  </si>
  <si>
    <t>(Lathers C.M.; Smith C.M.) SAGE Publications Inc., 2455 Teller Road, Thousand Oaks, United States.; ID: 1733</t>
  </si>
  <si>
    <t>http://www.ncbi.nlm.nih.gov/pubmed/2668349</t>
  </si>
  <si>
    <t>Teaching clinical pharmacology: Coordination with medical pharmacology courses</t>
  </si>
  <si>
    <t>Lau,W. M.;Chan,K.;Yung,T. H.;Lee,A. S.</t>
  </si>
  <si>
    <t>Outreach pharmacy service in old age homes: a Hong Kong experience</t>
  </si>
  <si>
    <t>Journal of the Chinese Medical Association: JCMA</t>
  </si>
  <si>
    <t>Aged;*Health Services for the Aged;Hong Kong;Humans;*Nursing Homes;*Pharmaceutical Services</t>
  </si>
  <si>
    <t>BACKGROUND: To explore drug-related problems in old age homes in Hong Kong through outreach pharmacy service. METHODS: A standard form was used by outreach pharmacists to identify drug-related problems at old age homes. Homes were selected through random sampling, voluntary participation or adverse selection. Initial observation and assessment were performed in the first and second weeks. Appropriate advice and recommendations were given upon assessment and supplemented by a written report. Educational talks were provided to staff of the homes in addition to other drug information materials. At week 7 to 9, evaluations were carried out. RESULTS: Eighty-five homes were assessed and identified to have problems in the drug management system. These problems could generally be classified into physical storage (8.8%), quality of storage (19.2%), drug administration system (13.3%), documentation (16.4%), and drug knowledge of staff of homes (42.2%). Quality of drug storage was the most common problem found, followed by documentation and drug knowledge (73%, 50% and 44% of points assessed with problems, respectively). Apart from lack of drug knowledge and unawareness of potential risks by staff, minimal professional standards unmet may be fundamentally related to lack of professional input and inadequacy in legislation. Most homes demonstrated significant improvements upon simple interventions, from a majority of homes with more than 10 problems to a majority with less than 5 problems. CONCLUSIONS: Diverse problems in drug management are common in old age homes, which warrants attention and professional inputs. Simple interventions and education by pharmacists are shown to be effective in improving the quality of drug management and hence care to residents. While future financing of old age home service can be reviewed within the social context to provide incentives for improvement, review of regulatory policy with enforcement may be more fundamental and effective in upholding the service standard.</t>
  </si>
  <si>
    <t>J2: J Chin Med Assoc; Lau, Wai-Man Chan, Kit Yung, Tsz-Ho Lee, Anna See-Wing; ID: 498</t>
  </si>
  <si>
    <t>1726-4901</t>
  </si>
  <si>
    <t>Lau,Wai-Man. Professional &amp; Clinical Service Development Section, Chief Pharmacist Office, Hospital Authority Head Office, Pamela Youde Nethersole Eastern Hospital, Chai Wan, Hong Kong. lauwm@ha.org.hk</t>
  </si>
  <si>
    <t>http://ovidsp.ovid.com/ovidweb.cgi?T=JS&amp;CSC=Y&amp;NEWS=N&amp;PAGE=fulltext&amp;D=med4&amp;AN=12889503</t>
  </si>
  <si>
    <t>MEDLINE; Ovid Technologies; Outreach pharmacy service in old age homes: a Hong Kong experience</t>
  </si>
  <si>
    <t>Laube,E. S.;Bonetti,N. R.;B‚îú√±chli,E.;Beer,J. H.;Author,Addresses;Internal Medicine,Cantonal Hospital;of Baden,Baden Switzerland;Internal Medicine, Hospital of Uster,Uster Switzerland;President of the Swiss Society of,Department Heads;Switzerland;Laboratory for Platelet Research, Center,for Molecular;Cardiology,University of Zurich Zurich Switzerland;Correspondence,Address;ES Laube, Internal Medicine Cantonal Hospital of,Baden Baden;Switzerland</t>
  </si>
  <si>
    <t>What experienced experts almost miss: Unusual somatic causes of fatigue</t>
  </si>
  <si>
    <t>Praxis</t>
  </si>
  <si>
    <t>104 SUPPL. 1</t>
  </si>
  <si>
    <t>fatigue;human;diagnosis;diseases;drug therapy;hoof and claw;hypothesis;learning;patient;physician;psychosomatics;questionnaire;society;somnolence;substance abuse;Swiss;teaching</t>
  </si>
  <si>
    <t>Background: Fatigue as an everyday symptom of everyday patients is often considered to be of minor importance, even by experienced doctors. Managing Œì√á¬£tiredŒì√á¬• patients can present a challenge. Often enough it is attributed to psychosomatic reasons or disregarded altogether. This may lead to underrecognition of potentially treatable somatic diseases. Methods: To approach this complex field we asked the most experienced clinicians to share their (almost) missed somatic causes of fatigue. We reasoned that these cases would be of great teaching value. We conducted a nationwide survey among the members of the Swiss Society of Department Heads of Medicine. A questionnaire with the following inquiries was sent out to 150 chiefs: 1. What was the most surprising somatic cause of fatigue in your career thus far? 2. Which diagnosis did you (almost) miss? Results: We received the lively descriptions of Œì√´√ë 50 surprising and outstanding cases. In the table we summarize the most frequently mentioned somatic causes for fatigue (Œì√á¬£the Big 5Œì√á¬•) as well as the rarest and most surprising diagnoses (Œì√á¬£the ZebrasŒì√á¬•). General take home messages: Œì√á√≥ The rare reasons for fatigue and the near missed diagnoses by experts are valuable teaching tools. Œì√á√≥ Generate new hypotheses if fatigue is explained by a disease, but does not improve during treatment. Œì√á√≥ Be persistent - the devil is in the details. Specific learning points: Œì√á√≥ Make the distinction between sleepiness and fatigue. Œì√á√≥ More often than generally anticipated, the sound of hooves is actually due to zebras. Œì√á√≥ Œì√á¬£Think medicationŒì√á¬•: The wrong dosage, the wrong substance, substance abuse, the medication of the wrong patient. Educate your patients on pharmacotherapy. (Table Presented).</t>
  </si>
  <si>
    <t>(Laube E.S.; Bonetti N.R.; Beer J.H.) (B‚îú√±chli E.) (Beer J.H.) SGIM Jahresversammlung 2015 Basel, Switzerland 2015-05-20 to 2015-05-22 Verlag Hans Huber AG; ID: 821</t>
  </si>
  <si>
    <t>1661-8157</t>
  </si>
  <si>
    <t>Laugesen,K.;Telen Andersen,A. B.;Norgaard,M.;Nielsen,R. B.;Thomsen,R. W.;Larsen,F. B.;Sorensen,H. T.</t>
  </si>
  <si>
    <t>PMC3731776; Use of selective serotonin reuptake inhibitors and lifestyle among women of childbearing age: a Danish cross-sectional survey</t>
  </si>
  <si>
    <t>BMJ Open</t>
  </si>
  <si>
    <t>OBJECTIVE: To examine the use of selective serotonin reuptake inhibitors (SSRIs) among Danish women of childbearing age according to lifestyle factors. DESIGN: Cross-sectional survey. SETTING: The Central Denmark Region. PARTICIPANTS: 4234 women (71.5% of the invited women) aged 25-44 years who participated in a public health survey in 2006. OUTCOME MEASURES: Prevalence and prevalence ratios (PRs) of current and former SSRI use among women characterised by selected lifestyle factors. We obtained information on SSRI use through linkage to the Aarhus University Prescription Database covering all pharmacies in the region. RESULTS: Of the 4234 women in the study, 161 (3.8%) were current SSRI users, 60 (1.4%) were recent users, 223 (5.3%) were former users and 3790 (89.5%) were never users. Current use of SSRIs was more prevalent in obese women than in non-obese women (PR 1.5, 95% CI 1.0 to 2.3), in current smokers compared with non-current smokers (PR 1.6, 95% CI 1.1 to 2.2), in women who drank more than seven alcoholic drinks weekly compared with women who drank seven or fewer drinks weekly (PR 1.8, 95% CI 1.2 to 2.8) and in women with an unhealthy diet compared with women with a healthy diet (PR 1.7, 95% CI 1.2 to 2.6). Prevalence of former use of SSRIs was similarly increased except in those with an unhealthy diet (PR 1.1, 95% CI 0.8 to 1.7). SSRI use did not differ according to participation in regular physical activity. CONCLUSIONS: Women with an unhealthy lifestyle were about 1.5-fold more likely to be current or former users of SSRIs than those with a healthy lifestyle. These findings may be useful for quantitative assessment of the contribution of lifestyle factors to uncontrolled confounding in studies of SSRI use in pregnancy.</t>
  </si>
  <si>
    <t>J2: BMJ Open; Laugesen, Kristina Telen Andersen, Ane Birgitte Norgaard, Mette Nielsen, Rikke Beck Thomsen, Reimar Wernich Larsen, Finn Breinholt Sorensen, Henrik Toft Using Smart Source Parsing e003024; ID: 152</t>
  </si>
  <si>
    <t>2044-6055</t>
  </si>
  <si>
    <t>Laugesen,Kristina. Department of Clinical Epidemiology, Institute of Clinical Medicine, Aarhus University Hospital, Aarhus, Denmark.</t>
  </si>
  <si>
    <t>http://ovidsp.ovid.com/ovidweb.cgi?T=JS&amp;CSC=Y&amp;NEWS=N&amp;PAGE=fulltext&amp;D=prem&amp;AN=23903810</t>
  </si>
  <si>
    <t>http://dx.doi.org/10.1136/bmjopen-2013-003024</t>
  </si>
  <si>
    <t>MEDLINE; Ovid Technologies; Use of selective serotonin reuptake inhibitors and lifestyle among women of childbearing age: a Danish cross-sectional survey</t>
  </si>
  <si>
    <t>Launonen,E.;Alho,H.;Kotovirta,E.;Wallace,I.;Simojoki,K.</t>
  </si>
  <si>
    <t>Diversion of opioid maintenance treatment medications and predictors for diversion among Finnish maintenance treatment patients</t>
  </si>
  <si>
    <t>BACKGROUND: Diversion (i.e. selling or giving away) of opioid maintenance treatment (OMT) medications is a challenge that concerns many units providing OMT worldwide and tools for prevention are needed. The object of this study was to examine the prevalence and predictors for diversion of the OMT medications buprenorphine-naloxone (BNX) and methadone (MET) among Finnish OMT patients. METHODS: A cross-sectional study was conducted among all Finnish OMT patients of whom 60% (n=1508) participated. The data were collected by anonymous questionnaires distributed through all OMT units in Finland. To evaluate predictors for diversion, we used binominal regression analysis with unadjusted and adjusted ORs. Selling and/or giving away of OMT medication was used as a dependent variable and explanatory variables were gender, age, duration of OMT, type of OMT medication and dose, dispensation method of OMT medication, place of residence and intravenous use of any intoxicating drugs during the past six months. RESULTS: Of all 1508 respondents, 7% (n=100) had sold and 12% (n=169) had given their OMT medication to others, 57% for money and 23% in exchange for other drugs. In multivariate analysis, predictors associated with diversion were BNX as OMT medication (OR 2.76, 95% CI 1.76-4.33), low (&lt;9.0mg/day) BNX dose (OR 1.74, 95% CI 1.01-2.98), intravenous use of intoxicating drugs during the past six months (OR 4.48, 95% CI 3.13-6.43) and increasing length of OMT (OR 1.01, 95% CI 1.01-1.02). Age, place of residence or unsupervised pharmacy distribution of BNX were not associated with diversion. CONCLUSIONS: In order to reduce diversion, more interventions are needed to support patients to stop concurrent substance abuse. Increasing control measures, for example, increased supervision, are unlikely to prevent diversion. Given that sub-optimal dosing of BNX increases the risk of diversion, more attention should be paid to providing patients with an optimal medical dose.Copyright ‚î¨‚åê 2015 Elsevier B.V. All rights reserved.</t>
  </si>
  <si>
    <t>J2: Int J Drug Policy; Launonen, Essiina Alho, Hannu Kotovirta, Elina Wallace, Isla Simojoki, Kaarlo S0955-3959(15)00074-2; ID: 769</t>
  </si>
  <si>
    <t>1873-4758</t>
  </si>
  <si>
    <t>Launonen,Essiina. Clinicum, University of Helsinki and Helsinki University Hospital, PO Box 63, FI-00014 Helsinki University, Finland; University of Eastern Finland, School of Medicine, Faculty of Health Sciences, P.O. Box 1627, FI-70211 Kuopio, Finland. Electronic address: essiina.launonen@helsinki.fi. Alho,Hannu. Clinicum, University of Helsinki and Helsinki University Hospital, PO Box 63, FI-00014 Helsinki University, Finland; National Institute of Health and Welfare, Department of Mental and Substance Abuse Services, P.O. Box 30, FI-00271 Helsinki, Finland. Kotovirta,Elina. Ministry of Social Affairs and Health, Department for Promotion of Welfare and Health, Unit for Harm Prevention, P.O. Box 33, FI-00023 Government, Finland. Wallace,Isla. Department of Applied Health Research, University College London, Torrington Place, London WC1E 7HB, UK. Simojoki,Kaarlo. Clinicum, University of Helsinki and Helsinki University Hospital, PO Box 63, FI-00014 Helsinki University, Finland; A-Clinic Foundation, Maistraatinportti 2, 00240 Helsinki, Finland.</t>
  </si>
  <si>
    <t>http://ovidsp.ovid.com/ovidweb.cgi?T=JS&amp;CSC=Y&amp;NEWS=N&amp;PAGE=fulltext&amp;D=prem&amp;AN=25934054</t>
  </si>
  <si>
    <t>http://dx.doi.org/10.1016/j.drugpo.2015.03.007</t>
  </si>
  <si>
    <t>MEDLINE; Ovid Technologies; Diversion of opioid maintenance treatment medications and predictors for diversion among Finnish maintenance treatment patients</t>
  </si>
  <si>
    <t>Lawrence,R. E.;Rasinski,K. A.;Yoon,J. D.;Koenig,H. G.;Meador,K. G.;Curlin,F. A.</t>
  </si>
  <si>
    <t>Physicians' beliefs about faith-based treatments for alcoholism</t>
  </si>
  <si>
    <t>Adult;Aged;*Alcoholics Anonymous;*Alcoholism/th Therapy];*Attitude of Health Personnel;Drug Therapy;Female;Humans;Male;Middle Aged;*Physicians/px Psychology];Physicians, Primary Care/px Psychology];Psychiatry;*Religion and Medicine;Residential Treatment;Spirituality;Surveys and Questionnaires</t>
  </si>
  <si>
    <t>OBJECTIVE: The study examined physicians' beliefs about faith-based alcohol treatments vis-a-vis Alcoholics Anonymous, pharmacologic treatment, and residential treatment. METHODS: A survey was mailed to a national sample of U.S. primary care physicians and psychiatrists. It included a brief vignette of a nominally religious 47-year-old man hospitalized for acute alcohol poisoning who requested addiction treatment. Physicians rated the likely effectiveness of three treatment methods: Alcoholics Anonymous, pharmacological therapy by an addiction specialist, and a residential program. Physicians were asked whether they would refer the patient to a faith-based program (beyond Alcoholics Anonymous) and whether an emphasis on spirituality is critical to 12-step program success. RESULTS: The response rate was 896 of 1,427 (63%) for primary care physicians and 312 of 487 (64%) for psychiatrists. Psychiatrists were more likely to rate Alcoholics Anonymous as very effective (64% versus 57% of primary care physicians), more likely to rate residential treatment as very effective (47% versus 38% of primary care physicians), and more likely to rate pharmacologic therapy as very effective (31% versus 22% of primary care physicians). Psychiatrists and primary care physicians were equally likely to consider referring the patient to a faith-based program (71% and 79%) and equally likely to believe that "an emphasis on spirituality is critical to the success of 12-step programs" (81% and 85%). CONCLUSIONS: Psychiatrists were more optimistic than primary care physicians about all three treatments. Physicians in both specialties would refer even nominally religious patients to explicitly faith-based programs (beyond Alcoholics Anonymous). Physicians' enthusiasm for faith-based treatments highlights the need for scientific study of these treatments to determine which elements are most helpful for patients seeking recovery.</t>
  </si>
  <si>
    <t>J2: Psychiatr Serv; Lawrence, Ryan E Rasinski, Kenneth A Yoon, John D Koenig, Harold G Meador, Keith G Curlin, Farr A 1 K23 AT002749 (United States NCCIH NIH HHS); ID: 187</t>
  </si>
  <si>
    <t>1557-9700</t>
  </si>
  <si>
    <t>Lawrence,Ryan E. Department of Psychiatry, Columbia University Medical Center, 1051 Riverside Dr., Box 103, New York, NY 10032, USA. rlawrence@uchicago.edu</t>
  </si>
  <si>
    <t>http://ovidsp.ovid.com/ovidweb.cgi?T=JS&amp;CSC=Y&amp;NEWS=N&amp;PAGE=fulltext&amp;D=medl&amp;AN=22476161</t>
  </si>
  <si>
    <t>http://dx.doi.org/10.1176/appi.ps.201100315</t>
  </si>
  <si>
    <t>MEDLINE; Ovid Technologies; Physicians' beliefs about faith-based treatments for alcoholism</t>
  </si>
  <si>
    <t>Le Foll,B.;Tyndale,R. F.</t>
  </si>
  <si>
    <t>NIHMS679639 Available on 06/01/16] PMC4450772 Available on 06/01/16]; Cannabinoids: Friend or foe?</t>
  </si>
  <si>
    <t>Clinical Pharmacology &amp; Therapeutics</t>
  </si>
  <si>
    <t>Cannabinoids/ae Adverse Effects];Cannabinoids/pd Pharmacology];*Cannabinoids/tu Therapeutic Use];Cannabis/ae Adverse Effects];Humans;*Medical Marijuana/tu Therapeutic Use];Phytotherapy;0 (Cannabinoids);0 (Medical Marijuana)</t>
  </si>
  <si>
    <t>This issue of Clinical Pharmacology &amp; Therapeutics focuses on cannabinoids. Our understanding of these interesting endogenous and synthetic compounds, and their role in the cannabinoid system, has evolved dramatically, in part because of the acquisition of new research tools. Cannabis has been used for centuries by humans for recreational and medicinal purposes, however, there is substantial evidence that cannabis use can expose people to varying complications (e.g., risk of addiction, cognitive impairment), thus, it is important to determine the benefit/risk of cannabis with precision and to implement policy measures based on evidence to maximize the benefits and minimize the harm. Novel cannabinoid drugs are emerging for medicinal use (e.g., dronabinol, nabiximols) and as illicit drugs (e.g., Spice, K2) perpetuating the perception that cannabinoid drugs can be a friend or foe. This special issue will cover these various aspects of cannabinoid pharmacology and therapeutics ranging from basic chemistry, pharmacokinetics, pharmacodynamics, and clinical trial results, to policy and education efforts in this area. Copyright ‚î¨‚åê 2015 American Society for Clinical Pharmacology and Therapeutics.</t>
  </si>
  <si>
    <t>J2: Clin Pharmacol Ther; Le Foll, B Tyndale, R F R21 DA031906 (United States NIDA NIH HHS) R21 DA036024 (United States NIDA NIH HHS) R21DA03190602 (United States NIDA NIH HHS) R21DA036024 (United States NIDA NIH HHS) TMH109787 (Canada Canadian Institutes of Health Research); ID: 36</t>
  </si>
  <si>
    <t>1532-6535</t>
  </si>
  <si>
    <t>Le Foll,B. Translational Addiction Research Laboratory, Campbell Family Mental Health Research Institute, Centre for Addiction and Mental Health and Departments of Psychiatry, Pharmacology, Family and Community Medicine and Institute of Medical Sciences, University of Toronto, Toronto, Ontario, Canada. Tyndale,R F. Pharmacogenetics Laboratory, Campbell Family Mental Health Research Institute, Centre for Addiction and Mental Health, and Departments of Pharmacology &amp; Toxicology, and Psychiatry, University of Toronto, Toronto, Ontario, Canada.</t>
  </si>
  <si>
    <t>http://ovidsp.ovid.com/ovidweb.cgi?T=JS&amp;CSC=Y&amp;NEWS=N&amp;PAGE=fulltext&amp;D=medl&amp;AN=25801347</t>
  </si>
  <si>
    <t>http://dx.doi.org/10.1002/cpt.119</t>
  </si>
  <si>
    <t>MEDLINE; Ovid Technologies; Cannabinoids: Friend or foe?</t>
  </si>
  <si>
    <t>Leaman,T. L.;Author,Addresses;Hill Manor Drive, Hershey,P.A.United States;Correspondence,Address;TL Leaman, Hill Manor Drive Hershey,P.A.United States</t>
  </si>
  <si>
    <t>10318744; Anxiety disorders</t>
  </si>
  <si>
    <t>Primary Care - Clinics in Office Practice</t>
  </si>
  <si>
    <t>(MAJOR FOCUS);benzodiazepine derivative (drug therapy);serotonin uptake inhibitor (drug therapy);tricyclic antidepressant agent (drug therapy);alprazolam (drug dose, drug therapy);amfebutamone (drug dose, drug therapy);clonazepam (drug dose, drug therapy);fluoxetine (drug dose, drug therapy);fluvoxamine (drug dose, drug therapy);imipramine (drug dose, drug therapy);lorazepam (drug dose, drug therapy);monoamine oxidase inhibitor (drug dose, drug therapy);paroxetine (drug dose, drug therapy);sertraline (drug dose, drug therapy);trazodone (drug dose, drug therapy);anxiety neurosis (drug therapy, epidemiology, etiology, therapy);clinical feature;cognitive therapy;drug dependence (complication);empathy;mental test;obsession (drug therapy, epidemiology, etiology, therapy);panic (drug therapy, epidemiology, therapy);patient education;phobia (drug therapy, epidemiology, etiology, therapy);posttraumatic stress disorder (drug therapy, epidemiology, etiology,;therapy);primary medical care;priority journal;prognosis;psychotherapy;relapse;review;screening test;alprazolam (28981-97-7);amfebutamone (31677-93-7, 34911-55-2);clonazepam (1622-61-3);fluoxetine (54910-89-3, 56296-78-7, 59333-67-4);fluvoxamine (54739-18-3);imipramine (113-52-0, 50-49-7);lorazepam (846-49-1);paroxetine (61869-08-7);sertraline (79617-96-2);trazodone (19794-93-5, 25332-39-2);Psychiatry (32);Drug Literature Index (37)</t>
  </si>
  <si>
    <t>Most people with anxiety disorders do not seek professional help of any kind, providing primary care physicians a significant opportunity to detect these treatable disorders. The earlier they are diagnosed, the better the prognosis for treatment and for preventing comorbidity. The majority of those patients who do seek help for the relief of these symptoms of anxiety disorders do consult primary care physicians. Early diagnosis depends on a keen awareness of the possibilities of an anxiety disorder indicated by any of the multiplicity of symptoms that patients may experience. A variety of patient questionnaires that are intended for use as screening instruments are available. These are useful diagnostically, but are perhaps better used to monitor the effects of treatment. A much more appropriate technique in primary care, in the author's view, is a personalized approach, such as described in the BATHE technique. BATHE is an acronym for the essential components of an interview, designed to fit smoothly into a 15-minute interview. 'This interview format allows the physician to assess the background situation, the patient's affect, the problem that is most troubling for the patient and the manner in which the patient is handling the problem. It concludes with a response that conveys empathy.' A correct identification of the primary diagnosis is important, because the choice of therapy differs. Secondary diagnoses present additional challenges, and therapy may need to be adjusted accordingly. It is essential to remember that most anxiety diseases are chronic in nature and long-term monitoring, psychotherapy, and drugs may be required. The three elements of treatment, psychotherapy, pharmacotherapy, and patient education are well within the province of most primary care physicians. One of the limiting factors is time. Practical methods of handling this therapy within a reasonable time frame is provided in The Fifteen Minute Hour; Applied Psychotherapy for the Primary Care Physician. Patient information materials are available through pharmaceutical companies, The American Academy of Family Physicians, or several books written for patients. Anxiety disorders, therefore, unless there are serious complications or the patient becomes intractable to therapy, are really not psychiatric diseases but primary care diseases.</t>
  </si>
  <si>
    <t>(Leaman T.L.) W.B. Saunders, Independence Square West, Philadelphia, United States.; ID: 1653</t>
  </si>
  <si>
    <t>0095-4543</t>
  </si>
  <si>
    <t>http://www.ncbi.nlm.nih.gov/pubmed/10318744</t>
  </si>
  <si>
    <t>Anxiety disorders</t>
  </si>
  <si>
    <t>Lebovits,A. H.;Florence,I.;Bathina,R.;Hunko,V.;Fox,M. T.;Bramble,C. Y.</t>
  </si>
  <si>
    <t>Pain knowledge and attitudes of healthcare providers: practice characteristic differences</t>
  </si>
  <si>
    <t>*Attitude of Health Personnel;Hospitals;Humans;Nurses;*Pain/px Psychology];*Pain Management;Pharmacists;Physicians;Professional Practice;Students, Medical;Students, Nursing;Surveys and Questionnaires</t>
  </si>
  <si>
    <t>OBJECTIVE: To evaluate the knowledge and attitudes of different healthcare professionals regarding pain issues such as addiction, the assessment of pain, scheduling, use of analgesics, and pediatric pain. Additionally, to determine whether differences exist based on hospital setting, years of service, clinical practice area, and country of origin. DESIGN: A total of 686 nurses, physicians, pharmacists, and medical/nursing students from three hospitals completed a 17-item survey evaluating knowledge and beliefs about pain. SETTING: The three hospital settings were a large city hospital, a private community hospital, and a state medical school-based hospital. RESULTS: The overall percentage "correct" score was only 56%. Physicians scored significantly higher, and pharmacists scored significantly lower than other groups. Nurses scored significantly less concordantly than physicians on 11 of the 17 items. Those identifying anesthesiology as their clinical practice area scored significantly higher than all other areas, whereas those practicing within medicine demonstrated significantly more "correct" scores than those in surgery. City hospital respondents scored significantly lower than professionals practicing in the other two hospitals; non-U.S. country of origin professionals scored significantly lower than U.S. country of origin healthcare professionals. There were no significant differences based on postgraduate years of practice. CONCLUSIONS: Significant knowledge deficits regarding currently accepted principles of pain management practice as well as beliefs that could interfere with optimal care, mandate a need for educational interventions. Significant differences by profession, clinical practice area, and hospital setting reflect populations to be targeted for interventions. Unwarranted fear of addiction is a misunderstood and important concept that needs to be addressed.</t>
  </si>
  <si>
    <t>J2: Clin J Pain; Lebovits, A H Florence, I Bathina, R Hunko, V Fox, M T Bramble, C Y; ID: 599</t>
  </si>
  <si>
    <t>Lebovits,A H. Department of Anesthesiology, New York University Medical Center, New York 10016, USA.</t>
  </si>
  <si>
    <t>http://ovidsp.ovid.com/ovidweb.cgi?T=JS&amp;CSC=Y&amp;NEWS=N&amp;PAGE=fulltext&amp;D=med4&amp;AN=9303256</t>
  </si>
  <si>
    <t>MEDLINE; Ovid Technologies; Pain knowledge and attitudes of healthcare providers: practice characteristic differences</t>
  </si>
  <si>
    <t>Leck,K. J.;Bartlett,S. E.;Smith,M. T.;Megirian,D.;Holgate,J.;Powell,K. L.;Matthaei,K. I.;Hendry,I. A.;Author,Addresses;Division of Neuroscience, John Curtin,Sch of;Medical Research, Australian National University,Canberra A.;Australia;Dept. of,Physiology;Pharmacology,University of;Queensland,Brisbane Q. L. D. Australia;School of Pharmacy, University of Queensland,Brisbane Q.;Australia;Division of Molecular Biosciences, John Curtin,Sch of;Medical Research, Australian National University,Canberra A.;Australia;Correspondence,Address;IA Hendry, Division of Neuroscience John Curtin Sch of,Medical Research;Australian National University, Canberra,A.C.T.Australia Email;ian.hendry@anu.edu.au</t>
  </si>
  <si>
    <t>15033343; Deletion of guanine nucleotide binding protein ‚ï¨‚ñí(z) subunit in mice induces a gene dose dependent tolerance to morphine</t>
  </si>
  <si>
    <t>Neuropharmacology</t>
  </si>
  <si>
    <t>(MAJOR FOCUS);guanine nucleotide binding protein (endogenous compound);morphine (drug toxicity, pharmacokinetics, pharmacology);protein subunit (endogenous compound);alpha chain;gene dosage;morphine tolerance;analgesic activity;animal experiment;animal tissue;article;behavior;controlled study;drug dependence;drug tolerance;female;gene deletion;knockout mouse;lethality;male;mouse;nonhuman;priority journal;second messenger;signal transduction;wild type;DRUG MANUFACTURERS;(Australia)Bull;morphine (52-26-6, 57-27-2);Neurology and Neurosurgery (8);Human Genetics (22);Clinical and Experimental Pharmacology (30);Drug Literature Index (37);Toxicology (52)</t>
  </si>
  <si>
    <t>The mechanism underlying the development of tolerance to morphine is still incompletely understood. Morphine binds to opioid receptors, which in turn activates downstream second messenger cascades through heterotrimeric guanine nucleotide binding proteins (G proteins). In this paper, we show that G (z), a member of the inhibitory G protein family, plays an important role in mediating the analgesic and lethality effects of morphine after tolerance development. We blocked signaling through the G(z) second messenger cascade by genetic ablation of the alpha subunit of the G protein in mice. The G‚ï¨‚ñí(z) knockout mouse develops significantly increased tolerance to morphine, which depends on G‚ï¨‚ñí(z) gene dosage. Further experiments demonstrate that the enhanced morphine tolerance is not caused by pharmacokinetic and behavioural learning mechanisms. The results suggest that G(z) signaling pathways are involved in transducing the analgesic and lethality effects of morphine following chronic morphine treatment. ‚î¨‚åê 2004 Elsevier Ltd. All rights reserved.</t>
  </si>
  <si>
    <t>(Leck K.J.; Bartlett S.E.; Megirian D.; Holgate J.; Powell K.L.; Hendry I.A., ian.hendry@anu.edu.au) (Bartlett S.E.) (Smith M.T.) (Matthaei K.I.) Elsevier Ltd, Langford Lane, Kidlington, Oxford, United Kingdom.; ID: 1569</t>
  </si>
  <si>
    <t>0028-3908</t>
  </si>
  <si>
    <t>http://www.ncbi.nlm.nih.gov/pubmed/15033343</t>
  </si>
  <si>
    <t>Deletion of guanine nucleotide binding protein ‚ï¨‚ñí(z) subunit in mice induces a gene dose dependent tolerance to morphine</t>
  </si>
  <si>
    <t>Lederhouse,L.;Bobek,M. B.;Author,Addresses;New Hanover Regional,Medical Center;United,States;Correspondence,Address;Lederhouse, New Hanover Regional Medical Center Wilmington United,L.;States</t>
  </si>
  <si>
    <t>Impact of a pharmacist sedation program on the medical and surgical mechanically ventilated patient population in a level II trauma center</t>
  </si>
  <si>
    <t>326e</t>
  </si>
  <si>
    <t>analgesic agent;neuromuscular blocking agent;sedative agent;clinical pharmacy;college;emergency health service;human;pharmacist;population;sedation;ventilated patient;adverse drug reaction;artificial ventilation;brain hemorrhage;community hospital;control group;documentation;institutional review;monitoring;mortality;neurosurgery;nurse;nursing;patient;prospective study;retrospective study;seizure;withdrawal syndrome</t>
  </si>
  <si>
    <t>PURPOSE: Determine the impact of a pharmacist monitoring sedation program in the mechanically ventilated patient population in a community hospital setting. METHODS: This retrospective/prospective study was approved by the Institutional Review Board. The included population was any medical or general surgical mechanically ventilated patient receiving continuous sedatives and/or analgesics. Excluded from this study were neurosurgery patients, patients on neuromuscular blockers, and those with active seizures, withdrawal symptoms, evidence of increased intracranial hemorrhage, or profound neurological deficits. The primary outcome was length of mechanical ventilation time. Secondary outcomes included total doses of analgesics/sedatives, documentation of the daily wake up assessment, length of ICU stay, and adverse effects. In the retrospective study, data was collected on 50 patients admitted during the months of January and February 2010, which served as the control group. In the prospective study, ICU nurses received an in-service on daily wake up assessments by the pharmacist and also completed an online training module. The pharmacist then ensured wake up assessments were performed daily and made recommendations regarding appropriate sedatives and analgesics. The results of the prospective study were compared with the retrospective study for the primary outcome. RESULTS: The average length of mechanical ventilation was reduced from 138.45 hours to 113.0 hours (P=0.6675). Improvements in secondary outcomes were seen, including amount of wake up assessments performed correctly increased from 12.5% to 67.8% (P&lt;0.001) and death rate (14% vs. 36%, P=0.0111). CONCLUSION: While the decrease in mechanical ventilation time was not statistically significant, there was an improvement in secondary outcomes, including the amount of wake up assessments performed correctly and death rate. As a result of the study, the nursing documentation system was updated to provide further guidance on the wake up assessment.</t>
  </si>
  <si>
    <t>(Lederhouse L.; Bobek M.B.) 2011 Annual Meeting of the American College of Clinical Pharmacy Pittsburgh, PA, United States 2011-10-16 to 2011-10-19 Pharmacotherapy Publications Inc.; ID: 1227</t>
  </si>
  <si>
    <t>Lee,B.;Phillips,A. E.;Bishop,S.;Waller,R. R.;Morgan,L.;Jensen,B.;Lord,B. D.;Sicat,B. L.;Rybarczyk,B.;Author,Addresses;Virginia,Commonwealth University;United,States;Correspondence,Address;Lee, Virginia Commonwealth University Richmond United States,B.</t>
  </si>
  <si>
    <t>Working together to take the pain out of chronic pain: An interprofessional educational experience in graduate medical education</t>
  </si>
  <si>
    <t>30 SUPPL. 2</t>
  </si>
  <si>
    <t>S513</t>
  </si>
  <si>
    <t>opiate;chronic pain;graduate;internal medicine;medical education;pain;society;cancer pain;clinical psychology;cognitive therapy;differential diagnosis;drug misuse;drug therapy;education;exercise;gender;graduate student;human;learning;monitoring;occupation;patient;patient care;pharmacist;pharmacy;planning;psychologist;psychology;reading;responsibility;risk factor;safety;student;therapy;Wilcoxon signed ranks test</t>
  </si>
  <si>
    <t>NEEDS AND OBJECTIVES: Interprofessional education and collaboration is critical to medical education and practice and is being increasingly integrated into undergraduate medical education. While graduate medical education (GME) trainees do interact with pharmacists and psychologists to complete parallel patient care activities, they rarely collaborate to learn from one another. We developed a series of team-based learning (TBL) activities with learning teams composed of medical residents, pharmacy residents, and clinical psychology graduate students. We describe the development and evaluation of an interprofessional education (IPE) TBL module on Chronic Non-Cancer Pain in the ambulatory setting. At the end of this TBL, we expected learners to be able to do the following: 1. Assume responsibility as a provider for assuming a non-biased attitude towards patients on chronic opiates 2. Encourage the use of cognitive behavioral therapy (CBT) and recognize its value 3. Embrace and recognize the necessity of a team-oriented approach toward patient management 4. Recognize risk factors for prescription drug misuse in patients treated with chronic opioids 5. Identify common differential diagnoses for aberrant medication use behavior 6. Administer common practice tools for monitoring patients treated with opioids 7. Explain CBT to a patient and prepare him/her to participate in CBT as an adjunct to pharmacologic therapy 8. Assess an initial management plan for effectiveness, tolerability, and safety SETTING AND PARTICIPANTS: Participants included 59 medical residents, 10 pharmacy residents and 7 psychology graduate students in a single TBL session. DESCRIPTION: The TBL module was developed collaboratively by faculty from all three disciplines. To prepare for the module, facilitators sent participants pre-reading assignments in advance (preparatory work). Readings consisted of guidelines or review articles. Facilitators ensured that all teams included at least one pharmacy and one psychology trainee. During the session, teams completed a quiz on the reading, first individually and then as a team (readiness assurance test), followed by facilitated discussion of interactive cases requiring complex patient care decisions (group application exercises). Each case was constructed to require input from all professions in order to develop an appropriate answer. EVALUATION: At the conclusion of the session, learners assessed, on a 4-point scale, with 1=never, 2=sometimes, 3=often and 4=always, their likelihood of developing team-oriented attitudes, performing team-based tasks related to caring for patients with chronic non-cancer pain, and applying new medical knowledge. The first two response levels 'never' and 'sometimes' were combined due to small numbers reporting 'never' to any of the survey items. The survey asked learners to assess their ability both before and after training (retrospective pre-post design). Wilcoxon signed-rank tests were used to determine if mean differences between pre- and post-test scores were significantly different from zero. Generalized estimating equations were used to determine how profession and gender affected participant responses. All survey questions had a statistically significant increase in mean score between the pre- and post assessment (p&lt;0.0001). The largest increases were seen in participants' likelihood of explaining cognitive behavioral therapy (CBT) to a patient to prepare him/her to participate in CBT as an adjunct to pharmacologic therapy (1.06), their likelihood of encouraging the use of cognitive behavioral therapy (CBT) (0.90), and their likelihood of identifying common differential diagnoses for aberrant medication use behavior (0.76). Reported scores differed by profession with psychology graduate students reporting higher scores in their likelihood of encouraging the use of CBT compared to both medical and pharmacy residents. Pharmacy residents were more likely to report higher scores in the likelihood of assessing an initial management plan for effectiveness, tolerability and safety when compared to both medical residents and psychology graduate students. DISCUSSION/ REFLECTION / LESSONS LEARNED: This IPE TBL experience in GME appears to have had a positive effect on all learners, with increases not only in perceived knowledge of how to manage chronic non-cancer pain, but also in attitudes toward team-based care. The data appear to show an overall increase in participants' likelihood of explaining CBT, and also encouraging its use. Perhaps not surprisingly, psychology graduate students were more likely to encourage the use of CBT. TBL is a potentially powerful way to leverage interprofessional learning experiences; however, the module did take significant time to plan and implement (10-15 h of planning). The session is also most fruitful if all participants are able to do the pre-reading of material, which can be a challenge. Further study is needed to determine if changes in attitudes seen here are sustained and if they lead to actual changes in team-oriented behavior.</t>
  </si>
  <si>
    <t>(Lee B.; Phillips A.E.; Bishop S.; Waller R.R.; Morgan L.; Jensen B.; Lord B.D.; Sicat B.L.; Rybarczyk B.) 38th Annual Meeting of the Society of General Internal Medicine Toronto, ON, Canada 2015-04-22 to 2015-04-25 Springer New York LLC; ID: 826</t>
  </si>
  <si>
    <t>0884-8734</t>
  </si>
  <si>
    <t>Lee,N.;Cameron,J.</t>
  </si>
  <si>
    <t>Differences in self and independent ratings on an organisational dual diagnosis capacity measure</t>
  </si>
  <si>
    <t>Australia/ep Epidemiology];Comorbidity;Diagnosis, Dual (Psychiatry);Follow-Up Studies;Humans;Mental Disorders/di Diagnosis];*Mental Disorders/ep Epidemiology];Mental Disorders/px Psychology];*Self Concept;Substance Abuse Treatment Centers/mt Methods];*Substance Abuse Treatment Centers;Substance-Related Disorders/di Diagnosis];*Substance-Related Disorders/ep Epidemiology];Substance-Related Disorders/px Psychology]</t>
  </si>
  <si>
    <t>INTRODUCTION AND AIMS: There are a number of tools to assist services to measure their capacity to respond to co-occurring substance use and mental health disorders. This study aimed to examine whether services could accurately self-rate their dual diagnosis capacity. DESIGN AND METHODS: Data were collected from 13 alcohol and drug services across Australia that participated in a comorbidity capacity building initiative. The organisations provided a range of services, including pharmacotherapy and counselling services, residential and outpatient services, youth and adult services and withdrawal. There was a mix of government and non-government services. RESULTS: Services rated themselves substantially higher than the independent raters at both baseline and follow up. DISCUSSION AND CONCLUSIONS: The results suggest that services may not accurately assess their own capacity. For organisations trying to make improvements in their services, independent assessment may be more helpful than self-assessment in accurately determining service gaps. Overestimation of capacity may lead to failure to address important service needs.</t>
  </si>
  <si>
    <t>J2: Drug Alcohol Rev; Lee, Nicole Cameron, Jacqui; ID: 294</t>
  </si>
  <si>
    <t>Lee,Nicole. Turning Point Alcohol and Drug Centre, Melbourne, Australia. nicole.lee@turningpoint.org.au</t>
  </si>
  <si>
    <t>http://ovidsp.ovid.com/ovidweb.cgi?T=JS&amp;CSC=Y&amp;NEWS=N&amp;PAGE=fulltext&amp;D=med5&amp;AN=19930024</t>
  </si>
  <si>
    <t>http://dx.doi.org/10.1111/j.1465-3362.2009.00116.x</t>
  </si>
  <si>
    <t>MEDLINE; Ovid Technologies; Differences in self and independent ratings on an organisational dual diagnosis capacity measure</t>
  </si>
  <si>
    <t>Lee,P. R.</t>
  </si>
  <si>
    <t>Pharmacy and the health manpower crisis</t>
  </si>
  <si>
    <t>20 passim</t>
  </si>
  <si>
    <t>Community Pharmacy Services;*Delivery of Health Care;Drug Prescriptions;Education, Pharmacy;Humans;Medication Systems, Hospital;Pharmaceutical Services;*Pharmacists;Pharmacy;Schools, Pharmacy;Substance-Related Disorders;United States</t>
  </si>
  <si>
    <t>J2: J Am Pharm Assoc; Lee, P R; ID: 739</t>
  </si>
  <si>
    <t>http://ovidsp.ovid.com/ovidweb.cgi?T=JS&amp;CSC=Y&amp;NEWS=N&amp;PAGE=fulltext&amp;D=med1&amp;AN=5165794</t>
  </si>
  <si>
    <t>MEDLINE; Ovid Technologies; Pharmacy and the health manpower crisis</t>
  </si>
  <si>
    <t>Lee,Philip R.</t>
  </si>
  <si>
    <t>Prescription Drug Use and Patient Education--The Critical Role of the Pharmacist</t>
  </si>
  <si>
    <t>Health Personnel;Higher Education;Medical Services;(Major): Drug Abuse;Drug Education;Medicine;Patient Education;Pharmaceutical Education;Pharmacists;Pharmacy</t>
  </si>
  <si>
    <t>Problems associated with prescription drug use and misuse are discussed. The role of the pharmacist in providing information that patients need to use drugs appropriately is emphasized. (SFJ)</t>
  </si>
  <si>
    <t>Connect to the Mirlyn catalog at the University of Michigan Article (EJ); ID: 2100</t>
  </si>
  <si>
    <t>EJ219764</t>
  </si>
  <si>
    <t>ERIC; OCLC; Prescription Drug Use and Patient Education--The Critical Role of the Pharmacist</t>
  </si>
  <si>
    <t>Lee,S.;Tsang,A.;Breslau,J.;Aguilar-Gaxiola,S.;Angermeyer,M.;Borges,G.;Bromet,E.;Bruffaerts,R.;De Girolamo,G.;Fayyad,J.;Gureje,O.;Haro,J. M.;Kawakami,N.;Levinson,D.;Browne,M. A. O.;Ormel,J.;Posada-Villa,J.;Williams,D. R.;Kessler,R. C.;Author,Addresses;Frcpsych,Department of Psychiatry Hong Kong;Mood Disorders Centre, A Block E Staff Quarters Shatin,N.T.Hong Kong;BsoSc,Hong Kong Mood Disorders Center Chinese University of;Hong Kong, Hong Kong,Hong Kong;ScD,United States;Center for Reducing,Health Disparities;Internal Medicine, University of California Sacramento,C.A.United States;Department of Psychiatry, Leipzig,University Germany;Instituto Nacional,de Psiquiatria;Metropolitana-Xochimilco Calzada Mexico,Unidad Xochimilco;State University of New York, Stony Brook,N.Y.United States;Department of,Neurosciences;Psychiatry,University;Hospitals,Gasthuisberg Leuven;Irccs Centro, S Giovanni di,Dio Fatebebenefratelli;Brescia,Italy;Institute,for Development;Applied,Care;St George Hospital University,Medical Centre;Frcpsych,Department of Psychiatry University College Hospital;Ibadan,Nigeria;Sant Joan de Deu-Ssm, Ciber en Salud Mental Instituto,de Salud;Carlos Iii,Barcelona Spain;Department of Mental Health, Graduate School,of Medicine;Tokyo University,Japan;Ministry of Health, Mental Health,Services Israel;Department of,Rural;Indigenous Health,School,of Rural;Health Faculty,of Medicine;Health Sciences,Monash University;Moe,Australia;Department,of Social;Psychiatric,Epidemiology;University,Medical Centre;Ministry of Social Protection, Colegio,Mayor de;Cundinamarca University,Bogota Colombia;Department,of Society;Health,Harvard;School of Public Health, Harvard University Boston,M.A.United States;Department of Health Care Policy, Harvard,Medical School;Boston Ma,United States;Correspondence,Address;Lee, FRCPsych Department of Psychiatry Hong Kong Mood Disorders Centre,S.;A,Block E.Staff Quarters Shatin N.T.Hong Kong Email;singlee@cuhk.edu.hk</t>
  </si>
  <si>
    <t>19407270; Mental disorders and termination of education in high-income and low and middle-income countries: Epidemiological study</t>
  </si>
  <si>
    <t>British Journal of Psychiatry</t>
  </si>
  <si>
    <t>education;mental disease;agoraphobia;alcohol abuse;alcoholism;anxiety disorder;article;attention deficit disorder;behavior disorder;bipolar disorder;conduct disorder;Diagnostic and Statistical Manual of Mental Disorders;disease association;drug abuse;drug dependence;dysthymia;generalized anxiety disorder;health survey;high school;human;impulse control disorder;intermittent explosive disorder;interview;major clinical study;major depression;model;mood disorder;oppositional defiant disorder;panic;phobia;posttraumatic stress disorder;separation anxiety;social phobia;substance abuse;Public Health, Social Medicine and Epidemiology (17);Psychiatry (32);Internal Medicine (6)</t>
  </si>
  <si>
    <t>Background Studies of the impact of mental disorders on educational (OR=1.4) and impulse control disorders (OR=2.2) were attainment are rare in both high-income and low- and associated with early termination of secondary education. In middle-income (LAMI) countries. LAMI countries, impulse control disorders (OR=1.3) and substance use disorders (OR=1.5) were associated with early Aims . termination of secondary education. To examine the association between early-onset mental disorder and subsequent termination of education. Conclusions Onset of mental disorder and subsequent non-completion of Method education are consistently associated in both high-income Sixteen countries taking part in the World Health and LAMI countries. Organization World Mental Health Survey Initiative were surveyed with the Composite International Diagnostic Declaration of interest Interview (n=41 688). Survival models were used to estimate R.C.K. has been a consultant for GlaxoSmithKline, Kaiser associations between DSM-IV mental disorders and Permanente, Pfizer Inc, Sanofi-Aventis, Shire Pharmaceuticals subsequent non-attainment of educational milestones. and Wyeth-Ayerst; has served on advisory boards for Eli Lilly &amp; Company and Wyeth-Ayerst; and has had research support Results for his epidemiological studies from Bristol-Myers Squibb, Eli In high-income countries, prior substance use disorders were Lilly &amp; Company, GlaxoSmithKline, Johnson &amp; Johnson associated with non-completion at all stages of education Pharmaceuticals, Ortho-McNeil Pharmaceutical mc, Pfizer Inc (OR 1.4-15.2). Anxiety disorders (OR=1.3), mood disorders and Sanofi-Aventis.</t>
  </si>
  <si>
    <t>(Lee S., singlee@cuhk.edu.hk) (Tsang A.) (Breslau J.) (Aguilar-Gaxiola S.) (Angermeyer M.) (Borges G.) (Bromet E.) (Bruffaerts R.) (De Girolamo G.) (Fayyad J.) (Gureje O.) (Haro J.M.) (Kawakami N.) (Levinson D.) (Browne M.A.O.) (Ormel J.) (Posada-Villa J.) (Williams D.R.) (Kessler R.C.) Royal College of Psychiatrists, 17 Belgrave Square, London, United Kingdom. dtomkins@rcpsych.ac.uk; ID: 1445</t>
  </si>
  <si>
    <t>1472-1465 (electronic) 0007-1250</t>
  </si>
  <si>
    <t>http://www.ncbi.nlm.nih.gov/pubmed/19407270</t>
  </si>
  <si>
    <t>Mental disorders and termination of education in high-income and low and middle-income countries: Epidemiological study</t>
  </si>
  <si>
    <t>Lee,S. S.;Schwemm,A. K.;Reist,J.;Cantrell,M.;Andreski,M.;Doucette,W. R.;Chrischilles,E. A.;Farris,K. B.</t>
  </si>
  <si>
    <t>PMC2703287; Pharmacists' and pharmacy students' ability to identify drug-related problems using TIMER (Tool to Improve Medications in the Elderly via Review)</t>
  </si>
  <si>
    <t>Adult;*Aged/ph Physiology];*Drug Therapy/is Instrumentation];*Drug-Related Side Effects and Adverse Reactions;Female;Humans;Male;Pharmacies;*Pharmacists;*Students, Pharmacy;Young Adult</t>
  </si>
  <si>
    <t>OBJECTIVE: Determine the effectiveness of TIMER (Tool to Improve Medications in the Elderly via Review) in helping pharmacists and pharmacy students identify drug-related problems during patient medication reviews. METHODS: In a randomized, controlled study design, geriatric patient cases were sent to 136 pharmacists and 108 third-year pharmacy students who were asked to identify drug related-problems (DRPs) with and without using TIMER. RESULTS: Pharmacists identified more tool-related DRPs using TIMER (p = 0.027). Pharmacy students identified more tool-related DRPs using TIMER in the first case (p = 0.02), but not in the second. CONCLUSION: TIMER increased the number of DRPs identified by practicing pharmacists and pharmacy students during medication reviews of hypothetical patient cases.</t>
  </si>
  <si>
    <t>J2: Am J Pharm Educ; Lee, Sarah Snyder Schwemm, Ann K Reist, Jeffrey Cantrell, Matthew Andreski, Michael Doucette, William R Chrischilles, Elizabeth A Farris, Karen B 1 U18 HS 016094-01 (United States AHRQ HHS); ID: 326</t>
  </si>
  <si>
    <t>Lee,Sarah Snyder. Kansas University Medical Center, KS, USA.</t>
  </si>
  <si>
    <t>http://ovidsp.ovid.com/ovidweb.cgi?T=JS&amp;CSC=Y&amp;NEWS=N&amp;PAGE=fulltext&amp;D=med5&amp;AN=19564995</t>
  </si>
  <si>
    <t>MEDLINE; Ovid Technologies; Pharmacists' and pharmacy students' ability to identify drug-related problems using TIMER (Tool to Improve Medications in the Elderly via Review)</t>
  </si>
  <si>
    <t>Lee,T. S. H.;Chawarski,M. C.;Peng,C.;Hung,C.;Metzger,D.;Author,Addresses;National Taiwan,Normal University;Psychiatry,Yale School of Medicine New Haven United;States;Taichung Veteran,General Hospital;University of Pennsylvania, Philadelphia,United States;Correspondence,Address;TS-H Lee, National Taiwan Normal University,Taipei Taiwan</t>
  </si>
  <si>
    <t>Implementation of drug and HIV risk counseling in MMT programs in Taiwan</t>
  </si>
  <si>
    <t>e173</t>
  </si>
  <si>
    <t>diamorphine;methadone;college;counseling;drug dependence;Human immunodeficiency virus;risk;Taiwan;case manager;checklist;clinical supervision;content analysis;education;health education;human;maintenance therapy;medication compliance;methadone treatment;patient;patient counseling;positive feedback;psychotherapist;skill;workshop</t>
  </si>
  <si>
    <t>Aims: Few methadone maintenance treatment (MMT) programs in Taiwan offer drug counseling and data on program implementation have rarely been reported. This study aims to examine the feasibility of Behavioral Drug and Risk Counseling (BDRC) as a component of MMTP and documents its implementation in Taiwan. Methods: 90 MMT patients were randomly assigned to treatment as usual (n = 45, MMT only) or MMT+ BDRC (n = 45). Patients in the BDRC group receive weekly counseling in the first month, bi-weekly in months 2 and 3, and monthly in months 4 to 7 after enrollment. BDRC sessions offer education on biological and pharmacological mechanisms of heroin and methadone, skills to reduce/avoid HIV risk behaviors, maintaining or improving medication adherence, and establishing non-drug related activities supporting recovery. BDRC utilizes health education, setting small and achievable goals, positive feedback, and developing plans and skills to improve treatment participation and prolonged drug recovery. BDRC counselors (n = 4) received a 5-day training workshop at the program onset. Clinical supervision, including case discussions, is conducted monthly and lead by an experienced psychotherapist. Counselors maintain content checklists and notes from each session. Results: Content analysis of the checklists and counseling notes showed that counselors were able to deliver the BDRC but fidelity of counseling intervention varies between sites and counselors. Factors influencing intervention fidelity include: counselor's professional background and past training, and site/organizational characteristics (e.g., availability of separate and confidential counseling space, coordination between case managers and counselors) and frequency of clinical supervision. Conclusions: Our preliminary findings support the potential of integrating behavioral counseling into regular MMT as a component of a comprehensive treatment in Taiwan.</t>
  </si>
  <si>
    <t>(Lee T.S.-H.; Peng C.) (Chawarski M.C.) (Hung C.) (Metzger D.) 2014 Annual Meeting of the College on Problems of Drug Dependence San Juan, Puerto Rico 2014-06-14 to 2014-06-19 Elsevier Ireland Ltd; ID: 866</t>
  </si>
  <si>
    <t>Legris,M. E.;Seguin,N. C.;Desforges,K.;Sauve,P.;Lord,A.;Bell,R.;Berbiche,D.;Desrochers,J. F.;Lemieux,J. P.;Morin-Belanger,C.;Ste-Marie Paradis,F.;Lalonde,L.</t>
  </si>
  <si>
    <t>Pharmacist Web-based training program on medication use in chronic kidney disease patients: impact on knowledge, skills, and satisfaction</t>
  </si>
  <si>
    <t>Journal of Continuing Education in the Health Professions</t>
  </si>
  <si>
    <t>J.Contin.Educ.Health Prof.</t>
  </si>
  <si>
    <t>Attitude of Health Personnel;Clinical Competence;*Computer-Assisted Instruction/mt Methods];*Education, Pharmacy, Continuing/mt Methods];Female;Humans;*Internet;*Kidney Failure, Chronic/dt Drug Therapy];Male;Personal Satisfaction;*Pharmacists/px Psychology];Pharmacists/sn Statistics &amp; Numerical Data];Program Evaluation</t>
  </si>
  <si>
    <t>INTRODUCTION: Chronic kidney disease (CKD) patients are multimorbid elderly at high risk of drug-related problems. A Web-based training program was developed based on a list of significant drug-related problems in CKD patients requiring a pharmaceutical intervention. The objectives were to evaluate the impact of the program on community pharmacists' knowledge and skills and their satisfaction with the training. METHODS: Pharmacists were randomized to the training program or the control group. Training comprised a 60-minute Web-based interactive session supported by a clinical guide. Pharmacists completed a questionnaire on knowledge (10 multiple-choice questions) and skills (2 clinical vignettes) at baseline and a second time within 1 month. Trained pharmacists completed a written satisfaction questionnaire. Semidirected telephone interviews were conducted with 8 trained pharmacists. Changes in knowledge and skills scores were compared between the groups. RESULTS: Seventy pharmacists (training: 52; control: 18) were recruited; the majority were women with &lt;15 years' experience. Compared with the control group, an adjusted incremental increase in the knowledge score (22%; 95% confidence interval CI]: 16%-27%) and skills score (24%; 95% CI: 16%-33%) was observed in the training group. Most pharmacists (87%-100%) rated each aspect of the program "excellent'' or "very good." Additional training and adding a discussion forum were suggested to complement the program. DISCUSSION: Pharmacists like the Web-based continuing education program. Over a short time span, the program improved their knowledge and skills. Its impact on their clinical practices and quality of medication use in CKD patients remains to be assessed.Copyright ‚î¨‚åê 2010 The Alliance for Continuing Medical Education, the Society for Academic Continuing Medical Education, and the Council on CME, Association for Hospital Medical Education.</t>
  </si>
  <si>
    <t>J2: J Contin Educ Health Prof; Legris, Marie-Eve Seguin, Noemie Charbonneau Desforges, Katherine Sauve, Patricia Lord, Anne Bell, Robert Berbiche, Djamal Desrochers, Jean-Francois Lemieux, Jean-Philippe Morin-Belanger, Claudia Ste-Marie Paradis, Francois Lalonde, Lyne; ID: 228</t>
  </si>
  <si>
    <t>1554-558X</t>
  </si>
  <si>
    <t>Legris,Marie-Eve. Universite de Montreal, Hopital Maisonneuve-Rosemont, Montreal, Canada.</t>
  </si>
  <si>
    <t>http://ovidsp.ovid.com/ovidweb.cgi?T=JS&amp;CSC=Y&amp;NEWS=N&amp;PAGE=fulltext&amp;D=med5&amp;AN=21953653</t>
  </si>
  <si>
    <t>http://dx.doi.org/10.1002/chp.20119</t>
  </si>
  <si>
    <t>MEDLINE; Ovid Technologies; Pharmacist Web-based training program on medication use in chronic kidney disease patients: impact on knowledge, skills, and satisfaction</t>
  </si>
  <si>
    <t>Leiderman,D. B.;Shoptaw,S.;Montgomery,A.;Bloch,D. A.;Elkashef,A.;LoCastro,J.;Vocci,F.</t>
  </si>
  <si>
    <t>Cocaine Rapid Efficacy Screening Trial (CREST): a paradigm for the controlled evaluation of candidate medications for cocaine dependence</t>
  </si>
  <si>
    <t>11 11p</t>
  </si>
  <si>
    <t>Cocaine;Substance Dependence -- Drug Therapy;Clinical Trials;Counseling;Female;Fisher's Exact Test;Funding Source;Hamilton Rating Scale for Depression;Interview Guides;Male;Mann-Whitney U Test;Outpatients;Post Hoc Analysis;Random Assignment;Research Instruments;Reserpine -- Therapeutic Use;Scales;Self Report;Summated Rating Scaling;T-Tests;Treatment Outcomes;Two-Tailed Test;Type I Error;United States;Human</t>
  </si>
  <si>
    <t>Aim Development of effective medications for the treatment of cocaine dependence remains a major priority for the National Institute on Drug Abuse (NIDA) at the National Institutes of Health. The Cocaine Rapid Efficacy Screening Trial (CREST) paradigm was developed by the Division of Treatment Research and Development (DT R&amp;D) at NIDA with the goal of enhancing pilot clinical trial validity when systematically assessing a range of medications and drug classes for potential utility in treatment of cocaine dependence.Design CREST utilizes a randomized, controlled, parallel group, blinded methodology for comparing one or more marketed medications against a standard, pharmaceutical grade placebo. The trial design is comprised of a flexible 2 4-week screening/baseline period followed by randomization to an 8-week treatment period.Measures Standard measures of outcomes for the CREST included urinary benzoylecgonine (primary metabolite of cocaine), retention, cocaine craving, depression, clinical global impression and HIV-risk behaviors. In order to facilitate comparisons of data from the CREST studies across sites, drug classes and time, standardized procedures, measures and psychosocial counseling were used.Results A total of 19 medications were evaluated in out-patient treatment research clinics in Boston, Cincinnati, Los Angeles, New York and Philadelphia.Conclusions Findings supported decisions to move forward three medications (cabergoline, reserpine, tiagabine) using full-scale, adequately powered, randomized placebo-controlled trial designs. Lessons learned from the CREST experience continue to shape cocaine pharmacotherapy trial design and execution.</t>
  </si>
  <si>
    <t>Entry Date: 20050422. Revision Date: 20150711. Publication Type: Journal Article; clinical trial; research; tables/charts. Supplement Title: Mar2005 Supplement 1. Journal Subset: Biomedical; Europe; Peer Reviewed; UK &amp; Ireland. Instrumentation: Addiction Severity Index (ASI) (McLellan et al); Hamilton Rating Scale for Depression (HRSD); Brief Substance Craving Scale (BSCS); Clinical Global Impression Scores (Tracy et al); Structured Clinical Inventory for the DSM-IV (SCID) (Spitzer et al); Hamilton Anxiety Rating Scale; Risk Assessment Battery (RAB) (Navaline et al). Grant Information: Funded by the National Institute on Drug Abuse (NIDA) through Interagency Agreement Y01 DA 50038-05. NLM UID: 9304118. PMID: 15773068.; ID: 1847</t>
  </si>
  <si>
    <t>Director, Food Substance Staff, Center for Drug Evaluation and Research, Food and Drug Administration, Rockville, MD 20852; leidermand@cder.fda.gov</t>
  </si>
  <si>
    <t>http://proxy.lib.umich.edu/login?url=http://search.ebscohost.com/login.aspx?direct=true&amp;db=ccm&amp;AN=106611488&amp;site=ehost-live&amp;scope=site</t>
  </si>
  <si>
    <t>ccm; EBSCOhost; Cocaine Rapid Efficacy Screening Trial (CREST): a paradigm for the controlled evaluation of candidate medications for cocaine dependence</t>
  </si>
  <si>
    <t>Lelubre,M.;Koubaity,M.;De Wulf,I.;Boussery,K.;De Meyer, G. R. Y.;Foulon,V.;Lacour,V.;Steurbaut,S.;Van Hees,T.;Karim,A.;De Vriese,C.;Author,Addresses;Laboratoire de Pharmacie Gal‚îú‚åênique et de Biopharmacie, Facult‚îú‚åê,de Pharmacie;Universit‚îú‚åê Libre,de Bruxelles;Apb,Centrum Wetenschappelijk Ontwikkeling Voor Apothekers;Belgium;Ugent,Universiteit Gent Belgium;Ua,Universiteit Antwerpen Belgium;Ku Leuven, Katholieke Universiteit,Leuven Belgium;Ucl,Universit‚îú‚åê Catholique Louvain Belgium;Vub,Vrij Universiteit Brussel Belgium;Ulg,Universit‚îú‚åê de Li‚îú¬øge Belgium;Correspondence,Address;Lelubre, Laboratoire de Pharmacie Gal‚îú‚åênique et de Biopharmacie Facult‚îú‚åê,M.;de Pharmacie, Universit‚îú‚åê Libre de Bruxelles Brussels,Belgium Email;melanie.lelubre@gmail.com</t>
  </si>
  <si>
    <t>Evaluation of drug related problems in Belgium: Focus on corticosteroids</t>
  </si>
  <si>
    <t>(MAJOR FOCUS);corticosteroid;Belgium;classification;drug choice;drug interaction;drug therapy;Europe;fraud;health care cost;human;inhaler;interview;patient;pharmaceutical care;pharmaceutics;pharmacist;pharmacy;prescription;quality of life;registration;side effect;structured interview;student;university;writing</t>
  </si>
  <si>
    <t>Background Pharmacists have an important role to play in detecting and resolving drug-related problems (DRPs). Most studies have shown that DRPs have a negative impact on clinical results and quality of life as well as on health care costs. Corticosteroids are often implicated in DRPs, in particular because of their side effects, incorrect use of the inhalation device or lack of adherence to the prescribed regimen. Purpose The purpose of this work is to identify causes of DRPs and interventions performed by pharmacists on corticosteroid-related problems and to distinguish between problems related to inhaled and general corticosteroids. Methods During 5 days of their internship, 530 final year students of pharmaceutical sciences in six Belgian universities collected DRPs encountered in community pharmacies, as well as related interventions performed by pharmacists. The DRPs' electronic registration was done through an adapted tool based on the classification of Pharmaceutical Care Network Europe (PCNE-v 6.2). This tool was validated by pharmacists and allowed to measure the frequency and nature of DRPs. Findings Pharmacists detected 16 733 DRPs in total. 555 DRPs (3.3 %) related to corticosteroids, of which 115 were inhaled corticosteroids. The most common causes of corticosteroid-related problems (55 %) were administrative and logistical factors and fraud. More than a half of the technical causes were incomplete prescriptions. Concerning clinical causes, 28 % related to drug/device-use problems for inhaled corticosteroids, with 88 % related to incorrect use of the inhalation device. For general corticosteroids, the most common clinical causes were drug choice (37 %), including medication interaction (58 %) and inappropriate medication (contraindications, side effects: 14 %). Pharmacists' intervention was similar for inhaled and general corticosteroids. Pharmacists intervened with the patient orally in 38 % of total interventions, and in writing in more than 14 % of interventions. Pharmacists did not react in 14 % (inhaled corticosteroids) and 16 % (general corticosteroids) of corticosteroid- related problems. These non-interventions covered, for example, interactions and incomplete prescriptions. Conclusion Several corticosteroid-related problems were detected and solved. However, pharmacists barely intervened for non-observance and drug interactions. The introduction of a structured interview between the patient and the pharmacist would enable the patient to be educated and informed about his disease and treatment. Therefore, pharmacists' training is essential to performing these interviews. More randomized studies should be done in community pharmacies to evaluate the impact of these interviews on patients and on therapeutic adherence in real time.</t>
  </si>
  <si>
    <t>(Lelubre M., melanie.lelubre@gmail.com; Koubaity M.; Karim A.; De Vriese C.) (ULB) (De Wulf I.) (Boussery K.) (De Meyer G.R.Y.) (Foulon V.) (Lacour V.) (Steurbaut S.) (Van Hees T.) PCNE Working Symposium 2014 Sliema, Malta 2014-03-14 to 2014-03-15 Kluwer Academic Publishers; ID: 894</t>
  </si>
  <si>
    <t>Lenaerts,M. E.;Couch,J. R.;Author,Addresses;Headache,Section;Department of Neurology, Oklahoma University Health,Sciences Center;Oklahoma City,O.K.United States;Headache Section,Department of;Neurology,Oklahoma University Health Sciences Center Stanton L.Young;Blvd,Oklahoma City O. K. United States;Correspondence,Address;ME Lenaerts, Headache Section Department of,Neurology Oklahoma;University Health Sciences Center, Stanton L Young,Blvd Oklahoma;City,O. K. U.</t>
  </si>
  <si>
    <t>17592444; Medication overuse headache</t>
  </si>
  <si>
    <t>Minerva medica</t>
  </si>
  <si>
    <t>Minerva Med.</t>
  </si>
  <si>
    <t>acetylsalicylic acid (drug therapy);amitriptyline (drug therapy);analgesic agent (drug combination, drug therapy);antidepressant agent (drug therapy);anxiolytic agent (drug therapy);beta adrenergic receptor blocking agent (drug combination, drug interaction,;drug therapy);butalbital (drug therapy);butorphanol (drug therapy);codeine (drug therapy);dihydroergotamine (drug combination, drug therapy, intravenous drug;administration, subcutaneous drug administration);doxepin (drug combination, drug therapy);ergotamine (drug therapy);hydrocodone (drug combination, drug therapy);hydroxyzine (drug combination, drug therapy);meclofenamate sodium (drug therapy);metoclopramide (drug therapy, intravenous drug administration);morphine sulfate (drug therapy);nalbuphine (drug therapy);nonsteroid antiinflammatory agent (drug combination, drug therapy);opiate (drug combination, drug therapy);oxycodone (drug therapy);paracetamol (drug combination, drug therapy);pethidine (drug therapy);propranolol (drug therapy);steroid (drug dose, drug therapy);topiramate (drug combination, drug interaction, drug therapy);tramadol (drug therapy);triptan derivative (drug combination, drug therapy);unindexed drug;valproic acid (drug therapy);headache (drug therapy, epidemiology, etiology);comorbidity;disease predisposition;drug abuse;drug dose reduction;drug potentiation;human;intractable pain;migraine (drug therapy);pathogenesis;patient education;phonophobia;prevalence;prognosis;prophylaxis;review;tension headache (drug therapy);acetylsalicylic acid (493-53-8, 50-78-2, 53663-74-4, 53664-49-6, 63781-77-1);amitriptyline (50-48-6, 549-18-8);butalbital (51005-25-5, 77-26-9);butorphanol (42408-82-2);codeine (76-57-3);dihydroergotamine (511-12-6);doxepin (1229-29-4, 1668-19-5);ergotamine (113-15-5, 52949-35-6);hydrocodone (125-29-1, 25968-91-6, 34366-67-1);hydroxyzine (2192-20-3, 64095-02-9, 68-88-2);meclofenamate sodium (6385-02-0);metoclopramide (12707-59-4, 2576-84-3, 364-62-5, 7232-21-5);morphine sulfate (23095-84-3, 35764-55-7, 64-31-3);nalbuphine (20594-83-6, 23277-43-2);opiate (53663-61-9, 8002-76-4, 8008-60-4);oxycodone (124-90-3, 76-42-6);paracetamol (103-90-2);pethidine (28097-96-3, 50-13-5, 57-42-1);propranolol (13013-17-7, 318-98-9, 3506-09-0, 4199-09-1, 525-66-6);topiramate (97240-79-4);tramadol (27203-92-5, 36282-47-0);valproic acid (1069-66-5, 99-66-1);General Pathology and Pathological Anatomy (5);Neurology and Neurosurgery (8);Public Health, Social Medicine and Epidemiology (17);Drug Literature Index (37)</t>
  </si>
  <si>
    <t>Medication overuse headache is a common feature underlying chronic headache, especially migraine. It also represents a major therapeutic challenge, especially in headache specialty clinics where it can represent the majority of patients. The syndrome remains under-diagnosed and the role of symptomatic medication overuse underestimated. Physicians should be properly educated in this area of pain, for prevention of this too often intractable syndrome could be improved. The basis of therapy is discontinuance of the abused medication. Additional treatment relies on a multifaceted approach that embraces management of psychiatric comorbidities and emphasizes patient education. Various pharmacological regimens, abortive and prophylactic, are available. Further scientific study is warranted to elucidate the ultimate mechanisms of this syndrome and define more effective treatments. This article gives detailed clinical description, tentative pathophysiologic explanation and therapeutic suggestions.</t>
  </si>
  <si>
    <t>(Lenaerts M.E., marc-lenaerts@ouhsc.edu; Couch J.R.) (Lenaerts M.E., marc-lenaerts@ouhsc.edu) Edizioni Minerva Medica S.p.A., Corso Bramante 83-85, Turin, Italy.; ID: 1497</t>
  </si>
  <si>
    <t>0026-4806</t>
  </si>
  <si>
    <t>http://www.ncbi.nlm.nih.gov/pubmed/17592444</t>
  </si>
  <si>
    <t>Medication overuse headache</t>
  </si>
  <si>
    <t>Lenssen,R.;Heidenreich,A.;Schulz,J. B.;Trautwein,C.;Fitzner,C.;Jaehde,U.;Eisert,A.</t>
  </si>
  <si>
    <t>Analysis of drug-related problems in three departments of a German University hospital</t>
  </si>
  <si>
    <t>BACKGROUND: During the last decades, pharmaceutical care services have been developed and implemented to optimize drug therapies and ensure medication safety. To investigate the need for pharmaceutical care services, drug-related problems can be measured. OBJECTIVE: Thus, the aim of this study was to analyse number, type and occurrence of drug-related problems in different clinical departments. SETTING: A pharmaceutical care service was established on general wards in Urology, Neurology and Gastroenterology at the University Hospital RWTH Aachen, Germany. METHOD: For each of a total of 306 patients, a pharmacist conducted an extended medication history, performed medication reconciliation, conducted medication safety checks and if drug-related problems were discovered, gave valid recommendations to the attending healthcare team. Drug-related problems were classified using the APS-Doc system. For statistical analyses, SAS() 9.1.3, SAS Institute, Cary NC, USA was applied. The project was approved by the local ethics committee. MAIN OUTCOME MEASURE: Type, occurrence and frequency of DRP in different medical departments. RESULTS: On average, 2.3 drug-related problems per patient were documented for all three departments. Drug-related problems were found in each category of the APS-Doc system. The most pronounced drug-related problems found were drug-drug interactions (34.6 %). 37 % of the identified drug-related problems occurred before hospital admission, 27 % during transitional care, and 36 % on the ward. Subgroup analysis revealed specific drug-related problem patterns for each clinical department. The number of drug-related problems was found to be associated with the number of drugs and age. CONCLUSION: Drug-related problems frequently occur in all investigated clinical departments. A holistic pharmaceutical care service could be an option to address this issue. In case of limited resources, individual drug-related problem patterns can be used as a basis for a tailored pharmaceutical care service. As number of drugs and age have been shown to be significant risk factors, it is crucial that the healthcare team including the pharmacist pays special attention to elderly patients and those with polymedication.</t>
  </si>
  <si>
    <t>J2: Int J Clin Pharm; Lenssen, Rebekka Heidenreich, Axel Schulz, Jorg B Trautwein, Christian Fitzner, Christina Jaehde, Ulrich Eisert, Albrecht; ID: 762</t>
  </si>
  <si>
    <t>Lenssen,Rebekka. Hospital Pharmacy, University Hospital RWTH Aachen, Steinbergweg 20, 52074, Aachen, Germany. rlenssen@ukaachen.de. Lenssen,Rebekka. Department of Urology, University Hospital RWTH Aachen, Pauwelsstr. 30, 52074, Aachen, Germany. rlenssen@ukaachen.de. Lenssen,Rebekka. Institute of Pharmacy, Clinical Pharmacy, University of Bonn, An der Immenburg 4, 53121, Bonn, Germany. rlenssen@ukaachen.de. Heidenreich,Axel. Department of Urology, University Hospital RWTH Aachen, Pauwelsstr. 30, 52074, Aachen, Germany. Schulz,Jorg B. Department of Neurology, University Hospital RWTH Aachen, Pauwelsstr. 30, 52074, Aachen, Germany. Trautwein,Christian. Department of Internal Medicine III, Gastroenterology, Metabolic Disorders and Internal Intensive Medicine, University Hospital RWTH Aachen, Pauwelsstr. 30, 52074, Aachen, Germany. Fitzner,Christina. Department of Medical Statistics, RWTH Aachen University, Pauwelsstr. 30, 52074, Aachen, Germany. Jaehde,Ulrich. Institute of Pharmacy, Clinical Pharmacy, University of Bonn, An der Immenburg 4, 53121, Bonn, Germany. Eisert,Albrecht. Hospital Pharmacy, University Hospital RWTH Aachen, Steinbergweg 20, 52074, Aachen, Germany.</t>
  </si>
  <si>
    <t>http://ovidsp.ovid.com/ovidweb.cgi?T=JS&amp;CSC=Y&amp;NEWS=N&amp;PAGE=fulltext&amp;D=prem&amp;AN=26511945</t>
  </si>
  <si>
    <t>http://dx.doi.org/10.1007/s11096-015-0213-1</t>
  </si>
  <si>
    <t>MEDLINE; Ovid Technologies; Analysis of drug-related problems in three departments of a German University hospital</t>
  </si>
  <si>
    <t>Leone,Frank T.;Evers-Casey,Sarah;Graden,Sarah;Schnoll,Robert;Mallya,Giridhar</t>
  </si>
  <si>
    <t>Academic Detailing Interventions Improve Tobacco Use Treatment among Physicians Working in Underserved Communities</t>
  </si>
  <si>
    <t>Annals of the American Thoracic Society</t>
  </si>
  <si>
    <t>858 5p</t>
  </si>
  <si>
    <t>Rationale: Tobacco use disproportionately affects the poor, who are, in turn, least likely to receive cessation treatment from providers. Providers caring for low-income populations perform simple components of tobacco use treatment (e.g., assessing tobacco use) with reasonable frequency. However, performance of complex treatment behaviors, such as pharmacologic prescription and follow-up arrangement, remains suboptimal.Objectives: Evaluate the influence of academic detailing (AD), a university-based, noncommercial, educational outreach intervention, on primary care physicians' complex treatment practice behaviors within an urban care setting.Methods: Trained academic detailers made in-person visits to targeted primary care practices, delivering verbal and written instruction emphasizing three key messages related to tobacco treatment. Physicians' self-reported frequency of simple and complex treatment behaviors were assessed using a seven-item questionnaire, before and 2 months after AD.Results: Between May 2011 and March 2012, baseline AD visits were made to 217 physicians, 109 (50%) of whom also received follow-up AD. Mean frequency scores for complex behaviors increased significantly, from 2.63 to 2.92, corresponding to a clinically significant 30% increase in the number of respondents who endorsed "almost always" or "always" (P &lt; 0.001). Improvement in mean simple behavior frequency scores was also noted (3.98 vs. 4.13; P = 0.035). Sex and practice type appear to influence reported complex behavior frequency at baseline, whereas only practice type influenced improvement in complex behavior scores at follow up.Conclusions: This study demonstrates the feasibility and potential effectiveness of a low-cost and highly disseminable intervention to improve clinician behavior in the context of treating nicotine dependence in underserved communities.</t>
  </si>
  <si>
    <t>Entry Date: 20150923. Revision Date: 20160326. Publication Type: journal article. Journal Subset: Biomedical; Peer Reviewed; USA. Special Interest: Critical Care. Grant Information: P30 CA016520/CA/NCI NIH HHS/United States. NLM UID: 101600811. PMID: 25867533.; ID: 1805</t>
  </si>
  <si>
    <t>2325-6621</t>
  </si>
  <si>
    <t>http://proxy.lib.umich.edu/login?url=http://search.ebscohost.com/login.aspx?direct=true&amp;db=ccm&amp;AN=109749400&amp;site=ehost-live&amp;scope=site</t>
  </si>
  <si>
    <t>10.1513/AnnalsATS.201410-466BC</t>
  </si>
  <si>
    <t>ccm; EBSCOhost; Academic Detailing Interventions Improve Tobacco Use Treatment among Physicians Working in Underserved Communities</t>
  </si>
  <si>
    <t>Leung,J. G.;Author,Addresses;Western Psychiatric,Institute;Clinic,of Upmc;Pittsburgh,College of Pharmacy United States;Correspondence,Address;JG Leung,Western,Psychiatric Institute;Clinic,of Upmc;Pittsburgh,College of Pharmacy United States</t>
  </si>
  <si>
    <t>Donepezil as a precipitating factor of mania: A case report</t>
  </si>
  <si>
    <t>(MAJOR FOCUS);donepezil;quetiapine;case report;college;epidemiology;human;mania;pharmacist;alcoholism;Alzheimer disease;bipolar disorder;cholinergic system;clinical trial (topic);cognitive defect;dementia;disorientation;dopaminergic system;drug dose increase;food and drug administration;hypertension;hypothyroidism;iron deficiency anemia;laboratory;male;medical history;memory disorder;mood;nursing;off label drug use;paranoid schizophrenia;patient;psychosis;randomized controlled trial (topic);restlessness;schizophrenia;side effect;sleep;speech;stimulus;tardive dyskinesia</t>
  </si>
  <si>
    <t>Background: Donepezil is indicated for the treatment of mild to severe dementia associated with Alzheimer's disease; however it has also been studied off-label for other dementia types, bipolar disorder, schizophrenia and tardive dyskinesia. Although well tolerated, one neuropsychiatric side effect not reported in clinical trials is the emergence of manic symptoms. Patient History: A 71 year-old male with a history of paranoid schizophrenia was transferred to a psychiatric facility after concerns of increased disorganization and response to internal stimuli. Past medical history included alcohol dependence, cognitive disorder NOS, hypothyroidism, hypertension and iron deficient anemia. Laboratory values on admission were not of clinical concern. Psychotic symptoms improved with the addition of quetiapine 400 mg at bedtime. During his stay, donepezil 5 mg daily was initiated and titrated to 10 mg after two weeks. After the dose increase, the patient began to exhibit euphoric mood with an increased rate and production of speech. The patient's need for sleep decreased with a noticeable increase in psychomotor agitation and goal directed activities. Donepezil was suspected to have induced these symptoms which subsequently resolved once donepezil was discontinued. The patient was successfully discharged following placement to a nursing facility. Review of Literature: There are no cases of donepezil-induced mania reported in randomized-controlled trials for the FDA approved use of Alzheimer's dementia. However, a MEDLINE search revealed a few cases of mania associated with the initiation of donepezil. In addition, a study of donepezil aiming to improve memory impairment in bipolar patients suggested that donepezil may destabilize mood and worsen bipolar symptoms. The mechanism of donepezil-induced mania is unclear but may be a result of central cholinergic system activation causing noradrenergic and dopaminergic system activation. Conclusion: In this case there was a clear onset and dissipation of manic symptoms with the initiation and discontinuation of donepezil. While appearing to be rare, there is mounting evidence that donepezil may cause the emergence of manic symptoms in some patients. Clinicians should be aware of this potential side effect, especially as exploration of off-label uses increase.</t>
  </si>
  <si>
    <t>(Leung J.G.) 15th Annual Meeting of the College of Psychiatric and Neurologic Pharmacists, CPNP 2012 Tampa, FL, United States 2012-04-29 to 2012-05-02 SAGE Publications Inc.; ID: 1154</t>
  </si>
  <si>
    <t>Levchuk,John W.</t>
  </si>
  <si>
    <t>Use of Competency-Based Experiential Instruction to Introduce Literature-Searching Skills to Pharmacy Orientation Students</t>
  </si>
  <si>
    <t>Analysis of Variance;Higher Education;Objectives;Professional Education;Search Strategies;(Major): Bibliographies;Competency Based Education;Curriculum Development;Experiential Learning;Pharmaceutical Education;Research Skills;Identifier: University of New Mexico</t>
  </si>
  <si>
    <t>Literature-searching skills, basic to a pharmacist's ability to use drug literature for problem solving, were investigated regarding (1) the effect of competency-based experiential learning programs for introducing literature-searching skills, and (2) the effect of literature-searching instruction in a pharmacy orientation course. Performance objectives are appended. (MLW)</t>
  </si>
  <si>
    <t>Connect to the Mirlyn catalog at the University of Michigan Article (EJ); ID: 2089</t>
  </si>
  <si>
    <t>EJ208260</t>
  </si>
  <si>
    <t>ERIC; OCLC; Use of Competency-Based Experiential Instruction to Introduce Literature-Searching Skills to Pharmacy Orientation Students</t>
  </si>
  <si>
    <t>Levran,O.;Peles,E.;Hamon,S.;Randesi,M.;Zhao,C.;Zhang,B.;Adelson,M.;Kreek,M. J.</t>
  </si>
  <si>
    <t>NIHMS266944 PMC3130093; Nerve growth factor beta polypeptide (NGFB) genetic variability: association with the methadone dose required for effective maintenance treatment</t>
  </si>
  <si>
    <t>Pharmacogenomics Journal</t>
  </si>
  <si>
    <t>Adolescent;Adult;Aged;Female;*Heroin Dependence/dt Drug Therapy];Humans;Male;Methadone/ad Administration &amp; Dosage];*Methadone/tu Therapeutic Use];Middle Aged;*Nerve Growth Factor/ge Genetics];Polymorphism, Single Nucleotide;0 (NGF protein, human);9061-61-4 (Nerve Growth Factor);UC6VBE7V1Z (Methadone)</t>
  </si>
  <si>
    <t>Opioid addiction is a chronic disease with high genetic contribution and a large inter-individual variability in therapeutic response. The goal of this study was to identify pharmacodynamic factors that modulate methadone dose requirement. The neurotrophin family is involved in neural plasticity, learning, memory and behavior and deregulated neural plasticity may underlie the pathophysiology of drug addiction. Brain-derived neurotrophic factor (BDNF) was shown to affect the response to methadone maintenance treatment. This study explores the effects of polymorphisms in the nerve growth factor (beta polypeptide) gene, NGFB, on the methadone doses required for successful maintenance treatment for heroin addiction. Genotypes of 14 NGFB polymorphisms were analyzed for association with the stabilizing methadone dose in 72 former severe heroin addicts with no major co-medications. There was significant difference in methadone doses required by subjects with different genotypes of the NGFB intronic single-nucleotide polymorphism rs2239622 (P=0.0002). These results may have clinical importance.</t>
  </si>
  <si>
    <t>J2: Pharmacogenomics J; Levran, O Peles, E Hamon, S Randesi, M Zhao, C Zhang, B Adelson, M Kreek, M J P60 DA005130 (United States NIDA NIH HHS) P60 DA005130-25 (United States NIDA NIH HHS) P60-05130 (United States PHS HHS); ID: 181</t>
  </si>
  <si>
    <t>1473-1150</t>
  </si>
  <si>
    <t>Levran,O. Laboratory of the Biology of Addictive Diseases, The Rockefeller University, New York, NY 10065, USA. levrano@rockefeller.edu</t>
  </si>
  <si>
    <t>http://ovidsp.ovid.com/ovidweb.cgi?T=JS&amp;CSC=Y&amp;NEWS=N&amp;PAGE=fulltext&amp;D=medl&amp;AN=21358750</t>
  </si>
  <si>
    <t>http://dx.doi.org/10.1038/tpj.2011.6</t>
  </si>
  <si>
    <t>MEDLINE; Ovid Technologies; Nerve growth factor beta polypeptide (NGFB) genetic variability: association with the methadone dose required for effective maintenance treatment</t>
  </si>
  <si>
    <t>Lewis,A. S.;Mineur,Y. S.;Picciotto,M. R.;Author,Addresses;Psychiatry,Yale University New;Haven,United States;Correspondence,Address;AS Lewis, Psychiatry Yale University New Haven,United States</t>
  </si>
  <si>
    <t>Reduction of aggressive behavior in mice by nicotinic acetylcholine receptor modulation</t>
  </si>
  <si>
    <t>273S</t>
  </si>
  <si>
    <t>(MAJOR FOCUS);nicotine;nicotinic receptor;cholinergic receptor stimulating agent;nitrogen 13;aggression;modulation;mouse;mouse model;psychiatry;society;adult;analysis of variance;Bagg albino mouse;clinical study;drug therapy;Fisher exact test;human;latent period;lifespan;locomotion;male;post hoc analysis;side effect;statistics;survival</t>
  </si>
  <si>
    <t>Background: Aggression is comorbid in numerous neuropsychiatric conditions across the lifespan, and current treatments are incompletely effective with substantial side effect burden. Thus, novel treatments for aggression are needed. In this study we expand upon previous research demonstrating acute anti-aggressive effects of the nicotinic acetylcholine receptor (nAChR) agonist nicotine and progress toward identification of its mechanism of action in mice, with the goal of translation into pharmacotherapy. Methods: Mouse resident-intruder tests were performed with isolated adult male C57BL/6J, Balb/cJ, and CD-1 residents and group-housed male C57BL/6J intruders. Nicotine was given 10 minutes before testing. Antagonist was given 15 minutes prior to nicotine. For nicotine dose-dependency studies, repeated-measures analysis was performed (n=19 C57BL/6J, 10 Balb/cJ, 10</t>
  </si>
  <si>
    <t>(Lewis A.S.; Mineur Y.S.; Picciotto M.R.) 70th Annual Scientific Convention and Meeting of the Society of Biological Psychiatry, SOBP 2015 Toronto, ON, Canada 2015-05-14 to 2015-05-16 Elsevier USA; ID: 822</t>
  </si>
  <si>
    <t>Lewis,B. A.;Koester,S. K.;Bush,T. W.</t>
  </si>
  <si>
    <t>Pharmacists' attitudes and concerns regarding syringe sales to injection drug users in Denver, Colorado</t>
  </si>
  <si>
    <t>Attitude of Health Personnel;Colorado;HIV Infections/pc Prevention &amp; Control];HIV Infections/tm Transmission];Humans;Interviews as Topic;Legislation, Medical;Needle-Exchange Programs;*Pharmacists/px Psychology];*Substance Abuse, Intravenous;*Syringes/sd Supply &amp; Distribution]</t>
  </si>
  <si>
    <t>OBJECTIVE: To identify factors influencing pharmacists' decisions about selling syringes to injection drug users (IDUs). DESIGN: Audiotaped interviews. SETTING: Denver, Colorado. PARTICIPANTS: Thirty-two pharmacists at 24 pharmacies. INTERVENTION: One-hour semistructured interviews. MAIN OUTCOME MEASURES: Practices regarding syringe sales to IDUs and factors influencing the practices. RESULTS: Of the 32 pharmacists interviewed, 16 indicated that they sold syringes to all customers ("pro-sell"), 11 refused to sell unless shown proof of diabetic status ("no-sell"), and 5 were "undecided." Several factors influenced the decision to sell. A perceived conflict between prevention of disease and prevention of drug abuse most clearly distinguished the three categories, with pro-sell pharmacists more likely than others to prioritize disease prevention and believe that syringe sales would not increase drug abuse. Business concerns, such as the effect of the presence of IDUs on other customers and the possibility of discarded syringes around the store, were especially prevalent among no-sell and undecided pharmacists. Seventeen pharmacists did not know about Colorado laws governing syringe sales. Four no-sell pharmacists used the laws to justify their decision not to sell, and two undecided pharmacists said they used the law when they did not want to sell syringes to IDU. All pharmacists supported syringe exchange programs. CONCLUSION: One-half of the pharmacists sold syringes to IDUs, and several more indicated that they would do so if certain concerns were addressed. These data suggest that improved syringe disposal options, continuing education programs, and clarification of existing laws and regulations would encourage more pharmacists in Denver to sell syringes to IDUs.</t>
  </si>
  <si>
    <t>J2: J Am Pharm Assoc (Wash); Lewis, Beth A Koester, Stephen K Bush, Trevor W TS 270-13/13 (United States ATSDR CDC HHS); ID: 509</t>
  </si>
  <si>
    <t>Lewis,Beth A. University of California at Irvine, USA.</t>
  </si>
  <si>
    <t>http://ovidsp.ovid.com/ovidweb.cgi?T=JS&amp;CSC=Y&amp;NEWS=N&amp;PAGE=fulltext&amp;D=med4&amp;AN=12489615</t>
  </si>
  <si>
    <t>MEDLINE; Ovid Technologies; Pharmacists' attitudes and concerns regarding syringe sales to injection drug users in Denver, Colorado</t>
  </si>
  <si>
    <t>Lewis,R. K.;Carter,B. L.;Glover,D. G.;Hutchinson,R. A.</t>
  </si>
  <si>
    <t>Comprehensive services in an ambulatory care pharmacy</t>
  </si>
  <si>
    <t>Academic Medical Centers;Ambulatory Care;Chicago;Education, Pharmacy;Hospital Design and Construction;Humans;*Outpatient Clinics, Hospital/og Organization &amp; Administration];*Pharmacy Service, Hospital/og Organization &amp; Administration]</t>
  </si>
  <si>
    <t>The development of a comprehensive model of pharmacy practice in an ambulatory care setting is described. From 1991 to 1994, the department of ambulatory care pharmacy services at The University of Illinois at Chicago Medical Center converted its main outpatient pharmacy into a Pharmaceutical Care Center to serve as a model for community and hospital-based ambulatory care pharmacy services. The Pharmaceutical Care Center includes a waiting area, five private patient-assessment rooms, an examination room, a place for reviewing patient profiles and reference materials, space for storage and automation, an i.v. admixture area, a conference room, and office space. It serves 120-150 patients per day (10% just discharged from the hospital, 90% seen in the clinic system). Pharmacy clerkship students and residents, under the oversight of faculty, conduct patient assessments, educate patients and family, monitor outcomes, and intervene when drug-related problems are detected. Patient assessments and therapeutic interventions are documented in the patient's medical record. Computers, automated medication filling, and technical support are used to enable pharmacists to concentrate on patient care. A model ambulatory care pharmacy provides both drug distribution and direct patient care services.</t>
  </si>
  <si>
    <t>J2: Am J Health-Syst Pharm; Lewis, R K Carter, B L Glover, D G Hutchinson, R A; ID: 622</t>
  </si>
  <si>
    <t>Lewis,R K. Ambulatory Care Pharmacy Services, College of Pharmacy, University of Illinois at Chicago Medical Center (UICMC), USA.</t>
  </si>
  <si>
    <t>http://ovidsp.ovid.com/ovidweb.cgi?T=JS&amp;CSC=Y&amp;NEWS=N&amp;PAGE=fulltext&amp;D=med3&amp;AN=8528835</t>
  </si>
  <si>
    <t>MEDLINE; Ovid Technologies; Comprehensive services in an ambulatory care pharmacy</t>
  </si>
  <si>
    <t>Liem-Moolenaar,M.;Beek,E. T. T.;Kam,M. L. D.;Franson,K. L.;Kahn,R. S.;Hijman,R.;Touw,D.;Gerven,J. M. A. V.;Author,Addresses;Centre for Human,Drug Research;Netherlands,C. L. L.;Department of Psychiatry, University,Medical Center;Utrecht,Utrecht Netherlands;Apotheek Haagse,Ziekenhuizen;Haga,Teaching Hospital;Hague,Netherlands;Correspondence,Address;L.,M.Liem-Moolenaar, Centre for Human Drug Research Zernikedreef C.;Leiden,Netherlands Email mariekemoolenaar online nl</t>
  </si>
  <si>
    <t>20142302; Central nervous system effects of haloperidol on THC in healthy male volunteers</t>
  </si>
  <si>
    <t>(MAJOR FOCUS);dronabinol;haloperidol (adverse drug reaction, clinical trial, drug dose, oral drug;administration, pharmacokinetics);cannabis;follitropin (endogenous compound);hormone (endogenous compound);hydrocortisone (endogenous compound);luteinizing hormone (endogenous compound);placebo;prolactin (endogenous compound);central nervous system;adult;alertness;alpha rhythm;area under the curve;article;body equilibrium;cannabis addiction;clinical trial;controlled clinical trial;controlled study;crossover procedure;dopaminergic system;double blind procedure;drowsiness (side effect);drug clearance;drug dose escalation;drug half life;drug withdrawal;electroencephalography;fatigue (side effect);human;human experiment;male;mood;nausea (side effect);normal human;patient compliance;Positive and Negative Syndrome Scale;priority journal;prolactin blood level;psychosis;rating scale;recall;saccadic eye movement;smooth pursuit eye movement;somnolence (side effect);Stroop test;symptom;visual analog scale;Visual and Verbal Learning Task;cannabis (8001-45-4, 8063-14-7);dronabinol (7663-50-5);follitropin (9002-68-0);haloperidol (52-86-8);hydrocortisone (50-23-7);luteinizing hormone (39341-83-8, 9002-67-9);prolactin (12585-34-1, 50647-00-2, 9002-62-4);Neurology and Neurosurgery (8);Clinical and Experimental Pharmacology (30);Psychiatry (32);Drug Literature Index (37);Adverse Reactions Titles (38)</t>
  </si>
  <si>
    <t>In this study, the hypothesis that haloperidol would lead to an amelioration of ‚ï¨‚î§9-tetrahydrocannabinol (THC)-induced 'psychotomimetic' effects was investigated. In a double-blind, placebo-controlled, partial three-way crossover ascending dose study the effects of THC, haloperidol and their combination were investigated in 35 healthy, male mild cannabis users, measuring Positive and Negative Syndrome Scale, Visual Analogue Scales for alertness, mood, calmness and psychedelic effects, saccadic and smooth pursuit eye measurements, electroencephalography, Body Sway, Stroop test, Visual and Verbal Learning Task, hormone levels and pharmacokinetics. Compared with placebo, THC significantly decreased smooth pursuit, Visual Analogue Scales alertness, Stroop test performance, immediate and delayed word recall and prolactin concentrations, and significantly increased positive and general Positive and Negative Syndrome Scale score, Visual Analogue Scales feeling high, Body Sway and electroencephalography alpha. Haloperidol reversed the THC-induced positive Positive and Negative Syndrome Scale increase to levels observed with haloperidol alone, but not THC-induced 'high' feelings. Compared with placebo, haloperidol significantly decreased saccadic peak velocity, smooth pursuit, Visual Analogue Scales mood and immediate and delayed word recall and significantly increased Body Sway, electroencephalography theta and prolactin levels. THC-induced increases in positive Positive and Negative Syndrome Scale but not in Visual Analogue Scales feeling high were reversed by haloperidol. This indicates that psychotic-like effects induced by THC are mediated by dopaminergic systems, but that other systems are involved in 'feeling high'. Additionally, the clear reductions of psychotic-like symptoms by a clinically relevant dose of haloperidol suggest that THC administration may be a useful pharmacological cannabinoid model for psychotic effects in healthy volunteers. ‚î¨‚åê The Author(s) 2010.</t>
  </si>
  <si>
    <t>(Liem-Moolenaar M., mariekemoolenaar@online.nl; Beek E.T.T.; Kam M.L.D.; Franson K.L.; Gerven J.M.A.V.) (Kahn R.S.; Hijman R.) (Touw D.) SAGE Publications Ltd, 55 City Road, London, United Kingdom.; ID: 1326</t>
  </si>
  <si>
    <t>0269-8811 1461-7285 (electronic)</t>
  </si>
  <si>
    <t>http://www.ncbi.nlm.nih.gov/pubmed/20142302</t>
  </si>
  <si>
    <t>Central nervous system effects of haloperidol on THC in healthy male volunteers</t>
  </si>
  <si>
    <t>Liew,A.;Lee,C.;Hu,A.;Ng,Y.;Author,Addresses;Changi,General;Hospital,Singapore;Correspondence,Address;Liew, Changi General Hospital Singapore,A.</t>
  </si>
  <si>
    <t>Outcomes of an outpatient medication therapy management service in a Singapore Hospital</t>
  </si>
  <si>
    <t>hospital;medication therapy management;outpatient;Singapore;counseling;drug therapy;education;feedback system;general hospital;health care personnel;human;medical specialist;model;outpatient department;patient;patient care;patient compliance;pharmacist;physician;prospective study;self care</t>
  </si>
  <si>
    <t>Objective: To (1) provide medication therapy management (MTM) services to patients, (2) identify potential drug-related problems (DRPs) and optimize medication use, and (3) improve medication adherence through counseling and education. Methods: This prospective study involved patients seen at Changi General Hospital specialist outpatient clinics in Singapore from June 2008 to August 2009. Patients were enrolled for MTM services through referral by their physicians or pharmacists or by self-referral based on any of six criteria: (1) receives medications from more than one prescriber, (2) on five or more long-term medications, (3) has new or complex medication regimen, (4) abnormal lab values that could be improved with medications, (5) medication nonadherence, or (6) medication cost concern. MTM sessions run by pharmacists were conducted in line with the APhA/NACDS model framework. Outcome measures include type and frequency of DRPs detected, services performed, and patient/caregiver's feedback on MTM service. Results: Of the 111 patients referred for MTM services, 80 (72.1%) were seen. Pharmacists reviewed a mean (‚î¨‚ñíSD) of 10.4 (‚î¨‚ñí3.7) medications per patient and identified a total of 118 DRPs (mean, 1.5 per patient). Some 68.8% (55) of our patients had at least one DRP identified, and the most common DRP was nonadherence to medication regimen. A total of 19 DRPs (16.1%) required physician intervention. About half of these interventions involve a change in dose, and approximately 30% involve addition of a medication. Pharmacists provided a variety of educational services, including medication use (96.3%), adherence (56.3%), and self-care (30.0%). In addition, medications were sorted, repacked, and relabeled with the latest dosing instructions for 46 patients. Survey results showed that the services were well received. Conclusion: MTM is a valuable patientcentered service that sieves out potential DRPs. Health care professionals can collaborate through MTM to enhance patient care.</t>
  </si>
  <si>
    <t>(Liew A.; Lee C.; Hu A.; Ng Y., yasmin_ng@cgh.com.sg) APhA2010 Washington, DC, United States 2010-03-12 to 2010-03-15 American Pharmacists Association; ID: 1394</t>
  </si>
  <si>
    <t>Lile,J. A.;Kelly,T. H.;Hays,L. R.</t>
  </si>
  <si>
    <t>Separate and combined effects of the GABA reuptake inhibitor tiagabine and Delta](9)-THC in humans discriminating Delta](9)-THC</t>
  </si>
  <si>
    <t>69 9p</t>
  </si>
  <si>
    <t>Acids -- Pharmacodynamics;Hydrocarbons -- Pharmacodynamics;Neurotransmitter Uptake Inhibitors -- Pharmacodynamics;Adolescence;Adult;Female;Heart Rate -- Drug Effects;Human;Male;Psychomotor Performance -- Drug Effects;Questionnaires</t>
  </si>
  <si>
    <t>BACKGROUND: The involvement of non-cannabinoid neurotransmitter systems in the abuse-related behavioral effects of cannabis has not been well characterized in humans. GABAergic drugs have overlapping effects with cannabis and Delta](9)-tetrahydrocannabinol (Delta](9)-THC) on certain behavioral measures, but those measures lack the specificity to draw conclusions regarding the involvement of GABA in cannabinoid effects. The aim of this study was to assess the separate and combined effects of the GABA reuptake inhibitor tiagabine and Delta](9)-THC using more pharmacologically specific drug-discrimination procedures. METHODS: Eight cannabis users learned to discriminate 30mg oral Delta](9)-THC from placebo and then received tiagabine (6 and 12mg), Delta](9)-THC (5, 15 and 30mg) and placebo, alone and in combination. Self-report, task performance and physiological measures were also collected. RESULTS: Delta](9)-THC produced subjective effects typically associated with cannabinoids (e.g., High, Stoned, Like Drug), elevated heart rate and impaired rate and accuracy on psychomotor performance tasks. The higher tiagabine dose substituted for the Delta](9)-THC discriminative stimulus and engendered subjective and performance-impairing effects that overlapped with those of Delta](9)-THC when administered alone. In combination, tiagabine shifted the discriminative-stimulus effects of Delta](9)-THC leftward/upward and enhanced Delta](9)-THC effects on other outcomes. CONCLUSIONS: These results indicate that GABA is involved in the clinical effects of Delta](9)-THC, and by extension, cannabis. Future studies should test selective GABAergic compounds to determine which receptor subtype(s) are responsible for the effects observed when combined with cannabinoids.</t>
  </si>
  <si>
    <t>Entry Date: 20120803. Revision Date: 20150711. Publication Type: Journal Article; research. Journal Subset: Biomedical; Europe; Peer Reviewed; UK &amp; Ireland. Special Interest: Psychiatry/Psychology. NLM UID: 7513587. PMID: 21975195.; ID: 2027</t>
  </si>
  <si>
    <t>Department of Behavioral Science, University of Kentucky College of Medicine, United States.</t>
  </si>
  <si>
    <t>http://proxy.lib.umich.edu/login?url=http://search.ebscohost.com/login.aspx?direct=true&amp;db=ccm&amp;AN=104536093&amp;site=ehost-live&amp;scope=site</t>
  </si>
  <si>
    <t>ccm; EBSCOhost; Separate and combined effects of the GABA reuptake inhibitor tiagabine and [Delta](9)-THC in humans discriminating [Delta](9)-THC</t>
  </si>
  <si>
    <t>Separate and combined effects of the GABA(B) agonist baclofen and Delta](9)-THC in humans discriminating Delta](9)-THC</t>
  </si>
  <si>
    <t>223 8p</t>
  </si>
  <si>
    <t>Baclofen -- Pharmacodynamics;Discrimination;GABA Agonists -- Therapeutic Use;Hallucinogens -- Pharmacodynamics;Receptors, Cell Surface -- Drug Effects;Hydrocarbons -- Pharmacodynamics;Adolescence;Adult;Blood Pressure -- Drug Effects;Body Temperature -- Drug Effects;Body Temperature Regulation -- Drug Effects;Demography;Drug Interactions;Female;Heart Rate -- Drug Effects;Human;Male;Substance Use Disorders -- Psychosocial Factors;Psychomotor Performance -- Drug Effects;Questionnaires;Socioeconomic Factors;Perception -- Drug Effects;Young Adult</t>
  </si>
  <si>
    <t>BACKGROUND: Our previous research with the GABA reuptake inhibitor tiagabine suggested the involvement GABA in the interoceptive effects of Delta](9)-THC. The aim of the present study was to determine the potential involvement of the GABA(B) receptor subtype by assessing the separate and combined effects of the GABA(B)-selective agonist baclofen and Delta](9)-THC using pharmacologically specific drug-discrimination procedures. METHODS: Eight cannabis users learned to discriminate 30mg oral Delta](9)-THC from placebo and then received baclofen (25 and 50mg), Delta](9)-THC (5, 15 and 30mg) and placebo, alone and in combination. Self-report, task performance and physiological measures were also collected. RESULTS: Delta](9)-THC functioned as a discriminative stimulus, produced subjective effects typically associated with cannabinoids (e.g., High, Stoned, Like Drug), elevated heart rate and impaired rate and accuracy on a psychomotor performance task. Baclofen alone (50mg) substituted for the Delta](9)-THC discriminative stimulus, and both baclofen doses shifted the discriminative-stimulus effects of Delta](9)-THC leftward/upward. Similar results were observed on other cannabinoid-sensitive outcomes, although baclofen generally did not engender Delta](9)-THC-like subjective responses when administered alone. CONCLUSIONS: These results suggest that the GABA(B) receptor subtype is involved in the abuse-related effects of Delta](9)-THC, and that GABA(B) receptors were responsible, at least in part, for the effects of tiagabine-induced elevated GABA on cannabinoid-related behaviors in our previous study. Future research should test GABAergic compounds selective for other GABA receptor subtypes (i.e., GABA(A)) to determine the contribution of the different GABA receptors in the effects of Delta](9)-THC, and by extension cannabis, in humans.</t>
  </si>
  <si>
    <t>Entry Date: 20130419. Revision Date: 20150711. Publication Type: Journal Article; research. Journal Subset: Biomedical; Europe; Peer Reviewed; UK &amp; Ireland. Special Interest: Psychiatry/Psychology. NLM UID: 7513587. PMID: 22699093.; ID: 2028</t>
  </si>
  <si>
    <t>Department of Behavioral Science, University of Kentucky, College of Medicine, Medical Behavioral Sciences Building, Lexington, KY 40536-0086, United States. Electronic address: jalile2@email.uky.edu.</t>
  </si>
  <si>
    <t>http://proxy.lib.umich.edu/login?url=http://search.ebscohost.com/login.aspx?direct=true&amp;db=ccm&amp;AN=104375823&amp;site=ehost-live&amp;scope=site</t>
  </si>
  <si>
    <t>10.1016/j.drugalcdep.2012.05.023</t>
  </si>
  <si>
    <t>ccm; EBSCOhost; Separate and combined effects of the GABA(B) agonist baclofen and [Delta](9)-THC in humans discriminating [Delta](9)-THC</t>
  </si>
  <si>
    <t>Lim,P. S.;Subur,G.;Tan,K. Y.;Yee,M. L.;Goh,S. Y.;Teh,M. M.;Author,Addresses;Pharmacy,Singapore General;Hospital,Outram Singapore;Endocrinology,Singapore General Hospital Outram;Singapore;Correspondence,Address;PS Lim, Pharmacy Singapore General Hospital,Outram Singapore</t>
  </si>
  <si>
    <t>Development and implementation of a multidisciplinary inpatient glucose management pilot program: Role of the pharmacists</t>
  </si>
  <si>
    <t>Diabetes research and clinical practice</t>
  </si>
  <si>
    <t>Diabetes Res.Clin.Pract.</t>
  </si>
  <si>
    <t>106 SUPPL. 1</t>
  </si>
  <si>
    <t>(MAJOR FOCUS);glucose;diabetes mellitus;hospital patient;human;pharmacist;adult;critically ill patient;diabetes educator;drug information;drug therapy;education;endocrinologist;endocrinology;evidence based practice;general hospital;glycemic control;health care cost;hyperglycemia;hypoglycemia;model;patient;planning;population;Singapore;standardization;therapy;ward</t>
  </si>
  <si>
    <t>Background: Diabetes mellitus (DM) population has been consistently growing, affecting 11.3% of the Singapore adult population in 2010. An estimated 30-40% of all hospitalized patients have DM. However, there is currently considerable variability in glucose management at Inpatient setting. Improvement in glycemic control during hospitalisation has resulted in improved clinical outcomes and reduced healthcare cost. Globally, the evolving multidisciplinary approach to optimize diabetes care has been a successful model. As such, a team comprising of endocrinologists, pharmacists and diabetes educators has established the Inpatient Glucose Management (IGM) program in Singapore General Hospital (SGH). The aims of this programare to reduce variability in the glucose management of inpatient</t>
  </si>
  <si>
    <t>(Lim P.S.; Subur G.; Tan K.Y.; Yee M.L.) (Goh S.-Y.; Teh M.M.) 10th International Diabetes Federation-Western Pacific Region Congress and the 6th AASD Scientific Meeting Singapore, Singapore 2014-11-21 to 2014-11-24 Elsevier Ireland Ltd; ID: 875</t>
  </si>
  <si>
    <t>0168-8227</t>
  </si>
  <si>
    <t>Lim,S. C.;Lee,M. K.;Lee,C. K.;Lee,B. R.;Author,Addresses;College,of;Pharmacy,Cbitrc Chungbuk National University Sungbong-ro;Heungduk-gu,Cheongju;Correspondence,Address;Lim, College of Pharmacy Cbitrc Chungbuk National University,S.C.;Sungbong-ro,Heungduk;slim@chungbuk.ac.kr</t>
  </si>
  <si>
    <t>Evaluation of scopolamine patch pharmacotherapy for motion sickness in S. Korean</t>
  </si>
  <si>
    <t>Biomolecules and Therapeutics</t>
  </si>
  <si>
    <t>(MAJOR FOCUS);scopolamine (adverse drug reaction, drug therapy, transdermal drug;administration);motion sickness (drug therapy, side effect, drug therapy, prevention, side;effect);patient attitude;adolescent;adult;anxiety;article;child;clinical article;consultation;drowsiness (side effect);drug efficacy;drug hypersensitivity (side effect);drug induced headache (side effect);drug misuse;drug safety;dry eye (side effect);dysuria (side effect);female;hearing impairment (side effect);human;male;mydriasis (side effect);pharmacist;pharmacy;prescription;school child;side effect (side effect);South Korea;walking difficulty (side effect);xerostomia (side effect);scopolamine (138-12-5, 51-34-3, 55-16-3);Otorhinolaryngology (11);Drug Literature Index (37);Adverse Reactions Titles (38)</t>
  </si>
  <si>
    <t>Scopolamine patch is an effective anticholinergic and antiemetic agent for motion sickness in S. Korea. Since this medication is Over The Counter (OTC) medication and may cause serious side effects when misused. Therefore, we evaluate the safety and efficacy for scopolamine patch in this study. We selected and surveyed total 43 patients who purchased scopolamine patch from three different pharmacies located at S and C Express Bus terminals and P Port at Seoul, Cheongju, and Busan. In the result, 11 patients (8-15 year old: 25.6%) were correctly used scopolamine patch with a children dose and 2 patients were misused. 26 (15-60 year old: 60.4%) and 4 (over 6o year old: 9.3%) patients were correctly used with a adult dose. 33 patients (69.9%) answered that they knew the directions well how to use scopolamine patch correctly. Only 24.2% (n=8) patients learned the directions by pharmacist's consultation. Most patients (45 frequencies with duplicate counts) had some experienced side effects and among those drowsiness is the most common one. In conclusion, scopolamine patch as a non-prescription drug (OTC) should be monitored by pharmacist with correct drug consultation.</t>
  </si>
  <si>
    <t>(Lim S.C., slim@chungbuk.ac.kr; Lee M.K.; Lee C.K.; Lee B.R.) Korean Society of Applied Pharmacology, 635-4 Yeoksam-Dong, Kangnam-Ku Seoul, South Korea.; ID: 1465</t>
  </si>
  <si>
    <t>1976-9148</t>
  </si>
  <si>
    <t>Lim,Z.;Anderson,C.;McGrath,S.;Author,Addresses;Division of Social,Research in;Health;School of Pharmacy, University of Nottingham Nottingham,United Kingdom;Dearing Building, Jubilee Campus University,of Nottingham;Nottingham,United Kingdom;Correspondence,Address;Lim, Division of Social Research in Medicines,Z.;Health,School of;Pharmacy,University of Nottingham Nottingham United Kingdom</t>
  </si>
  <si>
    <t>Drug pilferage: Is this just about ethics? Exploring a sensitive issue using an ethnographic approach</t>
  </si>
  <si>
    <t>19 SUPPL. 1</t>
  </si>
  <si>
    <t>ethics;health services research;pharmacy;crime;death;drug distribution;graduate;health care facility;health care personnel;interview;Malawi;nurse;offender;organization and management;patient;pharmacist;pharmacy technician;physician;policy;population;private hospital;public health;punishment;responsibility;school;student;theft;treatment failure;university</t>
  </si>
  <si>
    <t>Background: Drug pilferage is one of the most serious problems in the pharmaceutical service provision in Malawi(1]). However, implementation of strategies to combat drug pilferage has been hindered by critical shortage of pharmacy workforce. In 2007, there were only 46 pharmacists in the country which has a population of 15 million. To increase the number of locally trained pharmacists, the first school of pharmacy in the University of Malawi was established in 2006. Eight students graduated in 2009. The aim of this paper is to explore the impact of drug pilferage on patients and what roles pharmacists could possibly play to tackle this problem. Method: In-depth, face-to-face interviews are deemed suitable to discuss sensitive issues such as drug pilferage. Interviews were conducted in Malawi with 10 pharmacists, 2 pharmacy technicians, 2 nurses and 1 doctor. An ethnographic approach was employed to allow the first author to immerse herself in a foreign culture, hence gaining a deeper understanding of opinions expressed and/or attitudes displayed by the local informants(2]). This study was approved by the ethics authority in Malawi. Results: Although quantitative evidence could not be established to prove drug pilferage, most informants acknowledged the presence of this problem. Drugs were believed to have been stolen by health workers at different points of drug distribution and then sold to street vendors or private clinics. This resulted in severe shortage of essential medicines. Patients were instructed to buy from private pharmacies the out-of-stock items, which were not always affordable. Prescribers were forced to prescribe from a very limited range of available drugs. In some cases, patients might be left untreated. This was believed to result in treatment failure or death in extreme cases. Among perceived causes contributing to drug pilferage were low pay of health workers who handled drugs, incomplete stock records, inadequate supervision, uninformed general public, penalty insufficient to deter offenders and policy to allow civil servants to open private clinics. Most informants thought employing more pharmacists at public health institutions should stop drug pilferage. Most informants felt it was pharmacists' responsibility to create a theft-proof system. It was also generally assumed that pharmacists were supposed to have a 'higher level of ethics' and hence would not commit such unethical crime. There were only two pharmacists serving at public health facilities in the country, whilst most work in the private sector. It was hoped that drug pilferage would be solved in the future when the school of pharmacy produces sufficient pharmacists. Conclusion: Drug pilferage is not merely an ethical issue, but also a governance issue. It happened because there were temptations and opportunities to commit such crime. There seemed to be a lack of urgency and collective action amongst stakeholders in tackling this issue. The reliance on future pharmacy graduates might not be realistic, judging from the low number of pharmacists graduating each year; and the possible movement of the new pharmacists to the private sector or out of Malawi altogether(3]). Concerted effort and political will to fight drug pilferage is urgently needed.</t>
  </si>
  <si>
    <t>(Lim Z.; Anderson C.) (McGrath S.) Health Services Research and Pharmacy Practice Conference Norwich, United Kingdom 2011-05-05 to 2011-05-06 Pharmaceutical Press; ID: 1260</t>
  </si>
  <si>
    <t>Lin,C. W.;Lin,B. S.;Wang,K. C.;Chin,T. Y.;Tang,J. J.;Author,Addresses;Department,of;Pharmacy,National Yang Ming University Hospital Taiwan;Correspondence,Address;C-W Lin, Department of Pharmacy National Yang Ming,University Hospital;Taiwan</t>
  </si>
  <si>
    <t>Outcomes of pharmacy intervention at intensive care units of An University Hospital in Taiwan</t>
  </si>
  <si>
    <t>Journal of Microbiology, Immunology and Infection</t>
  </si>
  <si>
    <t>S127</t>
  </si>
  <si>
    <t>antibiotic agent;carbapenem;Asia;infection control;intensive care unit;pharmacy;society;Taiwan;university hospital;Acinetobacter baumannii;correlation coefficient;human;microorganism;patient care;patient safety;pharmacist;physician;prevalence;Student t test</t>
  </si>
  <si>
    <t>Purpose: The antibiotic use and prevalence of multidrug-resistant microorganisms (MDROs) significantly increased in intensive care unit (ICU) of an university hospital from 2013. Pharmacy intervention was implemented to optimize antibiotic use since 2014. We want to investigate the outcomes of pharmacy intervention in the ICU. Methods: Pharmacists participated in the ICU interprofessional patient care and evaluate broad-spectrum antibiotic use from 2014. All drugrelated problems (DRPs) were reported via Taiwan patient safety reporting system (TPR) by pharmacists and sent to the chief officer of physician to improve appropriateness of antibiotic use. We compared differences before and after pharmacy intervention include analysis of DRPs, consumption and cost of antibiotics, and prevalence of MDROs. Antibiotic consumption was expressed as number of defined daily doses/1000 bed-days for each month of study. Prevalence of MDROs was also calculated monthly according to non-duplicate samples. Difference of antibiotic consumption and prevalence of MDROs after pharmacy intervention was assessed using independent t test, and correlation was assessed using Pearson's Correlation Coefficient. Results: Consumption and cost of broad spectrum antibiotics, especially carbapenem, in ICU were decreased significantly after pharmacy intervention implementation (January to July in 2014 vs. January to December in 2013, broad spectrum antibiotics DID: 955 ‚îú√π 171 vs. 1287 ‚îú√π 61, p = 0.042; broad spectrum antibiotics cost: 983 ‚îú√π 161 vs. 1539 ‚îú√π 109 NTD, p = 0.009; carbapenem DID: 91 ‚îú√π 17 vs. 148 ‚îú√π 7, p= 0.045). Consumption of broad spectrum antibiotics and carbapenem correlate with prevalence of MDR-Acinetobacter baumannii (MDRAB) (broad spectrum antibiotics vs. MDRAB, r = 0.603, p = 0.006; carbapenem vs. MDRAB, r = 0.460, p = 0.047). Conclusions: Excessive and inappropriate uses of antibiotics have been recognized as a major problem and one reason of high expenditures, as well as increase of drug-resistant microorganisms in Taiwan. Pharmacy intervention may play important role in reduction of antibiotic use and cost, even prevalence of MDROs.</t>
  </si>
  <si>
    <t>(Lin C.-W.; Lin B.-S.; Wang K.-C.; Chin T.-Y.; Tang J.-J.) 7th International Congress of the Asia Pacific Society of Infection Control Taipei, Taiwan 2015-03-26 to 2015-03-29 Elsevier Ltd; ID: 832</t>
  </si>
  <si>
    <t>1684-1182</t>
  </si>
  <si>
    <t>Lin,J. J.;Mula,M.;Hermann,B. P.;Author,Addresses;Department of Neurology, University of California,at Irvine;Irvine,C. A. U.;Department of Neurology, Amedeo Avogadro,University Novara;Italy;Department of,Neurology;University of Wisconsin,School of;Public Health,Highland;Avenue,Madison W. I. United States;Correspondence,Address;BP Hermann, Department of Neurology University of Wisconsin,School of;Medicine;Public Health, Highland Avenue,Madison W.;United States Email, hermann neurology,wisc edu</t>
  </si>
  <si>
    <t>23021287; Uncovering the neurobehavioural comorbidities of epilepsy over the lifespan</t>
  </si>
  <si>
    <t>The Lancet</t>
  </si>
  <si>
    <t>carbamazepine (adverse drug reaction, drug therapy);etiracetam (adverse drug reaction, drug therapy);gabapentin (adverse drug reaction, drug therapy);lamotrigine (adverse drug reaction, drug therapy);oxcarbazepine (adverse drug reaction, drug therapy);phenobarbital (adverse drug reaction, drug therapy);phenytoin (adverse drug reaction, drug therapy);pregabalin (adverse drug reaction, drug therapy);tiagabine (adverse drug reaction, drug therapy);topiramate (adverse drug reaction, drug therapy);valproic acid (adverse drug reaction, drug therapy);vigabatrin (adverse drug reaction, drug therapy);zonisamide (adverse drug reaction, drug therapy);antisocial personality disorder;cognitive defect;epilepsy (drug therapy, drug therapy);mental disease;aging;agoraphobia;anxiety disorder;apnea;article;asthma;attention deficit disorder;bipolar disorder;brain development;brain disease;chronic pain;comorbidity;conduct disorder;depression;epileptic discharge;fibromyalgia;generalized anxiety disorder;human;lifespan;migraine;mood disorder;motor dysfunction;nerve cell differentiation;neuropathic pain;panic;priority journal;psychosis;sleep disorder;social phobia;social psychology;substance abuse;suicidal ideation;traumatic brain injury;tremor;unspecified side effect (side effect);carbamazepine (298-46-4, 8047-84-5);etiracetam (102767-28-2, 33996-58-6);gabapentin (60142-96-3);lamotrigine (84057-84-1);oxcarbazepine (28721-07-5);phenobarbital (50-06-6, 57-30-7, 8028-68-0);phenytoin (57-41-0, 630-93-3);pregabalin (148553-50-8);tiagabine (115103-54-3, 115103-55-4);topiramate (97240-79-4);valproic acid (1069-66-5, 99-66-1);vigabatrin (60643-86-9);zonisamide (68291-97-4);Neurology and Neurosurgery (8);Public Health, Social Medicine and Epidemiology (17);Psychiatry (32);Drug Literature Index (37);Adverse Reactions Titles (38)</t>
  </si>
  <si>
    <t>Epilepsy is a common neurological disorder that is complicated by psychiatric, cognitive, and social comorbidities that have become a major target of concern and investigation in view of their adverse effect on the course and quality of life. In this report we define the specific psychiatric, cognitive, and social comorbidities of paediatric and adult epilepsy, their epidemiology, and real life effects; examine the relation between epilepsy syndromes and the risk of neurobehavioural comorbidities; address the lifespan effect of epilepsy on brain neurodevelopment and brain ageing and the risk of neurobehavioural comorbidities; consider the overarching effect of broader brain disorders on both epilepsy and neurobehavioural comorbidities; examine directions of causality and the contribution of selected epilepsy-related characteristics; and outline clinic-friendly screening approaches for these problems and recommended pharmacological, behavioural, and educational interventions.</t>
  </si>
  <si>
    <t>(Lin J.J.) (Mula M.) (Hermann B.P., hermann@neurology.wisc.edu) Elsevier Limited, 32 Jamestown Road, London, United Kingdom.; ID: 1118</t>
  </si>
  <si>
    <t>0140-6736 1474-547X (electronic)</t>
  </si>
  <si>
    <t>http://www.ncbi.nlm.nih.gov/pubmed/23021287</t>
  </si>
  <si>
    <t>Uncovering the neurobehavioural comorbidities of epilepsy over the lifespan</t>
  </si>
  <si>
    <t>Lin,S. H.;Lin,M. S.</t>
  </si>
  <si>
    <t>A survey on drug-related hospitalization in a community teaching hospital</t>
  </si>
  <si>
    <t>International Journal of Clinical Pharmacology, Therapy, &amp; Toxicology</t>
  </si>
  <si>
    <t>Adolescent;Adult;Age Factors;Aged;Aged, 80 and over;Decision Making;*Drug-Related Side Effects and Adverse Reactions;Female;*Hospitalization/sn Statistics &amp; Numerical Data];*Hospitals, Community;*Hospitals, Teaching;Humans;Male;Middle Aged;Retrospective Studies;Taiwan</t>
  </si>
  <si>
    <t>We retrospectively studied 2,695 patients admitted to the Department of Medicine over a 10-month period in 1990 to determine the incidence of drug-related hospitalization. A drug-related problem was identified as the primary cause of hospitalization in 109 (4.0%) admissions. The incidence was significantly greater in the elderly group as compared with the non-elderly group (5.2% vs 3.2%). Non-steroidal anti-inflammatory drugs, hypoglycemic agents, herbal medicine, adrenocorticosteroids and antihypertensive drugs were most often involved. The five most common adverse events were upper gastrointestinal tract bleeding, skin rashes, hypoglycemia, hypercorticism and hepatitis. Iatrogenic disease was fatal in 2 cases. Patients used drugs without medical supervision in 45 cases. In view of the increasing complexity of modern pharmacotherapy and the popularity of self-medication in our society, educational efforts should be enhanced for medical professionals and the general population to reduce the risk of drug-related hospitalization.</t>
  </si>
  <si>
    <t>J2: Int J Clin Pharmacol Ther Toxicol; Lin, S H Lin, M S; ID: 649</t>
  </si>
  <si>
    <t>0174-4879</t>
  </si>
  <si>
    <t>Lin,S H. Department of Family Medicine, Cathay General Hospital, Taipei, Taiwan.</t>
  </si>
  <si>
    <t>http://ovidsp.ovid.com/ovidweb.cgi?T=JS&amp;CSC=Y&amp;NEWS=N&amp;PAGE=fulltext&amp;D=med3&amp;AN=8458678</t>
  </si>
  <si>
    <t>MEDLINE; Ovid Technologies; A survey on drug-related hospitalization in a community teaching hospital</t>
  </si>
  <si>
    <t>Lindfelt,Tristan A.;Ip,Eric J.;Barnett,Mitchell J.</t>
  </si>
  <si>
    <t>Survey of career satisfaction, lifestyle, and stress levels among pharmacy school faculty</t>
  </si>
  <si>
    <t>1578 6p</t>
  </si>
  <si>
    <t>Education, Pharmacy;Faculty -- Psychosocial Factors -- United States;Job Satisfaction;Life Style;Stress, Psychological;Work-Life Balance;Health Behavior;Mental Disorders;Substance Abuse;Human;United States;Questionnaires;Descriptive Statistics;Female;Male;Scales;Data Analysis Software;Adult;Middle Age;Young Adult;Aged</t>
  </si>
  <si>
    <t>Entry Date: 20150922. Revision Date: 20151007. Publication Type: Article. Journal Subset: Biomedical; Blind Peer Reviewed; Peer Reviewed; USA. Instrumentation: Perceived Stress Scale (PSS) (Cohen et al). NLM UID: 9503023. PMID: 26346213.; ID: 2041</t>
  </si>
  <si>
    <t>Assistant Professor of Pharmacy Practice and Residency Program Director, Touro University California College of Pharmacy, Vallejo Associate Professor of Pharmacy Practice and Department Chair, Touro University California College of Pharmacy, Vallejo Adjunct Associate Professor of Pharmacy Practice, Touro University California College of Pharmacy, Vallejo</t>
  </si>
  <si>
    <t>http://proxy.lib.umich.edu/login?url=http://search.ebscohost.com/login.aspx?direct=true&amp;db=ccm&amp;AN=109545145&amp;site=ehost-live&amp;scope=site</t>
  </si>
  <si>
    <t>10.2146/ajhp140654</t>
  </si>
  <si>
    <t>ccm; EBSCOhost; Survey of career satisfaction, lifestyle, and stress levels among pharmacy school faculty</t>
  </si>
  <si>
    <t>Linnebur,S. A.;Vande Griend,J. P.;Moore,G.;Girgis,I.;Author,Addresses;University,of Colorado;of Pharmacy,Aurora,United States;Colorado Access,Denver,United States;Correspondence,Address;SA Linnebur, University of Colorado School of Pharmacy,Aurora United;States</t>
  </si>
  <si>
    <t>A pilot fee-for-service medication therapy management program in a geriatric primary care clinic</t>
  </si>
  <si>
    <t>401e</t>
  </si>
  <si>
    <t>clinical pharmacy;college;hospital;medication therapy management;primary medical care;cost control;drug therapy;education;electronic medical record;health care personnel;health maintenance organization;human;insurance;medicare;patient;pharmacist;pharmacy;prescription;profit;publication;reimbursement;school;United States;university</t>
  </si>
  <si>
    <t>PURPOSE: To describe the development and implementation of a pilot medication therapy management (MTM) program reimbursed as a fee-for-service through Medicare METHODS: A contract was negotiated between the University of Colorado School of Pharmacy to provide MTM services as covered benefits for all of the Geriatric Primary Care Clinic patients enrolled in the Medicare Advantage HMO plan sponsored by Colorado Access, a non-profit insurance provider. Two clinical pharmacists, with an established relationship with clinic providers and full access to the electronic medical record (EMR), provided the services. Unreimbursed MTM services have been provided at the clinic for over 10 years. MTM was performed face-to-face and over the phone. The number of billable visits was not limited. To aid in the MTM visits, the clinical pharmacists were allowed access to prescription claims data by Colorado Access. Changes to the patient's pharmacotherapy regimen were made in concert with the patient's healthcare provider and focused on: 1) medication reconciliation; 2) identification and resolution of drug-therapy problems, including non-adherence; 3) cost-saving through formulary management; and 4) patient-specific disease state and drug therapy education. RESULTS: Cognitive services (CPT codes 99605, 99606) and facility fees (99212, 99214) were remitted for payment. MTM services were reimbursed at a flat rate based on the visit type. During 2010, the service was offered to 68 members, 42 of whom met with a clinical pharmacist for at least one MTM visit. CONCLUSIONS: Full access to the EMR and prescription claims data allowed the pharmacists to provide high-level drug therapy recommendations. Having established relationships with clinic providers likely contributed to a high documented implementation rate for recommendations. For 2011, the contract was renegotiated for tiered reimbursement, based on the time and complexity of the visit, and was expanded to three additional clinics within the University system.</t>
  </si>
  <si>
    <t>(Linnebur S.A.; Vande Griend J.P.; Moore G.) (Girgis I.) 2011 Annual Meeting of the American College of Clinical Pharmacy Pittsburgh, PA, United States 2011-10-16 to 2011-10-19 Pharmacotherapy Publications Inc.; ID: 1236</t>
  </si>
  <si>
    <t>Lintzeris,N.;Ritter,A.;Dunlop,A.;Muhleisen,P.</t>
  </si>
  <si>
    <t>Training primary health care professionals to provide buprenorphine and LAAM treatment</t>
  </si>
  <si>
    <t>*Buprenorphine/tu Therapeutic Use];*Education, Medical, Continuing/mt Methods];Education, Medical, Continuing/st Standards];*Education, Pharmacy, Continuing/mt Methods];Education, Pharmacy, Continuing/st Standards];Humans;*Methadyl Acetate/tu Therapeutic Use];*Opioid-Related Disorders/rh Rehabilitation];Pharmacists;Physicians, Family/ed Education];Professional Competence;Quality of Health Care;*Receptors, Opioid/ag Agonists];0 (Receptors, Opioid);40D3SCR4GZ (Buprenorphine);L59OC40KWJ (Methadyl Acetate)</t>
  </si>
  <si>
    <t>This paper describes the development and implementation of training programs for primary care medical practitioners and pharmacists in the delivery of buprenorphine and LAAM treatment in the management of opiate dependence. Separate training programs were developed for each medication. Each training package included learning objectives, training materials, and assessment instruments. Findings of the evaluation of these initiatives and the subsequent Australian postregistration training program for buprenorphine are described.</t>
  </si>
  <si>
    <t>J2: Subst Abus; Lintzeris, Nicholas Ritter, Alison Dunlop, Adrian Muhleisen, Peter; ID: 504</t>
  </si>
  <si>
    <t>Lintzeris,Nicholas. Turning Point Alcohol and Drug Centre, Melbourne, Australia.</t>
  </si>
  <si>
    <t>http://ovidsp.ovid.com/ovidweb.cgi?T=JS&amp;CSC=Y&amp;NEWS=N&amp;PAGE=fulltext&amp;D=med4&amp;AN=12438837</t>
  </si>
  <si>
    <t>MEDLINE; Ovid Technologies; Training primary health care professionals to provide buprenorphine and LAAM treatment</t>
  </si>
  <si>
    <t>Lipman,A. G.</t>
  </si>
  <si>
    <t>Treatment options for chronic pain management: opioids revisited</t>
  </si>
  <si>
    <t>Managed Care</t>
  </si>
  <si>
    <t>Analgesics, Opioid/pd Pharmacology];*Analgesics, Opioid/tu Therapeutic Use];Chronic Disease;Humans;*Pain/dt Drug Therapy];United States;0 (Analgesics, Opioid)</t>
  </si>
  <si>
    <t>Pain is a public health disaster. Although it remains largely undertreated, pharmacists and pharmacy managers can do much to correct the problem. Change will require the education of patients and health care professionals on the facts pertaining to addiction, drug dependence, and drug tolerance. Evidence-based resources, including guidelines published by the APS, should be consulted. A variety of short- and long-acting drugs are available, not the least of which are the opioids. Fears regarding addiction and uncertainty about tolerance have precluded the comprehensive use of these drugs, and varying dose requirements complicate the picture. What is known, however, is that dose titration must be performed with the goal of preventing breakthrough pain. Fortunately, sufficient drug formulae have been developed to accommodate this need. Pain is the primary reason why people come into the health care system, and it is incumbent upon health care professionals to eliminate insufficient pain control, using the drugs available to the patient's best advantage.</t>
  </si>
  <si>
    <t>J2: Manag Care; Lipman, Arthur G; ID: 396</t>
  </si>
  <si>
    <t>1062-3388</t>
  </si>
  <si>
    <t>Lipman,Arthur G. Professor of Pharmacotherapy and Anesthesiology, University of Utah Health Sciences Center, Salt Lake City, USA.</t>
  </si>
  <si>
    <t>http://ovidsp.ovid.com/ovidweb.cgi?T=JS&amp;CSC=Y&amp;NEWS=N&amp;PAGE=fulltext&amp;D=med5&amp;AN=17465086</t>
  </si>
  <si>
    <t>MEDLINE; Ovid Technologies; Treatment options for chronic pain management: opioids revisited</t>
  </si>
  <si>
    <t>Lipton,H. L.</t>
  </si>
  <si>
    <t>Prescription drugs and the elderly. Strategies for effective drug prescribing and use</t>
  </si>
  <si>
    <t>Mobius</t>
  </si>
  <si>
    <t>Aged;*Drug Prescriptions/st Standards];*Drug Therapy/px Psychology];Humans;*Patient Compliance;Physician-Patient Relations</t>
  </si>
  <si>
    <t>The author explains why the elderly are particularly at risk for problems of noncompliance with prescribed drug regimens and describes some innovative strategies that can be used to prevent or reduce both inappropriate prescribing by physicians and noncompliance among the elderly. These strategies can be applied by health professionals providing or monitoring drug therapy for the elderly (primarily physicians and pharmacists) and some can also be undertaken by the elderly working in close collaboration with clinical pharmacists. The paper concludes with an examination of the potential role of continuing education in ameliorating some of the problems discussed here.</t>
  </si>
  <si>
    <t>J2: Mobius; Lipton, H L; ID: 706</t>
  </si>
  <si>
    <t>0272-3425</t>
  </si>
  <si>
    <t>http://ovidsp.ovid.com/ovidweb.cgi?T=JS&amp;CSC=Y&amp;NEWS=N&amp;PAGE=fulltext&amp;D=med2&amp;AN=10269869</t>
  </si>
  <si>
    <t>MEDLINE; Ovid Technologies; Prescription drugs and the elderly. Strategies for effective drug prescribing and use</t>
  </si>
  <si>
    <t>Little,A.;Rey,J. A.;Garcia,A. S.;Author,Addresses;Department of,Pharmaceutical Sciences;University,Ft Lauderdale United States;Department of,Pharmacy Practice;University,Ft Lauderdale United States;Correspondence,Address;Little, Department of Pharmacy Practice Nova Southeastern University,A.;Ft. Lauderdale,United States</t>
  </si>
  <si>
    <t>A comparison of healthcare professional students' awareness of chemical dependence with their respective profession</t>
  </si>
  <si>
    <t>opiate;prescription drug;addiction;college;health care personnel;human;occupation;pharmacist;student;computer program;curriculum;drug abuse;education;health care;health practitioner;pain;patient;prevalence;prevention;risk;risk factor;screening;self report;statistical analysis;training;university</t>
  </si>
  <si>
    <t>Background: Currently, 8% to 12% of healthcare professionals have chemical dependencies and an increased risk of prescription drug abuse. This is thought to be due, impart, to their easy access to controlled substances. It is important for students of healthcare professions to be trained appropriately on the disease of dependency. Therefore, this study was designed to compare students in terms of risk factors for chemical dependence in different healthcare training programs to the incidence of chemical dependence in their respective fields. It is anticipated that these respective programs will utilize the information in developing or improving prevention, assistance, and education curricula. Objectives: 1) Determine the prevalence of students that are at an increased risk for chemical dependence in different healthcare programs. 2) Assess the awareness of chemical dependence among healthcare professional students. 3) Compare students in terms of risk factors for chemical dependence between different disciplines. 4) Compare students in terms of risk factors for chemical dependence to the incidence of chemical dependence in their respective field. Methods: Participants will be recruited from the different health professional training programs in a large university. All students 18 years of age and older will be eligible and contacted for study participation. Demographic variables will be collected. A survey will be used to assess participants' awareness and risks of chemical dependence. Students will be classified as at risk for chemical dependence if they self-report a score of Œì√´√ë 4 on the Screener and Opioid Assessment for Patients with Pain (SOAPP) screening tool. Statistical analyses, such as Chi-square and ttests will be utilized. The survey will be administered using Opinio survey software via the respective student affairs office of each different program. Outcomes: We will report the number and percent of students at increased risk of chemical dependence and analyze their awareness of chemical dependence in their respective fields.</t>
  </si>
  <si>
    <t>(Rey J.A.) (Little A.; Garcia A.S.) 15th Annual Meeting of the College of Psychiatric and Neurologic Pharmacists, CPNP 2012 Tampa, FL, United States 2012-04-29 to 2012-05-02 SAGE Publications Inc.; ID: 1150</t>
  </si>
  <si>
    <t>Liu,Z.;Han,J.;Jia,L.;Maillet,J. C.;Bai,G.;Xu,L.;Jia,Z.;Zheng,Q.;Zhang,W.;Monette,R.;Merali,Z.;Zhu,Z.;Wang,W.;Ren,W.;Zhang,X.</t>
  </si>
  <si>
    <t>PMC3004941; Synaptic neurotransmission depression in ventral tegmental dopamine neurons and cannabinoid-associated addictive learning</t>
  </si>
  <si>
    <t>e15634</t>
  </si>
  <si>
    <t>Animals;*Behavior, Addictive/me Metabolism];*Cannabinoids/me Metabolism];Electrophysiology/mt Methods];Endocytosis;Long-Term Potentiation;Long-Term Synaptic Depression;*Neurons/me Metabolism];Rats;Receptor, Cannabinoid, CB1/me Metabolism];Receptors, AMPA/me Metabolism];Receptors, N-Methyl-D-Aspartate/me Metabolism];Synaptic Transmission;Ventral Tegmental Area/me Metabolism];*Ventral Tegmental Area/pa Pathology];0 (Cannabinoids);0 (Receptor, Cannabinoid, CB1);0 (Receptors, AMPA);0 (Receptors, N-Methyl-D-Aspartate);0 (glutamate receptor ionotropic, AMPA 2)</t>
  </si>
  <si>
    <t>Drug addiction is an association of compulsive drug use with long-term associative learning/memory. Multiple forms of learning/memory are primarily subserved by activity- or experience-dependent synaptic long-term potentiation (LTP) and long-term depression (LTD). Recent studies suggest LTP expression in locally activated glutamate synapses onto dopamine neurons (local Glu-DA synapses) of the midbrain ventral tegmental area (VTA) following a single or chronic exposure to many drugs of abuse, whereas a single exposure to cannabinoid did not significantly affect synaptic plasticity at these synapses. It is unknown whether chronic exposure of cannabis (marijuana or cannabinoids), the most commonly used illicit drug worldwide, induce LTP or LTD at these synapses. More importantly, whether such alterations in VTA synaptic plasticity causatively contribute to drug addictive behavior has not previously been addressed. Here we show in rats that chronic cannabinoid exposure activates VTA cannabinoid CB1 receptors to induce transient neurotransmission depression at VTA local Glu-DA synapses through activation of NMDA receptors and subsequent endocytosis of AMPA receptor GluR2 subunits. A GluR2-derived peptide blocks cannabinoid-induced VTA synaptic depression and conditioned place preference, i.e., learning to associate drug exposure with environmental cues. These data not only provide the first evidence, to our knowledge, that NMDA receptor-dependent synaptic depression at VTA dopamine circuitry requires GluR2 endocytosis, but also suggest an essential contribution of such synaptic depression to cannabinoid-associated addictive learning, in addition to pointing to novel pharmacological strategies for the treatment of cannabis addiction.</t>
  </si>
  <si>
    <t>J2: PLoS ONE; Liu, Zhiqiang Han, Jing Jia, Lintao Maillet, Jean-Christian Bai, Guang Xu, Lin Jia, Zhengping Zheng, Qiaohua Zhang, Wandong Monette, Robert Merali, Zul Zhu, Zhou Wang, Wei Ren, Wei Zhang, Xia MOP-62951 (Canada Canadian Institutes of Health Research); ID: 258</t>
  </si>
  <si>
    <t>Liu,Zhiqiang. College of Life Sciences, Shaanxi Normal University, Xian, People's Republic of China.</t>
  </si>
  <si>
    <t>http://ovidsp.ovid.com/ovidweb.cgi?T=JS&amp;CSC=Y&amp;NEWS=N&amp;PAGE=fulltext&amp;D=med5&amp;AN=21187978</t>
  </si>
  <si>
    <t>http://dx.doi.org/10.1371/journal.pone.0015634</t>
  </si>
  <si>
    <t>MEDLINE; Ovid Technologies; Synaptic neurotransmission depression in ventral tegmental dopamine neurons and cannabinoid-associated addictive learning</t>
  </si>
  <si>
    <t>Llorente,M. D.;Olsen,E. J.;Leyva,O.;Silverman,M. A.;Lewis,J. E.;Rivero,J.;Author,Addresses;University of Miami, School of Medicine Miami,F.L.United States;Upbeat Program,Miami Vet;Admin Medical Center, Miami,F.L.United States;Miami,Vet;Admin Medical Center, Geriatric,Res Educ;Clin. Ctr, Miami F. L.;United,States;Upbeat,Dept of Psychiatric Vet ' Administration Medical;Center,N. W. S.;Correspondence,Address;MD Llorente, Upbeat Psychia Vet Admin Med Ctr,Dept N.;Miami,F. L. U.</t>
  </si>
  <si>
    <t>9475449; Use of antipsychotic drugs in nursing homes: Current compliance with OBRA regulations</t>
  </si>
  <si>
    <t>Journal of the American Geriatrics Society</t>
  </si>
  <si>
    <t>J.Am.Geriatr.Soc.</t>
  </si>
  <si>
    <t>(MAJOR FOCUS);neuroleptic agent (adverse drug reaction, drug dose, drug therapy);drug legislation;drug misuse;nursing home;schizophrenia (drug therapy);aged;aggression;agitation;article;behavior therapy;clinical practice;cost control;drug effect;drug indication;elderly care;health education;human;major clinical study;paranoia (epidemiology, side effect);practice guideline;prevalence;Public Health, Social Medicine and Epidemiology (17);Gerontology and Geriatrics (20);Psychiatry (32);Drug Literature Index (37);Adverse Reactions Titles (38)</t>
  </si>
  <si>
    <t>OBJECTIVE: To examine the degree and patterns of compliance with the Omnibus Budget Reconciliation Act (OBRA) regulations regarding the use of antipsychotic drugs in nursing homes. DESIGN: Retrospective chart review of all resident records. PARTICIPANTS: Eight nursing homes: five community, two county-owned, and one university-affiliated Veterans Administration facility. MEASUREMENTS: A structured assessment instrument to track compliance with each aspect of the OBRA regulations regarding antipsychotic drug use. RESULTS: A total of 1573 nursing home residents' pharmacy records were reviewed between August 1994 and March 1996. Two hundred seventy-nine residents were actively taking antipsychotic medications (prevalence = 17.7%). Mean compliance greater than 70% was found for (1) appropriate diagnostic indication (X‚ï†√§ = 70.9%), (2) dosage within recommended limits (X‚ï†√§ = 90.1%), and 3) documented appropriate target symptoms (X‚ï†√§ = 90.4%). Dosages were more likely to exceed limits in those patients with histories of major mental illness, particularly schizophrenia. CONCLUSIONS: Nursing homes were better able to comply with those guidelines that are most specific. Educational interventions now need to focus on behavioral interventions, monitoring of adverse effects, and efficacy. These data are useful in establishing threshold levels of performance and can be used by nursing homes for continuous quality improvement. OBRA continues to impact neuroleptic drug prescribing practices in nursing homes significantly.</t>
  </si>
  <si>
    <t>(Llorente M.D.; Olsen E.J.; Leyva O.; Silverman M.A.; Lewis J.E.; Rivero J.) (Llorente M.D.; Olsen E.J.; Leyva O.; Rivero J.) (Llorente M.D.; Olsen E.J.; Leyva O.; Silverman M.A.; Rivero J.) (Llorente M.D.) Blackwell Publishing Inc., 350 Main Street, Malden, United States.; ID: 1668</t>
  </si>
  <si>
    <t>http://www.ncbi.nlm.nih.gov/pubmed/9475449</t>
  </si>
  <si>
    <t>Use of antipsychotic drugs in nursing homes: Current compliance with OBRA regulations</t>
  </si>
  <si>
    <t>Locca,J. F.;B‚îú‚ïùla,C. J.;Zumbach,S.;Bugnon,O.;Author,Addresses;Universities of,Lausanne;and Geneva, Community Pharmacy Practice Research Unit Pharmacie de,la P.;Lausanne,Switzerland;Service,of Geriatric;Geriatric,Rehabilitation;Department of Medicine, University Hospital,Lausanne Switzerland;Service of,Psychogeriatric Medicine;Marsens,Switzerland;Correspondence,Address;Bugnon,Universities of Lausanne,O.;Geneva,Community Pharmacy Practice;Research Unit, Pharmacie de la P M U Lausanne,Switzerland Email;Olivier.bugnon@hospvd.ch</t>
  </si>
  <si>
    <t>Pharmacological Treatment of Behavioral and Psychological Symptoms of Dementia (BPSD) in Nursing Homes: Development of Practice Recommendations in a Swiss Canton (DOI:10.1016/j.jamda.2008.04.003)</t>
  </si>
  <si>
    <t>Journal of the American Medical Directors Association</t>
  </si>
  <si>
    <t>antidepressant agent (adverse drug reaction, drug therapy);aripiprazole (drug therapy);atypical antipsychotic agent (adverse drug reaction, drug comparison, drug;therapy);cholinesterase inhibitor (drug therapy);citalopram (drug therapy);clomipramine (drug therapy);diazepam (drug therapy);etoperidone (drug therapy);fluoxetine (drug therapy);haloperidol (adverse drug reaction, drug therapy);imipramine (drug therapy);loxapine (drug therapy);maprotiline (drug therapy);melatonin (drug therapy);moclobemide (drug therapy);neuroleptic agent (adverse drug reaction, drug comparison, drug therapy);olanzapine (adverse drug reaction, drug comparison, drug therapy);placebo;psychotropic agent (drug therapy);quetiapine (drug comparison, drug therapy);risperidone (adverse drug reaction, drug comparison, drug therapy);serotonin uptake inhibitor (drug therapy);sertraline (drug therapy);thioridazine (adverse drug reaction, drug therapy);tiotixene (drug therapy);trazodone (drug therapy);unindexed drug;valproic acid (adverse drug reaction, drug dose, drug therapy);venlafaxine (drug therapy);zuclopenthixol (drug therapy);behavior disorder (drug therapy);dementia (drug therapy);mental disease (drug therapy);pharmaceutical care;practice guideline;agitation;algorithm;cerebrovascular disease (side effect);cognitive defect (drug therapy);delirium (side effect);depression (drug therapy);disease control;drug choice;drug efficacy;drug megadose;drug safety;erratum;evidence based practice;extrapyramidal syndrome (side effect);general practitioner;human;insomnia (drug therapy);nursing home;nursing home patient;nursing home personnel;patient counseling;patient education;patient monitoring;pharmacist;prescription;QT prolongation (side effect);sedation;side effect (side effect);Switzerland;unspecified side effect (side effect);aripiprazole (129722-12-9);citalopram (59729-33-8);clomipramine (17321-77-6, 303-49-1);diazepam (439-14-5);etoperidone (52942-31-1, 57775-22-1);fluoxetine (54910-89-3, 56296-78-7, 59333-67-4);haloperidol (52-86-8);imipramine (113-52-0, 50-49-7);loxapine (1977-10-2);maprotiline (10262-69-8, 10347-81-6);melatonin (73-31-4);moclobemide (71320-77-9);olanzapine (132539-06-1);quetiapine (111974-72-2);risperidone (106266-06-2);sertraline (79617-96-2);thioridazine (130-61-0, 50-52-2);tiotixene (5591-45-7);trazodone (19794-93-5, 25332-39-2);valproic acid (1069-66-5, 99-66-1);venlafaxine (93413-69-5);zuclopenthixol (53772-83-1);Neurology and Neurosurgery (8);Public Health, Social Medicine and Epidemiology (17);Gerontology and Geriatrics (20);Psychiatry (32);Drug Literature Index (37);Adverse Reactions Titles (38)</t>
  </si>
  <si>
    <t>Objectives: In 2002, the canton of Fribourg, Switzerland, implemented a coordinated pharmaceutical care service in nursing homes to promote rational drug use. In the context of this service, a project was conducted to develop recommendations for the pharmacological management of behavioral and psychological symptoms of dementia (BPSD) in nursing home residents. Design and Methods: Selected evidence-based guidelines and meta-analysis sources related to the management of depression, insomnia, and agitation in dementia patients were systematically searched and evaluated. Evidence and controversies regarding the pharmacological treatment of the most common BPSD symptoms were reviewed, and treatment algorithms were developed. Results: Ten evidence-based guidelines and meta-analyses for BPSD management were identified, with none specifically addressing issues related to nursing home residents. Based on this literature, recommendations were developed for the practice of pharmacological management of depression, sleep disturbances, and agitation in nursing home residents. For depression, SSRIs are considered the first choice if an antidepressant is required. No clear evidence has been found for sleep disturbances; the underlying conditions need to be investigated closely before the introduction of any drug therapy. Many drugs have been investigated for the treatment of agitation, and if necessary, antipsychotics could be used, although they have significant side effects. Several areas of uncertainty were identified, such as the current controversy about typical and atypical antipsychotic use or the appropriateness of cholinesterase inhibitors for controlling agitation. Treatment algorithms were presented to general practitioners, pharmacists, and medical directors of nursing homes in the canton of Fribourg, and will now be implemented progressively, using educational sessions, pharmaceutical counseling, and monitoring. Conclusion: Based on existing evidence-based studies, recommendations were developed for the practice of pharmacological management of depression, sleep disturbances, and agitation in nursing home residents. It should be further studied whether these algorithms implemented through pharmaceutical care services will improve psychotropic drug prescriptions and prevent drug-related problems in nursing home residents. ‚î¨‚åê 2008 American Medical Directors Association.</t>
  </si>
  <si>
    <t>(Locca J.-F.; Bugnon O., Olivier.bugnon@hospvd.ch) (B‚îú‚ïùla C.J.) (CHUV) (Zumbach S.) Elsevier Inc., 360 Park Avenue South, New York, United States.; ID: 1456</t>
  </si>
  <si>
    <t>1525-8610 1538-9375 (electronic)</t>
  </si>
  <si>
    <t>2008454239 FULL TEXT LINK http://dx.doi.org/10.1016/j.jamda.2008.09.001</t>
  </si>
  <si>
    <t>Locca,J. F.;Bula,C. J.;Zumbach,S.;Bugnon,O.</t>
  </si>
  <si>
    <t>Pharmacological treatment of behavioral and psychological symptoms of dementia (BPSD) in nursing homes: development of practice recommendations in a Swiss canton</t>
  </si>
  <si>
    <t>Aged;Aged, 80 and over;*Dementia/px Psychology];Female;*Homes for the Aged;Humans;Male;*Mental Disorders/dt Drug Therapy];Meta-Analysis as Topic;*Nursing Homes;*Practice Guidelines as Topic;Switzerland</t>
  </si>
  <si>
    <t>OBJECTIVES: In 2002, the canton of Fribourg, Switzerland, implemented a coordinated pharmaceutical care service in nursing homes to promote rational drug use. In the context of this service, a project was conducted to develop recommendations for the pharmacological management of behavioral and psychological symptoms of dementia (BPSD) in nursing home residents. DESIGN AND METHODS: Selected evidence-based guidelines and meta-analysis sources related to the management of depression, insomnia, and agitation in dementia patients were systematically searched and evaluated. Evidence and controversies regarding the pharmacological treatment of the most common BPSD symptoms were reviewed, and treatment algorithms were developed. RESULTS: Ten evidence-based guidelines and meta-analyses for BPSD management were identified, with none specifically addressing issues related to nursing home residents. Based on this literature, recommendations were developed for the practice of pharmacological management of depression, sleep disturbances, and agitation in nursing home residents. For depression, SSRIs are considered the first choice if an antidepressant is required. No clear evidence has been found for sleep disturbances; the underlying conditions need to be investigated closely before the introduction of any drug therapy. Many drugs have been investigated for the treatment of agitation, and if necessary, antipsychotics could be used, although they have significant side effects. Several areas of uncertainty were identified, such as the current controversy about typical and atypical antipsychotic use or the appropriateness of cholinesterase inhibitors for controlling agitation. Treatment algorithms were presented to general practitioners, pharmacists, and medical directors of nursing homes in the canton of Fribourg, and will now be implemented progressively, using educational sessions, pharmaceutical counseling, and monitoring. CONCLUSION: Based on existing evidence-based studies, recommendations were developed for the practice of pharmacological management of depression, sleep disturbances, and agitation in nursing home residents. It should be further studied whether these algorithms implemented through pharmaceutical care services will improve psychotropic drug prescriptions and prevent drug-related problems in nursing home residents. References: 50]</t>
  </si>
  <si>
    <t>J2: J Am Med Dir Assoc; Locca, Jean-Francois Bula, Christophe J Zumbach, Serge Bugnon, Oliver; ID: 359</t>
  </si>
  <si>
    <t>1538-9375</t>
  </si>
  <si>
    <t>Locca,Jean-Francois. Universities of Lausanne and Geneva, Community Pharmacy Practice Research Unit, Pharmacie de la PMU, Lausanne, Switzerland.</t>
  </si>
  <si>
    <t>http://ovidsp.ovid.com/ovidweb.cgi?T=JS&amp;CSC=Y&amp;NEWS=N&amp;PAGE=fulltext&amp;D=med5&amp;AN=18585647</t>
  </si>
  <si>
    <t>http://dx.doi.org/10.1016/j.jamda.2008.04.003</t>
  </si>
  <si>
    <t>MEDLINE; Ovid Technologies; Pharmacological treatment of behavioral and psychological symptoms of dementia (BPSD) in nursing homes: development of practice recommendations in a Swiss canton</t>
  </si>
  <si>
    <t>Locca,J. F.;Ruggli,M.;Buchmann,M.;Huguenin,J.;Bugnon,O.</t>
  </si>
  <si>
    <t>Development of pharmaceutical care services in nursing homes: practice and research in a Swiss canton</t>
  </si>
  <si>
    <t>Aged;Aged, 80 and over;*Drug Costs/sn Statistics &amp; Numerical Data];Education, Pharmacy, Continuing;Female;Humans;Male;Nursing Homes/lj Legislation &amp; Jurisprudence];*Nursing Homes/sn Statistics &amp; Numerical Data];*Pharmacy Service, Hospital/ec Economics];*Pharmacy Service, Hospital/mt Methods];Practice Guidelines as Topic;Practice Patterns, Physicians';Program Evaluation;Retrospective Studies;Switzerland</t>
  </si>
  <si>
    <t>OBJECTIVE: The aim of this study was to assess the implementation process and economic impact of a new pharmaceutical care service provided since 2002 by pharmacists in Swiss nursing homes. SETTING: The setting was 42 nursing homes located in the canton of Fribourg, Switzerland under the responsibility of 22 pharmacists. METHOD: We developed different facilitators, such as a monitoring system, a coaching program, and a research project, to help pharmacists change their practice and to improve implementation of this new service. We evaluated the implementation rate of the service delivered in nursing homes. We assessed the economic impact of the service since its start in 2002 using statistical evaluation (Chow test) with retrospective analysis of the annual drug costs per resident over an 8-year period (1998-2005). MAIN OUTCOME MEASURES: The description of the facilitators and their implications in implementation of the service; the economic impact of the service since its start in 2002. RESULTS: In 2005, after a 4-year implementation period supported by the introduction of facilitators of practice change, all 42 nursing homes (2,214 residents) had implemented the pharmaceutical care service. The annual drug costs per resident decreased by about 16.4% between 2002 and 2005; this change proved to be highly significant. The performance of the pharmacists continuously improved using a specific coaching program including an annual expert comparative report, working groups, interdisciplinary continuing education symposia, and individual feedback. This research project also determined priorities to develop practice guidelines to prevent drug-related problems in nursing homes, especially in relation to the use of psychotropic drugs. CONCLUSION: The pharmaceutical care service was fully and successfully implemented in Fribourg's nursing homes within a period of 4 years. These findings highlight the importance of facilitators designed to assist pharmacists in the implementation of practice changes. The economic impact was confirmed on a large scale, and priorities for clinical and pharmacoeconomic research were identified in order to continue to improve the quality of integrated care for the elderly.</t>
  </si>
  <si>
    <t>J2: Pharm World Sci; Locca, Jean-Francois Ruggli, Martine Buchmann, Michel Huguenin, Jacques Bugnon, Olivier; ID: 334</t>
  </si>
  <si>
    <t>Locca,Jean-Francois. Community Pharmacy Practice Research Unit, Universities of Lausanne and Geneva, Pharmacie de la PMU, Rue du Bugnon 44, 1011 Lausanne, Switzerland.</t>
  </si>
  <si>
    <t>http://ovidsp.ovid.com/ovidweb.cgi?T=JS&amp;CSC=Y&amp;NEWS=N&amp;PAGE=fulltext&amp;D=med5&amp;AN=19067223</t>
  </si>
  <si>
    <t>http://dx.doi.org/10.1007/s11096-008-9273-9</t>
  </si>
  <si>
    <t>MEDLINE; Ovid Technologies; Development of pharmaceutical care services in nursing homes: practice and research in a Swiss canton</t>
  </si>
  <si>
    <t>Loeb,D. F.;Lewis,C. L.;Lam,H. M.;Trinkley,K. E.;Author,Addresses;University of Colorado Denver, Aurora,United States;Univesrity of Colorado, Denver,United States;University of Colorado, School of Pharmacy,Aurora United;States;Correspondence,Address;DF Loeb, University of Colorado Denver Aurora,United States</t>
  </si>
  <si>
    <t>Primary care physician-pharmacist collaborative medication management service through a benzodiazepine outreach clinic at a university-based internal medicine clinic</t>
  </si>
  <si>
    <t>S544</t>
  </si>
  <si>
    <t>(MAJOR FOCUS);benzodiazepine;benzodiazepine derivative;general practitioner;hospital;human;internal medicine;medication therapy management;pharmacist;society;university;algorithm;anxiety;anxiety disorder;asthenia;clinical pharmacy;cognition;diagnosis;diseases;documentation;drug therapy;education;evidence based practice;generalized anxiety disorder;health;hospital patient;inappropriate prescribing;insomnia;Insomnia Severity Index;medical record review;medical student;memory;monotherapy;panic;patient;patient satisfaction;pharmacy;pharmacy and therapeutics committee;pilot study;planning;prescription;primary medical care;psychiatry;psychology;random sample;resident;risk;satisfaction;seizure;substance abuse;symptom assessment;United States</t>
  </si>
  <si>
    <t>STATEMENT OF PROBLEM OR QUESTION (ONE SENTENCE): Inappropriate use of benzodiazepines increases known risks of falls, asthenia, impaired cognition and memory, substance abuse, and the potential to worsen anxiety. OBJECTIVES</t>
  </si>
  <si>
    <t>(Loeb D.F.; Lam H.M.) (Lewis C.L.) (Trinkley K.E.) 38th Annual Meeting of the Society of General Internal Medicine Toronto, ON, Canada 2015-04-22 to 2015-04-25 Springer New York LLC; ID: 825</t>
  </si>
  <si>
    <t>Loganadan,N. K.;Lim,K. Y.;Nur,N. M.;Ariffin,F.;Author,Addresses;Department of,Pharmacy;Hospital Kuala Lumpur, Kuala,Lumpur Malaysia;Correspondence,Address;NK Loganadan, Department of Pharmacy Hospital Kuala Lumpur,Kuala Lumpur;Malaysia</t>
  </si>
  <si>
    <t>Cost-effectiveness of pharmacist managed medication therapy adherence clinic (MTAC) on type 2 diabetes patients in a Tertiary Hospital in Malaysia</t>
  </si>
  <si>
    <t>e270</t>
  </si>
  <si>
    <t>hemoglobin A1c;clinical pharmacy;college;cost effectiveness analysis;diabetic patient;drug therapy;hospital;human;Malaysia;non insulin dependent diabetes mellitus;patient compliance;pharmacist;tertiary health care;arm;cohort analysis;control group;counseling;diabetes education;diabetes mellitus;follow up;glycemic control;laboratory test;medication compliance;nurse;physician</t>
  </si>
  <si>
    <t>PURPOSE: This study was conducted: (i) To study the impact of pharmacist managed Medication Therapy Adherence Clinic (MTAC) on medication adherence and glycemic control of Type 2 Diabetes patients and (ii) To evaluate the cost-effectiveness of MTAC program. METHODS: In this prospective cohort study, 43 Type 2 Diabetes patients who attended pharmacist MTAC clinic visits in Kuala Lumpur Hospital besides their routine physician visits between February 2008 to August 2009 were assigned to Intervention group while 42 others who attended physician visits only (Standard Care) as Control. The Intervention group received medication adherence assessment, advise on drug related problems, medication counseling and diabetes education by pharmacists while the Control group did not. HbA1c levels (%) and Morisky Scores were measured and compared at baseline and after 9 months follow-up period between both groups. Direct medical costs including doctor's cost, pharmacist's cost, nurse's cost, cost of medications and cost of laboratory tests were used for costeffectiveness analysis (CEA). RESULTS: Medication adherence of subjects in the Intervention (MTAC) group increased significantly from a Morisky score of 4.23 at baseline to 7.84 (p0.05). Average cost effectiveness ratio (ACER) for Intervention group was RM446.01 per 1% reduction and RM1328.52 per 1% HbA1c reduction for Control. CONCLUSIONS: Pharmacist managed MTAC Diabetes program helped Type 2 Diabetes patients achieve significantly better medication adherence and glycemic control besides being more cost-effective than Standard Care with greater savings in diabetes expenditure to the hospital.</t>
  </si>
  <si>
    <t>(Loganadan N.K.; Lim K.Y.; Nur N.M.; Ariffin F.) 2012 Annual Meeting of the American College of Clinical Pharmacy, ACCP 2012 Hollywood, FL, United States 2012-10-21 to 2012-10-24 Pharmacotherapy Publications Inc.; ID: 1105</t>
  </si>
  <si>
    <t>Lomenech,H.;Gerardin,M.;Rousselet,M.;Vigneau,C.;Jolliet,P.;Author,Addresses;Centre;d'Evaluation et d'Information sur,la Pharmacod;Cedex,France;Correspondence,Address;Lomenech, Centre d'Evaluation et d'Information sur la Pharmacod‚îú‚åêpendance,H.;France,Nantes Cedex</t>
  </si>
  <si>
    <t>Online notification: A real progress for pharmacodependence's cases</t>
  </si>
  <si>
    <t>26 SUPPL.1</t>
  </si>
  <si>
    <t>drug surveillance program;pharmacology;physiology;society;therapy;abuse;adaptation;computer;computer program;France;general practitioner;health practitioner;hospital;human;online system;pharmacist;university hospital;workshop</t>
  </si>
  <si>
    <t>Objective: France is one of the only european countries that has a specific system dedicated to drugs abuse and dependence potential evaluation (Centre for Evaluation and Information on Pharmacodependence, CEIP Network). Records of dependence or abuse cases are notified by health professionals. This system suffers from an under-notification especially by the hospital professionals. To increase and facilitate the collection of notifications, it has been decided to work on a computer tool in Nantes University Hospital. This work aims at presenting the different steps of the development of a software for pharmacodependence's notifications in the hospital. Methods: Call for tender: a company has been chosen to develop a software for the notifications. The software had to be clear, simple, attractive and intuitive for the users. Adaptation of the software: many workshops have been planned to tailor the actual system of notification to the software. It has been adapted to the dependence criteria. Choose of test departments: among the departments that notified most, four have been chosen to test the software. Training: staffs have been trained to declare dependence's cases with this new tool. Launch in the entire hospital Results: The software is installed in every computer of the hospital and operational is the four test departments. In each test department, almost one person masters the software and is able to notify and to explain to the staff. The date for the launch in the entire hospital and a training campaign are planned. Discussion: This new tool facilitates spontaneous pharmacodependence's notifications in Nantes University Hospital. An impact assessment in a few months will evaluate the increase of spontaneous notification since the software's launch. This online system should also increase exchanges between the hospitals departments and the CEIP and could be a tool to send pharmacodependence's messages or alerts. According to the results it would be interesting to adapt this software for pharmacists and general practitioners.</t>
  </si>
  <si>
    <t>(Lomenech H.; Gerardin M.; Rousselet M.; Vigneau C.; Jolliet P.) (Nantes) 16th Annual Meeting of French Society of Pharmacology and Therapeutics, the 79th Annual Meeting of Society of Physiology, the 33th Pharmacovigilance Meeting, the 13th APNET Seminar and the 10th CHU CIC Meeting Dijon, France 2012-04-04 to 2012-04-06 Blackwell Publishing Ltd; ID: 1175</t>
  </si>
  <si>
    <t>Long,P.;Gelfand,G.</t>
  </si>
  <si>
    <t>Alcohol education as primary prevention in health care</t>
  </si>
  <si>
    <t>Adult;Alcoholism/co Complications];Alcoholism/nu Nursing];*Alcoholism/pc Prevention &amp; Control];Alcoholism/px Psychology];Attitude of Health Personnel;Awareness;Curriculum;*Education, Nursing;Female;Humans;Male;Nursing Assessment;*Patient Education as Topic</t>
  </si>
  <si>
    <t>The purpose of this survey research was to identify practicing nurses' knowledge about the biophysiological and psychosocial components of alcohol and its pharmacological effects. Additionally, data were gathered with the intent of assisting nurses in the early identification of and intervention with individuals at risk for the disease of alcoholism. The study consisted of a convenience sample of 298 practicing nurses employed by community hospitals that had been identified as having no specific treatment program for chemical dependency. The investigation obtained self-reported information by means of a questionnaire. The instrument elicited both demographics and the answers to 25 fixed alternative questions designed to obtain information in nine topic areas. Findings indicated that 66% of the nurses incorrectly answered questions aimed at correlating population statistics to the disease of alcoholism and its physiological effects. Questions about knowledge of the pharmacological properties of alcohol were answered incorrectly by 93% of the participants. One-way analysis of variance was computed to compare the total score for each of the variables listed. Conclusions document a critical need for increased alcohol education in basic nursing programs. Content related to the pharmacological properties, the disease concept and the biophysiological and psychosocial effects of alcohol should be included in curriculum design.</t>
  </si>
  <si>
    <t>J2: J; Long, P Gelfand, G; ID: 661</t>
  </si>
  <si>
    <t>Long,P. Department of Family &amp; Community Health Nursing, School of Nursing, State University of New York, Stony Brook 11794.</t>
  </si>
  <si>
    <t>http://ovidsp.ovid.com/ovidweb.cgi?T=JS&amp;CSC=Y&amp;NEWS=N&amp;PAGE=fulltext&amp;D=med3&amp;AN=1560662</t>
  </si>
  <si>
    <t>MEDLINE; Ovid Technologies; Alcohol education as primary prevention in health care</t>
  </si>
  <si>
    <t>Lopes Oliveira,Thatiane;de,Paula Miranda;de,Sousa Fernandes;Prates Caldeira,Ant‚îú‚î§nio</t>
  </si>
  <si>
    <t>Effectiveness of education in health in the nonmedication treatment of arterial hypertension</t>
  </si>
  <si>
    <t>Acta Paulista de Enfermagem</t>
  </si>
  <si>
    <t>184 6p</t>
  </si>
  <si>
    <t>Hypertension -- Therapy;Patient Education;Patient Compliance;Health Behavior;Life Style Changes;Family Services;Brazil;Behavioral Changes;Food Habits;Physical Activity;Smoking;Alcoholism;Blood Pressure;Body Mass Index;Waist Circumference;Outpatients;Prospective Studies;Confidence Intervals;Power Analysis;Questionnaires;DASH Diet;Hypertension -- Diet Therapy;Hypertension -- Classification;Chi Square Test;McNemar's Test;Data Analysis Software;Male;Female;Adult;Middle Age;Aged;Aged, 80 and Over;Marital Status;Educational Status;Human;Descriptive Statistics</t>
  </si>
  <si>
    <t>Objective: To verify the efficacy of health education on the adherence to non-pharmacological treatment inarterial hypertension. Methods: Habits related to nutrition, physical activity and use of tobacco and alcohol were analyzed, as well as assessment of anthropometric and blood pressure levels, before and after the performance of group health education in 216 hypertensive patients. Results: There was a statistically significant change in the consumption of legumes, in the adherence to physical activity, in the reduction of body mass index and abdominal circumference, and in the control of arterial pressure, after the health education groups. Conclusion: The proposed health education was effective in incentivizing the adherence to non-pharmacological treatment in arterial hypertension, evidenced by the relevance of the adoption of these educational strategies for health professionals.</t>
  </si>
  <si>
    <t>Entry Date: 20130703. Revision Date: 20150820. Publication Type: Journal Article; research; tables/charts. Journal Subset: Double Blind Peer Reviewed; Editorial Board Reviewed; Expert Peer Reviewed; Mexico &amp; Central/South America; Nursing; Peer Reviewed. Special Interest: Public Health. Instrumentation: International Physical Activity Questionnaire (IPAQ). NLM UID: 9203117.; ID: 1885</t>
  </si>
  <si>
    <t>0103-2100</t>
  </si>
  <si>
    <t>Universidade Estadual de Montes Claros, Montes Carlos, MG, Brazil</t>
  </si>
  <si>
    <t>http://proxy.lib.umich.edu/login?url=http://search.ebscohost.com/login.aspx?direct=true&amp;db=ccm&amp;AN=104186025&amp;site=ehost-live&amp;scope=site</t>
  </si>
  <si>
    <t>ccm; EBSCOhost; Effectiveness of education in health in the nonmedication treatment of arterial hypertension</t>
  </si>
  <si>
    <t>Lord,S.;Downs,G.;Furtaw,P.;Chaudhuri,A.;Silverstein,A.;Gammaitoni,A.;Budman,S.</t>
  </si>
  <si>
    <t>Nonmedical use of prescription opioids and stimulants among student pharmacists</t>
  </si>
  <si>
    <t>Adolescent;Adult;Alcohol Drinking/ep Epidemiology];*Analgesics, Opioid;Attention/de Drug Effects];*Central Nervous System Stimulants;Cross-Sectional Studies;Educational Status;European Continental Ancestry Group/sn Statistics &amp; Numerical Data];Female;Health Surveys;Humans;Male;*Opioid-Related Disorders/ep Epidemiology];Opioid-Related Disorders/eh Ethnology];Pain/dt Drug Therapy];Peer Group;*Prescription Drugs;Prevalence;Recreation;Risk Factors;*Schools, Pharmacy/sn Statistics &amp; Numerical Data];Sex Factors;Smoking/ep Epidemiology];*Students, Pharmacy/sn Statistics &amp; Numerical Data];*Substance-Related Disorders/ep Epidemiology];Substance-Related Disorders/eh Ethnology];Surveys and Questionnaires;United States/ep Epidemiology];Young Adult;0 (Analgesics, Opioid);0 (Central Nervous System Stimulants);0 (Prescription Drugs)</t>
  </si>
  <si>
    <t>OBJECTIVES: To examine the prevalence and patterns of nonmedical use of prescription opioid analgesics and stimulants among student pharmacists. DESIGN: Descriptive, nonexperimental, cross-sectional study. SETTING: Private urban college of pharmacy in the United States in fall 2006. PARTICIPANTS: 1,538 PharmD students. INTERVENTION: Online survey. MAIN OUTCOME MEASURES: Lifetime and past-year nonmedical prescription opioid and stimulant use. RESULTS: Response rate for the survey was 62%. Lifetime prevalence of opioid misuse was 8%, and 5% of students had misused in the past year. Lifetime prevalence of stimulant misuse was 7%, and 5% had misused in the past year. Whites and fraternity or sorority members were more likely than their peers to have ever misused opioids. Past-year opioid misuse was more likely among whites, men, and low academic achievers compared with their peers. Lifetime stimulant misuse was more likely among students who were white, older, and fraternity or sorority members, while past-year misuse was more likely among whites and low academic achievers. Common motives for opioid misuse were to have fun, to relax, and to deal with chronic pain. Stimulants were used to improve concentration and academic performance. Friends were the most common source of prescription opioids and stimulants. Nonmedical prescription use was associated with greater likelihood of alcohol and other illicit substance use. CONCLUSION: The prevalence of prescription medication misuse among student pharmacists was lower than (opioids) or comparable with (stimulants) reported rates in college populations. Subgroups of students demonstrated higher rates of nonmedical use, including whites, students involved with fraternities or sororities, and low academic achievers. That friends were the primary source of misused medications indicates that diversion of prescription-only controlled substances likely occurs among student pharmacists. Nonmedical prescription medication use should be considered in the context of other substance use.</t>
  </si>
  <si>
    <t>J2: J Am Pharm Assoc (2003); Lord, Sarah Downs, George Furtaw, Paul Chaudhuri, Anamika Silverstein, Amy Gammaitoni, Arnold Budman, Simon; ID: 335</t>
  </si>
  <si>
    <t>Lord,Sarah. National Development and Research Institutes, Inc, New York, USA. lord@ndri.org</t>
  </si>
  <si>
    <t>http://ovidsp.ovid.com/ovidweb.cgi?T=JS&amp;CSC=Y&amp;NEWS=N&amp;PAGE=fulltext&amp;D=med5&amp;AN=19589764</t>
  </si>
  <si>
    <t>http://dx.doi.org/10.1331/JAPhA.2009.08027</t>
  </si>
  <si>
    <t>MEDLINE; Ovid Technologies; Nonmedical use of prescription opioids and stimulants among student pharmacists</t>
  </si>
  <si>
    <t>Lovejoy Jr,F. H.;Edlin,A. I.;Goldman,P.;Author,Addresses;Clin. Pharmacol. Toxicol,Unit;Massachusetts Poison Control Syst, Child Hosp Med Cent,Harvard Med;Sch,Boston Mass;Correspondence,Address;Clin Pharmacol Toxicol Unit, Massachusetts Poison Control,Syst Child;Hosp Med Cent, Harvard Med Sch,Boston Mass</t>
  </si>
  <si>
    <t>540486; Utilization of the Poison Center for the teaching of clinical toxicology to medical and pharmacy students, housestaff, and health care professionals</t>
  </si>
  <si>
    <t>Clinical toxicology</t>
  </si>
  <si>
    <t>Clin.Toxicol.</t>
  </si>
  <si>
    <t>medical education;poison center;toxicology;intoxication;methodology;Public Health, Social Medicine and Epidemiology (17);Health Policy, Economics and Management (36);Clinical and Experimental Pharmacology (30);Occupational Health and Industrial Medicine (35)</t>
  </si>
  <si>
    <t>The Massachusetts Poison Information Center has proved to be a good location for the teaching of clinical toxicology to physicians, pharmacists, and nurses at all periods of their training and professional development. With a continuous source of clinical problems, the availability of sophisticated information resources, and a wide array of clinical consultants, a center can become the setting for formal courses in toxicology, for fellowship training, and for continuing education. Review of clinical cases, discussion of management issues, literature reviews, bedside toxicology teaching, and formal weekly toxicology seminars are used to accomplish the educational goals of the program. We would like to consider a comprehensive Poison Center from the perspective of the educational opportunities it offers to a wide range of health care professionals. The experience of one Poison Center, specifically the Massachusetts Poison Information Center, will be described. The Massachusetts Poison Control System is responsible for coordinating programs relating to the provision of poison information and treatment and professional and public education. It also serves as a source of data of research. The Poison Information Center is the nidus for these efforts. Its full-time staff can be reached via a toll-free, statewide number 24 hr a day, 7 days a week, and receives queries both from the lay public and from health care professionals. Calls are received from physicians, nurses, and pharmacists in hospitals and outpatient facilities and from various suicide and drug-abuse services.</t>
  </si>
  <si>
    <t>(Lovejoy Jr. F.H.; Edlin A.I.; Goldman P.); ID: 1775</t>
  </si>
  <si>
    <t>http://www.ncbi.nlm.nih.gov/pubmed/540486</t>
  </si>
  <si>
    <t>Utilization of the Poison Center for the teaching of clinical toxicology to medical and pharmacy students, housestaff, and health care professionals</t>
  </si>
  <si>
    <t>Lowe,S. L.;Wong,C. J.;Witcher,J.;Gonzales,C. R.;Dickinson,G. L.;Bell,R. L.;Rorick-Kehn,L.;Weller,M.;Stoltz,R. R.;Royalty,J.;Tauscher-Wisniewski,S.;Author,Addresses;Lilly,N. U. S. C.;Pharmacology,National University of Singapore Singapore Singapore;Eli,Lilly;Company,Lilly;Corporate Center,Indianapolis,I.N.United States;InVentiv Health Clinical, Ann,Arbor M.;States;Covance Clinical,Research Unit;In,United States;Correspondence,Address;SL Lowe, Lilly- N U S Centre for Clinical Pharmacology,National University;of Singapore, Singapore Singapore Email lowe stephen,lilly com</t>
  </si>
  <si>
    <t>24619932; Safety, tolerability, and pharmacokinetic evaluation of single- and multiple-ascending doses of a novel kappa opioid receptor antagonist LY2456302 and drug interaction with ethanol in healthy subjects</t>
  </si>
  <si>
    <t>(MAJOR FOCUS);kappa opiate receptor antagonist (clinical trial, drug dose,;pharmacokinetics);ly 2456302 (adverse drug reaction, clinical trial, drug combination, drug;dose, drug interaction, drug therapy, oral drug administration,;alcohol (drug combination, drug interaction);placebo;unclassified drug;drug safety;drug tolerability;adult;anxiety;article;cognition;controlled study;crossover procedure;diarrhea (side effect);double blind procedure;drug absorption;drug blood level;drug dose increase;female;headache (drug therapy);human;liquid chromatography;major clinical study;male;middle aged;motor performance;randomized controlled trial;single drug dose;tandem mass spectrometry;viral upper respiratory tract infection (side effect);DRUG TRADE NAMES;ly 2456302;alcohol (64-17-5);Clinical and Experimental Pharmacology (30);Drug Literature Index (37);Adverse Reactions Titles (38);Neurology and Neurosurgery (8)</t>
  </si>
  <si>
    <t>Accumulating evidence indicates that selective antagonism of kappa opioid receptors may provide therapeutic benefit in the treatment of major depressive disorder, anxiety disorders, and substance use disorders. LY2456302 is a high-affinity, selective kappa opioid antagonist that demonstrates &gt;30-fold functional selectivity over mu and delta opioid receptors. The safety, tolerability, and pharmacokinetics (PK) of LY2456302 were investigated following single oral doses (2-60mg), multiple oral doses (2, 10, and 35mg), and when co-administered with ethanol. Plasma concentrations of LY2456302 were measured by liquid chromatography-tandem mass spectrometry method. Safety analyses were conducted on all enrolled subjects. LY2456302 doses were well-tolerated with no clinically significant findings. No safety concerns were seen on co-administration with ethanol. No evidence for an interaction between LY2456302 and ethanol on cognitive-motor performance was detected. LY2456302 displayed rapid oral absorption and a terminal half-life of approximately 30-40hours. Plasma exposure of LY2456302 increased proportionally with increasing doses and reached steady state after 6-8 days of once-daily dosing. Steady-state PK of LY2456302 were not affected by coadministration of a single dose of ethanol. No clinically important changes in maximum concentration (C(max)) or AUC of ethanol (in the presence of LY2456302) were observed. ‚î¨‚åê 2014, The American College of Clinical Pharmacology.</t>
  </si>
  <si>
    <t>(Lowe S.L., lowe_stephen@lilly.com) (Wong C.J.; Witcher J.; Gonzales C.R.; Dickinson G.L.; Bell R.L.; Rorick-Kehn L.; Tauscher-Wisniewski S.) (Lowe S.L., lowe_stephen@lilly.com; Wong C.J.; Witcher J.; Gonzales C.R.; Dickinson G.L.; Bell R.L.; Rorick-Kehn L.; Weller M.; Stoltz R.R.; Royalty J.; Tauscher-Wisniewski S.) (Stoltz R.R.; Royalty J.) Blackwell Publishing Inc., subscrip@blackwellpub.com; ID: 957</t>
  </si>
  <si>
    <t>http://www.ncbi.nlm.nih.gov/pubmed/24619932</t>
  </si>
  <si>
    <t>Safety, tolerability, and pharmacokinetic evaluation of single- and multiple-ascending doses of a novel kappa opioid receptor antagonist LY2456302 and drug interaction with ethanol in healthy subjects</t>
  </si>
  <si>
    <t>Lubowski,T. J.;Cronin,L. M.;Pavelka,R. W.;Briscoe-Dwyer,L.;Briceland,L. L.;Hamilton,R. A.</t>
  </si>
  <si>
    <t>PMC2064892; Effectiveness of a medication reconciliation project conducted by PharmD students</t>
  </si>
  <si>
    <t>Adult;Aged;Aged, 80 and over;Drug-Related Side Effects and Adverse Reactions;Education, Pharmacy, Graduate/mt Methods];Hospitals, Community/mt Methods];Humans;*Medication Errors/pc Prevention &amp; Control];Middle Aged;Pharmaceutical Preparations/ad Administration &amp; Dosage];*Pharmaceutical Preparations;Pharmacy Service, Hospital/mt Methods];*Students, Pharmacy;0 (Pharmaceutical Preparations)</t>
  </si>
  <si>
    <t>OBJECTIVES: This study evaluated the effectiveness of a medication reconciliation program conducted by doctor of pharmacy (PharmD) students during an advanced pharmacy practice experience. METHODS: Patients admitted to medicine or surgery units at 3 hospitals were included. Students were instructed to interview each patient to obtain a medication history, reconcile this list with the medical chart, and identify and solve drug-related problems. RESULTS: Eleven students reconciled medications for 330 patients over 10 months and identified 922 discrepancies. The median number of discrepancies found per patient was 2, and no discrepancies were found in 25% of the cases. In cases in which discrepancies were identified, a greater number of medications had been prescribed for the patient (7.9 +/- 4.0 medications compared to 5.4 +/- 3.9 medications; p &lt; 0.05). The students completed 59 interventions. Differences were found in the numbers of discrepancies and drug-related problems that different students at different sites identified (p &lt; 0.05). CONCLUSIONS: Pharmacy students provided a valuable service to 3 community hospitals. The students improved the quality of patient care by identifying and solving significant drug-related problems, identifying drug allergy information, and resolving home and admission medication discrepancies.</t>
  </si>
  <si>
    <t>J2: Am J Pharm Educ; Lubowski, Teresa J Cronin, Laurie M Pavelka, Robert W Briscoe-Dwyer, Leigh A Briceland, Laurie L Hamilton, Robert A; ID: 374</t>
  </si>
  <si>
    <t>Lubowski,Teresa J. Albany College of Pharmacy, NY 12208, USA. lubowskt@acp.edu</t>
  </si>
  <si>
    <t>http://ovidsp.ovid.com/ovidweb.cgi?T=JS&amp;CSC=Y&amp;NEWS=N&amp;PAGE=fulltext&amp;D=med5&amp;AN=17998991</t>
  </si>
  <si>
    <t>MEDLINE; Ovid Technologies; Effectiveness of a medication reconciliation project conducted by PharmD students</t>
  </si>
  <si>
    <t>Lui,C.;Noh,H. Y.;Yuan,C. X. J.;Shankar,G.;Author,Addresses;Western,University of;Sciences,College of Pharmacy United States;Correspondence,Address;Lui, Western University of Health Sciences College of Pharmacy United,C.;States</t>
  </si>
  <si>
    <t>Evaluation of the substance detoxification protocols in an acute psychiatric hospital</t>
  </si>
  <si>
    <t>alcohol;clonidine;opiate;phenobarbital;college;detoxification;human;mental hospital;pharmacist;diastolic blood pressure;heart rate;patient;patient care;retrospective study;sample size;systolic blood pressure;withdrawal syndrome</t>
  </si>
  <si>
    <t>1. Background/Rationale: The updated opioid detoxification protocol and alcohol detoxification protocol excluded phenobarbital and clonidine, respectively, from their original protocols. The purpose for the updates was to help better control the withdrawal symptoms from opioids/alcohol detoxification to improve patient care. Our study was designed to compare the efficacy of the opioid detoxification protocols with and without phenobarbital in controlling systolic blood pressure (SBP), diastolic blood pressure (DBP) and heart rate (HR). In addition, we compared the efficacy of the alcohol detoxification protocols with and without clonidine in controlling SBP, DBP and HR. 2.Description of the Innovative Service: We conducted a retrospective study of the subjects who received the opioid or alcohol detoxification from January 2010 to January 2011. For the opioid detoxification, we measured the number of subjects whose average SBP, DBP and HR on day 4 reached their targets in the phenobarbital group vs. no-phenobarbital group. Mean ‚î¨‚ñí SD values were calculated for the reduction from baseline to the 4th-day average. For the alcohol detoxification, we measured the number of subjects whose average SBP, DBP and HR on day 3 reached their targets in the clonidine group vs. noclonidine group. Mean ‚î¨‚ñí</t>
  </si>
  <si>
    <t>(Lui C.; Noh H.Y.; Yuan C.X.J.; Shankar G.) 15th Annual Meeting of the College of Psychiatric and Neurologic Pharmacists, CPNP 2012 Tampa, FL, United States 2012-04-29 to 2012-05-02 SAGE Publications Inc.; ID: 1167</t>
  </si>
  <si>
    <t>Lukiw,W. J.;Author,Addresses;Louisiana State,University Health;Center,L. S. U. N.;Human;Genetics,Gravier Street New Orleans L.A.United States;Correspondence,Address;WJ Lukiw, Louisiana State University Health Sciences,Center L.;Neuroscience Center,of Excellence;Human,Genetics;Gravier Street, New Orleans L A United,States Email;wlukiw@lsuhsc.edu</t>
  </si>
  <si>
    <t>Amyloid beta (A‚ï¨‚ñì) peptide modulators and other current treatment strategies for Alzheimer's disease (AD)</t>
  </si>
  <si>
    <t>Expert Opinion on Emerging Drugs</t>
  </si>
  <si>
    <t>(MAJOR FOCUS);amyloid beta protein (endogenous compound);2,2 dimethyl n (2,4,6 trimethoxyphenyl)dodecanamide (drug therapy,;pharmacology);avasimibe (drug therapy);azd 103 (drug therapy, pharmacology);bapineuzumab (adverse drug reaction, drug dose, drug therapy, intravenous;drug administration);beta secretase inhibitor (clinical trial, drug therapy);bexarotene (drug therapy, oral drug administration, pharmacology);cholinesterase inhibitor (adverse drug reaction, drug therapy, pharmacology);cts 2166 (clinical trial, drug therapy);dimebon (clinical trial, drug therapy);donepezil (clinical trial, drug combination, drug comparison, drug therapy,;pharmacoeconomics, pharmacology);fluindostatin (drug therapy);galantamine (adverse drug reaction, clinical trial, drug comparison, drug;therapy, pharmacoeconomics, pharmacology);gamma secretase inhibitor (adverse drug reaction, drug therapy);homotaurine (clinical trial, drug therapy);hydroxymethylglutaryl coenzyme A reductase inhibitor (drug therapy,;Melissa officinalis extract (drug therapy);memantine (drug combination, drug dose, drug therapy, pharmacology);mevinolin (drug therapy);n methyl dextro aspartic acid receptor blocking agent (drug therapy);nootropic agent (drug therapy, pharmacology);pravastatin (drug therapy);rivastigmine (clinical trial, drug comparison, drug therapy,;Salvia officinalis extract (drug therapy);semagacestat (drug dose, drug therapy, pharmacology);simvastatin (drug therapy);solanezumab (clinical trial, drug therapy);tacrine (adverse drug reaction, drug therapy);tarenflurbil (drug therapy);unclassified drug;unindexed drug;Alzheimer disease (drug therapy, drug therapy, prevention, therapy);alcoholism (drug therapy);article;autism (drug therapy);blood brain barrier;brain disease (side effect);brain edema (side effect);cardiovascular disease (side effect);cerebrovascular disease (side effect);chelation therapy;cognitive defect (side effect);dementia (drug therapy);depression (drug therapy);dose response;drug cost;drug efficacy;extrapyramidal syndrome (side effect);gastrointestinal disease (side effect);gastrointestinal hemorrhage (side effect);Gilles de la Tourette syndrome (drug therapy);glaucoma (drug therapy);headache (side effect);health care need;human;hyperplasia (side effect);immunization;immunopathology (side effect);liver failure (side effect);liver toxicity (side effect);lung disease (side effect);Melissa officinalis;multiple sclerosis (drug therapy);neuropathic pain (drug therapy);neuropathology;neuroprotection;nonhuman;nystagmus (drug therapy);obsessive compulsive disorder (drug therapy);opiate addiction (drug therapy);protein processing;Salvia officinalis;socioeconomics;systemic lupus erythematosus (drug therapy);tinnitus (drug therapy);treatment outcome;treatment planning;unspecified side effect (side effect);urogenital tract disease (side effect);DRUG TRADE NAMES;alzhemed;aricept Pfizer;azd 103;bapineuzumab Pfizer;ci 976;cts 2166;exelon;flurizan;ly 2062430;namenda Forest;nivalin;razadyne;reminyl;DRUG MANUFACTURERS;Forest;Pfizer;2,2 dimethyl n (2,4,6 trimethoxyphenyl)dodecanamide (114289-47-3);amyloid beta protein (109770-29-8);avasimibe (166518-60-1, 166518-61-2);bapineuzumab (648895-38-9);bexarotene (153559-49-0);dimebon (12687-54-6, 20684-30-4, 3613-73-8, 97657-92-6);donepezil (120011-70-3, 120014-06-4, 142057-77-0);fluindostatin (93957-54-1);galantamine (1953-04-4, 357-70-0);homotaurine (3687-18-1);memantine (19982-08-2, 41100-52-1, 51052-62-1);mevinolin (75330-75-5);pravastatin (81093-37-0, 81131-70-6);rivastigmine (129101-54-8);semagacestat (425386-60-3);simvastatin (79902-63-9);solanezumab (955085-14-0);tacrine (1684-40-8, 3198-41-2, 321-64-2);tarenflurbil (51543-40-9);Neurology and Neurosurgery (8);Clinical and Experimental Pharmacology (30);Health Policy, Economics and Management (36);Drug Literature Index (37);Adverse Reactions Titles (38)</t>
  </si>
  <si>
    <t>Introduction: Alzheimer's disease (AD) is a common, progressive neurological disorder whose incidence is reaching epidemic proportions. The prevailing "amyloid cascade hypothesis," which maintains that the aberrant proteolysis of beta-amyloid precursor protein (‚ï¨‚ñìAPP) into neurotoxic amyloid beta (A‚ï¨‚ñì) peptides is central to the etiopathology of AD, continues to dominate pharmacological approaches to the clinical management of this insidious disorder. This review is a compilation and update on current pharmacological strategies designed to down-regulate A‚ï¨‚ñì42 peptide generation in an effort to ameliorate the tragedy of AD. Areas covered: This review utilized online data searches at various open online-access websites including the Alzheimer Association, Alzheimer Research Forum; individual drug company databases; the National Institutes of Health (NIH) Medline; Pharmaprojects database; Scopus; inter-University research communications; and unpublished research data. Expert opinion: Anti-acetylcholinesterase-, chelation-, N-methyl-D-aspartate (NMDA) receptor antagonist-, statin-, A‚ï¨‚ñì immunization-, ‚ï¨‚ñì-secretase-, ‚ï¨‚îÇ-secretase-based, and other strategies to modulate ‚ï¨‚ñìAPP processing, have dominated pharmacological approaches directed against</t>
  </si>
  <si>
    <t>(Lukiw W.J., wlukiw@lsuhsc.edu) Informa Healthcare, 69-77 Paul Street, London, United Kingdom.; ID: 1180</t>
  </si>
  <si>
    <t>1472-8214</t>
  </si>
  <si>
    <t>2012177323 FULL TEXT LINK http://dx.doi.org/10.1517/14728214.2012.672559</t>
  </si>
  <si>
    <t>Lukovic,J. A.;Miletic,V.;Pekmezovic,T.;Trajkovic,G.;Ratkovic,N.;Aleksic,D.;Grgurevic,A.</t>
  </si>
  <si>
    <t>PMC4263675; Self-medication practices and risk factors for self-medication among medical students in Belgrade, Serbia</t>
  </si>
  <si>
    <t>e114644</t>
  </si>
  <si>
    <t>Attitude of Health Personnel;Cross-Sectional Studies;Female;Humans;Male;Risk Factors;Self Medication/px Psychology];*Self Medication/sn Statistics &amp; Numerical Data];Serbia;Students, Medical/px Psychology];*Students, Medical/sn Statistics &amp; Numerical Data];Surveys and Questionnaires;Young Adult</t>
  </si>
  <si>
    <t>INTRODUCTION: Self-medication among future health care professionals can represent a serious threat to professionalism in medicine and it has potential to put at risk public trust into this profession. The aim of this research was to investigate prevalence and risk factors for self-medication among population of medical students, because it was previously shown that their attitudes towards pharmacotherapy could affect the way they could prescribe medication in the future. MATERIAL AND METHODS: Research was performed as a cross-sectional study and it included 1296 (84.1%) 1st, 3rd and 6th year students of School of Medicine, University of Belgrade. Students filled out a demographic and self-medication questionnaire created for the purpose of this research and the Physical Health Questionnaire - 9 (PHQ-9). Questions about self-medication were related to the period of the previous year. RESULTS: Self-medication was reported by 79.9% students. The most frequently self-prescribed medications were analgesics (55.4%). Independent risk factors for self-medication were possession of home-pharmacies (OR = 5.3, CI 95% 3.89-7.23), lower level of father's education (OR = 1.6, CI 95% 1.18-2.25), consumption of alcoholic beverages (OR = 1.5, CI 95% 1.13-2.08), less than 1 hour spent in physical activity per week (OR = 1.4, CI 95% 1.00-2.02), female gender (OR = 1.4, CI 95% 1.02-1.89), older age (OR = 1.1, CI 95% 1.07-1.21) and higher PHQ-9 score (OR = 1.09, CI 95% 1.05-1.12). CONCLUSIONS: Self-medication is an important issue among population of medical students. Prevalence of self-medication could be controlled through regulatory authorities and further education.</t>
  </si>
  <si>
    <t>J2: PLoS ONE; Lukovic, Jasminka Adzic Miletic, Vladimir Pekmezovic, Tatjana Trajkovic, Goran Ratkovic, Nevena Aleksic, Danijela Grgurevic, Anita; ID: 30</t>
  </si>
  <si>
    <t>Lukovic,Jasminka Adzic. Institute of Epidemiology, School of Medicine, University of Belgrade, Belgrade, Serbia. Miletic,Vladimir. Association for Mental Health Promotion, Belgrade, Serbia. Pekmezovic,Tatjana. Institute of Epidemiology, School of Medicine, University of Belgrade, Belgrade, Serbia. Trajkovic,Goran. Institute of Medical Statistics and Informatics, School of Medicine, University of Belgrade, Belgrade, Serbia. Ratkovic,Nevena. Clinical Centre of Serbia, Belgrade, Serbia. Aleksic,Danijela. Clinical Centre of Serbia, Belgrade, Serbia. Grgurevic,Anita. Institute of Epidemiology, School of Medicine, University of Belgrade, Belgrade, Serbia.</t>
  </si>
  <si>
    <t>http://ovidsp.ovid.com/ovidweb.cgi?T=JS&amp;CSC=Y&amp;NEWS=N&amp;PAGE=fulltext&amp;D=medl&amp;AN=25503967</t>
  </si>
  <si>
    <t>http://dx.doi.org/10.1371/journal.pone.0114644</t>
  </si>
  <si>
    <t>MEDLINE; Ovid Technologies; Self-medication practices and risk factors for self-medication among medical students in Belgrade, Serbia</t>
  </si>
  <si>
    <t>Luo,Q. H.;Ma,Z. T.;Yu,H. P.;Du,X. D.;Meng,H. Q.;Author,Addresses;Mental;Health Center, Hospital of Chongqing Medical,University Chongqing;China;Pinghu Section, Three Gorges Central,Hospital Fuling;China;Correspondence,Address;Q-H Luo, Mental Health Center Hospital of Chongqing,Medical University;Chongqing,China Email doctorlqh hotmail com</t>
  </si>
  <si>
    <t>Heroin-dependence and detoxification in the expression of brain-derived neurotrophic factor in rat</t>
  </si>
  <si>
    <t>(MAJOR FOCUS);brain derived neurotrophic factor (endogenous compound);messenger RNA (endogenous compound);morphine (subcutaneous drug administration);naloxone (drug therapy, subcutaneous drug administration);detoxification;heroin dependence (drug therapy);abstinence;animal experiment;animal model;article;controlled study;drug response;frontal lobe;hippocampus;immunohistochemistry;in situ hybridization;locus ceruleus;male;nonhuman;rat;statistical analysis;statistical significance;DRUG MANUFACTURERS;Beijing Sihuan Pharmaceuticals;Shenyang;brain derived neurotrophic factor (218441-99-7);morphine (52-26-6, 57-27-2);naloxone (357-08-4, 465-65-6);Drug Literature Index (37);Drug Dependence, Alcohol Abuse and Alcoholism (40);Neurology and Neurosurgery (8)</t>
  </si>
  <si>
    <t>Background: Multiple applications of opium medicines can induce the accommodative changes of morphology and function in some intracerebral. nerve positions. These accommodative changes are important neurobiological bases inducing drug-desire and re-addiction after detoxification. However, the actual molecular mechanism is unclear at present. Objective: To investigate the impacts of the generation of heroin-dependence and detoxification on brain-derived neurotrophic factor (BDNF) in rat to provide a laboratorial gist for the participation of BDNS in heroin-dependence and detoxification. Design: A randomized controlled study by employing experimental animals as subjects. Setting: Mental health center of a medical university affiliated hospital. Materials: The study was conducted in the Laboratory of Pharmacology, Faculty of Pharmacology, Chongqing Medical University between March 2004 and July 2004. Totally 30 inbreeding clean male SD rats with a bodymass between 200 g and 250 g were obtained from the Experimental Animal Center of the Third Military Medical University of Chinese PLA. Rats were randomly divided into blank control group(control group), heroin-dependent group (heroin group), and naloxone detoxification group(naloxone group) with 10 rats each. Methods: Morphine was subcutaneously injected into the rat with dose-increasing method to establish heroin-dependence rat model. Rats of naloxone group received subcutaneously injection of 2 mg/kg of naloxone to excite abstinent symptoms. The same dose of normal saline(NS) was injected in rats of control group. Model rats of each group were observed biologically and behaviorally. BDNF expression at different brain zone of rats in three different groups was tested with immunohistochemistry and digoxin-labeled oligonucleoide probe in situ hybridization technique. Main outcome measures: 1 The comparison of BDNF protein, BDNFmRNA mean optical density in the brain of rats among each group; 2 Comparison of the evaluation of abstinent symptoms in rats of each group. Results: In the heroin group, the relative content of BDNF protein was higher in frontal lobe cortex, locus caeruleus and hippocampus, than that of the control group(P &lt; 0.05); BDNFmRNA relative content was higher in frontal lobe cortex than that of the control group(P &lt; 0.05). In naloxone group, BDNF and its mRNA relative contents in frontal lobe cortex, locus caeruleus and hippocampus were higher than that of heroin group and control group(P &lt; 0.05). Conclusion: Chronic administration of heroin could affect BDNF protein and its mRNA expressions in the corresponding brain areas of the rats, which suggests that the change of BDNF expression participates in heroin-dependence and detoxification.</t>
  </si>
  <si>
    <t>(Luo Q.-H., doctorlqh@hotmail.com; Yu H.-P.; Du X.-D.; Meng H.-Q.) (Ma Z.-T.); ID: 1551</t>
  </si>
  <si>
    <t>Lutnick,A.;Cooper,E.;Dodson,C.;Bluthenthal,R.;Kral,A. H.</t>
  </si>
  <si>
    <t>PMC3675724; Pharmacy syringe purchase test of nonprescription syringe sales in San Francisco and Los Angeles in 2010</t>
  </si>
  <si>
    <t>Commerce;Communicable Disease Control;Community Pharmacy Services/lj Legislation &amp; Jurisprudence];*Community Pharmacy Services;Humans;Los Angeles;Needle-Exchange Programs;Qualitative Research;San Francisco;Substance Abuse, Intravenous;Syringes/ec Economics];*Syringes/sd Supply &amp; Distribution]</t>
  </si>
  <si>
    <t>The two main legal sources of clean needles for illicit injection drug users (IDUs) in California are syringe exchange programs (SEPs) and nonprescription syringe sales (NPSS) at pharmacies. In 2004, California became one of the last states to allow NPSS. To evaluate the implementation of NPSS and the California Disease Prevention Demonstration Project (DPDP), we conducted syringe purchase tests in San Francisco (SF) and Los Angeles (LA) between March and July of 2010. Large differences in implementation were observed in the two cities. In LA, less than one-quarter of the enrolled pharmacies sold syringes to our research assistant (RA), and none sold a single syringe. The rate of successful purchase in LA is the lowest reported in any syringe purchase test. In both sites, there was notable variation among the gauge size available, and price and quantity of syringes required for a purchase. None of the DPDP pharmacies in LA or SF provided the requisite health information. The findings suggest that more outreach needs to be conducted with pharmacists and pharmacy staff. The pharmacies' failure to disseminate the educational materials may result in missed opportunities to provide needed harm reduction information to IDUs. The varied prices and required quantities may serve as a barrier to syringe access among IDUs. Future research needs to examine reasons why pharmacies do not provide the mandated information, whether the omission of disposal options is indicative of pharmacies' reluctance to serve as disposal sites, and if the dual opt-in approach of NPSS/DPDP is a barrier to pharmacy enrollment.</t>
  </si>
  <si>
    <t>J2: J Urban Health; Lutnick, Alexandra Cooper, Erin Dodson, Chaka Bluthenthal, Ricky Kral, Alex H 1R21DA024966-01A1 (United States NIDA NIH HHS); ID: 148</t>
  </si>
  <si>
    <t>Lutnick,Alexandra. Urban Health Program, RTI International, San Francisco, CA, USA. alutnick@rti.org</t>
  </si>
  <si>
    <t>http://ovidsp.ovid.com/ovidweb.cgi?T=JS&amp;CSC=Y&amp;NEWS=N&amp;PAGE=fulltext&amp;D=medl&amp;AN=22718357</t>
  </si>
  <si>
    <t>http://dx.doi.org/10.1007/s11524-012-9713-7</t>
  </si>
  <si>
    <t>MEDLINE; Ovid Technologies; Pharmacy syringe purchase test of nonprescription syringe sales in San Francisco and Los Angeles in 2010</t>
  </si>
  <si>
    <t>Lydiard,R. B.</t>
  </si>
  <si>
    <t>An overview of generalized anxiety disorder: disease state--appropriate therapy</t>
  </si>
  <si>
    <t>22 Suppl A</t>
  </si>
  <si>
    <t>A3</t>
  </si>
  <si>
    <t>19; discussion A20-4</t>
  </si>
  <si>
    <t>Adolescent;Adult;Antidepressive Agents/tu Therapeutic Use];Anxiety Disorders/di Diagnosis];Anxiety Disorders/ep Epidemiology];*Anxiety Disorders/th Therapy];Benzodiazepines/tu Therapeutic Use];Diagnosis, Differential;Female;Humans;Male;Mental Disorders/di Diagnosis];Middle Aged;Panic Disorder/di Diagnosis];Panic Disorder/th Therapy];0 (Antidepressive Agents);12794-10-4 (Benzodiazepines)</t>
  </si>
  <si>
    <t>OBJECTIVE: This article reviews the prevalence, diagnosis, and treatment of generalized anxiety disorder (GAD). BACKGROUND: Patients with GAD often present to primary care physicians; frequently the disorder manifests with somatic symptoms that have no identifiable physiologic foundation. Accurate diagnosis and treatment often prove elusive, and health care resources are inappropriately consumed in the management of a wide array of complaints, including headache, noncardiac angina, fatigue, insomnia, or abdominal discomfort. Early diagnosis and intervention are critical; GAD is frequently associated with other anxiety and mood disorders, major depressive disorder among them. The differential diagnosis of GAD is complex, including medication side effects and substance-related dependence or withdrawal phenomena, as well as endocrine, neurologic, cardiorespiratory, and autoimmune disorders. CONCLUSIONS: GAD is differentiated from adjustment disorder with anxiety because only GAD can manifest without identifiable emotional stressors; it is differentiated from panic disorder largely on the basis of the chronicity of GAD and the episodic, abrupt nature of panic attacks, with the involvement of at least 4 autonomic, cardiopulmonary, neurologic, or other symptoms. In addition to psychotherapy, education, lifestyle modifications, and social support, several pharmacologic agents may be appropriate therapy for GAD. Given the chronic, nonremitting, relapsing character of GAD, use of benzodiazepines, which confer short-term relief, is usually ill-advised in long-term treatment because these agents can impair cognitive and psychomotor function, interact with various central nervous system depressants (eg, alcohol), and exhibit substantial potential for abuse, tolerance, dependence, and withdrawal effects. Buspirone and certain antidepressants, including the dual noradrenergic-serotonergic reuptake inhibitor venlafaxine, represent first-line therapy for GAD. References: 51]</t>
  </si>
  <si>
    <t>J2: Clin Ther; Lydiard, R B; ID: 538</t>
  </si>
  <si>
    <t>Lydiard,R B. Institute of Psychiatry, Medical University of South Carolina, Charleston 29425, USA.</t>
  </si>
  <si>
    <t>http://ovidsp.ovid.com/ovidweb.cgi?T=JS&amp;CSC=Y&amp;NEWS=N&amp;PAGE=fulltext&amp;D=med4&amp;AN=10815647</t>
  </si>
  <si>
    <t>MEDLINE; Ovid Technologies; An overview of generalized anxiety disorder: disease state--appropriate therapy</t>
  </si>
  <si>
    <t>Lynch,T.</t>
  </si>
  <si>
    <t>Management of drug-drug interactions: considerations for special populations--focus on opioid use in the elderly and long term care</t>
  </si>
  <si>
    <t>17 Suppl 11</t>
  </si>
  <si>
    <t>S293</t>
  </si>
  <si>
    <t>Aged;Aging/ph Physiology];Analgesics, Opioid/ae Adverse Effects];*Analgesics, Opioid/pk Pharmacokinetics];Analgesics, Opioid/tu Therapeutic Use];*Chronic Pain/dt Drug Therapy];Cognition Disorders;Comorbidity;Cytochrome P-450 Enzyme System/me Metabolism];*Drug Interactions;Humans;*Long-Term Care;Polypharmacy;0 (Analgesics, Opioid);9035-51-2 (Cytochrome P-450 Enzyme System)</t>
  </si>
  <si>
    <t>Elderly patients and residents in long term care facilities requiring pain medication often have multiple pharmacologic and physiologic factors that can impact the choice of analgesic. One particular problem with prescribing opioids to the elderly and long term care residents is that opioid safety and efficacy have not been well studied in these populations, and it may be difficult to predict how these patients will respond to opioid treatment. As people age, numerous physiological changes occur, which may affect opioid pharmacokinetics and the potential for drug-drug interactions (DDIs). Long term care residents include the elderly but also include many younger patients who require assistance for a variety of reasons, such as physical or mental disability. Many elderly and long term care patients have cognitive deficits that impede communication about their pain, thus making detection of opioid DDIs more difficult. Knowledge of the patient's medical history and current prescriptions can help guide the pain management team in the selection of treatment, help minimize the risk of DDIs, and provide these patients with the pain relief they require. There are several practice management recommendations for opioid therapy in the elderly and long term care residents, with the goal of optimizing analgesia while avoiding adverse events and drug interactions.</t>
  </si>
  <si>
    <t>J2: Am J Manag Care; Lynch, Tom; ID: 230</t>
  </si>
  <si>
    <t>1936-2692</t>
  </si>
  <si>
    <t>Lynch,Tom. Department of Family and Community Medicine, Eastern Virginia Medical School, 651 Colley Avenue, Norfolk, VA 23507, USA. lyncht@evms.edu</t>
  </si>
  <si>
    <t>http://ovidsp.ovid.com/ovidweb.cgi?T=JS&amp;CSC=Y&amp;NEWS=N&amp;PAGE=fulltext&amp;D=med5&amp;AN=21999762</t>
  </si>
  <si>
    <t>MEDLINE; Ovid Technologies; Management of drug-drug interactions: considerations for special populations--focus on opioid use in the elderly and long term care</t>
  </si>
  <si>
    <t>Lynn,N. J.;Ellis,J. M.</t>
  </si>
  <si>
    <t>Pharmacists' liability into the year 2000</t>
  </si>
  <si>
    <t>52; quiz 753-4</t>
  </si>
  <si>
    <t>Forecasting;Humans;*Legislation, Pharmacy;*Liability, Legal;*Pharmaceutical Services/lj Legislation &amp; Jurisprudence];*Pharmacists/lj Legislation &amp; Jurisprudence];United States</t>
  </si>
  <si>
    <t>OBJECTIVE: To educate the pharmacy community regarding areas of potential liability arising from the pharmacist's role in the changing health care delivery system. DATA SOURCES: Published cases (LEXIS and Westlaw), literature (NEXIS and Westlaw), and abstracts available through July 1998. CASE SELECTION AND DATA ABSTRACTION: Selected on the basis of the authors' objectives and the usefulness of the information for practicing pharmacists. DATA SYNTHESIS: As the pharmacist's role in the health care delivery system continues to change, so too does the pharmacist's exposure to liability. Although historically a pharmacist had no common law "duty to warn," new laws requiring a pharmacist to counsel patients, along with increased scrutiny by the media, have increased the pharmacist's potential for liability. An evaluation of recent case law indicates that state courts are increasingly willing to extend a pharmacist's duty to warn where the pharmacist has special knowledge of the patient or the patient's condition, contraindicated drug usage, where a prescription substantially exceeds the maximum safe dosage, or where a pharmacist fills or refills a prescription without physician authorization. A recent issue that may add to the list of potential liability concerns is the substitution of generically equivalent narrow therapeutic index drug products. CONCLUSION: The pharmacist's role in the ever changing health care delivery system, along with the public's increased scrutiny of pharmacists' dispensing practices, may inevitably extend a pharmacist's duty to warn a patient of potential problems related to prescription drug products. This trend is expected to continue into the new millennium. References: 10]</t>
  </si>
  <si>
    <t>J2: J Am Pharm Assoc (Wash); Lynn, N J Ellis, J M; ID: 577</t>
  </si>
  <si>
    <t>Lynn,N J. Health Law Department of Holleb &amp; Coff, Chicago, Ill. 60603-5896, USA. nLynn@holleb-law.com</t>
  </si>
  <si>
    <t>http://ovidsp.ovid.com/ovidweb.cgi?T=JS&amp;CSC=Y&amp;NEWS=N&amp;PAGE=fulltext&amp;D=med4&amp;AN=9861793</t>
  </si>
  <si>
    <t>MEDLINE; Ovid Technologies; Pharmacists' liability into the year 2000</t>
  </si>
  <si>
    <t>Macalino,G. E.;Springer,K. W.;Rahman,Z. S.;Vlahov,D.;Jones,T. S.</t>
  </si>
  <si>
    <t>Community-based programs for safe disposal of used needles and syringes</t>
  </si>
  <si>
    <t>S111</t>
  </si>
  <si>
    <t>Australia;Blood-Borne Pathogens;Canada;*Communicable Disease Control;Communicable Diseases/tm Transmission];*Consumer Participation;Diabetes Mellitus/dt Drug Therapy];Humans;Insulin/ad Administration &amp; Dosage];*Medical Waste Disposal;*Needles;Needlestick Injuries/pc Prevention &amp; Control];*Substance Abuse, Intravenous;*Syringes;United States;0 (Insulin);0 (Medical Waste Disposal)</t>
  </si>
  <si>
    <t>OBJECTIVES: To review issues related to discarded syringes in the community and to describe community-based programs for the safe disposal of used needles and syringes. METHODS: We used the medical literature and chain referral to identify community-based syringe disposal programs other than syringe exchange programs (SEPs). We held a workshop in June 1996 involving staff from disposal programs; manufacturers of syringes, sharps containers, and other disposal devices; solid waste companies; public health staff; and researchers. RESULTS: Fifteen programs for the safe disposal of syringes were identified in the United States, Canada, and Australia. Of these, 12 primarily served persons with diabetes who use insulin, and 3 primarily served injection drug users (IDUs). The programs used three major strategies: puncture-resistant containers discarded in trash, community drop boxes, and sharps containers turned in for biohazard disposal at community sites, hospitals, or pharmacies. Participants in the workshop described key points in developing syringe disposal programs. Programs should involve pharmacists, physicians, waste disposal companies, public health departments, hospitals, diabetes educators, persons with diabetes who use insulin, and IDUs. For IDUs, criminal penalties for possession of syringes are a substantial deterrent to participation in community efforts to safely dispose of used syringes. The multiple and sometimes conflicting local, state, and federal laws and regulations concerning medical waste hinder development of multistate or national approaches to the safe disposal of syringes. More information is needed on community-based syringe disposal programs. CONCLUSION: Communities in the United States, Canada, and Australia have developed different approaches to achieve safe disposal of used syringes. References: 36]</t>
  </si>
  <si>
    <t>J2: J Acquir Immune Defic Syndr Hum Retrovirol; Macalino, G E Springer, K W Rahman, Z S Vlahov, D Jones, T S; ID: 589</t>
  </si>
  <si>
    <t>Macalino,G E. Department of Epidemiology, The Johns Hopkins School of Hygiene and Public Health, Baltimore, Maryland 21205, USA. gmacalin@jhsph.edu</t>
  </si>
  <si>
    <t>http://ovidsp.ovid.com/ovidweb.cgi?T=JS&amp;CSC=Y&amp;NEWS=N&amp;PAGE=fulltext&amp;D=med4&amp;AN=9663633</t>
  </si>
  <si>
    <t>MEDLINE; Ovid Technologies; Community-based programs for safe disposal of used needles and syringes</t>
  </si>
  <si>
    <t>MacDonald,R. M.;MacInnis,W. A.</t>
  </si>
  <si>
    <t>The issues of chemical dependency in dentistry</t>
  </si>
  <si>
    <t>Journal (Canadian Dental Association)</t>
  </si>
  <si>
    <t>J.Can.Dent.Assoc.</t>
  </si>
  <si>
    <t>4, 876</t>
  </si>
  <si>
    <t>Canada/ep Epidemiology];*Dentists;Humans;Prevalence;*Professional Impairment;Substance-Related Disorders/ep Epidemiology];*Substance-Related Disorders;United States/ep Epidemiology]</t>
  </si>
  <si>
    <t>The problem of chemical dependency is a topical issue in society today. With the increase in the number and types of prescription drugs, the proliferation of illegal drugs, and easy access to alcohol, chemical dependency has no socioeconomic boundaries. Professionals, blue collar workers and students, both male and female, are susceptible to the problem. The purpose of this paper is to review the literature on chemical dependency as it relates to the profession of dentistry. It will also look at the definition, prevalence, etiology, recognition, treatment and prevention of chemical dependency. Most of the evidence from the literature indicates that chemical dependency is a disease; it is treatable and can be prevented. The treatment of the disease requires the input of support groups at the professional level as well as at student level. The prevention of chemical dependency must begin in the curricula of dental schools with emphasis on the pharmacology and interaction of drugs. References: 23]</t>
  </si>
  <si>
    <t>J2: J Can Dent Assoc; MacDonald, R M MacInnis, W A; ID: 667</t>
  </si>
  <si>
    <t>0709-8936</t>
  </si>
  <si>
    <t>MacDonald,R M. Faculty of Dentistry, Dalhousie University, Halifax, N.S.</t>
  </si>
  <si>
    <t>http://ovidsp.ovid.com/ovidweb.cgi?T=JS&amp;CSC=Y&amp;NEWS=N&amp;PAGE=fulltext&amp;D=med3&amp;AN=1747816</t>
  </si>
  <si>
    <t>MEDLINE; Ovid Technologies; The issues of chemical dependency in dentistry</t>
  </si>
  <si>
    <t>MacFadyen,L.;Eadie,D.;McGowan,T.</t>
  </si>
  <si>
    <t>Community pharmacists' experience of over-the-counter medicine misuse in Scotland</t>
  </si>
  <si>
    <t>Journal of the Royal Society for the Promotion of Health</t>
  </si>
  <si>
    <t>*Ethics, Professional;Evaluation Studies as Topic;Humans;Nonprescription Drugs/ae Adverse Effects];*Nonprescription Drugs/st Standards];*Pharmacists;Professional Role;Public Health;Scotland;Self Medication/ae Adverse Effects];*Self Medication/st Standards];*Substance-Related Disorders;0 (Nonprescription Drugs)</t>
  </si>
  <si>
    <t>Over the last decade Britain has observed a trend towards the re-regulation of 'prescription only medicines' in favour of pharmacy status drugs. This move towards self-treatment to reduce pressures on general practitioner drug budgets and workloads has focused attention on the need for community pharmacists to extend their patient education and screening roles. In response to these changes, this study was conducted to explore: the type of over-the-counter (OTC) medicine being misused in Scotland; pharmacists' professional attitudes and management of OTC misuse; and the training and support needs of pharmacists. A postal questionnaire was designed. This was informed by an earlier stage of qualitative research and the available literature. It was then piloted and administered to all 110 pharmacies in the study area. A 79% response rate was achieved. The research found that OTC misuse, particularly of certain analgesics, sleeping prescriptions, products containing codeine or pseudoephedrine, caffeine, cough mixtures, and laxatives was common. The estimated mean number of patients suspected of misusing medicines in a typical week was 5.63. Pharmacies in urban areas were more likely than those in rural areas to report suspected misuse. The research identified a number of intervention strategies relating to: patient/pharmacist interaction; information provision; removal of products from the point of sale; sharing of information with other local pharmacists; and referral to other members of the primary care team. Pharmacists expressed a need for support in managing OTC misuse and in organising 'early warning systems' to share information locally.</t>
  </si>
  <si>
    <t>J2: J R Soc Promot Health; MacFadyen, L Eadie, D McGowan, T; ID: 535</t>
  </si>
  <si>
    <t>1466-4240</t>
  </si>
  <si>
    <t>MacFadyen,L. Centre for Social Marketing, University of Strathclyde, 173 Cathedral Street, Glasgow G4 0RQ, Scotland. l.macfadyen@csm.market.strath.ac.uk</t>
  </si>
  <si>
    <t>http://ovidsp.ovid.com/ovidweb.cgi?T=JS&amp;CSC=Y&amp;NEWS=N&amp;PAGE=fulltext&amp;D=med4&amp;AN=11688306</t>
  </si>
  <si>
    <t>MEDLINE; Ovid Technologies; Community pharmacists' experience of over-the-counter medicine misuse in Scotland</t>
  </si>
  <si>
    <t>Maes,K.;Bruch,S.;Hersberger,K.;Lampert,M.;Author,Addresses;Department of,pharmaceutical;sciences,Pharmaceutical Care Research Group University of Basel Basel;Switzerland;Clinical Pharmacy,Kantonsspital Baselland;Bruderholz,Switzerland;Correspondence,Address;Maes, Department of pharmaceutical sciences Pharmaceutical Care Research,K.;Group,University of Basel Basel Switzerland</t>
  </si>
  <si>
    <t>Drug-related problems in community pharmacies: A new tool to classify pharmaceutical interventions</t>
  </si>
  <si>
    <t>clinical pharmacy;human;patient safety;pharmacy;accuracy;cardiac resynchronization therapy device;classification;drug therapy;hospital;kappa statistics;Likert scale;medication therapy management;patient;pharmacist;pharmacy student;prescription;questionnaire;reliability;satisfaction;student;Swiss;validity</t>
  </si>
  <si>
    <t>Background and objective: A classification system of pharmaceutical interventions (GSASA system) was implemented in several Swiss hospitals, while in community pharmacies no standardised classification is used. To promote mutual information (seamless care), the structure of the classification system should be similar for both settings but provide different levels of details, and support medication management along the patient pathway. Our objectives were to adapt the existing GSASA system to suit the community pharmacy setting and to perform a first validation of the new tool. Setting and method: Based on an exploratory trial using the GSASA system and protocols of medication reviews performed in community pharmacies, we developed a modified classification system. During a 6-week trial, 5th-year pharmacy students (n = 77) collected 10 discharge and ambulatory prescriptions requiring an intervention. They received training to thoroughly document each case with short description, prescription copy, and classification forms for each intervention. This allowed assessing appropriateness, interpretability, and validity. Acceptability and feasibility were tested by a 10-item questionnaire and 5-point Likert scales (1 = strongly disagree, 5 = strongly agree). To determine inter-rater reliability, the same students (n = 58) classified 3 standard cases and Fleiss-Kappa coefficients k were calculated. Main outcome measures: Proportion of fully classified interventions, comprehensiveness of the classification, user's satisfaction, inter-rater reliability (Fleiss-Kappa coefficients) Results: The classification system includes 5 main categories and 52 subcategories. Out of all interventions (n = 725), 39 (5.4 %) could not be fully classified. Out of 76 students, 30 (39.5 %) agreed that time expenditure to classify a drug-related problem (DRP) was appropriate (mean user agreement 3.05 ‚î¨‚ñí 1.12). They reported more difficulties to find the proper classification for DRPs in the categories 'problem' (3.12 ‚î¨‚ñí 1.15) and 'cause' (3.25 ‚î¨‚ñí 1.18), than in the others. This is reflected by the moderate users agreement for the categories 'problem' (k = 0.53) and 'cause' (k = 0.45), while substantial agreement for the categories 'type of problem' (k = 0.70) and 'intervention' (k = 0.76) was obtained. Conclusions: The new classification system for pharmaceutical interventions, adapted for community pharmacies, reached good inter-rater reliability (all categories with k&gt;0.4), high rating of acceptability and feasibility, and almost all interventions could be classified. Further refinements are needed to improve the precision of the tool and to enable final validation with practicing community pharmacists.</t>
  </si>
  <si>
    <t>(Maes K.; Bruch S.; Hersberger K.; Lampert M.) (Maes K.; Lampert M.) 43rd ESCP International Symposium on Clinical Pharmacy Patient Safety: Bridging the Gaps Copenhagen, Denmark 2014-10-22 to 2014-10-24 Kluwer Academic Publishers; ID: 848</t>
  </si>
  <si>
    <t>Maes,Karen;Tremp,Regina;Hersberger,Kurt;Lampert,Markus;Maes,Karen A.;Tremp,Regina M.;pharmacy,Gsasa Working group on clinical;Hersberger,Kurt E.;Lampert,Markus L.</t>
  </si>
  <si>
    <t>Demonstrating the clinical pharmacist's activity: validation of an intervention oriented classification system</t>
  </si>
  <si>
    <t>1171 10p</t>
  </si>
  <si>
    <t>Background: Clinical pharmacists are increasingly involved in detecting and solving drug-related problems. To document their performance, a convenient tool to code pharmaceutical interventions in daily practice is desirable. The Swiss Society of Public Health Administration and Hospital Pharmacists (GSASA) proposed to implement a new classification system for pharmaceutical interventions.Objectives: To develop and validate a classification system for pharmaceutical interventions and to compare it with the well-established Pharmaceutical Care Network Europe (PCNE) system.Setting: Rehabilitation clinic, geriatric and orthopaedic wards of a 427-bed teaching hospital.Methods: Development of the GSASA classification started with expert panel discussions and the validation of the first version (GSASA V1). To assess appropriateness, interpretability, and validity, clinical pharmacists documented during a 6-week period all interventions using GSASA V1 and PCNE version 6.2 (V6.2). Acceptability and feasibility were tested by an 8-item questionnaire with 5-point Likert scale (1 = strongly disagree, 5 = strongly agree), and inter-rater reliability (Fleiss-Kappa coefficients ‚ï¨‚ïë) was determined. After revision, the second version (V2) was assessed again for reliability.Mean Outcome Measures: User's agreement/satisfaction, comprehensiveness/reliability of the classification system.Results: The GSASA V1 includes 4 categories and 35 subcategories. Of 115 interventions classified with GSASA V1, 93 (80.9 %) could be completely classified in all categories. This explains that 3 of 6 users could be not satisfied with the comprehensiveness of GSASA V1 (mean user agreement 2.7 ‚î¨‚ñí 0.8). The questionnaire showed that all users could find GSASA V1 (4.0 ‚î¨‚ñí 0.0) easier to use than PCNE V6.2 (3.0 ‚î¨‚ñí 0.9). Users were generally satisfied with the GSASA V1 (3.5 ‚î¨‚ñí 0.8), especially with the adequate time expenditure (4.0 ‚î¨‚ñí 0.7). Inter-rater reliability and acceptability of GSASA V1 were comparable to those of the PCNE V6.2. The agreement among the GSASA V1 users was substantial for the categories 'problem' (‚ï¨‚ïë = 0.66), 'intervention' (‚ï¨‚ïë = 0.74), and 'outcome' (‚ï¨‚ïë = 0.63), while moderate agreement for the category 'cause' was obtained (‚ï¨‚ïë = 0.53). The final system GSASA V2 includes 5 categories (addition of 'type of problem') and 41 subcategories. Total inter-rater reliability was moderate (‚ï¨‚ïë = 0.52).Conclusion: The GSASA classification system appeared to be reliable and promising for documentation of pharmaceutical interventions in daily practice (practical and less time-consuming). The system is validated in terms of appropriateness, interpretability, validity, acceptability, feasibility, and reliability.</t>
  </si>
  <si>
    <t>Entry Date: In Process. Revision Date: 20160123. Publication Type: journal article. Journal Subset: Biomedical; Continental Europe; Europe. NLM UID: 101554912. PMID: 26290379.; ID: 1862</t>
  </si>
  <si>
    <t>Pharmaceutical Care Research Group, Department of Pharmaceutical Sciences, University of Basel, Klingelbergstrasse 50 4056 Basel Switzerland Pharmaceutical Care Research Group, Department of Pharmaceutical Sciences, University of Basel, Klingelbergstrasse 50, 4056, Basel, Switzerland Department of Clinical Pharmacy, Kantonsspital Baselland, 4101, Bruderholz, Switzerland</t>
  </si>
  <si>
    <t>http://proxy.lib.umich.edu/login?url=http://search.ebscohost.com/login.aspx?direct=true&amp;db=ccm&amp;AN=110526583&amp;site=ehost-live&amp;scope=site</t>
  </si>
  <si>
    <t>10.1007/s11096-015-0179-z</t>
  </si>
  <si>
    <t>ccm; EBSCOhost; Demonstrating the clinical pharmacist's activity: validation of an intervention oriented classification system</t>
  </si>
  <si>
    <t>Maffeo,C.;Chase,P.;Brown,B.;Tuohy,K.;Kalsekar,I.</t>
  </si>
  <si>
    <t>PMC2769541; My First Patient Program to introduce first-year pharmacy students to health promotion and disease prevention</t>
  </si>
  <si>
    <t>*Behavior Therapy;*Education, Pharmacy;Health Behavior;*Health Knowledge, Attitudes, Practice;*Healthy People Programs/og Organization &amp; Administration];Humans;Nutrition Assessment;*Primary Prevention/og Organization &amp; Administration];Program Development;Program Evaluation;Self-Assessment;Stress, Psychological;*Students, Pharmacy;Substance-Related Disorders</t>
  </si>
  <si>
    <t>OBJECTIVES: To implement and assess the effectiveness of a program to teach pharmacy students the importance of taking personal responsibility for their health. DESIGN: The My First Patient Program was created and lectures were incorporated into an existing first-year course to introduce the concepts of health beliefs, behavior modification, stress management, substance abuse, and nutrition. Each student received a comprehensive health screening and health risk assessment which they used to develop a personal health portfolio and identify strategies to attain and/or maintain their personal health goals. ASSESSMENT: Student learning was assessed through written assignments and student reflections, follow-up surveys, and course evaluations. Students' attainment of health goals and their ability to identify their personal health status illustrated the positive impact of the program. CONCLUSION: This program serves as a model for colleges and schools of pharmacy and for other health professions in the instruction of health promotion, disease prevention, and behavior modification.</t>
  </si>
  <si>
    <t>J2: Am J Pharm Educ; Maffeo, Carrie Chase, Patricia Brown, Bonnie Tuohy, Kevin Kalsekar, Iftekhar; ID: 314</t>
  </si>
  <si>
    <t>Maffeo,Carrie. College of Pharmacy and Health Sciences, Butler University, USA. cmaffeo@butler.edu</t>
  </si>
  <si>
    <t>http://ovidsp.ovid.com/ovidweb.cgi?T=JS&amp;CSC=Y&amp;NEWS=N&amp;PAGE=fulltext&amp;D=med5&amp;AN=19885066</t>
  </si>
  <si>
    <t>MEDLINE; Ovid Technologies; My First Patient Program to introduce first-year pharmacy students to health promotion and disease prevention</t>
  </si>
  <si>
    <t>Magarian,Edward O.;Peterson,Charles D.</t>
  </si>
  <si>
    <t>AmbCare--A Relational Database for Implementing a Community Pharmacy Ambulatory Care Teaching Program: A Descriptive Report</t>
  </si>
  <si>
    <t>Allied Health Occupations Education;Compliance (Legal);Computer Software;Databases;Federal Regulation;Higher Education;Professional Education;Program Administration;Program Descriptions;(Major): Clinical Experience;Field Experience Programs;Management Information Systems;Pharmaceutical Education;Identifier: Ambulatory Health Care</t>
  </si>
  <si>
    <t>An IBM-compatible information storage and retrieval software program was developed to support an eight-week community pharmacy ambulatory care clerkship for entry-level Doctor of Pharmacy students. The program helps evaluate and identify patients for health and medication problems, perform patient risk-factor assessment, monitor drug therapy, monitor and screen patient health condition, and assist pharmacies in satisfying federal reporting requirements. (MSE)</t>
  </si>
  <si>
    <t>FirstSearch indicates your institution subscribes to this publication. Libraries worldwide that own item: 1082 University of Michigan Library INDEPENDENT U-M LIBRARIES Search the Mirlyn catalog at the University of MichiganLocal Holdings Information: 1998-Local Holdings Information: 1-66,68-70,72-76; 1937-2012; 1994- Article (EJ); ID: 2120</t>
  </si>
  <si>
    <t>EJ516414</t>
  </si>
  <si>
    <t>ERIC; OCLC; AmbCare--A Relational Database for Implementing a Community Pharmacy Ambulatory Care Teaching Program: A Descriptive Report</t>
  </si>
  <si>
    <t>Magrys,S. A.;Olmstead,M. C.</t>
  </si>
  <si>
    <t>Alcohol intoxication alters cognitive skills mediated by frontal and temporal brain regions</t>
  </si>
  <si>
    <t>Brain &amp; Cognition</t>
  </si>
  <si>
    <t>Adult;*Alcoholic Intoxication/px Psychology];*Attention/de Drug Effects];*Cognition/de Drug Effects];*Ethanol/to Toxicity];Female;Frontal Lobe/de Drug Effects];Humans;*Impulsive Behavior;Male;*Memory/de Drug Effects];Sex Factors;Temporal Lobe/de Drug Effects];Young Adult;3K9958V90M (Ethanol)</t>
  </si>
  <si>
    <t>Alcohol intoxication affects frontal and temporal brain areas and may functionally impair cognitive processes mediated by these regions. This study examined this hypothesis by testing the effects of alcohol on sustained attention, impulsivity, and verbal memory. Sober and placebo control groups were used to distinguish pharmacological from expectancy effects of alcohol. One hundred nine university students were assigned to an alcohol (low, medium, or high dose), placebo or sober group. Moderate and high doses of alcohol impaired all cognitive measures. A gender effect was revealed in that alcohol impaired sustained attention in males, but not females. Both sustained attention and verbal memory exhibited a U-shaped pattern, in that the medium-dose alcohol group showed the greatest impairment. This study adds to knowledge about the effects of alcohol intoxication on frontally- and temporally-mediated cognitive function. These findings have specific relevance for heavy-drinking undergraduate populations, particularly in light of the fact that repeated alcohol administration produces persistent changes in brain neurocircuitry. Copyright ‚î¨‚åê 2014 Elsevier Inc. All rights reserved.</t>
  </si>
  <si>
    <t>J2: Brain Cogn; Magrys, S A Olmstead, M C S0278-2626(13)00187-5; ID: 74</t>
  </si>
  <si>
    <t>1090-2147</t>
  </si>
  <si>
    <t>Magrys,S A. Department of Psychology, Queen's University, 62 Arch Street, Kingston, ON K7L 3N6, Canada. Electronic address: 7sm47@queensu.ca. Olmstead,M C. Department of Psychology, Queen's University, 62 Arch Street, Kingston, ON K7L 3N6, Canada. Electronic address: olmstead@queensu.ca.</t>
  </si>
  <si>
    <t>http://ovidsp.ovid.com/ovidweb.cgi?T=JS&amp;CSC=Y&amp;NEWS=N&amp;PAGE=fulltext&amp;D=medl&amp;AN=24487348</t>
  </si>
  <si>
    <t>http://dx.doi.org/10.1016/j.bandc.2013.12.010</t>
  </si>
  <si>
    <t>MEDLINE; Ovid Technologies; Alcohol intoxication alters cognitive skills mediated by frontal and temporal brain regions</t>
  </si>
  <si>
    <t>Mahdavi,M. R. V.;Roghani,M.;Baluchnejadmojarad,T.;Author,Addresses;Department of,Physiology;School of,Medicine;Medicinal Plant,Research Center;Tehran,Iran;Department of Physiology, School of,Medicine Tehran;University of,Medical Sciences;Correspondence,Address;Roghani, Department of Physiology School of Medicine,M.;Medicinal,Plant;Research Center, Shahed University Tehran Iran Email mehjour,yahoo com</t>
  </si>
  <si>
    <t>The role of adrenergic and angiotensinergic systems in vascular effect of alcoholic of extract trigonella foenum-graecum seed in diabetic rats</t>
  </si>
  <si>
    <t>(MAJOR FOCUS);fenugreek extract (intraperitoneal drug administration, pharmacology);angiotensin I;captopril (pharmacology);polythiazide plus prazosin (pharmacology);potassium chloride;propranolol (pharmacology);streptozocin;adrenergic system;angiotensinergic system;blood vessel reactivity;catecholaminergic system;animal experiment;animal model;animal tissue;article;autonomic nervous system;cardiovascular effect;controlled study;diabetes mellitus;drug response;fenugreek;incubation time;male;nonhuman;plant seed;rat;vasoconstriction;Wistar rat;angiotensin I (9041-90-1);captopril (62571-86-2);polythiazide plus prazosin (84057-89-6);potassium chloride (7447-40-7);propranolol (13013-17-7, 318-98-9, 3506-09-0, 4199-09-1, 525-66-6);streptozocin (18883-66-4);Neurology and Neurosurgery (8);Cardiovascular Diseases and Cardiovascular Surgery (18);Drug Literature Index (37)</t>
  </si>
  <si>
    <t>Considering the anti-diabetic potential of Trigonella foenum-graecum (TFG) and its beneficial effect on aortic reactivity of diabetic rats, this study was conducted to evaluate the effect of its alcoholic seed extract on aortic reactivity and also figure out mechanisms including the role of adrenergic and angiotensinergic systems in streptozotocin-diabetic rats. Male Wistar rats were divided into control, extract-treated control, diabetic, and extract-treated diabetic groups. Diabetes was induced by a single IP injection of streptozotocin (STZ; 60 mg/kg). Treatment groups received TFG extract (200 mg/kg; IP) every other day for 1 month. Contractile response of thoracic aorta to KCl and noradrenaline (NA) was then determined. For determination of the involvement of adrenergic and angiotensinergic systems, rings were incubated before the experiments with prazocin, propranolol, and/or captopril and then NA- and angiotensin I (Ag-I)-induced contractions were recorded. Diabetic state significantly increased maximum contractile response to KCl and NA (p &lt; 0.01-0.005) comparing to control groups and treatment with TFG extract in diabetic group significantly improved these changes comparing to untreated diabetic group (p &lt; 0.05-p &lt; 0.01). On the other hand, pretreatment of prazosin and propranolol caused a significant reduction in contractile response of all groups (p &lt; 0.05-0.001) meanwhile was no significant difference among the groups. In addition, pre-incubation with captopril caused a significant reduction in contractile response of TFG-treated diabetic group comparing untreated diabetic group (p &lt; 0.05). Finally we concluded that alcoholic seed extract of TFG could improve some functional indices of the vascular system in diabetic state and angiotensinergic system is partly involved in this response. ‚î¨‚åê 2011 by School of Pharmacy.</t>
  </si>
  <si>
    <t>(Mahdavi M.R.V.; Roghani M., mehjour@yahoo.com) (Baluchnejadmojarad T.) Iranian Journal of Pharmaceutical Research, P.O. Box 14155-6153, Vali-e-Asr Avenue, Niayesh Junction, Tehran, Iran.; ID: 1266</t>
  </si>
  <si>
    <t>Maier,L. J.;Haug,S.;Schaub,M. P.</t>
  </si>
  <si>
    <t>The importance of stress, self-efficacy, and self-medication for pharmacological neuroenhancement among employees and students</t>
  </si>
  <si>
    <t>OBJECTIVES: This study examined the relationship between stress, self-efficacy, self-medication, and pharmacological neuroenhancement (PNE) in the Swiss general population. METHODS: Using the largest Swiss Internet panel, a sample of 10,171 employees and students (unweighted N=10,084) aged 15-74 years was recruited and asked to complete a self-administered online survey. The data were weighted for age, sex, and language region to provide results that were representative of the Swiss population. Multinomial logistic regression models were conducted to identify predictors of pharmacological cognitive enhancement (PCE) and pharmacological mood enhancement (PME) over the past year. Two self-medication models and an overall model were determined. RESULTS: Current medical treatment for a mental disorder was the best predictor of both PCE and PME use as serious self-medication. The overall model revealed that cannabis use, frequent stress, and long-term stress were predictors of both PCE and PME, whereas negative stressors and time pressure at work did not remain in the final model. Furthermore, past-year PCE with and without PME was associated with being male, being a student, and using illegal drugs other than cannabis, whereas being female and having low self-efficacy predicted past-year PME only. CONCLUSIONS: Consideration of the predictor variables identified in this study may help to identify the potential PCE and PME users for whom measures to prevent drug abuse and manage stress are most appropriate. More specifically, the use of PCE and PME as self-medication to enhance performance at work or while studying needs further consideration in the neuroenhancement debate.Copyright ‚î¨‚åê 2015 Elsevier Ireland Ltd. All rights reserved.</t>
  </si>
  <si>
    <t>J2: Drug Alcohol Depend; Maier, Larissa J Haug, Severin Schaub, Michael P S0376-8716(15)01660-9; ID: 761</t>
  </si>
  <si>
    <t>Maier,Larissa J. Swiss Research Institute for Public Health and Addiction (ISGF), Associated Institute at the University of Zurich and WHO Collaborating Centre, Zurich, Switzerland. Electronic address: larissa.maier@isgf.uzh.ch. Haug,Severin. Swiss Research Institute for Public Health and Addiction (ISGF), Associated Institute at the University of Zurich and WHO Collaborating Centre, Zurich, Switzerland. Schaub,Michael P. Swiss Research Institute for Public Health and Addiction (ISGF), Associated Institute at the University of Zurich and WHO Collaborating Centre, Zurich, Switzerland.</t>
  </si>
  <si>
    <t>http://ovidsp.ovid.com/ovidweb.cgi?T=JS&amp;CSC=Y&amp;NEWS=N&amp;PAGE=fulltext&amp;D=prem&amp;AN=26455555</t>
  </si>
  <si>
    <t>http://dx.doi.org/10.1016/j.drugalcdep.2015.09.012</t>
  </si>
  <si>
    <t>MEDLINE; Ovid Technologies; The importance of stress, self-efficacy, and self-medication for pharmacological neuroenhancement among employees and students</t>
  </si>
  <si>
    <t>Maier,L. J.;Liakoni,E.;Schildmann,J.;Schaub,M. P.;Liechti,M. E.;Author,Addresses;Swiss Research Institute for,Public Health;Addiction,Assoc Inst at the University of Zurich;Who;Collaborating Centre,Zurich Switzerland;Division of,Clinical;Pharmacology;Toxicology,Department of Clinical Research University;Hospital Basel,Basel Switzerland;Institut for Medizinische Ethik und,Geschichte der;Ruhr-Universit‚îú√±t Bochum,Bochum,Deutschland Germany</t>
  </si>
  <si>
    <t>Swiss university students' attitudes toward pharmacological cognitive enhancement</t>
  </si>
  <si>
    <t>PLoS ONE</t>
  </si>
  <si>
    <t>10:12 Article Number: A776.</t>
  </si>
  <si>
    <t>alcohol;prescription drug;recreational drug;cognitive remediation therapy;pharmacological cognitive enhancement;student attitude;academic achievement;adolescent;adult;aged;article;doping;drug use;fairness;female;human;human relation;male;personal autonomy;persuasive communication;safety;Switzerland;university student;alcohol (64-17-5);Public Health, Social Medicine and Epidemiology (17)</t>
  </si>
  <si>
    <t>Pharmacological cognitive enhancement (PCE) refers to the nonmedical use of prescription or recreational drugs to enhance cognitive performance. Several concerns about PCE have been raised in the public. The aim of the present study was to investigate students' attitudes toward PCE. Students at three Swiss universities were invited by e-mail to participate in a web-based survey. Of the 29,282 students who were contacted, 3,056 participated. Of these students, 22% indicated that they had used prescription drugs (12%) or recreational substances including alcohol (14%) at least once for PCE. The use of prescription drugs or recreational substances including alcohol prior to the last exam was reported by 16%. Users of pharmacological cognitive enhancers were more likely to consider PCE fair (24%) compared with nonusers (11%). Only a minority of the participants agreed with the nonmedical use of prescription drugs by fellow students when assuming weak (7%) or hypothetically strong efficacy and availability to everyone (14%). Two-Thirds (68%) considered performance that is obtained with PCE less worthy of recognition. Additionally, 80% disagreed that PCE is acceptable in a competitive environment. More than half (64%) agreed that PCE in academia is similar to doping in sports. Nearly half (48%) claimed that unregulated access to pharmacological cognitive enhancers increases the pressure to engage in PCE and educational inequality (55%). In conclusion, Swiss students' main concerns regarding PCE were related to coercion and fairness. As expected, these concerns were more prevalent among nonusers than among users of pharmacological cognitive enhancers. More balanced information on PCE should be shared with students, and future monitoring of PCE is recommended.</t>
  </si>
  <si>
    <t>(Maier L.J.; Schaub M.P.) (ISGF) (Liakoni E.; Liechti M.E., matthias.liechti@usb.ch) (Schildmann J.) Public Library of Science, plos@plos.org; ID: 785</t>
  </si>
  <si>
    <t>1932-6203 (electronic)</t>
  </si>
  <si>
    <t>20160078879 FULL TEXT LINK http://dx.doi.org/10.1371/journal.pone.0144402</t>
  </si>
  <si>
    <t>Makmor-Bakry,M.;Azmi,N.;Ali,A. M.;Author,Addresses;Universiti;Kebangsaan Malaysia, Jalan Raja Muda Abdul Aziz,Kuala Lumpur;Malaysia;Correspondence,Address;Makmor-Bakry, Universiti Kebangsaan Malaysia Jalan Raja Muda Abdul Aziz,M.;my,Kuala Lumpur Malaysia Email mohdcp medic ukm</t>
  </si>
  <si>
    <t>Mannequin-simulator as a new teaching and learning method in performance-based pharmacotherapy</t>
  </si>
  <si>
    <t>Indian Journal of Pharmaceutical Education and Research</t>
  </si>
  <si>
    <t>Jul-Sep</t>
  </si>
  <si>
    <t>education;learning;mannequin simulator;performance based education;simulator;teaching;adult;article;clinical competence;clinical pharmacy;controlled study;cross-sectional study;drug therapy;heart failure;human;interpersonal communication;knowledge;medical education;pharmacy student;simulation;theoretical sample;Public Health, Social Medicine and Epidemiology (17);Biophysics, Bioengineering and Medical Instrumentation (27);Pharmacy (39)</t>
  </si>
  <si>
    <t>Introduction:Active learning approach is deemed to be important for performance-based education. Aims:Objectives of this study were to report experience in employing a mannequin-based case assessment of pharmacotherapy for pharmacy students and to seek students' opinion on the usefulness of this approach. Methods: Students were exposed to a standardised heart failure case using mannequin-simulator and were asked to evaluate the medication prescribed and to manage any drug related problems. Performance grade of the students was evaluated based on participation and a written report. A cross-sectional survey was utilised to identify the students' perception on the simulation experience. The survey consisted of six statements related to the simulation and three statements related to the clinical pharmacy and pharmacotherapy. Results:A total of 81 students completed the survey. The median grade for the cohort was seven out of ten marks. Before exposure to the session, 86.4% of the students agreed that clinical pharmacy is interesting, only 29.6% of the students agreed that pharmacotherapy is easy to learn and 60.5% of the cohort agreed they are confident to provide clinical pharmacy services. After exposure to the session, 82.7% of the students agreed that the session has enhanced their interest in pharmacotherapy, 91% of the cohort agreed that this simulation provided an opportunity to utilise their theoretical knowledge, 79% of the students stated the experience has developed their skills to solve pharmacotherapy related problems. Up to 76.5% of the cohort enjoyed the simulation session. Conclusion:The students value mannequin-based pharmacotherapy teaching and learning as effective and interesting.</t>
  </si>
  <si>
    <t>(Makmor-Bakry M., mohdcp@medic.ukm.my; Azmi N.; Ali A.M.); ID: 1085</t>
  </si>
  <si>
    <t>0019-5464</t>
  </si>
  <si>
    <t>2014477002 FULL TEXT LINK http://dx.doi.org/10.5530/ijper.47.3.1</t>
  </si>
  <si>
    <t>Malik,M. Z.;Ahmad,M.;Minhas,M. U.;Munir,A.;Author,Addresses;Department of Pharmacy, The Islamia University of,Bahawalpur Punjab;Pakistan;Correspondence,Address;Ahmad, Department of Pharmacy The Islamia University of Bahawalpur,M.;com,Punjab Pakistan Email ma yahoo</t>
  </si>
  <si>
    <t>Solubility and permeability studies of aceclofenac in different oils</t>
  </si>
  <si>
    <t>(MAJOR FOCUS);aceclofenac (drug analysis);oil;almond oil;canola oil;castor oil;clove oil;coconut oil;corn oil;drug vehicle;eucalyptus oil;liquid paraffin;myristic acid isopropyl ester;oleic acid;sesame seed oil;sunflower oil;drug solubility;permeability;article;bioavailability;calibration;drug efficacy;human;lipophilicity;ultraviolet spectrophotometry;DRUG MANUFACTURERS;(Pakistan)Sami Laboratories;aceclofenac (89796-99-6);almond oil (8007-69-0);canola oil (120962-03-0);castor oil (8001-79-4);clove oil (8000-34-8);coconut oil (8001-31-8);corn oil (8001-30-7);eucalyptus oil (8000-48-4);liquid paraffin (8012-95-1);myristic acid isopropyl ester (110-27-0);oleic acid (112-80-1, 115-06-0);sesame seed oil (8008-74-0);sunflower oil (8001-21-6);Drug Literature Index (37);Pharmacy (39)</t>
  </si>
  <si>
    <t>Purpose: To measure the extent of solubility of the lipophilic drug, aceclofenac, in 13 oils as well as its in vitro permeability from these oils in order to develop optimized topical microemulsion and microemulsion-based gel for improved bioavailability. Methods: UV spectrophotometeric method was used at the wavelength of 276 nm to measure the dissolved quantity of aceclofenac in each of the oils (almond oil, oleic acid, castor oil, paraffin oil, cinnamon oil, clove oil, canola oil, sesame oil, isopropyl myristate (ipm), sunflower oil, corn oil, coconuts oil and eucalyptus oil) at 25 ‚î¨‚ñëC. The in-vitro permeability of aceclofenac in each of these oils was determined at 32 ‚î¨‚ñí 0.5 ‚î¨‚ñëC using Franz diffusion cell with phosphate buffer (pH 7.4) as medium with 0.45 ‚ï¨‚ïù cellulose acetate membrane. The solubility and permeability of aceclofenac were compared with the hydroalcoholic solution of aceclofenac. Results: The highest solubility values of 9.153 and 8.560 mg/ml for aceclofenac were obtained with almond oil and oleic acid, respectively (p &lt; 0.05). However the solubility and permeability of aceclofenac in hydro-alcoholic solution were 150.65 mg/ml and 14.91‚î¨‚ñí 0.05 ‚ï¨‚ïùg/cm(2)/h, respectively. Aceclofenac also showed higher permeability values (1.45‚î¨‚ñí 0.04 and 1.21 ‚î¨‚ñí 0.06) in almond oil and oleic acid, respectively, than in the other oils (p &lt; 0.05). Conclusion: These findings show that almond oil and oleic acid are promising vehicles for aceclofenac as its enhanced solubility and permeability in these vehicles are suggestive of improved bioavailability. ‚î¨‚åê Pharmacotherapy Group, Faculty of Pharmacy, University of Benin, Benin City, 300001 Nigeria. All rights reserved.</t>
  </si>
  <si>
    <t>(Malik M.Z.; Ahmad M., ma786_786@yahoo.com; Minhas M.U.; Munir A.) University of Benin, editor@tjpr.org; ID: 946</t>
  </si>
  <si>
    <t>2014239040 FULL TEXT LINK http://dx.doi.org/10.4314/tjpr.v13i3.2</t>
  </si>
  <si>
    <t>Mancano,M. A.;Author,Addresses;Department of Pharmacy Practice, Temple University,School of;Pharmacy,Philadelphia P. A. United States;Institute for Safe,Medication Practices;States</t>
  </si>
  <si>
    <t>ISMP adverse drug reactions: Vigabatrin-induced encephalopathy: Fidaxomicin hypersensitivity reactions: Vemurafenib-induced dress: Severe alkalosis and hypokalemia with stanozolol misuse: Isotretinoin-associated lip abscess: Eltrombopag-associated hyperpigmentation</t>
  </si>
  <si>
    <t>(MAJOR FOCUS);eltrombopag (adverse drug reaction);fidaxomicin (adverse drug reaction);isotretinoin (adverse drug reaction);stanozolol (adverse drug reaction);vemurafenib (adverse drug reaction);vigabatrin (adverse drug reaction);brain disease (side effect, etiology, side effect);DRESS syndrome (side effect, etiology, side effect);drug hypersensitivity (side effect, etiology, side effect);hyperpigmentation (side effect, etiology, side effect);hypokalemic alkalosis (side effect, etiology, side effect);abscess (side effect);article;cheilitis (side effect);drug efficacy;drug exposure;drug misuse;drug safety;drug withdrawal;food and drug administration;human;lip abscess (side effect);medical society;pharmacy;xerostomia (side effect);DRUG TRADE NAMES;dificid;promacta;sabril;winstrol;zelboraf;eltrombopag (376591-99-0, 443130-00-5, 496775-61-2, 496775-62-3);fidaxomicin (56645-60-4, 873857-62-6);isotretinoin (4759-48-2);stanozolol (10418-03-8, 302-96-5);vemurafenib (918504-65-1);vigabatrin (60643-86-9);Drug Literature Index (37);Adverse Reactions Titles (38);Pharmacy (39)</t>
  </si>
  <si>
    <t>The purpose of this feature is to heighten awareness of specifi c adverse drug reactions (ADRs), discuss methods of prevention, and promote reporting of ADRs to the US Food and Drug Administration's (FDA's) MedWatch program (800-FDA-1088). If you have reported an interesting, preventable ADR to MedWatch, please consider sharing the account with our readers. Write to Dr. Mancano at ISMP, 200 Lakeside Drive, Suite 200, Horsham, PA 19044 (phone: 215-707-4936; e-mail: mmancano@temple.edu). Your report will be published anonymously unless otherwise requested. This feature is provided by the Institute for Safe Medication Practices (ISMP) in cooperation with the FDA's MedWatch program and Temple University School of Pharmacy. ISMP is an FDA MedWatch partner. ‚î¨‚åê 2014 Thomas Land Publishers, Inc.</t>
  </si>
  <si>
    <t>(Mancano M.A.) Facts and Comparisons; ID: 907</t>
  </si>
  <si>
    <t>1945-1253 (electronic) 0018-5787</t>
  </si>
  <si>
    <t>2014333656 FULL TEXT LINK http://dx.doi.org/10.1310/hpj4905-420</t>
  </si>
  <si>
    <t>ISMP adverse drug reactions: Vigabatrin-induced encephalopathy: Fidaxomicin hypersensitivity reactions: Vemurafenib-induced dress: Severe alkalosis and hypokalemia with stanozolol misuse: Isotretinoin-associated lip abscess: Eltrombopag-associat(TRUNCATED)</t>
  </si>
  <si>
    <t>Manchikanti,L.</t>
  </si>
  <si>
    <t>National drug control policy and prescription drug abuse: facts and fallacies</t>
  </si>
  <si>
    <t>Pain Physician</t>
  </si>
  <si>
    <t>*Analgesics, Opioid/ae Adverse Effects];Criminal Law/sn Statistics &amp; Numerical Data];Criminal Law/td Trends];Drug Monitoring/st Standards];Drug Monitoring/td Trends];*Drug Prescriptions/sn Statistics &amp; Numerical Data];*Health Policy/lj Legislation &amp; Jurisprudence];*Health Policy/td Trends];Humans;Legislation, Drug/sn Statistics &amp; Numerical Data];Legislation, Drug/td Trends];*Opioid-Related Disorders/ep Epidemiology];*Opioid-Related Disorders/pc Prevention &amp; Control];*Pain/dt Drug Therapy];Street Drugs/ae Adverse Effects];United States;0 (Analgesics, Opioid);0 (Street Drugs)</t>
  </si>
  <si>
    <t>In a recent press release Joseph A. Califano, Jr., Chairman and President of the National Center on Addiction and Substance Abuse at Columbia University called for a major shift in American attitudes about substance abuse and addiction and a top to bottom overhaul in the nation's healthcare, criminal justice, social service, and eduction systems to curtail the rise in illegal drug use and other substance abuse. Califano, in 2005, also noted that while America has been congratulating itself on curbing increases in alcohol and illicit drug use and in the decline in teen smoking, abuse and addition of controlled prescription drugs-opioids, central nervous system depressants and stimulants-have been stealthily, but sharply rising. All the statistics continue to show that prescription drug abuse is escalating with increasing emergency department visits and unintentional deaths due to prescription controlled substances. While the problem of drug prescriptions for controlled substances continues to soar, so are the arguments of undertreatment of pain. The present state of affairs show that there were 6.4 million or 2.6% Americans using prescription-type psychotherapeutic drugs nonmedically in the past month. Of these, 4.7 million used pain relievers. Current nonmedical use of prescription-type drugs among young adults aged 18-25 increased from 5.4% in 2002 to 6.3% in 2005. The past year, nonmedical use of psychotherapeutic drugs has increased to 6.2% in the population of 12 years or older with 15.172 million persons, second only to marijuana use and three times the use of cocaine. Parallel to opioid supply and nonmedical prescription drug use, the epidemic of medical drug use is also escalating with Americans using 80% of world's supply of all opioids and 99% of hydrocodone. Opioids are used extensively despite a lack of evidence of their effectiveness in improving pain or functional status with potential side effects of hyperalgesia, negative hormonal and immune effects, addiction and abuse. The multiple reasons for continued escalation of prescription drug abuse and overuse are lack of education among all segments including physicians, pharmacists, and the public; ineffective and incoherent prescription monitoring programs with lack of funding for a national prescription monitoring program NASPER; and a reactive approach on behalf of numerous agencies. This review focuses on the problem of prescription drug abuse with a discussion of facts and fallacies, along with proposed solutions. References: 91]</t>
  </si>
  <si>
    <t>J2: Pain physician; Manchikanti, Laxmaiah; ID: 387</t>
  </si>
  <si>
    <t>1533-3159</t>
  </si>
  <si>
    <t>Manchikanti,Laxmaiah. Pain Management Center of Paducah, Paducah, KY 42003, USA. drm@apex.net</t>
  </si>
  <si>
    <t>http://ovidsp.ovid.com/ovidweb.cgi?T=JS&amp;CSC=Y&amp;NEWS=N&amp;PAGE=fulltext&amp;D=med5&amp;AN=17525776</t>
  </si>
  <si>
    <t>MEDLINE; Ovid Technologies; National drug control policy and prescription drug abuse: facts and fallacies</t>
  </si>
  <si>
    <t>Prescription drug abuse: what is being done to address this new drug epidemic? Testimony before the Subcommittee on Criminal Justice, Drug Policy and Human Resources</t>
  </si>
  <si>
    <t>*Analgesics, Opioid/ae Adverse Effects];Analgesics, Opioid/tu Therapeutic Use];Consumer Participation/td Trends];Criminal Law/sn Statistics &amp; Numerical Data];Criminal Law/td Trends];*Drug Prescriptions/st Standards];Drug Prescriptions/sn Statistics &amp; Numerical Data];Drug and Narcotic Control/mt Methods];*Drug and Narcotic Control/td Trends];Humans;Malpractice/ec Economics];Malpractice/sn Statistics &amp; Numerical Data];Malpractice/td Trends];Opioid-Related Disorders/ec Economics];*Opioid-Related Disorders/ep Epidemiology];*Opioid-Related Disorders/pc Prevention &amp; Control];Pain, Intractable/dt Drug Therapy];Patient Education as Topic/st Standards];Patient Education as Topic/td Trends];United States/ep Epidemiology];0 (Analgesics, Opioid)</t>
  </si>
  <si>
    <t>This comprehensive health policy review of the prescription drug abuse epidemic is based on the written and oral testimony of witnesses at a July 26, 2006 Congressional Hearing, including that of Laxmaiah Manchikanti, MD, the chief executive officer of the American Society of Interventional Pain Physicians and additions from review of the literature. Honorable Mark E. Souder, chairman of the Subcommittee on Criminal Justice, Drug Policy, and Human Resources, introduced the issue as follows: "Prescription drug abuse today is second only to marijuana abuse. In the most recent household survey, initiates to drug abuse started with prescription drugs (especially pain medications) more often than with marijuana. The abuse of prescription drugs is facilitated by easy access (via physicians, the Internet, and the medicine cabinet) and a perception of safety (since the drugs are FDA approved). In addition to the personal toll of drug abuse using prescription drugs, indirect costs associated with prescription drug abuse and diversion include product theft, commission of other crimes to support addiction, law enforcement costs, and encouraging the practice of defensive medicine." The Administration witnesses, Bertha Madras, Nora D. Volkow, MD, Sandra Kweder, MD, and Joe Rannazzisi reviewed the problem of drug abuse and discussed what is being done at the present time as well as future strategies to combat drug abuse, including prescription drug monitoring programs, reducing malprescriptions, public education, eliminating Internet drug pharmacies, and the development of future drugs which are not only tamper-resistant but also non-addictive. The second panel, consisting of consumers and advocates, included Misty Fetco, Linda Surks, and Barbara van Rooyan, all of whom lost their children to drugs, presented their stories and strategies to prevent drug abuse, focusing on education at all levels, development of resistant drugs, and non-opioid treatment of chronic pain. Mathea Falco, JD, and Stephen E. Johnson presented issues related to drug abuse and measures to curb drug abuse by various means. Stephen J. Pasierb presented startling statistics on teen drug abuse and various educational programs to deter abuse. Laxmaiah Manchikanti, MD presented an overview of prescription drug abuse, strategies to prevent drug abuse, including immediate funding and rapid implementation of NASPER, education at all levels and improving relations with the DEA and the provider community. References: 165]</t>
  </si>
  <si>
    <t>J2: Pain physician; Manchikanti, Laxmaiah Comment in: Pain Physician. 2006 Oct;9(4):283-5; PMID: 17066114 Comment in: Pain Physician. 2007 Mar;10(2):382; author reply 382; PMID: 17387362; ID: 416</t>
  </si>
  <si>
    <t>Manchikanti,Laxmaiah. American Society of Interventional Pain Physicians, Paducah, KY, USA. drm@apex.com</t>
  </si>
  <si>
    <t>http://ovidsp.ovid.com/ovidweb.cgi?T=JS&amp;CSC=Y&amp;NEWS=N&amp;PAGE=fulltext&amp;D=med5&amp;AN=17066115</t>
  </si>
  <si>
    <t>MEDLINE; Ovid Technologies; Prescription drug abuse: what is being done to address this new drug epidemic? Testimony before the Subcommittee on Criminal Justice, Drug Policy and Human Resources</t>
  </si>
  <si>
    <t>Mancuso,M.;Sanchez,G.;Douglass,M.;Author,Addresses;Department of Pharmacy, Boston,Medical Center;Boston,United States;Department of,Pharmacy Practice;School of Pharmacy, Boston,United States;Correspondence,Address;Mancuso, Department of Pharmacy Boston Medical Center Boston United,M.;States</t>
  </si>
  <si>
    <t>Revisiting Project Re-Engineered Discharge (RED): The impact of a pharmacist telephone intervention on hospital readmission rates</t>
  </si>
  <si>
    <t>e200</t>
  </si>
  <si>
    <t>American;clinical pharmacy;college;hospital readmission;human;pharmacist;telephone;counseling;emergency ward;family medicine;follow up;hospital discharge;hospital utilization;hospitalization;medical record review;nursing education;patient;prevalence;substance abuse;United States</t>
  </si>
  <si>
    <t>PURPOSE: Project Re-Engineered Discharge (RED) is a discharge nurse education (DNE) and pharmacist follow-up telephone intervention protocol that was shown to significantly decrease re-hospitalization. The specific value of the pharmacist intervention was not originally evaluated. The objective of this study was to determine the impact of a pharmacist telephone intervention during the transition of care process on the rate of unplanned hospitalization within 30 days of patient discharge. METHODS: A retrospective chart review was completed for patients who received DNE counseling and were discharged to home from the family medicine service at Boston Medical Center from July, 2012-May, 2013. Patients were stratified into two groups: contacted/intervention, and unable to contact/no intervention. The primary outcome was the rate of unplanned hospital utilization, including emergency room visits and readmissions, within 30 days of discharge. Secondary endpoints included number of pharmacist interventions and time spent on phone calls. RESULTS: There were 401 patients identified; 277 patients received a pharmacist telephone intervention and 124 patients were unable to be contacted. Baseline characteristics did not differ between the two groups, with the exception of a higher prevalence of substance abuse in the non-intervention group (41.9% vs 21.3%, p&lt;0.001). The rate of unplanned hospitalization (visits/ patient) was significantly reduced in the intervention group, compared to the unable to contact group (0.227 vs 0.519, p&lt;0.001). Pharmacists made a total of 128 interventions and spent an average of 22 minutes on each telephone intervention. CONCLUSION: Patients unable to be contacted by a pharmacist after hospital discharge were more likely to be readmitted or visit the emergency room in the 30 days following discharge. A pharmacist telephone intervention as part of a comprehensive discharge protocol can positively impact patients during the transition of care process by reducing incidence of unplanned hospital utilization.</t>
  </si>
  <si>
    <t>(Mancuso M.; Sanchez G.) (Douglass M.) 2014 Annual Meeting of the American College of Clinical Pharmacy, ACCP 2014 Austin, TX, United States 2014-10-12 to 2014-10-15 Pharmacotherapy Publications Inc.; ID: 879</t>
  </si>
  <si>
    <t>Mandap,M.;Carrillo,S.;Youmans,S. L.;Author,Addresses;Southcentral Foundation,Anchorage,United States;Department of Pharmacy Services, Highland,Hospital Oakland;United,States;University,of California;Francisco School of Pharmacy, San Francisco,United States;Correspondence,Address;SL Youmans, University of California San Francisco School,of Pharmacy;Parnassus Avenue, C San Francisco,United States</t>
  </si>
  <si>
    <t>An evaluation of lesbian, gay, bisexual, and transgender (LGBT) health education in pharmacy school curricula</t>
  </si>
  <si>
    <t>education program;health education;LGBT people;pharmacy;article;evaluation study;health care quality;Human immunodeficiency virus infection;questionnaire;sexually transmitted disease;teaching;Public Health, Social Medicine and Epidemiology (17);Pharmacy (39)</t>
  </si>
  <si>
    <t>Background: The lesbian, gay, bisexual, and transgender (LGBT) community has increased health risks, including higher rates of certain cancers, depression, tobacco use, and substance abuse. These individuals are less likely to seek medical treatment and have higher rates of dissatisfaction with the health care system. It is unclear to what extent pharmacy school curricula prepare students to provide quality care to this population. Objective: The objective of this study is to describe to what extent LGBT health content is integrated in the pharmacy curricula. Methods: Between November 2011 and January 2012, curriculum Deans (or equivalent) from schools of pharmacy throughout the US were invited to complete a 14-item questionnaire to report the amount of LGBT health content taught in their respective schools. Results: A total of 28 schools (. n = 125, 22%) responded. Of the 28 respondents, 43% reported having LGBT content in the required curriculum, with 39% reporting one to three hours and 4% reporting four to ten hours. The topics most frequently taught by schools were human immunodeficiency virus (HIV) in LGBT people (71%) and sexually transmitted infections (non-HIV) (46%). Faculty development for teaching LGBT health content was provided by 18% of schools. The coverage of LGBT content was rated as "good" or "very good" by 14% and "very poor" by 32% of respondents. Conclusions: A review of how the schools of pharmacy curricula include LBGT health content is needed. We suggest strategies and resources that may help prepare faculty to teach LGBT health content and assist curriculum committees to integrate this material into the pharmacy curricula.</t>
  </si>
  <si>
    <t>(Mandap M.) (Carrillo S.) (Youmans S.L., youmanss@pharmacy.ucsf.edu) Elsevier Inc., usjcs@elsevier.com; ID: 929</t>
  </si>
  <si>
    <t>2014871262 FULL TEXT LINK http://dx.doi.org/10.1016/j.cptl.2014.08.001</t>
  </si>
  <si>
    <t>Mane Abhay,B.;Krishnakumar,M. K.;Niranjan Paul,C.;Hiremath Shashidhar,G.;Author,Addresses;Department of Community Medicine, Navodaya Medical,College Hospital;Mantralayam Road,Raichur-Karnataka India;SUT Academy of,Medical Sciences;Vattappara,Thiruvananthapuram-India;Correspondence,Address;Mane, Department of Community Medicine Navodaya Medical College,A.B.;Hospital Mantralayam Road, Raichur-Karnataka,India Email;drabmane@yahoo.co.in</t>
  </si>
  <si>
    <t>Differences in perceived stress and its correlates among students in professional courses</t>
  </si>
  <si>
    <t>Journal of Clinical and Diagnostic Research</t>
  </si>
  <si>
    <t>school stress;undergraduate student;adolescent;adult;article;college student;competition;coping behavior;dental student;engineering student;environmental factor;family interaction;female;human;interpersonal stress;listening to music;male;medical student;nursing student;peer group;Perceived Stress Scale;pharmacy student;physical therapy student;psychologic test;questionnaire;recreation;sex difference;sleep;sleep disorder;social status;student attitude;substance abuse;support group;television viewing;Public Health, Social Medicine and Epidemiology (17)</t>
  </si>
  <si>
    <t>Background: Medical education is perceived as being stressful, with negative effects on the mental health of the students. Previous studies have shown relatively high levels of distress among medical students, such as symptoms of depression and suicidal thoughts. Only few studies have tried to explore the stress among medical students, but none have compared it with those among the paramedical and non medical students. Objective: To explore the differences and the correlates of perceived stress among students in professional courses. Materials And Method: The data was analyzed from 282 students who were studying different courses, by sampling with a probability proportional to size through an anonymous, selfadministered questionnaire which covered socio-demographic data, stressors and a perceived stress scale. Results: The prevalence of perceived stress by using the PSS scale was found to be 50% in the study subjects. The mean PSS score was the highest for dental (29.5) and the lowest for pharmacy (23.2) students. The difference in the mean PSS scores among the students of different courses was statistically significant. No statistical difference was noted in perceived stress between the male and female students (P&gt; 0.05). The main sources of stress were found to be related to physical and academic factors. The main coping strategies which were adopted were, talking to family members or friends (41.1%), sleeping (16%), watching TV/movies (12.6%) and listening to music. 47.2% students felt a need for professional help during stress. Conclusion: High levels of perceived stress were found in dental students. The stressors at the campus should be identified, discussed with, and proper coping assistance should be provided to the individual students.</t>
  </si>
  <si>
    <t>(Mane Abhay B., drabmane@yahoo.co.in; Niranjan Paul C.; Hiremath Shashidhar G.) (Krishnakumar M.K.) Journal of Clinical and Diagnostic Research, 71 Veer Nagar,G.T. Road, Delhi, India.; ID: 1138</t>
  </si>
  <si>
    <t>2249-782X 0973-709X (electronic)</t>
  </si>
  <si>
    <t>Mannheimer,B.;Eliasson,E.</t>
  </si>
  <si>
    <t>Drug-drug interactions that reduce the formation of pharmacologically active metabolites: a poorly understood problem in clinical practice</t>
  </si>
  <si>
    <t>Journal of internal medicine</t>
  </si>
  <si>
    <t>J.Intern.Med.</t>
  </si>
  <si>
    <t>548 9p</t>
  </si>
  <si>
    <t>Biotransformation -- Drug Effects;Drug Interactions;Analgesics, Opioid -- Metabolism;Analgesics, Opioid -- Pharmacodynamics;Angiotensin II Type I Receptor Blockers -- Metabolism;Angiotensin II Type I Receptor Blockers -- Pharmacodynamics;Antineoplastic Agents, Hormonal -- Metabolism;Antineoplastic Agents, Hormonal -- Pharmacodynamics;Codeine -- Metabolism;Codeine -- Pharmacodynamics;Losartan -- Metabolism;Losartan -- Pharmacodynamics;Platelet Aggregation Inhibitors -- Metabolism;Platelet Aggregation Inhibitors -- Pharmacodynamics;Tamoxifen -- Metabolism;Tamoxifen -- Pharmacodynamics;Ticlopidine;Ticlopidine -- Metabolism;Ticlopidine -- Pharmacodynamics</t>
  </si>
  <si>
    <t>Abstract. Mannheimer B, Eliasson E (Karolinska Institutet, Stockholm; Karolinska University Hospital Huddinge, Stockholm, Sweden) Drug-drug interactions that reduce the formation of pharmacologically active metabolites: a poorly understood problem in clinical practice (Review-Symposium). J Intern Med 2010; 268: 540-548. Drug-drug interactions can lead to reduced efficacy of medical treatment. Therapeutic failure may for instance result from combined treatment with an inhibitor of the specific pathway that is responsible for the generation of pharmacologically active drug metabolites. This problem may be overlooked in clinical practice. Several examples of drugs will be discussed -clopidogrel, losartan, tamoxifen and codeine - to illustrate differences in the potential impact on drug treatment in clinical practice. We conclude that the combined use of cytochrome P450-blocking serotonin reuptake inhibitors and tamoxifen or codeine should be avoided, whereas the situation is much more complex regarding the use of proton pump inhibitors together with clopidogrel, and the evidence regarding cytochrome P450 inhibitor-dependent activation of losartan is inconclusive.</t>
  </si>
  <si>
    <t>Entry Date: 20110128. Revision Date: 20150711. Publication Type: Journal Article. Journal Subset: Biomedical; Europe; Peer Reviewed; UK &amp; Ireland. NLM UID: 8904841. PMID: 21091806.; ID: 1882</t>
  </si>
  <si>
    <t>0954-6820</t>
  </si>
  <si>
    <t>From the Karolinska Institutet Department of Clinical Science and Education at S‚îú‚ï¢dersjukhuset Department of Laboratory Medicine, Division of Clinical Pharmacology at Karolinska University Hospital Huddinge, Stockholm, Sweden.</t>
  </si>
  <si>
    <t>http://proxy.lib.umich.edu/login?url=http://search.ebscohost.com/login.aspx?direct=true&amp;db=ccm&amp;AN=104952047&amp;site=ehost-live&amp;scope=site</t>
  </si>
  <si>
    <t>10.1111/j.1365-2796.2010.02303.x</t>
  </si>
  <si>
    <t>ccm; EBSCOhost; Drug-drug interactions that reduce the formation of pharmacologically active metabolites: a poorly understood problem in clinical practice</t>
  </si>
  <si>
    <t>Manos,M. J.;Tom-Revzon,C.;Bukstein,O. G.;Crismon,M. L.</t>
  </si>
  <si>
    <t>Changes and challenges: managing ADHD in a fast-paced world</t>
  </si>
  <si>
    <t>S13; quiz S14-S16</t>
  </si>
  <si>
    <t>Algorithms;Antihypertensive Agents/tu Therapeutic Use];Atomoxetine Hydrochloride;Attention Deficit Disorder with Hyperactivity/co Complications];Attention Deficit Disorder with Hyperactivity/dt Drug Therapy];Attention Deficit Disorder with Hyperactivity/ep Epidemiology];Attention Deficit Disorder with Hyperactivity/px Psychology];*Attention Deficit Disorder with Hyperactivity/th Therapy];Benzhydryl Compounds/tu Therapeutic Use];Central Nervous System Stimulants/ad Administration &amp; Dosage];Central Nervous System Stimulants/ae Adverse Effects];*Central Nervous System Stimulants/tu Therapeutic Use];Child;Comorbidity;Drug Delivery Systems;Family;Guanfacine/tu Therapeutic Use];Humans;Patient Compliance;Prodrugs/tu Therapeutic Use];Propylamines/tu Therapeutic Use];Quality of Life;Randomized Controlled Trials as Topic;Substance-Related Disorders/co Complications];Substance-Related Disorders/px Psychology];Treatment Outcome;0 (Antihypertensive Agents);0 (Benzhydryl Compounds);0 (Central Nervous System Stimulants);0 (Prodrugs);0 (Propylamines);30OMY4G3MK (Guanfacine);57WVB6I2W0 (Atomoxetine Hydrochloride);R3UK8X3U3D (modafinil)</t>
  </si>
  <si>
    <t>BACKGROUND: Attention-deficit/hyperactivity disorder (ADHD) impairs the lives of both children and adults. Undiagnosed and untreated, ADHD may have serious lifelong consequences. Research has identified diagnostic clues, neurotransmitter pathways, and psychiatric comorbidities related to ADHD, as well as effective pharmacologic, behavioral, and psychosocial interventions. Stimulant agents have been the foundation of ADHD therapy for more than 50 years. Availability of new extended-release (XR or ER) and longer-acting (LA) formulations and novel agents allows for wider and more individualized treatment choices. Side effects of stimulants are generally mild, short lived, and responsive to adjustments in dosage or timing. Outcomes in ADHD treatment can be improved with the use of clear treatment guidelines and tools to aid clinicians in implementing them efficiently and effectively. The Texas Children's Medication Algorithm Project (CMAP) provides a system of algorithm-driven treatment decisions that is evidence based and easy to implement. OBJECTIVE: To (1) review the psychological components of attention, the neurotransmitter pathways associated with ADHD, and the array of therapeutic options for ADHD, with an emphasis on the most recent introductions to the therapeutic armamentarium; (2) discuss the rare psychiatric and cardiovascular side effects associated with stimulants; (3) review abuse liability, comorbidities, and suggested approaches to these issues; and (4) review the development and use of CMAP and offer resources for its implementation in clinical practice. CONCLUSION: The pathophysiology of ADHD is linked to dysfunction of fronto-subcortical networks and dysregulation of dopaminergic, noradrenergic, and nicotinic neurotransmitter systems. An additive effect of multiple genes as well as environmental influences contributes to the clinical picture. Treatment with stimulants and nonstimulants has proven effective in different subgroups, with the effectiveness of specific agents most likely related to the primary neurotransmitter involved. Availability of XR, ER, LA, and transdermal stimulant formulations, as well as alternative nonstimulant agents, offers new options for the pharmacotherapy of ADHD. Major concerns associated with abuse liability of stimulants have been allayed by the availability of ER formulations, which have reduced reinforcing effects associated with short-acting preparations. Medication outcomes in ADHD can be enhanced by the use of evidence-based algorithms such as CMAP. Keys to success are adequate initial assessment and diagnosis, the use of sustained-release products, sufficient dose titration, and the use of clinical rating scales with feedback from caregivers and teachers. Optimal treatment outcomes can be achieved by appropriate pharmacotherapy combined with psychosocial interventions. References: 103]</t>
  </si>
  <si>
    <t>J2: J Manage Care Pharm; Manos, Michael J Tom-Revzon, Catherine Bukstein, Oscar G Crismon, M Lynn; ID: 376</t>
  </si>
  <si>
    <t>Manos,Michael J. Children's Hospital, 9500 Euclid Ave., Desk A120, Cleveland, OH 44195,USA. manosm@ccf.org</t>
  </si>
  <si>
    <t>http://ovidsp.ovid.com/ovidweb.cgi?T=JS&amp;CSC=Y&amp;NEWS=N&amp;PAGE=fulltext&amp;D=med5&amp;AN=18062734</t>
  </si>
  <si>
    <t>MEDLINE; Ovid Technologies; Changes and challenges: managing ADHD in a fast-paced world</t>
  </si>
  <si>
    <t>Markham,A. W.;Connors,C.;Vollick,S.;Ladd,A.;Chapman,K.;Author,Addresses;Awm;Associates,Eldorado Canada;Canadian Network,Respiratory Care;Rana Respiratory,Care Group;University of Toronto, Division of,Respirology Toronto;Canada;Correspondence,Address;AW Markham, Highway Madoc Canada Email andreawm,yahoo com</t>
  </si>
  <si>
    <t>Improving the health of canadians: Why a certification program for tobacco educators is necessary</t>
  </si>
  <si>
    <t>Canadian Journal of Respiratory Therapy</t>
  </si>
  <si>
    <t>certification;health education;health educator;smoking cessation program;tobacco dependence;article;Canadian;chronic obstructive lung disease;counseling;health care personnel;health promotion;heart disease;human;International Classification of Diseases;motivational interviewing;neoplasm;practice guideline;respiratory therapist;smoking cessation;Public Health, Social Medicine and Epidemiology (17);Drug Dependence, Alcohol Abuse and Alcoholism (40)</t>
  </si>
  <si>
    <t>Tobacco use disorder is recognized as a chronic, relapsing condition, listed in both the Diagnostic and Statistical Manual of Mental Disorders, 5th Edition (1) and the International Classification of Diseases (2). Tobacco cessation requires a comprehensive approach that combines motivational interviewing techniques, pharmacological options and client-centred education (3,4). Health care professionals currently provide a limited amount of support to their clients in tobacco cessation, even though support has been shown to be a significant factor influencing quit rates (5). The Canadian Society of Respiratory Therapists' smoking cessation position statement states respiratory therapists "advocate and encourage smoking cessation" (6). However, a joint statement of health care professional organizations, including the Canadian Society of Respiratory Therapists, indicates that health care professionals are not confident in providing tobacco cessation support due to "insufficient education" (7). This gap in education points to a need for additional training for respiratory therapists in tobacco cessation to further develop their competencies in this area. The present commentary argues that a national, competency-based training and certification program will enable health care professionals to develop the skills and knowledge to support their clients through tobacco use disorder. A comprehensive approach to tobacco use prevention and cessation that is founded on the principles of client education will be reviewed as an effective means for reducing the burden of disease and suffering caused by tobacco use. The fight against the use of tobacco is a personal one for the authors of the present commentary. We have lost family members, friends and clients to chronic obstructive pulmonary disease, cancer and heart disease caused by tobacco. The fight against tobacco has been ongoing and, while there is a decrease in the prevalence, tobacco continues to be the leading cause of death in Canada (8).</t>
  </si>
  <si>
    <t>(Markham A.W., andreawm@yahoo.com) (Connors C.; Vollick S.) (Ladd A.) (Chapman K.) Canadian Society of Respiratory Therapists, pubs@cma.ca; ID: 862</t>
  </si>
  <si>
    <t>2368-6820 (electronic) 1205-9838</t>
  </si>
  <si>
    <t>Marks,R. M.;Sachar,E. J.</t>
  </si>
  <si>
    <t>Undertreatment of medical inpatients with narcotic analgesics</t>
  </si>
  <si>
    <t>*Analgesics/tu Therapeutic Use];Attitude of Health Personnel;Drug Prescriptions;Education, Pharmacy;Female;Health Surveys;Hospitalization;Humans;Interview, Psychological;Male;Medical Records;Meperidine/ad Administration &amp; Dosage];*Meperidine/tu Therapeutic Use];Narcotics/ad Administration &amp; Dosage];*Narcotics/tu Therapeutic Use];New York City;Physicians;Sampling Studies;Substance-Related Disorders;Surveys and Questionnaires;0 (Analgesics);0 (Narcotics);9E338QE28F (Meperidine)</t>
  </si>
  <si>
    <t>J2: Ann Intern Med; Marks, R M Sachar, E J; ID: 736</t>
  </si>
  <si>
    <t>http://ovidsp.ovid.com/ovidweb.cgi?T=JS&amp;CSC=Y&amp;NEWS=N&amp;PAGE=fulltext&amp;D=med1&amp;AN=4683747</t>
  </si>
  <si>
    <t>MEDLINE; Ovid Technologies; Undertreatment of medical inpatients with narcotic analgesics</t>
  </si>
  <si>
    <t>Marlatt,G. A.;Witkiewitz,K.</t>
  </si>
  <si>
    <t>Harm reduction approaches to alcohol use: health promotion, prevention, and treatment</t>
  </si>
  <si>
    <t>Adolescent;Adolescent Health Services/og Organization &amp; Administration];Adult;Aged;Alcohol Deterrents/tu Therapeutic Use];Alcohol Drinking/pc Prevention &amp; Control];*Alcoholism/pc Prevention &amp; Control];Alcoholism/rh Rehabilitation];Alcoholism/th Therapy];Behavior Therapy/mt Methods];Female;Harm Reduction;Health Education/og Organization &amp; Administration];*Health Promotion/og Organization &amp; Administration];Health Services Accessibility/og Organization &amp; Administration];Humans;Male;Middle Aged;Preventive Health Services/og Organization &amp; Administration];Randomized Controlled Trials as Topic;0 (Alcohol Deterrents)</t>
  </si>
  <si>
    <t>Harm reduction approaches to alcohol problems have endured a controversial history in both the research literature and the popular media. Although several studies have demonstrated that controlled drinking is possible and that moderation-based treatments may be preferred over abstinence-only approaches, the public and institutional views of alcohol treatment still support zero-tolerance. After describing the problems with zero-tolerance and the benefits of moderate drinking, the research literature describing prevention and intervention approaches consistent with a harm reduction philosophy are presented. Literature is reviewed on universal prevention programs for young adolescents, selective and indicated prevention for college students, moderation-based self-help approaches, prevention and interventions in primary care settings, pharmacological treatments, and psychosocial approaches with moderation goals. Overall, empirical studies have demonstrated that harm reduction approaches to alcohol problems are at least as effective as abstinence-oriented approaches at reducing alcohol consumption and alcohol-related consequences. Based on these findings, we discuss the importance of individualizing alcohol prevention and intervention to accommodate the preferences and needs of the targeted person or population. In recognizing the multifaceted nature of behavior change, harm reduction efforts seek to meet the individual where he or she is at and assist that person in the direction of positive behavior change, whether that change involves abstinence, moderate drinking, or the reduction of alcohol-related harm. The limitations of harm reduction and recommendations for future research are discussed. References: 106]</t>
  </si>
  <si>
    <t>J2: Addict Behav; Marlatt, G Alan Witkiewitz, Katie; ID: 505</t>
  </si>
  <si>
    <t>Marlatt,G Alan. Addictive Behaviors Research Center, Department of Psychology, University of Washington, Box 351525, Seattle, WA 98195, USA. marlatt@u.washington.edu</t>
  </si>
  <si>
    <t>http://ovidsp.ovid.com/ovidweb.cgi?T=JS&amp;CSC=Y&amp;NEWS=N&amp;PAGE=fulltext&amp;D=med4&amp;AN=12369473</t>
  </si>
  <si>
    <t>MEDLINE; Ovid Technologies; Harm reduction approaches to alcohol use: health promotion, prevention, and treatment</t>
  </si>
  <si>
    <t>Marlowe,K. F.;Geiler,R.;Author,Addresses;Pharmacy,Practice Department;University,Harrison School of Pharmacy A.L.United States;Department,of Internal;University of South Alabama, School of Medicine,A.L.United States;Auburn University, Harrison School of,Pharmacy A.;States;Correspondence,Address;KF Marlowe, Department of Internal Medicine University of,South Alabama;School of Medicine, A L United States Email marlokf,auburn edu</t>
  </si>
  <si>
    <t>23011961; Pharmacist's role in dispensing opioids for acute and chronic pain</t>
  </si>
  <si>
    <t>(MAJOR FOCUS);opiate (drug therapy, pharmaceutics, pharmacoeconomics);hydrocodone (drug therapy, pharmaceutics, pharmacoeconomics);methadone (drug therapy, pharmaceutics, pharmacoeconomics);morphine (drug therapy, pharmaceutics, pharmacoeconomics);oxycodone (drug therapy, pharmaceutics, pharmacoeconomics);chronic pain (drug therapy, disease management, drug therapy);drug delivery system;health care delivery;pain (drug therapy, disease management, drug therapy);pharmacist;article;cancer pain (drug therapy);communication skill;drug cost;drug efficacy;drug indication;drug release;drug safety;economic evaluation;health care access;health care personnel;health care quality;health education;health survey;human;medical ethics;medical information;medical practice;opiate addiction;palliative therapy;patient care;personal autonomy;pharmacy;practice guideline;prescription;hydrocodone (125-29-1, 25968-91-6, 34366-67-1);methadone (1095-90-5, 125-56-4, 23142-53-2, 297-88-1, 76-99-3);morphine (52-26-6, 57-27-2);opiate (53663-61-9, 8002-76-4, 8008-60-4);oxycodone (124-90-3, 76-42-6);Internal Medicine (6);Neurology and Neurosurgery (8);Health Policy, Economics and Management (36);Drug Literature Index (37);Pharmacy (39)</t>
  </si>
  <si>
    <t>Pain continues to be a serious health care concern in the United States. Patients with chronic pain experience the impact of the disease throughout their lives including their social interactions, family relationships, and in many cases economic productivity. Multiple surveys have found that many pharmacists hold misconceptions regarding opioids, pain disease states, and their understandings of current regulations. Multiple barriers affect the ability of pharmacists to deliver care to patients' prescribed opioid therapy. Inadequate communication between health care professionals and patients is one of the hurdles, which prevents quality care. Increased communication between health care providers including access to health information is one step, which is crucial to improving provision of pharmacotherapy. Finally, the quality of educational opportunities relative to opioids and pain management specifically for pharmacists needs to be increased, and consideration needs to be given for making appropriate pain management education mandatory. ‚î¨‚åê The Author(s) 2012.</t>
  </si>
  <si>
    <t>(Marlowe K.F., marlokf@auburn.edu) (Geiler R.) SAGE Publications Inc., 2455 Teller Road, Thousand Oaks, United States.; ID: 1111</t>
  </si>
  <si>
    <t>0897-1900 1531-1937 (electronic)</t>
  </si>
  <si>
    <t>http://www.ncbi.nlm.nih.gov/pubmed/23011961</t>
  </si>
  <si>
    <t>Pharmacist's role in dispensing opioids for acute and chronic pain</t>
  </si>
  <si>
    <t>Maroney,M.;Mierzwa,M.;Macaluso,A.;Walsh,K.;Maloney,D.;Learn,M.;Author,Addresses;Saint;Barnabas Behavioral Health,Care Center;Correspondence,Address;Maroney, Saint Barnabas Behavioral Health Care Center United States,M.</t>
  </si>
  <si>
    <t>Impact of a symptom-triggered alcohol withdrawal protocol on benzodiazepine use and length of stay in an adult dual diagnosis population</t>
  </si>
  <si>
    <t>(MAJOR FOCUS);benzodiazepine;benzodiazepine derivative;chlordiazepoxide;lorazepam;succimer;adult;alcohol withdrawal;college;diagnosis;length of stay;pharmacist;population;alcohol blood level;anxiety;cognition;death;delirium tremens;detoxification;drug therapy;exposure;gender;hallucination;headache;heart arrhythmia;hospital;patient;respiration depression;respiratory failure;risk;seizure;shock;side effect;sweating;traumatic brain injury;treatment duration;treatment withdrawal;tremor;urine</t>
  </si>
  <si>
    <t>Abstract Type: Work in Progress. Background: Alcohol withdrawal syndrome (AWS) can lead to severe complications such as seizures, hallucinations and frank delirium tremens (DTs). Complications from DTs include respiratory failure, cardiac arrhythmias, cardiovascular collapse and death in up to 20% of untreated patients. Proper treatment with benzodiazepines such as lorazepam and chlordiazepoxide, can treat the uncomfortable symptoms of AWS (sweating, tremors, headache, anxiety etc.), while effectively preventing complications. Side effects of these medications (ex: oversedation, impaired cognitive function, respiratory depression), especially if used unnecessarily, can be problematic, possibly leading to less ability to participate in treatment decisions, increased risk of falls and prolonged length of stay due to extended tapering schedules. The use of a symptom-triggered protocol for treating AWS, utilizing a standardized scale such as the Clinical Institute for Alcohol Withdrawal Assessment- Revised (CIWA-Ar) has been shown to decrease the unnecessary use of benzodiazepines in detoxification centers, while effectively managing symptoms and preventing major complications. This method has also been shown to result in shorter treatment episodes in detoxification centers, thus minimizing exposure to these potentially addictive medications. Objectives: To measure benzodiazepine use in a dual diagnosis population immediately before and after initiation of a symptom-triggered alcohol withdrawal treatment protocol to determine the impact on overall use, cost, and length of stay. Methods: Charts of all patients on the dual diagnosis unit undergoing treatment for AWS admitted immediately before and after protocol implementation will be reviewed to determine age, gender, total cumulative benzodiazepine dose (measured in chlordiazepoxide equivalents), average benzodiazepine dose per day, amount per dose, total number of doses received per patient, length of stay, length of AWS treatment, diagnosis, comorbid substance use/abuse, history of withdrawal complications (seizures, hallucinations, DTs), seizure disorder history, history of traumatic brain injury, blood alcohol level (BAL) upon admission, date BAL drawn, urine drug screen (UDS) results upon admission, and number of incidents requiring transfer to the medical hospital. Outcomes: This data will be analyzed to determine any notable trends, if overall use of benzodiazepines has decreased, and if average length of stay and treatment duration has decreased since protocol initiation.</t>
  </si>
  <si>
    <t>(Maroney M.; Mierzwa M.; Macaluso A.; Walsh K.; Maloney D.; Learn M.) 13th Annual Meeting of the College of Psychiatric and Neurologic Pharmacists, CPNP 2010 San Antonio, TX, United States 2010-04-18 to 2010-04-21 SAGE Publications Inc.; ID: 1375</t>
  </si>
  <si>
    <t>Marra,C.;Nimmo,C. R.;Jewesson,P.</t>
  </si>
  <si>
    <t>A prospective survey of knowledge and perceptions of ondansetron: what do health care workers know about this drug?</t>
  </si>
  <si>
    <t>Antiemetics/ae Adverse Effects];Antiemetics/ec Economics];*Antiemetics/st Standards];British Columbia;Data Collection;Dose-Response Relationship, Drug;Education, Pharmacy;Forms and Records Control;*Health Knowledge, Attitudes, Practice;Hospital Bed Capacity, 500 and over;Hospitals, Teaching;Medical Staff, Hospital/ec Economics];Nursing Staff, Hospital/ec Economics];Ondansetron/ae Adverse Effects];Ondansetron/ec Economics];*Ondansetron/st Standards];*Personnel, Hospital/ed Education];Prospective Studies;Surveys and Questionnaires;0 (Antiemetics);4AF302ESOS (Ondansetron)</t>
  </si>
  <si>
    <t>Ondansetron is a relatively new drug whose optimal use is dependent on an understanding of its characteristics and role relative to traditional antiemetics. To assess perceptions and knowledge regarding ondansetron, we conducted a prospective written survey involving 56 physicians, pharmacists, and nurses at this hospital. Pharmacists claimed to be exposed to ondansetron promotion by industry more than the other groups. Apart from industry, pharmacists were considered to be the most common source of drug information. Nurses were less aware of dosage form equivalence than the other groups (p = 0.042). Physicians were more aware of twice daily dosing efficacy than other respondents (p = 0.0006). Nurses were able to better identify the relative duration of antiemetic benefit over metoclopramide (p = 0.008); however, most participants tended to be misinformed on this issue. Pharmacists were more familiar with the side effect profile while physicians were more cognizant of oral (p = 0.001) and parenteral (p = 0.018) drug costs than other groups. Overall, survey scores for physicians and pharmacists were higher than those for nurses (p = 0.007). There is an apparent difference across health care profession disciplines in the perceptions and knowledge about ondansetron. Specific misconceptions could lead to suboptimal drug use and warrant efforts to ensure a good understanding of the attributes and relative role of this agent.</t>
  </si>
  <si>
    <t>J2: Can J Hosp Pharm; Marra, C Nimmo, C R Jewesson, P; ID: 621</t>
  </si>
  <si>
    <t>Marra,C. B.C. Children's and Women's Hospital, British Columbia, Canada.</t>
  </si>
  <si>
    <t>http://ovidsp.ovid.com/ovidweb.cgi?T=JS&amp;CSC=Y&amp;NEWS=N&amp;PAGE=fulltext&amp;D=med3&amp;AN=10153865</t>
  </si>
  <si>
    <t>MEDLINE; Ovid Technologies; A prospective survey of knowledge and perceptions of ondansetron: what do health care workers know about this drug?</t>
  </si>
  <si>
    <t>Martin,C. M.</t>
  </si>
  <si>
    <t>Methadone: marvelous, malevolent, or merely misunderstood?</t>
  </si>
  <si>
    <t>*Analgesics, Opioid/ae Adverse Effects];*Analgesics, Opioid/tu Therapeutic Use];Humans;*Methadone/ae Adverse Effects];*Methadone/tu Therapeutic Use];*Pain/dt Drug Therapy];Pain Management/mt Methods];0 (Analgesics, Opioid);UC6VBE7V1Z (Methadone)</t>
  </si>
  <si>
    <t>Methadone is an opioid analgesic that is also commonly used to prevent opioid-withdrawal symptoms in patients undergoing treatment for opioid addiction. The prescribing of methadone for pain management has been under scrutiny because of a high incidence of deaths associated with its use. However, many practitioners find methadone offers numerous benefits, including dosing options and duration of analgesia. Methadone may still have a place in pain management when practitioners are adequately educated about methadone's pharmacologic properties, dosing, and monitoring considerations.</t>
  </si>
  <si>
    <t>J2: Consult Pharm; Martin, Caren McHenry; ID: 112</t>
  </si>
  <si>
    <t>Martin,Caren McHenry. consultant pharmacist in Greensboro, North Carolina.</t>
  </si>
  <si>
    <t>http://ovidsp.ovid.com/ovidweb.cgi?T=JS&amp;CSC=Y&amp;NEWS=N&amp;PAGE=fulltext&amp;D=med5&amp;AN=21224197</t>
  </si>
  <si>
    <t>http://dx.doi.org/10.4140/TCP.n.2011.32</t>
  </si>
  <si>
    <t>MEDLINE; Ovid Technologies; Methadone: marvelous, malevolent, or merely misunderstood?</t>
  </si>
  <si>
    <t>Martin,S. L.;Baker,R. P.;Piper,B. J.</t>
  </si>
  <si>
    <t>PMC4696125; Evaluation of urban-rural differences in pharmacy practice needs in Maine with the MaPPNA</t>
  </si>
  <si>
    <t>BACKGROUND: Maine is a rural state with an aging population located in the northeastern United States. Pharmacists play an important role in serving the public's health as they are often the most available point-of-contact within a community. OBJECTIVE: To assess the current pharmacy practice needs as viewed by licensed pharmacists across our rural state, and to distinguish issues that are unique to rural pharmacy practice. METHODS: An online survey was sent to all licensed pharmacists in the state in the fall of 2014 (n=1,262) to assess their pharmacy practice needs, and specify an rural-specific needs, within the categories of (1) opioid misuse, abuse, and diversion, (2) challenges associated with access to healthcare, (3) poly-pharmacy use, (4) meeting the needs of special populations, (5) lack of antibiotic stewardship, and (6) resources, such as staffing. RESULTS: The response rate was 22.1 % (n=279). We found the most agreed upon issue facing pharmacists' in Maine is opioid use, misuse and diversion, followed closely by shortages in staffing. We also learned that pharmacists' view pharmaceutical care for older adults, those with low health literacy, and those with mental disabilities more time-consuming. Some urban-rural differences were discovered in with regard to the pharmacists' views; such as the magnitude of the distance barrier, and limited transportation options available to rural residents. Issues related to polypharmacy were viewed as more problematic by pharmacists practicing in urban versus rural sites. CONCLUSIONS: Pharmaceutical care in Maine must focus on meeting the needs of the elderly, those with disabilities, and those with limited health literacy. As with the rest of the nation, opioids challenge pharmacy practice in a variety of ways. These findings clarify areas that present opportunities for pharmacists to focus more specifically on Maine's largely rural population.</t>
  </si>
  <si>
    <t>J2: Pharm; Martin, Sarah L Baker, Robert P Piper, Brian J; ID: 13</t>
  </si>
  <si>
    <t>Martin,Sarah L. School of Pharmacy, Husson University . Bangor, ME ( United States ). martinsar@husson.edu. Baker,Robert P. School of Pharmacy, Husson University. Bangor , ME ( United States ). bakerr@husson.edu. Piper,Brian J. Bowdoin College , Brunswick ME ( United States ). bpiper@bowdoin.edu.</t>
  </si>
  <si>
    <t>http://ovidsp.ovid.com/ovidweb.cgi?T=JS&amp;CSC=Y&amp;NEWS=N&amp;PAGE=fulltext&amp;D=prem&amp;AN=26759622</t>
  </si>
  <si>
    <t>http://dx.doi.org/10.18549/PharmPract.2015.04.669</t>
  </si>
  <si>
    <t>MEDLINE; Ovid Technologies; Evaluation of urban-rural differences in pharmacy practice needs in Maine with the MaPPNA</t>
  </si>
  <si>
    <t>Martinez,M. L.;Vande Griend,J. P.;Linnebur,S. A.</t>
  </si>
  <si>
    <t>Medication management: a case of brown bag-identified medication hoarding</t>
  </si>
  <si>
    <t>Aged;Aged, 80 and over;Female;Humans;Medication Adherence;Medication Reconciliation;*Medication Therapy Management;Obsessive Hoarding;Patient Education as Topic;*Polypharmacy</t>
  </si>
  <si>
    <t>A 91-year-old woman living independently in the community presented along with her son for a medication therapy management (MTM) appointment with the clinical pharmacist at the University of Colorado Hospital Seniors Clinic. The purpose of the visit was to review the patient's medications, perform medication reconciliation, and identify ways to increase proper medication management. As requested for the MTM appointment, the patient and her son brought in several large bags of her over-the-counter (OTC) and prescription medications from her home, including those that she was not currently taking. The clinical pharmacist reviewed the medications and found multiple instances of duplicate therapies, nonadherence, discrepancies in her medication regimen, cost concerns, and other drug-therapy problems. In addition, the pharmacist's evaluation showed that the patient had been hoarding more than 100 medications, which increased her risk for drug-related problems. Most of the OTC and some prescription medications were voluntarily removed from the patient's possession to reduce the likelihood of potential overuse of medications.The pharmacist educated the patient and her son regarding her updated medication list and how to properly manage her medications. Finally, the patient's son volunteered to help his mother with medication management or hire someone to assist her. This case demonstrates the usefulness of requesting all medications-including OTC and prescription, active and inactive medications-be brought to the MTM appointment.The case also supports the need for family support for older adults struggling with managing polypharmacy.</t>
  </si>
  <si>
    <t>J2: Consult Pharm; Martinez, Melanie L Vande Griend, Joseph P Linnebur, Sunny A; ID: 188</t>
  </si>
  <si>
    <t>Martinez,Melanie L. University of Colorado Skaggs School of Pharmacy and Pharmaceutical Sciences, Aurora, Colorado 80045, USA.</t>
  </si>
  <si>
    <t>http://ovidsp.ovid.com/ovidweb.cgi?T=JS&amp;CSC=Y&amp;NEWS=N&amp;PAGE=fulltext&amp;D=medl&amp;AN=23045330</t>
  </si>
  <si>
    <t>http://dx.doi.org/10.4140/TCP.n.2012.729</t>
  </si>
  <si>
    <t>MEDLINE; Ovid Technologies; Medication management: a case of brown bag-identified medication hoarding</t>
  </si>
  <si>
    <t>Marzal Alfaro,B.;Flox Benitez,P.;Martin Barbero,M. L.;Manzanares Secades,C.;De,Lorenzo Pinto;Yeste G‚îú‚îÇmez,I.;Sanjurjo S‚îú√≠ez,M.;Author,Addresses;Hospital,General;Universitario Gregorio Mara‚îú‚ñíon, Pharmacy,Madrid Spain;Correspondence,Address;Marzal Alfaro, Hospital General Universitario Gregorio Mara‚îú‚ñíon Pharmacy,B.;Madrid,Spain</t>
  </si>
  <si>
    <t>Assessment of pharmaceutical interventions in a clinical pharmacokinetics unit</t>
  </si>
  <si>
    <t>amikacin;digoxin;phenytoin;valproic acid;vancomycin;hospital;human;pharmacist;pharmacokinetics;classification;computer program;consensus;electronic prescribing;follow up;gravity;intensive care;low drug dose;medication error;patient;pharmacy;physician;risk;safety;tertiary health care;ward</t>
  </si>
  <si>
    <t>Background: Pharmaceutical interventions are a method of ensuring the efficacy and safety of treatments. Purpose: To classify pharmaceutical interventions made by a pharmacy resident in the pharmacokinetics unit of a tertiary hospital and evaluation of acceptance by the clinician. Materials and methods: For one month, The authors reviewed electronic prescriptions of drugs with a narrow therapeutic range in medical and intensive care wards. Pharmacokinetics studies were performed using the PKS software package and reports were issued to the patient's physician. Pharmaceutical interventions were classified according to the method described by Overhage et al, which measures the gravity of medication errors and the value of clinical interventions made by the pharmacist. Drug-related problems were classified according to the Granada Consensus. Results: Thirty-two patients (84% of those reviewed) were evaluated. The drugs prescribed were digoxin (55%), valproic acid (20%), vancomycin (11%), phenytoin (7%) and amikacin (7%). The authors made 29 pharmaceutical interventions (the remaining patients had drug levels within the therapeutic range), with a degree of acceptance of 93%. Interventions were classified as follows: 'dosing error (DE) consisting of a very low dose of a drug that is not potentially life-saving' (10/29); 'DE consisting of a very low dose of a potentially life-saving drug' (10/29); 'DE resulting in potentially toxic concentrations' (3/29); 'inappropriate dosing interval' (3/29); 'clinically significant interaction requiring follow-up' (2/29); 'adverse events related to precautions or contraindications' (1/29). The classification of interventions according to clinical importance were life-threatening (34%), serious (14%), and significant (52%). Drug-related problems were classified as quantitatively ineffective (20/29), qualitatively ineffective (2/29); quantitatively unsafe (4/29), qualitatively unsafe (3/29). Conclusions Most of the patients required a pharmaceutical intervention to adjust their treatment. All interventions made had a relevant clinical impact, as they involved high-risk drugs with a narrow therapeutic range. The most common drug-related problem was quantitative inefficacy due to underdosing.</t>
  </si>
  <si>
    <t>(Marzal Alfaro B.; Flox Benitez P.; Martin Barbero M.L.; Manzanares Secades C.; De Lorenzo Pinto A.; Yeste G‚îú‚îÇmez I.; Sanjurjo S‚îú√≠ez M.) 2012 European Association of Hospital Pharmacists, EAHP Congress Milan, Italy 2012-03-21 to 2012-03-23 BMJ Publishing Group; ID: 1173</t>
  </si>
  <si>
    <t>Masson,S.;Mabasa,V.;Malyuk,D.;Perrott,J.;Author,Addresses;Abbotsford,Regional Hospital;Burnaby Hospital,United Kingdom;Royal,Columbian Hospital;Correspondence,Address;Masson, Abbotsford Regional Hospital United Kingdom,S.</t>
  </si>
  <si>
    <t>Validation of FASTHUG-maidens: A mnemonic for drug related problem identification in the intensive care unit</t>
  </si>
  <si>
    <t>Critical Care Medicine</t>
  </si>
  <si>
    <t>Crit.Care Med.</t>
  </si>
  <si>
    <t>39 SUPPL. 12</t>
  </si>
  <si>
    <t>glucose;intensive care;intensive care unit;problem identification;allergy;analgesia;Canada;community;delirium;drug therapy;feeding;health;hospital;human;hypothesis;medication therapy management;monitoring;patient;pharmacist;pharmacy;physician;prophylaxis;rank sum test;sedation;side effect;stress ulcer;thromboembolism;validation study</t>
  </si>
  <si>
    <t>Introduction: The mnemonic FASTHUG (Feeding; Analgesia; Sedation; Thromboembolic prophylaxis; Head of bed elevation; stress Ulcer prophylaxis; Glucose control) was developed by intensive care unit (ICU) physicians to ensure that several key aspects of care are addressed by the ICU team in every patient encounter. However, this tool did not specifically target pharmacotherapy assessments. To provide a standardized approach for identifying drug related problems (DRPs) in the ICU, we further modified this mnemonic to FASTHUG-MAIDENS (Changing the H to Hypo/hyperactive delirium and adding Medication reconciliation; Anti-infectives; assess for Indications; Drug dosing; Electrolytes/laboratory results; No duplications, interactions, allergies or side effects; Stop dates). The purpose of this study was to validate the benefit of this mnemonic for identifying DRPs. Hypothesis: Our hypothesis was that the use of the FASTHUG-MAIDENS mnemonic by pharmacy residents would increase their identification of DRPs in ICU patients compared to standard monitoring practice (SMP). Methods: This randomized, prospective validation study took place from January to May 2011 in the ICUs of four hospitals within the Fraser Health Authority in British Columbia, Canada: two community level and two tertiary referral ICUs. Six Pharmacy Residents completing ICU rotations were randomized to assess patients using the mnemonic FASTHUG-MAIDENS or employing SMP. The DRPs identified from these assessments were then compared with those identified by the ICU Pharmacists. The proportion of DRPs per patient encounter (the primary outcome) was calculated for each group using the Mann Whitney U test. The proportion of total DRPs identified in each group was assessed as a secondary endpoint using the Chi squared test. Results: Pharmacy Residents using the FASTHUG-MAIDENS mnemonic identified a statistically significant greater mean proportion of DRPs per patient encounter (73.2% vs 52.4%, p = 0.008) and a greater proportion of total DRPs (77.1% vs 52.5%, p&lt;0.0001) than those assessing patients using SMP. Conclusions: The mnemonic FASTHUG-MAIDENS is a useful tool to increase the capture of DRPs by Pharmacy Residents in ICU patients.</t>
  </si>
  <si>
    <t>(Masson S.) (Mabasa V.) (Malyuk D.; Perrott J.) Critical Care Congress 2012 Houston, TX, United States 2012-02-04 to 2012-02-08 Lippincott Williams and Wilkins; ID: 1218</t>
  </si>
  <si>
    <t>0090-3493</t>
  </si>
  <si>
    <t>Masson,S. C.;Mabasa,V. H.;Malyuk,D. L.;Perrott,J. L.</t>
  </si>
  <si>
    <t>PMC3694936; Validity Evidence for FASTHUG-MAIDENS, a Mnemonic for Identifying Drug-Related Problems in the Intensive Care Unit.Erratum appears in Can J Hosp Pharm. 2013 Jul;66(4):252; PMID: 23950609]</t>
  </si>
  <si>
    <t>BACKGROUND: The mnemonic FASTHUG (Feeding, Analgesia, Sedation, Thromboembolic prophylaxis, Head of bed elevation, stress Ulcer prophylaxis, Glucose control) was developed by intensive care unit (ICU) physicians to ensure that key aspects of care are addressed during each patient encounter. Because this tool does not specifically target pharmacotherapy assessments, a modified version, FASTHUG-MAIDENS, was created, by changing the H to mean Hypoactive or Hyperactive delirium and adding M for Medication reconciliation; A for Antibiotics or Anti-infectives; I for Indications for medications; D for drug Dosing; E for Electrolytes, hematology, and other laboratory tests; N for No drug interactions, allergies, duplication, or side effects; and S for Stop dates. OBJECTIVE: To validate the use of FASTHUG-MAIDENS as a tool for identifying drug-related problems (DRPs) in the ICU. METHODS: This randomized, prospective validation study took place between January and May 2011 in the ICUs of 4 hospitals: 2 community-level ICUs and 2 tertiary referral ICUs. Each ICU had a dedicated ICU pharmacist and one or more pharmacy residents completing an ICU rotation as part of their pharmacy practice residency (total of 6 residents). The 6 pharmacy residents were randomly assigned to assess patients admitted to the ICU using FASTHUG-MAIDENS or standard monitoring practice. The mean proportion of DRPs per patient encounter identified by the residents (relative to DRPs identified by the ICU pharmacists) was the primary outcome, and the proportion of total DRPs identified in each group was assessed as a secondary end point. RESULTS: Pharmacy residents using the FASTHUG-MAIDENS mnemonic identified a significantly greater mean proportion of DRPs per patient encounter (73.2% versus 52.4%, p = 0.008) and a greater proportion of total DRPs (77.1% versus 52.5%, p &lt; 0.001) than those assessing patients according to standard monitoring practice. CONCLUSION: In this sample, the mnemonic FASTHUG-MAIDENS was a useful tool to facilitate the capture of DRPs by pharmacy residents working in the ICU.</t>
  </si>
  <si>
    <t>J2: Can J Hosp Pharm; Masson, Sarah C Mabasa, Vincent H Malyuk, Douglas L Perrott, Jerrold L; ID: 154</t>
  </si>
  <si>
    <t>http://ovidsp.ovid.com/ovidweb.cgi?T=JS&amp;CSC=Y&amp;NEWS=N&amp;PAGE=fulltext&amp;D=prem&amp;AN=23814282</t>
  </si>
  <si>
    <t>MEDLINE; Ovid Technologies; Validity Evidence for FASTHUG-MAIDENS, a Mnemonic for Identifying Drug-Related Problems in the Intensive Care Unit.[Erratum appears in Can J Hosp Pharm. 2013 Jul;66(4):252; PMID: 23950609]</t>
  </si>
  <si>
    <t>Mateus,J.;P‚îú‚åêrez-Ma‚îú‚ñí‚îú√≠,C.;Papaseit,E.;Farr‚îú‚åê,A.;Galindo,L.;Torrens,M.;Montan‚îú‚åê,E.;Barriocanal,A.;Ba‚îú‚ñíos,J. E.;Farr‚îú‚åê,M.;Author,Addresses;Hospital,del Mar;Research Institute-Imim,Barcelona Spain;Universitat Aut‚îú‚ñìnoma,de Barcelona;Barcelona,Spain;Institut,de Neuropsiquiatria;Adiccions-Inad-Imim, Hospital del Mar,Barcelona Spain;Hospital Universitari,Germans Trias;Pujol,Institut d'Investigaci‚îú‚îÇ en Ci‚îú¬øncies de la Salut Germans Trias I.;Pujol,Badalona Spain;Universitat,Pompeu Fabra;Correspondence,Address;Mateus, Hospital del Mar Medical Research Institute-Imim Barcelona,J.;Spain</t>
  </si>
  <si>
    <t>Commercial movies to teach non-medical and undesirable use of drugs</t>
  </si>
  <si>
    <t>e140</t>
  </si>
  <si>
    <t>e141</t>
  </si>
  <si>
    <t>audiovisual equipment;clinical pharmacology;European;therapy;addiction;crime;data base;drug dependence;health;health science;homicide;human;information center;injection;Internet;intoxication;learning;male;memory;punishment;school;student;teaching;United States;university;walking</t>
  </si>
  <si>
    <t>Introduction: The use of commercial films to illustrate a health problem is a common experience in university teaching of health sciences. The objective was to illustrate nonmedical or undesirable use of drugs using different commercial films in teaching of clinical pharmacology. Materials and Methods: We selected the following non-medical and undesirable uses: chemical submission, induction of addiction, poisoning, lethal injection (death penalty), improved sexual performance, neuroenhancement (smart drugs) and drugs and crime. Search for movies that had scenes corresponding these uses were collected using the New York University's School of Medicine (NYU) literature, arts and medicine database, and the Film Affinity and Internet Movie Databases (IMDb). In addition we used our own archives and memories to select the adequate movies. Results: We chose the following movies to illustrate such use: Seeking Miguel (2007) for chemical submission, Revenge (1990 for the induction of addiction, Murder my sweet (1944) for poisoning, Dead Man Walking (1995) for lethal injection, Something's Gotta Give (2003) for the use of drugs enhancing sexual performance, Limitless (2011) for neuroenhancement, and Zulu (2013) for drugs and crime. For each film we redacted a list of learning objectives and a list of questions that could be answered by the students the end of the session. We have introduced some of films in seminars of clinical pharmacology and drug addictions. Conclusions: It is concluded that the films are of interest to illustrate how dugs (medicines) could be misused or abused. We think that the films can demonstrate the toxicological interest, usage patterns, consequences of their use and the ethical connotations that produce such practices in the domain of medicine and clinical pharmacology.</t>
  </si>
  <si>
    <t>(Mateus J.; P‚îú‚åêrez-Ma‚îú‚ñí‚îú√≠ C.; Papaseit E.; Farr‚îú‚åê M.) (Mateus J.; P‚îú‚åêrez-Ma‚îú‚ñí‚îú√≠ C.; Papaseit E.; Farr‚îú‚åê A.; Galindo L.; Torrens M.; Montan‚îú‚åê E.; Barriocanal A.; Farr‚îú‚åê M.) (Mateus J.; Farr‚îú‚åê A.; Galindo L.; Torrens M.) (Montan‚îú‚åê E.; Barriocanal A.; Farr‚îú‚åê M.) (Ba‚îú‚ñíos J.E.) 12th Congress of the European Association for Clinical Pharmacology and Therapeutics, EACPT 2015 Madrid, Spain 2015-06-27 to 2015-06-30 Excerpta Medica Inc.; ID: 816</t>
  </si>
  <si>
    <t>Mateus,J. A.;Ba‚îú‚ñíos,J. E.;Papaseit,E.;P‚îú‚åêrez-Ma‚îú‚ñí‚îú√≠,C.;Farr‚îú‚åê,M.;Author,Addresses;Hospital,Del Mar;Research Institute-Imim, Parc De Salut,M.A.R.Barcelona Spain;Cexs Universitat,Pompeu Fabra;Correspondence,Address;J-A Mateus, Hospital Del Mar Medical Research Institute-Imim Parc,De Salut;Mar,Barcelona Spain</t>
  </si>
  <si>
    <t>Use of commercial films to teach non-medical and undesirable use of drugs</t>
  </si>
  <si>
    <t>115 SUPPL. 3</t>
  </si>
  <si>
    <t>clinical pharmacology;society;addiction;audiovisual equipment;data base;diagnosis;drug therapy;health;health science;homicide;human;information center;injection;Internet;intoxication;learning;male;memory;prevention;punishment;school;student;teaching;United States;university;walking</t>
  </si>
  <si>
    <t>Objective: The use of commercial films to illustrate a health problem is a common experience in university teaching of health sciences. The objective was to illustrate nonmedical or undesirable use of drugs using different commercial films in teaching of clinical pharmacology. Method: We selected the following undesirable uses: chemical submission, induction of addiction, poisoning, lethal injection (death penalty), and improved sexual performance. Search for movies that had scenes corresponding these uses were collected using the New York University's School of Medicine (NYU) literature, arts and medicine database, and the Film Affinity and Internet Movie Databases (IMB). In addition we used our own archives and memories to select the adequate movies. Results: We selected various films that show various situations in which medications are used away from its traditional uses like in the prevention, diagnosis or treatment of disease. We chose the following movies to illustrate such use: Seeking Miguel (2007) for chemical submission, Revenge (1990 for the induction of addiction, Murder my sweet (1944) for poisoning, Dead Man Walking (1995) for lethal injection, and, Something's Gotta Give (2003) for the use of drugs enhancing sexual performance. For each film we redacted a list of learning objectives and a list of questions that could be answered by the students the end of the session. We have introduced some of films in seminars of clinical pharmacology. Conclusions: It is concluded that the films are of interest to illustrate how dugs (medicines) could be used in order to induce negative actions and effects. We think that the films can demonstrate the toxicological interest, usage patterns, consequences of their use and the ethical connotations that aroused such practices in the domain of clinical pharmacology.</t>
  </si>
  <si>
    <t>(Mateus J-A.; Papaseit E.; P‚îú‚åêrez-Ma‚îú‚ñí‚îú√≠ C.; Farr‚îú‚åê M.) (Ba‚îú‚ñíos J-E.) 27th Congress of the Spanish Society for Clinical Pharmacology Seville, Spain 2014-10-02 to 2014-10-04 Blackwell Publishing Ltd; ID: 881</t>
  </si>
  <si>
    <t>Matheson,C.;Bond,C. M.;Author,Addresses;Department,of General;and Primary Care, University of Aberdeen Foresterhill,Health Centre;Westburn Road,Aberdeen,A.B.A.Y.United Kingdom;Correspondence,Address;Matheson, Dept General Practice Primary Care University of Abcrdeen,C.;Foresterhill Health Centre, Westburn Road,Aberdeen A.;Kingdom Email, c i math abdn,ac uk</t>
  </si>
  <si>
    <t>Motivations for and barriers to community pharmacy services for drug misusers</t>
  </si>
  <si>
    <t>community care;drug abuse;pharmacy;article;financial management;health care availability;human;motivation;normal human;priority journal;prophylaxis;United Kingdom;workload;Health Policy, Economics and Management (36);Pharmacy (39);Drug Dependence, Alcohol Abuse and Alcoholism (40)</t>
  </si>
  <si>
    <t>Objective - To investigate what motivated pharmacists to provide drug misuse services and, conversely, what barriers prevented service provision. Method - Telephone interviews were conducted with a purposive sample of 45 volunteering respondents to a national questionnaire survey to gain in-depth information. Setting - Forty-five community pharmacists in Scotland. Key findings - Pharmacists were found to be motivated to provide services by an awareness of the needs of the community, a desire to reduce the spread of blood-borne diseases and a desire to expand their professional services. Barriers to service provision were concerns for the effect on other customers, safety, workload and poor remuneration. Conclusion - The active encouragement of local health boards, professional endorsement, further education and remuneration might encourage pharmacists' participation in drug misuse services. This would enable the principles of harm reduction to be widely practised.</t>
  </si>
  <si>
    <t>(Matheson C., c.i.math@abdn.ac.uk; Bond C.M.); ID: 1644</t>
  </si>
  <si>
    <t>Matinfar,M.;Esfahani,M. M.;Aslany,N.;Davoodi,S. H.;Parsaei,P.;Zarei,G.;Reisi,P.</t>
  </si>
  <si>
    <t>PMC3908697; Effect of repeated morphine withdrawal on spatial learning, memory and serum cortisol level in mice</t>
  </si>
  <si>
    <t>Advanced Biomedical Research</t>
  </si>
  <si>
    <t>BACKGROUND: One of the serious problems that opioid addicted people are facing is repeated withdrawal syndrome that is accompanying with a significant stress load for addicts. Therefore, the aim of this study was to evaluate the effects of repeated withdrawal on spatial learning, memory and serum cortisol levels in morphine-dependent mice. MATERIALS AND METHODS: Male NMRI mice received morphine as daily increasing doses for 3 days. After that, the mice underwent one time or repeated spontaneous or pharmacologic (naloxone-precipitated) withdrawal. Then spatial learning and memory were investigated by morris water maze test, and at the end trunk blood samples were collected for measurement of serum cortisol levels. RESULTS: The results showed that only repeated spontaneous withdrawal significantly increases escape latency (P &lt; 0.05), and in other models of withdrawal, spatial learning and memory were intact. The results of probe trial were intact in all groups. Radioimmunoassay showed that serum cortisol levels were increased significantly in all models of withdrawal (P &lt; 0.05 and P &lt; 0.01) except the repeated spontaneous withdrawal. CONCLUSION: The results showed that short periods of withdrawal syndrome can increase serum cortisol levels; however they do not affect spatial learning and memory. Nevertheless, repeated spontaneous withdrawal can make learning slow.</t>
  </si>
  <si>
    <t>J2: Adv; Matinfar, Mahdieh Esfahani, Mahsa Masjedi Aslany, Neda Davoodi, Seyyed Hamid Parsaei, Pouya Zarei, Ghasem Reisi, Parham; ID: 116</t>
  </si>
  <si>
    <t>2277-9175</t>
  </si>
  <si>
    <t>Matinfar,Mahdieh. Applied Physiology Research Center, Isfahan University of Medical Sciences, Isfahan, Iran. Esfahani,Mahsa Masjedi. Applied Physiology Research Center, Isfahan University of Medical Sciences, Isfahan, Iran. Aslany,Neda. Applied Physiology Research Center, Isfahan University of Medical Sciences, Isfahan, Iran. Davoodi,Seyyed Hamid. Applied Physiology Research Center, Isfahan University of Medical Sciences, Isfahan, Iran. Parsaei,Pouya. Young Researchers Club, Shahrekord Branch Islamic Azad University, Shahrekord, Iran. Zarei,Ghasem. Department of Physiology, School of Medicine, Isfahan University of Medical Sciences, Isfahan, Iran. Reisi,Parham. Department of Physiology, School of Medicine, Isfahan University of Medical Sciences, Isfahan, Iran ; Biosensor Research Center, Isfahan University of Medical Sciences, Isfahan, Iran.</t>
  </si>
  <si>
    <t>http://ovidsp.ovid.com/ovidweb.cgi?T=JS&amp;CSC=Y&amp;NEWS=N&amp;PAGE=fulltext&amp;D=prem&amp;AN=24524030</t>
  </si>
  <si>
    <t>http://dx.doi.org/10.4103/2277-9175.120868</t>
  </si>
  <si>
    <t>MEDLINE; Ovid Technologies; Effect of repeated morphine withdrawal on spatial learning, memory and serum cortisol level in mice</t>
  </si>
  <si>
    <t>Matthews,M. L.</t>
  </si>
  <si>
    <t>Class-wide REMS for extended-release and long-acting opioids: potential impact on pharmacies</t>
  </si>
  <si>
    <t>e1</t>
  </si>
  <si>
    <t>*Analgesics, Opioid/ad Administration &amp; Dosage];Analgesics, Opioid/ae Adverse Effects];Delayed-Action Preparations;Drug Labeling;Drug Overdose/pc Prevention &amp; Control];Humans;*Opioid-Related Disorders/pc Prevention &amp; Control];*Pharmaceutical Services/og Organization &amp; Administration];Pharmacists/og Organization &amp; Administration];Practice Patterns, Physicians'/st Standards];Professional-Patient Relations;Risk Assessment/mt Methods];*Risk Management/mt Methods];United States;United States Food and Drug Administration;0 (Analgesics, Opioid);0 (Delayed-Action Preparations)</t>
  </si>
  <si>
    <t>OBJECTIVES: To provide an update on the recently approved class-wide risk evaluation and mitigation strategy (REMS) for extended-release (ER) and long-acting (LA) opioids and to discuss the potential impact on pharmacy practice. DATA SOURCES: In mid-2011, the Food and Drug Administration notified drug manufacturers that a single, class-wide REMS would be required for ER and LA opioids. This regulation was the result of a multiyear process that incorporated input from government, drug manufacturers, medical associations, and other stakeholders. SUMMARY: The goal of the class-wide REMS for ER/LA opioids is to reduce addiction, unintentional overdose, and death resulting from inappropriate prescribing, misuse, and abuse. To accomplish these goals, this REMS focuses on physician education on safe and appropriate prescribing and patient counseling on the risks of opioids. Although voluntary, a movement to require physician education to obtain or renew Drug Enforcement Administration licensing is occurring. Pharmacists are not included in the class-wide REMS per se. Pharmacists play an important role in overall risk reduction and are critical to the success of the class-wide REMS. CONCLUSION: Although the changing requirements for prescribing ER/LA opioids will not have a direct effect on pharmacist workflow, the pharmacist-patient interaction remains critical for overall risk reduction with this class of medication.</t>
  </si>
  <si>
    <t>J2: J Am Pharm Assoc (2003); Matthews, Michele L; ID: 139</t>
  </si>
  <si>
    <t>Matthews,Michele L. Massachusetts College of Pharmacy and Health Sciences University, Boston, MA 02115, USA. michele.matthews@mcphs.edu</t>
  </si>
  <si>
    <t>http://ovidsp.ovid.com/ovidweb.cgi?T=JS&amp;CSC=Y&amp;NEWS=N&amp;PAGE=fulltext&amp;D=medl&amp;AN=23636166</t>
  </si>
  <si>
    <t>http://dx.doi.org/10.1331/JAPhA.2013.12025</t>
  </si>
  <si>
    <t>MEDLINE; Ovid Technologies; Class-wide REMS for extended-release and long-acting opioids: potential impact on pharmacies</t>
  </si>
  <si>
    <t>McAuliffe,W. E.;Rohman,M.;Breer,P.;Wyshak,G.;Santangelo,S.;Magnuson,E.</t>
  </si>
  <si>
    <t>PMC1404970; Alcohol use and abuse in random samples of physicians and medical students</t>
  </si>
  <si>
    <t>Adult;Aged;*Alcohol Drinking;Alcoholism/ep Epidemiology];Humans;Male;Middle Aged;Pharmacists/sn Statistics &amp; Numerical Data];*Physician Impairment/sn Statistics &amp; Numerical Data];*Students, Medical/sn Statistics &amp; Numerical Data];Students, Pharmacy/sn Statistics &amp; Numerical Data];Surveys and Questionnaires;United States/ep Epidemiology]</t>
  </si>
  <si>
    <t>BACKGROUND: This study sought to resolve conflicting views about whether physicians are especially prone to alcohol abuse. METHODS: Using an anonymous, mailed questionnaire on substance use, we surveyed 500 physicians, 510 pharmacists, and 974 of their students. The physicians and pharmacists were selected randomly from the state society's membership lists, and students selected were from local school lists. Follow-up surveys were sent to nonresponders at two-week intervals. RESULTS: The physicians and medical students did not drink especially heavily and were no more vulnerable to alcoholism than were their counterparts in pharmacy and other professions. Physicians differed from pharmacists in their style of drinking (greater frequency, smaller quantity), but not in total amount of alcohol consumed. Drinking habits among physicians were not associated with medical specialty or type of practice, but were positively related to gender (males drank more than females) and to age (older doctors were more apt to qualify as heavy drinkers than were younger doctors). CONCLUSIONS: Physicians were no more likely to abuse substances nonmedically than were other professionals. Any group in which alcohol use is nearly universal incurs a risk of abuse and impairment that cannot be ignored.</t>
  </si>
  <si>
    <t>J2: Am J Public Health; McAuliffe, W E Rohman, M Breer, P Wyshak, G Santangelo, S Magnuson, E DAO3372 (United States NIDA NIH HHS) DAO4418 (United States NIDA NIH HHS) DAO5271 (United States NIDA NIH HHS); ID: 674</t>
  </si>
  <si>
    <t>McAuliffe,W E. Department of Psychiatry, Harvard Medical School, Cambridge Hospital, MA 02139.</t>
  </si>
  <si>
    <t>http://ovidsp.ovid.com/ovidweb.cgi?T=JS&amp;CSC=Y&amp;NEWS=N&amp;PAGE=fulltext&amp;D=med3&amp;AN=1990855</t>
  </si>
  <si>
    <t>MEDLINE; Ovid Technologies; Alcohol use and abuse in random samples of physicians and medical students</t>
  </si>
  <si>
    <t>McAuliffe,W. E.;Rohman,M.;Santangelo,S.;Feldman,B.;Magnuson,E.;Sobol,A.;Weissman,J.</t>
  </si>
  <si>
    <t>Psychoactive drug use among practicing physicians and medical students</t>
  </si>
  <si>
    <t>New England Journal of Medicine</t>
  </si>
  <si>
    <t>N.Engl.J.Med.</t>
  </si>
  <si>
    <t>Cannabis;Cocaine;Humans;New England;Pharmacists;*Physicians;*Psychotropic Drugs;Self Medication;*Students, Medical;Students, Pharmacy;*Substance-Related Disorders/ep Epidemiology];0 (Psychotropic Drugs);I5Y540LHVR (Cocaine)</t>
  </si>
  <si>
    <t>We surveyed random samples of 500 practicing physicians and 504 medical students in a New England state during 1984-1985; 70 percent of the physicians and 79 percent of the students responded. Fifty-nine percent of the physicians and 78 percent of the students reported that they had used psychoactive drugs at some time in their lives. In both groups, recreational use most often involved marijuana and cocaine, and self-treatment most often involved tranquilizers and opiates. In the previous year, 25 percent of the physicians had treated themselves with a psychoactive drug, and 10 percent had used one recreationally. Although most of the use was experimental or infrequent, 10 percent of the physicians reported current regular drug use (once a month or more often) and 3 percent had histories of drug dependence. More physicians and medical students had used psychoactive drugs at some time than had comparable samples of pharmacists and pharmacy students. The results suggest a need for renewed professional education about the risks of drug misuse.</t>
  </si>
  <si>
    <t>J2: N Engl J Med; McAuliffe, W E Rohman, M Santangelo, S Feldman, B Magnuson, E Sobol, A Weissman, J DA-03372 (United States NIDA NIH HHS); ID: 698</t>
  </si>
  <si>
    <t>0028-4793</t>
  </si>
  <si>
    <t>http://ovidsp.ovid.com/ovidweb.cgi?T=JS&amp;CSC=Y&amp;NEWS=N&amp;PAGE=fulltext&amp;D=med2&amp;AN=3748091</t>
  </si>
  <si>
    <t>MEDLINE; Ovid Technologies; Psychoactive drug use among practicing physicians and medical students</t>
  </si>
  <si>
    <t>McAuliffe,W. E.;Santangelo,S. L.;Gingras,J.;Rohman,M.;Sobol,A.;Magnuson,E.</t>
  </si>
  <si>
    <t>Use and abuse of controlled substances by pharmacists and pharmacy students</t>
  </si>
  <si>
    <t>Adolescent;Adult;Aged;Aged, 80 and over;*Cannabis;*Central Nervous System Stimulants;Cocaine;Female;Humans;Male;Middle Aged;*Narcotics;*Pharmacists;*Students, Pharmacy;*Substance-Related Disorders/ep Epidemiology];*Tranquilizing Agents;United States;0 (Central Nervous System Stimulants);0 (Narcotics);0 (Tranquilizing Agents);I5Y540LHVR (Cocaine)</t>
  </si>
  <si>
    <t>The use of controlled substances by samples of pharmacists and pharmacy students in one New England state was surveyed. A questionnaire was sent in November 1984 to a sample of 510 pharmacists randomly selected from the membership list of the state's pharmaceutical association and to a sample of 470 students from the state's pharmacy schools; 76% and 67% of the eligible pharmacists and students responded, respectively. The questionnaire elicited information about the respondents' use of controlled substances for self-treatment and recreation, as well as the instrumental use of stimulants to enhance performance. Almost half of the pharmacists (46%) and two thirds of the students (62%) reported using a controlled substance at some time without a prescription; 19% and 41%, respectively, used one within the past year. Whereas students used the drugs most often for recreation (57% ever, 36% currently), use by pharmacists was more equally divided among self-treatment (29% ever, 13% currently), recreation (29% ever, 9% currently), and instrumental purposes (21% ever). The drugs most often used were marijuana, stimulants (especially cocaine by students), tranquilizers, and opiates. Drug use was generally limited in amount, but 18% of the pharmacists and 35% of the students who ever used a drug either became dependent or were at risk of drug abuse. Current drug use was most strongly associated with age, non-attendance at religious services, student access, year in school, and citizenship. The findings of this study suggest the need for continued development of impaired pharmacist committees and drug abuse prevention programs for pharmacists and pharmacy students.</t>
  </si>
  <si>
    <t>J2: Am J Hosp Pharm; McAuliffe, W E Santangelo, S L Gingras, J Rohman, M Sobol, A Magnuson, E DA-03372 (United States NIDA NIH HHS); ID: 695</t>
  </si>
  <si>
    <t>http://ovidsp.ovid.com/ovidweb.cgi?T=JS&amp;CSC=Y&amp;NEWS=N&amp;PAGE=fulltext&amp;D=med2&amp;AN=2882673</t>
  </si>
  <si>
    <t>MEDLINE; Ovid Technologies; Use and abuse of controlled substances by pharmacists and pharmacy students</t>
  </si>
  <si>
    <t>McBane,S. E.;Corelli,R. L.;Albano,C. B.;Conry,J. M.;Della Paolera,M. A.;Kennedy,A. K.;Jenkins,A. T.;Hudmon,K. S.</t>
  </si>
  <si>
    <t>PMC3687126; The role of academic pharmacy in tobacco cessation and control</t>
  </si>
  <si>
    <t>Attitude of Health Personnel;Clinical Competence;Curriculum;*Education, Pharmacy/mt Methods];Faculty;Health Knowledge, Attitudes, Practice;Humans;Patient Advocacy;Preceptorship;Professional Role;Public Health;Schools, Pharmacy;*Smoking/pc Prevention &amp; Control];*Smoking Cessation/mt Methods];*Teaching/mt Methods];*Tobacco Use Disorder/th Therapy]</t>
  </si>
  <si>
    <t>Despite decades of public health initiatives, tobacco use remains the leading known preventable cause of death in the United States. Clinicians have a proven, positive effect on patients' ability to quit, and pharmacists are strategically positioned to assist patients with quitting. The American Association of Colleges of Pharmacy recognizes health promotion and disease prevention as a key educational outcome; as such, tobacco cessation education should be a required component of pharmacy curricula to ensure that all pharmacy graduates possess the requisite evidence-based knowledge and skills to intervene with patients who use tobacco. Faculty members teaching tobacco cessation-related content must be knowledgeable and proficient in providing comprehensive cessation counseling, and all preceptors and practicing pharmacists providing direct patient care should screen for tobacco use and provide at least minimal counseling as a routine component of care. Pharmacy organizations should establish policies and resolutions addressing the profession's role in tobacco cessation and control, and the profession should work together to eliminate tobacco sales in all practice settings where pharmacy services are rendered.</t>
  </si>
  <si>
    <t>J2: Am J Pharm Educ; McBane, Sarah E Corelli, Robin L Albano, Christian B Conry, John M Della Paolera, Mark A Kennedy, Amy K Jenkins, Antoine T Hudmon, Karen Suchanek; ID: 133</t>
  </si>
  <si>
    <t>McBane,Sarah E. Skaggs School of Pharmacy and Pharmaceutical Sciences, University of California - San Diego, La Jolla, California, USA.</t>
  </si>
  <si>
    <t>http://ovidsp.ovid.com/ovidweb.cgi?T=JS&amp;CSC=Y&amp;NEWS=N&amp;PAGE=fulltext&amp;D=medl&amp;AN=23788804</t>
  </si>
  <si>
    <t>http://dx.doi.org/10.5688/ajpe77593</t>
  </si>
  <si>
    <t>MEDLINE; Ovid Technologies; The role of academic pharmacy in tobacco cessation and control</t>
  </si>
  <si>
    <t>McBride,B. F.;White,C. M.;Author,Addresses;Hartford Hosp Drug Info Center, Seymour,Street Hartford</t>
  </si>
  <si>
    <t>14517189; Levosimendan: Implications for clinicians</t>
  </si>
  <si>
    <t>(MAJOR FOCUS);levosimendan (adverse drug reaction, clinical trial, drug interaction, drug;therapy, intravenous drug administration, oral drug administration,;pharmacoeconomics, pharmacokinetics, pharmacology, transdermal drug;administration);adenosine diphosphate (endogenous compound);adenosine triphosphate (endogenous compound);anticoagulant agent (drug interaction);beta adrenergic receptor blocking agent (drug interaction);brain natriuretic peptide (endogenous compound);calcium (endogenous compound);calcium sensitizer (adverse drug reaction, clinical trial, drug interaction,;drug therapy, intravenous drug administration, oral drug administration,;captopril (drug interaction);carvedilol (drug interaction);catecholamine derivative (pharmacology);dipeptidyl carboxypeptidase inhibitor (drug interaction);diuretic agent (drug therapy);dobutamine (drug interaction);endothelin 1 (endogenous compound);inotropic agent (adverse drug reaction);isosorbide dinitrate (drug interaction);milrinone (drug interaction);myosin (endogenous compound);neurohormone (endogenous compound);nitrate (drug interaction);noradrenalin (endogenous compound);phosphodiesterase inhibitor (pharmacology);potassium channel;tropomyosin (endogenous compound);troponin C (endogenous compound);troponin I (endogenous compound);troponin T (endogenous compound);unindexed drug;vasodilator agent (drug interaction, drug therapy, oral drug administration);warfarin (drug interaction);acute heart failure (disease management, drug therapy);calcium cell level;channel gating;clinical trial;coronary artery blood flow;coronary artery bypass graft;coronary artery dilatation;drug absorption;drug effect;drug efficacy;drug elimination;drug half life;drug mechanism;drug metabolism;drug protein binding;drug utilization;heart afterload;heart arrhythmia (side effect);heart infarction;heart muscle cell;heart muscle contractile force;heart muscle necrosis (complication);heart ventricle arrhythmia (side effect);hospital cost;human;inotropism;outcomes research;patient care;peripheral vascular system;pharmacodynamics;QT interval;review;risk assessment;survival rate;torsade des pointes (side effect);vasodilatation;volume of distribution;adenosine diphosphate (20398-34-9, 58-64-0);adenosine triphosphate (15237-44-2, 56-65-5, 987-65-5);brain natriuretic peptide (114471-18-0);calcium (14092-94-5, 7440-70-2);captopril (62571-86-2);carvedilol (72956-09-3);dobutamine (34368-04-2, 52663-81-7);isosorbide dinitrate (87-33-2);levosimendan (141505-33-1);milrinone (78415-72-2);nitrate (14797-55-8);noradrenalin (1407-84-7, 51-41-2);tropomyosin (72067-79-9);troponin C (56094-11-2);troponin I (77108-40-8);troponin T (60304-72-5);warfarin (129-06-6, 2610-86-8, 3324-63-8, 5543-58-8, 81-81-2);Cardiovascular Diseases and Cardiovascular Surgery (18);Clinical and Experimental Pharmacology (30);Health Policy, Economics and Management (36);Drug Literature Index (37);Adverse Reactions Titles (38)</t>
  </si>
  <si>
    <t>Levosimendan is a novel calcium sensitizing agent in development for the treatment of acute and chronic heart failure. The agent increases myocardial force without increasing myocyte calcium concentrations, thus reducing the possibility for myocardial necrosis. In addition, the agent also causes vasodilation of coronary and peripheral vessels to improve coronary blood flow and reduce afterload. The short half-life is a benefit for intravenous administration but could be problematic for the drug's use in chronic heart failure. The risk of the development of arrhythmias from levosimendan appears small secondary to an increase in the QTc interval of 15 msec but needs to be evaluated in light of the ability of levosimendan to open adenosine triphosphate (ATP)-sensitive potassium channels. In addition, the agent has not been studied in patients with additional risks for torsades de pointes. Levosimendan has been shown to have beneficial survival effects in several populations; its use improves patient outcomes relative to the standard of care and has the potential to reduce hospital costs associated with heart failure. ‚î¨‚åê2003 the American College of Clinical Pharmacology.</t>
  </si>
  <si>
    <t>(White C.M.) SAGE Publications Inc., 2455 Teller Road, Thousand Oaks, United States.; ID: 1583</t>
  </si>
  <si>
    <t>http://www.ncbi.nlm.nih.gov/pubmed/14517189</t>
  </si>
  <si>
    <t>Levosimendan: Implications for clinicians</t>
  </si>
  <si>
    <t>McCabe,S. E.;Boyd,C. J.;Teter,C. J.</t>
  </si>
  <si>
    <t>NIHMS168265 PMC2975029; Subtypes of nonmedical prescription drug misuse</t>
  </si>
  <si>
    <t>Adolescent;Alcoholism/ep Epidemiology];Alcoholism/px Psychology];Analgesics, Opioid;Anti-Anxiety Agents;Central Nervous System Stimulants;Data Interpretation, Statistical;Ethnic Groups;Female;Humans;Hypnotics and Sedatives;Logistic Models;Male;Motivation;*Prescription Drugs;Self Administration;Sex Factors;Students;*Substance-Related Disorders/cl Classification];Substance-Related Disorders/ep Epidemiology];Substance-Related Disorders/px Psychology];United States/ep Epidemiology];Young Adult;0 (Analgesics, Opioid);0 (Anti-Anxiety Agents);0 (Central Nervous System Stimulants);0 (Hypnotics and Sedatives);0 (Prescription Drugs)</t>
  </si>
  <si>
    <t>This study used three characteristics (i.e., motive, route of administration, and co-ingestion with alcohol) of nonmedical prescription drug misuse across four separate classes (i.e., pain, sedative/anxiety, sleeping, and stimulant medications) to examine subtypes and drug related problems. A Web survey was self-administered by a randomly selected sample of 3639 undergraduate students attending a large midwestern 4-year U.S. university. Self-treatment subtypes were characterized by motives consistent with the prescription drug's pharmaceutical main indication, oral only routes of administration, and no co-ingestion with alcohol. Recreational subtypes were characterized by recreational motives, oral or non-oral routes, and co-ingestion. Mixed subtypes consisted of other combinations of motives, routes, and co-ingestion. Among those who reported nonmedical prescription drug misuse, approximately 13% were classified into the recreational subtype, while 39% were in the self-treatment subtype, and 48% were in the mixed subtype. There were significant differences in the subtypes in terms of gender, race and prescription drug class. Approximately 50% of those in subtypes other than self-treatment screened positive for drug abuse. The odds of substance use and abuse were generally lower among self-treatment subtypes than other subtypes. The findings indicate subtypes should be considered when examining nonmedical prescription drug misuse, especially for pain medication.</t>
  </si>
  <si>
    <t>J2: Drug Alcohol Depend; McCabe, Sean Esteban Boyd, Carol J Teter, Christian J DA018239 (United States NIDA NIH HHS) DA020889 (United States NIDA NIH HHS) R03 DA018239 (United States NIDA NIH HHS) R03 DA018239-01 (United States NIDA NIH HHS) R03 DA018239-02 (United States NIDA NIH HHS) R03 DA020899 (United States NIDA NIH HHS) R03 DA020899-01 (United States NIDA NIH HHS) R03 DA020899-02 (United States NIDA NIH HHS); ID: 339</t>
  </si>
  <si>
    <t>McCabe,Sean Esteban. University of Michigan Substance Abuse Research Center, 2025 Traverwood Dr., Suite C, Ann Arbor, MI 48105-2194, USA. plius@umich.edu</t>
  </si>
  <si>
    <t>http://ovidsp.ovid.com/ovidweb.cgi?T=JS&amp;CSC=Y&amp;NEWS=N&amp;PAGE=fulltext&amp;D=med5&amp;AN=19278795</t>
  </si>
  <si>
    <t>http://dx.doi.org/10.1016/j.drugalcdep.2009.01.007</t>
  </si>
  <si>
    <t>MEDLINE; Ovid Technologies; Subtypes of nonmedical prescription drug misuse</t>
  </si>
  <si>
    <t>McCarthy,M.</t>
  </si>
  <si>
    <t>Obama outlines plan to curb prescription drug and heroin misuse</t>
  </si>
  <si>
    <t>BMJ</t>
  </si>
  <si>
    <t>h5656</t>
  </si>
  <si>
    <t>Education, Pharmacy;Health Manpower;Health Personnel/ed Education];Health Planning;*Heroin Dependence/pc Prevention &amp; Control];Humans;*Prescription Drug Misuse/pc Prevention &amp; Control];United States</t>
  </si>
  <si>
    <t>J2: Bmj; McCarthy, Michael; ID: 11</t>
  </si>
  <si>
    <t>1756-1833</t>
  </si>
  <si>
    <t>McCarthy,Michael. Seattle.</t>
  </si>
  <si>
    <t>http://ovidsp.ovid.com/ovidweb.cgi?T=JS&amp;CSC=Y&amp;NEWS=N&amp;PAGE=fulltext&amp;D=medl&amp;AN=26493451</t>
  </si>
  <si>
    <t>http://dx.doi.org/10.1136/bmj.h5656</t>
  </si>
  <si>
    <t>MEDLINE; Ovid Technologies; Obama outlines plan to curb prescription drug and heroin misuse</t>
  </si>
  <si>
    <t>McCarty,D.;Diamond,W.;Kaye,M.</t>
  </si>
  <si>
    <t>Alcohol, sexual arousal, and the transfer of excitation</t>
  </si>
  <si>
    <t>Journal of Personality &amp; Social Psychology</t>
  </si>
  <si>
    <t>Adolescent;Adult;*Alcohol Drinking;Alcoholic Intoxication/px Psychology];Erotica;*Ethanol/pd Pharmacology];Fantasy;Female;Field Dependence-Independence;Humans;*Libido/de Drug Effects];Male;Personality;Pulse;Semantic Differential;Sex Factors;Visual Perception;3K9958V90M (Ethanol)</t>
  </si>
  <si>
    <t>Investigations of the alcohol-related disinhibition of responses to deviant sexual stimuli suggest that the pharmacological actions of ethanol have little influence on the disinhibition process. The mere belief that alcohol is consumed is sufficient to induce increased sexual arousal. Studies with conventional stimuli, however, suggest that interactions occur between the pharmacological presence of ethanol and the psychological expectations of its presence. Thus, this article examines the contribution of pharmacological, cognitive, and environmental variables to perceived sexual arousal. A balanced-placebo design varied drink instruction and drink content independently. Pictures that elicited either a low or moderate level of self-reported sexual arousal were viewed and evaluated by men (n = 64) and women (n = 64) after completing their drinks. The evaluations and arousal measures suggested significant Instruction X Content X Arousal interactions. The strongest perceptions of arousal occurred among individuals who did not know they were drinking alcohol (i.e., subjects who were told that their alcoholic drinks did not contain alcohol). Apparently, when drinkers were unaware of the alcohol intoxication, the pharmacological excitation induced by alcohol transferred to the perception and evaluation of the slides.</t>
  </si>
  <si>
    <t>J2: J Pers Soc Psychol; McCarty, D Diamond, W Kaye, M; ID: 713</t>
  </si>
  <si>
    <t>0022-3514</t>
  </si>
  <si>
    <t>http://ovidsp.ovid.com/ovidweb.cgi?T=JS&amp;CSC=Y&amp;NEWS=N&amp;PAGE=fulltext&amp;D=med2&amp;AN=7108741</t>
  </si>
  <si>
    <t>MEDLINE; Ovid Technologies; Alcohol, sexual arousal, and the transfer of excitation</t>
  </si>
  <si>
    <t>McCaul,M. E.</t>
  </si>
  <si>
    <t>Pharmacotherapy strategies for alcoholism treatment</t>
  </si>
  <si>
    <t>Johns Hopkins Advanced Studies in Nursing</t>
  </si>
  <si>
    <t>Alcoholism -- Drug Therapy;Alcohol Deterrents -- Therapeutic Use;Diagnosis, Dual (Psychiatry);Education, Continuing (Credit);Naltrexone -- Therapeutic Use</t>
  </si>
  <si>
    <t>This paper reviews various pharmacologic strategies for the treatment of alcohol dependence based on what has been learned of the neurobiology of this condition. Aspects of treatment are twofold, focusing initially on acute withdrawal management followed by abstinence maintenance treatments. Specific strategies discussed include deterrence, reward, reduction, and treatment of comorbid psychiatric disorders. The benefits and side effects of disulfiram, naltrexone, acamprosate, and selective serotonin reuptake inhibitors (SSRIs) are considered, as these are the most commonly prescribed agents. Focal points to guide future therapeutic directions include increased attention to behavioral strategies underpinning medication use, increased attention to combinations of medications versus monotherapy, and increased attention to individual differences among patients.</t>
  </si>
  <si>
    <t>Entry Date: 20060310. Revision Date: 20150818. Publication Type: Journal Article; CEU; exam questions; review; tables/charts. Journal Subset: Nursing; USA.; ID: 1990</t>
  </si>
  <si>
    <t>1558-0172</t>
  </si>
  <si>
    <t>Johns Hopkins University School of Medicine, 911 N Broadway, Baltimore, MD 21205. E-mail: betsymc@jhmi.edu</t>
  </si>
  <si>
    <t>http://proxy.lib.umich.edu/login?url=http://search.ebscohost.com/login.aspx?direct=true&amp;db=ccm&amp;AN=106406571&amp;site=ehost-live&amp;scope=site</t>
  </si>
  <si>
    <t>ccm; EBSCOhost; Pharmacotherapy strategies for alcoholism treatment</t>
  </si>
  <si>
    <t>McClay,J. L.;Author,Addresses;Center for,Biomarker Research;Personalized Medicine, Virginia Commonwealth University,McGuire Hall;East Clay Street, Richmond,V.A.United States;Correspondence,Address;JL McClay, Center for,Biomarker Research;Personalized,Medicine;Virginia Commonwealth University, McGuire Hall East,Clay Street;Richmond,V. A. U.</t>
  </si>
  <si>
    <t>Institutional Profile: The Center for Biomarker Research and Personalized Medicine at Virginia Commonwealth University: Advancing psychiatric drug treatment</t>
  </si>
  <si>
    <t>Personalized Medicine</t>
  </si>
  <si>
    <t>anticonvulsive agent;antidepressant agent (adverse drug reaction, drug therapy);chlorpromazine (drug therapy);lithium (drug therapy);neuroleptic agent (adverse drug reaction);neurotransmitter (endogenous compound);transcriptome (endogenous compound);personalized medicine;psychopharmacotherapy;alcoholism (etiology);behavior disorder;DNA methylation;DNA sequence;drug efficacy;drug industry;drug response;drug safety;gene mapping;genetic association;genetic variability;human;human genome;hyperglycemia (side effect);major depression (drug therapy);mania (drug therapy);priority journal;review;schizophrenia (drug therapy);side effect (side effect);treatment outcome;United States;unspecified side effect (side effect);weight gain;chlorpromazine (50-53-3, 69-09-0);lithium (7439-93-2);Public Health, Social Medicine and Epidemiology (17);Psychiatry (32);Drug Literature Index (37);Adverse Reactions Titles (38)</t>
  </si>
  <si>
    <t>The Center for Biomarker Research and Personalized Medicine is a small, focused and technology-driven organization, sited within the School of Pharmacy on the Medical College of Virginia Campus of Virginia Commonwealth University. The Center was established in 2006, with a mission to improve understanding and treatment of psychiatric disease by employing the latest advances in molecular biology, informatics and statistics. We take the philosophy that large-scale, exploratory studies are crucial to achieve our aims because strong biological associations have been historically absent for psychiatric disorders. Our work follows two main streams: the first being disease biomarker research, such as discovering genes contributing risk for schizophrenia or depression. The second stream is the discovery of biomarkers for therapeutic drug response, where our genome-wide association studies of antipsychotic and antidepressant response have yielded multiple new leads. With the recent success of large-scale biological investigations of psychiatric disorders, we are very optimistic about the future. By engaging cutting-edge technologies such as next-generation DNA sequencing, coupled with biological data integration, we may further probe the biological underpinnings of psychiatric disorders and response to drug treatment. ‚î¨‚åê 2012 Future Medicine Ltd.</t>
  </si>
  <si>
    <t>(McClay J.L., jlmcclay@vcu.edu) Future Medicine Ltd., 2nd Albert Place, Finchley Central, London, United Kingdom.; ID: 1136</t>
  </si>
  <si>
    <t>1741-0541 1744-828X (electronic)</t>
  </si>
  <si>
    <t>2012450985 FULL TEXT LINK http://dx.doi.org/10.2217/pme.12.52</t>
  </si>
  <si>
    <t>McDonough,R. P.</t>
  </si>
  <si>
    <t>Interventions to improve patient pharmaceutical care outcomes</t>
  </si>
  <si>
    <t>NS36</t>
  </si>
  <si>
    <t>65; quiz 465-6</t>
  </si>
  <si>
    <t>*Clinical Competence;Communication;Drug Therapy;*Education, Pharmacy, Continuing;Educational Measurement;Interprofessional Relations;Problem Solving;Professional-Patient Relations;Thinking</t>
  </si>
  <si>
    <t>Implementing pharmaceutical care entails the application of communication skills and cognitive skills-skills that pharmacists have certainly used in the past, although not specifically for evaluating their patients' drug therapy. Before pharmacists can start the pharmaceutical care process, they need to establish the therapeutic relationship with their patients. Pharmacists need to be active listeners and demonstrate empathy for patients. They then need to interview the patient and collect relevant data to evaluate patient drug therapy and health status. Critical thinking skills improve pharmacists' abilities to identify drug therapy problems. Pharmacists can then use the problem-solving process to resolve the drug therapy problem. It is important that pharmacists create care plans to help guide their patient care activities and planned interventions. The final step in the pharmaceutical care process is the pharmacist's documentation of patient care activities.</t>
  </si>
  <si>
    <t>J2: J Am Pharm Assoc (Wash); McDonough, R P; ID: 615</t>
  </si>
  <si>
    <t>McDonough,R P. College of Pharmacy, University of Iowa, Des Moines, USA.</t>
  </si>
  <si>
    <t>http://ovidsp.ovid.com/ovidweb.cgi?T=JS&amp;CSC=Y&amp;NEWS=N&amp;PAGE=fulltext&amp;D=med4&amp;AN=8840745</t>
  </si>
  <si>
    <t>MEDLINE; Ovid Technologies; Interventions to improve patient pharmaceutical care outcomes</t>
  </si>
  <si>
    <t>McDonough,R. P.;Doucette,W. R.</t>
  </si>
  <si>
    <t>Drug therapy management: an empirical report of drug therapy problems, pharmacists' interventions, and results of pharmacists' actions</t>
  </si>
  <si>
    <t>Adult;Aged;Aged, 80 and over;*Drug Therapy;Drug-Related Side Effects and Adverse Reactions;Female;Humans;Hyperlipidemias/dt Drug Therapy];Male;Middle Aged;*Patient Education as Topic;*Pharmaceutical Services/ut Utilization];Pharmacies/ut Utilization];*Pharmacists/ut Utilization];Retrospective Studies;Treatment Refusal</t>
  </si>
  <si>
    <t>OBJECTIVES: To determine the number and types of drug therapy problems identified by pharmacists at six community pharmacies, identify the interventions made by these pharmacists in their attempts to resolve drug therapy problems, and determine the results of the pharmacists' actions taken to resolve drug therapy problems. DESIGN: Retrospective review of patient records from pharmacies. SETTING: Six community pharmacies that had participated in Project ImPACT: Hyperlipidemia. PATIENTS: One hundred sixteen patients from Project ImPACT: Hyperlipidemia. INTERVENTION: Drug therapy problems, pharmacists' interventions, and results of pharmacists' actions were identified and categorized. Drug therapy problems were classified into seven categories, pharmacists' interventions into six categories, and results were categorized into eight types. Frequencies and descriptive statistics were calculated for the measures. RESULTS: A total of 512 initial drug therapy problems were reported for 116 patients in the 6 pharmacies. In addition to the initial interventions, pharmacists documented another 545 times in which they intervened on the original problems. There were 354 (69.1%) drug therapy problems associated with hyperlipidemia and 158 (30.9%) with other conditions. Overall, most common types of drug therapy problems were needs additional therapy (39.8%) and nonadherence to therapy (31.1%). The most common discretionary pharmacist interventions were patient education and physician communication, which occurred on average 4.63 and 3.30 times during the project period. The most common consequence of a pharmacist intervention was an increase in patient adherence, which was reported for almost half of the patients. CONCLUSION: Drug therapy management (DTM) for patients with dyslipidemias identified frequent drug therapy problems associated with both hyperlipidemia and other conditions. Pharmacists used interventions that included laboratory testing, patient monitoring, patient education, and physician communication to influence patient adherence and optimize drug therapy. Although further research is needed, the findings of this analysis are promising for the more widespread adoption of a DTM role by community pharmacists.</t>
  </si>
  <si>
    <t>J2: J Am Pharm Assoc (2003); McDonough, Randal P Doucette, William R; ID: 494</t>
  </si>
  <si>
    <t>McDonough,Randal P. College of Pharmacy, University of Iowa, Iowa City 52242, USA. randal-mcdonough@uiowa.edu</t>
  </si>
  <si>
    <t>http://ovidsp.ovid.com/ovidweb.cgi?T=JS&amp;CSC=Y&amp;NEWS=N&amp;PAGE=fulltext&amp;D=med4&amp;AN=12952316</t>
  </si>
  <si>
    <t>MEDLINE; Ovid Technologies; Drug therapy management: an empirical report of drug therapy problems, pharmacists' interventions, and results of pharmacists' actions</t>
  </si>
  <si>
    <t>McDonough,R. P.;Doucette,W. R.;Kumbera,P.;Klepser,D. G.</t>
  </si>
  <si>
    <t>An evaluation of managing and educating patients on the risk of glucocorticoid-induced osteoporosis</t>
  </si>
  <si>
    <t>Adult;Bone Density;Calcium/tu Therapeutic Use];Calcium, Dietary/ad Administration &amp; Dosage];Diphosphonates/tu Therapeutic Use];Drug Monitoring/mt Methods];Drug Monitoring/st Standards];*Drug Monitoring;Education, Pharmacy, Continuing/og Organization &amp; Administration];Estrogen Replacement Therapy;Exercise;Female;*Glucocorticoids/ae Adverse Effects];Humans;Iowa;Male;Middle Aged;*Osteoporosis/ci Chemically Induced];Osteoporosis/di Diagnosis];*Osteoporosis/pc Prevention &amp; Control];Pamphlets;*Patient Education as Topic/og Organization &amp; Administration];*Pharmacies/og Organization &amp; Administration];*Prednisone/ae Adverse Effects];Program Evaluation;Risk Factors;Self Care;0 (Calcium, Dietary);0 (Diphosphonates);0 (Glucocorticoids);SY7Q814VUP (Calcium);VB0R961HZT (Prednisone)</t>
  </si>
  <si>
    <t>OBJECTIVE: To assess the impact of risk management activities on patient risk of glucocorticoid-induced osteoporosis. METHODS: Ninety-six adult patients taking chronic glucocorticoid therapy in 15 community pharmacies. Patients in the control group received usual and customary care. Patients in the treatment pharmacies received education and an educational pamphlet about the risks of glucocorticoid-induced osteoporosis. In addition, the treatment group pharmacists monitored the patients' drug therapy, to identify and address drug-related problems. Data including the glucocorticoid taken by the patient, medications, and osteoporosis risk factors were collected at baseline and after 9 months of monitoring, via Web-based survey completed in the pharmacy. Using an intent to treat approach, the pre-post frequency changes were compared with contrasts for presence of bisphosphonate therapy, presence of estrogen therapy, presence of calcium supplement, discussion of glucocorticoid-induced osteoporosis risk, discussion of bone density test, presence of bone mineral density test, reported inactivity, and reported low calcium diet. RESULTS: The contrast was significant in favor of the treatment pharmacies for the frequency of patients taking a calcium supplement (Control -6.9%] vs. Treatment 17.1%], P &lt; 0.05). No other contrast was significant. CONCLUSIONS: Community pharmacists are capable of increasing calcium supplementation among patients at risk for glucocorticoid-induced osteoporosis. Pharmacists who educate at-risk patients can impact the self-care of these patients.</t>
  </si>
  <si>
    <t>J2: Value Health; McDonough, Randy P Doucette, William R Kumbera, Patty Klepser, Donald G; ID: 456</t>
  </si>
  <si>
    <t>McDonough,Randy P. The University of Iowa, College of Pharmacy, Iowa City, IA 52242, USA.</t>
  </si>
  <si>
    <t>http://ovidsp.ovid.com/ovidweb.cgi?T=JS&amp;CSC=Y&amp;NEWS=N&amp;PAGE=fulltext&amp;D=med5&amp;AN=15841891</t>
  </si>
  <si>
    <t>MEDLINE; Ovid Technologies; An evaluation of managing and educating patients on the risk of glucocorticoid-induced osteoporosis</t>
  </si>
  <si>
    <t>McDuff,D. R.;Tommasello,A. C.;Hoffman,K. J.;Johnson,J. L.</t>
  </si>
  <si>
    <t>Addictions training for physicians and other licensed health care professionals in Maryland</t>
  </si>
  <si>
    <t>Maryland Medical Journal</t>
  </si>
  <si>
    <t>*Alcoholism/th Therapy];*Education, Medical;*Health Occupations/ed Education];Humans;Maryland;*Substance-Related Disorders/th Therapy]</t>
  </si>
  <si>
    <t>Physicians and other health care providers have multiple opportunities in the course of a typical practice year to identify and treat individuals who abuse alcohol and other drugs. Although substance abuse is very common in clinical practice, providers routinely fail to intervene in a timely fashion due to negative attitudes, incomplete knowledge, and poorly developed practice skills. Over the past ten years, addictions training of licensed health care providers nationally and in Maryland has improved significantly. This article describes recent national training trends and current educational programs statewide for medical students, physicians in residency and fellowship programs, and licensed providers in dentistry, nursing, pharmacy, psychology, and social work. Several strategies for improving professional training in addictions in the future are discussed and the importance of shifting to an interprofessional training model is emphasized.</t>
  </si>
  <si>
    <t>J2: Md Med J; McDuff, D R Tommasello, A C Hoffman, K J Johnson, J L; ID: 626</t>
  </si>
  <si>
    <t>0886-0572</t>
  </si>
  <si>
    <t>McDuff,D R. Division of alcohol and drug abuse, University of Maryland School of Medicine, USA.</t>
  </si>
  <si>
    <t>http://ovidsp.ovid.com/ovidweb.cgi?T=JS&amp;CSC=Y&amp;NEWS=N&amp;PAGE=fulltext&amp;D=med3&amp;AN=7596239</t>
  </si>
  <si>
    <t>MEDLINE; Ovid Technologies; Addictions training for physicians and other licensed health care professionals in Maryland</t>
  </si>
  <si>
    <t>McGovern,M. P.</t>
  </si>
  <si>
    <t>Comparative evaluation of medical vs. social treatment of alcohol withdrawal syndrome</t>
  </si>
  <si>
    <t>Journal of clinical psychology</t>
  </si>
  <si>
    <t>J.Clin.Psychol.</t>
  </si>
  <si>
    <t>Adult;Alcohol Withdrawal Delirium/px Psychology];*Alcohol Withdrawal Delirium/th Therapy];*Chlordiazepoxide/tu Therapeutic Use];Humans;Male;Motivation/de Drug Effects];Prognosis;Psychological Tests;Psychometrics;*Psychoses, Alcoholic/th Therapy];Referral and Consultation;*Socioenvironmental Therapy;6RZ6XEZ3CR (Chlordiazepoxide)</t>
  </si>
  <si>
    <t>Compared medical and social setting detoxification treatments of alcohol withdrawal syndrome on the degree to which each involved alcoholics in ongoing rehabilitative efforts. Two hundred patients were selected randomly from both treatments and administered the Physical Problem Inventory, Short Michigan Alcoholism Screening Test, Assessment of Life Experience, and Level of Motivation scales. Analysis of covariance with multiple covariates was employed to assess the effect of the treatment model on willingness to continue rehabilitation as measured by the dependent variable, ongoing referral status. The difference between detoxification treatment models was highly significant, and none of the covariates, which controlled for pretest differences and the assignment process, was significant. Results are discussed in the context of current notions of pharmacotherapy, learning, and physiological models of withdrawal treatment. In addition, expectancies, in terms of perceived responsibility for outcome, are discussed as important factors that contribute to the discrepancy between medical vs. social models in the treatment of alcoholism.</t>
  </si>
  <si>
    <t>J2: J Clin Psychol; McGovern, M P; ID: 709</t>
  </si>
  <si>
    <t>0021-9762</t>
  </si>
  <si>
    <t>http://ovidsp.ovid.com/ovidweb.cgi?T=JS&amp;CSC=Y&amp;NEWS=N&amp;PAGE=fulltext&amp;D=med2&amp;AN=6630559</t>
  </si>
  <si>
    <t>MEDLINE; Ovid Technologies; Comparative evaluation of medical vs. social treatment of alcohol withdrawal syndrome</t>
  </si>
  <si>
    <t>McIlvain,H. E.;Crabtree,B. F.;Backer,E. L.;Turner,P. D.</t>
  </si>
  <si>
    <t>Use of office-based smoking cessation activities in family practices</t>
  </si>
  <si>
    <t>Journal of Family Practice</t>
  </si>
  <si>
    <t>J.Fam.Pract.</t>
  </si>
  <si>
    <t>Cross-Sectional Studies;*Family Practice;Health Promotion/mt Methods];Humans;Nebraska;Patient Education as Topic;Physicians' Offices;Research Design;*Smoking Cessation</t>
  </si>
  <si>
    <t>BACKGROUND: Smoking is the leading cause of morbidity and mortality in the United States. Recommendations for increasing physician effectiveness in smoking cessation through the use of office-based activities have been disseminated, but the extent of implementation is unknown. We describe the degree to which selected family practices in Nebraska have implemented 15 specific office-based activities. METHODS: We employed a cross-sectional integrated multimethod design. A research nurse observed a target physician and his or her staff during a 1-day visit in a random sample of 89 family practices. Data collection consisted of focused observation of the practice environment, key informant interviews, medical record reviews, and in-depth interviews with the physicians. RESULTS: The majority of the practices sampled had an office environment that restricted smoking, but few used visual cessation messages or information in the waiting room offering help and encouraging patients to quit. Most had educational materials that were supplied by pharmaceutical companies for promoting nicotine replacement systems. These materials were easily accessible in more than half of the practices. Smoking cessation activities were initiated and carried out by physicians with minimal use of their staff. Smoking status was documented in 51% of the medical records reviewed but seldom in a place readily accessible to the physician. All physicians were very aware of the importance of smoking cessation counseling, and most felt confident in their skills. CONCLUSIONS: Despite identification of patient smoking as a problem, most practices were not using office-based activities to enhance and support physician counseling. New perspectives for helping practices with this task need to be explored.</t>
  </si>
  <si>
    <t>J2: J; McIlvain, H E Crabtree, B F Backer, E L Turner, P D; ID: 549</t>
  </si>
  <si>
    <t>0094-3509</t>
  </si>
  <si>
    <t>McIlvain,H E. Department of Family Medicine, University of Nebraska Medical Center, Omaha 68198-3075, USA. hemcilva@unmc.edu</t>
  </si>
  <si>
    <t>http://ovidsp.ovid.com/ovidweb.cgi?T=JS&amp;CSC=Y&amp;NEWS=N&amp;PAGE=fulltext&amp;D=med4&amp;AN=11093569</t>
  </si>
  <si>
    <t>MEDLINE; Ovid Technologies; Use of office-based smoking cessation activities in family practices</t>
  </si>
  <si>
    <t>McKain,M.;O'Neil,C. K.</t>
  </si>
  <si>
    <t>Patient-Centered Pharmacy Services: A Descriptive Report</t>
  </si>
  <si>
    <t>This paper describes a proactive, patient-centered, interprofessional approach to medication review in a long-term care facility. Clinical pharmacy services were provided to residents in multiple high-risk areas including transition of care; medication reconciliation; monitoring of infectious disease, pain, anticoagulation, psychotropic drugs, and falls; and requested consults for any change in condition. Process outcomes were evaluated, specifically the number of patients reviewed, number and type of recommendations made, and acceptance rate of recommendations by physicians; 1,333 medication regimen reviews were conducted. A total of 274 recommendations were made, and 56 recommendations were excluded as "lost to follow-up" because the recommendation was not acknowledged by the physician. Of the 218 acknowledged recommendations, 157 (72%) were accepted. Collective workload statistics suggest that the service identified and eliminated potential drugrelated problems such as inappropriate medications, drug interactions, and discrepancies during medication reconciliation. The large number of reviews conducted in a short time period show that there is a need for regular pharmacist review.</t>
  </si>
  <si>
    <t>J2: Consult Pharm; McKain, Melanie O'Neil, Christine K; ID: 767</t>
  </si>
  <si>
    <t>McKain,Melanie. Duquesne University-Mylan School of Pharmacy, Pittsburgh, Pennsylvania, USA.</t>
  </si>
  <si>
    <t>http://ovidsp.ovid.com/ovidweb.cgi?T=JS&amp;CSC=Y&amp;NEWS=N&amp;PAGE=fulltext&amp;D=prem&amp;AN=26629802</t>
  </si>
  <si>
    <t>http://dx.doi.org/10.4140/TCP.n.2015.664</t>
  </si>
  <si>
    <t>MEDLINE; Ovid Technologies; Patient-Centered Pharmacy Services: A Descriptive Report</t>
  </si>
  <si>
    <t>McKee,B. D.;Larose-Pierre,M.;Rappa,L. R.;Author,Addresses;Pharmacy Department, Atlanta V. A. Medical;Center,Decatur United States;Florida,A.;M University, College of,Pharmacy and;Pharmaceutical Sciences,Crestview,United States;Florida,A.;M University, College of,Pharmacy and;Pharmaceutical Sciences, Davie Instructional Site Davie,United States;Correspondence,Address;BD McKee, Mental Health Atlanta V A Medical Center,Clairmont Road;Decatur,United States</t>
  </si>
  <si>
    <t>24346959; A survey of community pharmacists and final-year student pharmacists and their perception of psychotherapeutic agents</t>
  </si>
  <si>
    <t>(MAJOR FOCUS);antidepressant agent;anxiolytic agent;atypical antipsychotic agent;mood stabilizer;opiate;benzodiazepine;buprenorphine plus naloxone;buspirone;clozapine;lipid (endogenous compound);lithium;olanzapine;serotonin uptake inhibitor;paramedical student;pharmacist;addiction;adult;anxiety disorder;article;bipolar disorder;blood cell count;depression;drug contraindication;drug indication;drug information;drug monitoring;female;health care survey;human;licensing;male;mental disease;middle aged;obsessive compulsive disorder;paramedical education;pharmacy;professional knowledge;suicide;treatment duration;weight gain;young adult;benzodiazepine (12794-10-4);buspirone (33386-08-2, 36505-84-7);clozapine (5786-21-0);lipid (66455-18-3);lithium (7439-93-2);olanzapine (132539-06-1);opiate (53663-61-9, 8002-76-4, 8008-60-4);Public Health, Social Medicine and Epidemiology (17);Psychiatry (32);Drug Literature Index (37);Pharmacy (39)</t>
  </si>
  <si>
    <t>Introduction: The World Health Organization has estimated that as many as 450 million people worldwide have mental disorders. More than 44 million people in the United States have a mental disorder annually, estimating the annual direct costs of mental illness to exceed US$69 billion. Psychotherapeutic agents are used to treat mental illnesses and improve quality of life. The purpose of the study is to assess the knowledge and knowledge perception of community pharmacists and final-year student pharmacists regarding psychotherapeutic agents dispensed to their community of patients with mental illness. Methods: -Rfaut survey was distributed to pharmacists and final-year student pharmacists regarding psychotherapeutic agents. Results: In all, 100 pharmacists and 40 final-year student pharmacists completed the survey. Upon analysis of surveys returned by pharmacists, knowledge deficiency was assessed regarding anxiolytics and mood stabilizers. The analysis of student participant surveys demonstrated knowledge deficiency regarding antidepressants and anxiolytics. Conclusions: Final-year student pharmacists would benefit from the curricular incorporation of courses and advanced pharmacy practice experiences in Psychiatry. Community pharmacists caring for customers with psychiatric disorders should take advantage of continuing education series that highlight updates and new developments regarding psychotherapeutic agents in order to improve clinical outcomes of patients.</t>
  </si>
  <si>
    <t>(McKee B.D., Brian.McKee3@va.gov) (Larose-Pierre M.) (Rappa L.R.) SAGE Publications Inc., claims@sagepub.com; ID: 823</t>
  </si>
  <si>
    <t>1531-1937 (electronic) 0897-1900</t>
  </si>
  <si>
    <t>http://www.ncbi.nlm.nih.gov/pubmed/24346959</t>
  </si>
  <si>
    <t>A survey of community pharmacists and final-year student pharmacists and their perception of psychotherapeutic agents</t>
  </si>
  <si>
    <t>McKee,J.;Armstead,L.;Chin,T.;Author,Addresses;University,of Texas;Correctional Managed Care, Huntsville,United States;Correspondence,Address;McKee, University of Texas Medical Branch Correctional Managed Care,J.;Huntsville,United States</t>
  </si>
  <si>
    <t>Psychiatric pharmacy practice in the corrections setting</t>
  </si>
  <si>
    <t>amfebutamone;benzatropine;cholinergic receptor blocking agent;clonidine;quetiapine;trihexyphenidyl;college;pharmacist;pharmacy;abuse;algorithm;consultation;criminal justice;diagnosis;disease management;drug therapy;education;epidemic;evidence based practice;health care;heat tolerance;hospital;malingering;mental disease;mental health;patient;patient care;pharmacy and therapeutics committee;politics;publication;risk;screening;staff training;substance abuse;suicide;United States</t>
  </si>
  <si>
    <t>Abstract Type: Innovative Practices. Background: A number of legal, social, and political factors have precipitated the current epidemic of mental health issues in the corrections setting, as persons with severe and persistent mental illness are increasingly being shifted from the state hospital setting to corrections, often referred to as the Œì√á¬£criminalization of mental illness.Œì√á¬• Description of Practice: There are a variety of setting specific issues which must be considered in the diagnosis and treatment of mental illness. Further, there is substantive data correlating major psychopathology with an increased re-incarceration risk, making it imperative that mental illness is diagnosed and treated appropriately. Impact on Patient Care: Special patient care considerations unique to the correctional setting include substance abuse of commonly used psychotherapeutic agents, potential for malingering, suicide screening and surveillance, and the consideration of effect on heat tolerance and environmental issues introduced by psychoactive medication use. The Pharmacy and Therapeutics Committee utilizes treatment algorithms called disease management guidelines (DMGs) and formulary management to guide prescriptive practices to most effectively utilize limited resources. Within the Texas Department of Criminal Justice DMG and medication access construct, the Pharmacy and Therapeutics Committee and Psychiatric Subcommittee uses evidence based practices to support the DMG development process. There is an expedited nonformulary review and appeal process for specific cases where the treatment algorithm is not felt to be suitable for a specific patient's needs. The role of psychiatric pharmacist in this practice is in guiding the Pharmacy and Therapeutics Committee in areas of formulary and DMG development, clinical staff education, case specific consultative evaluations, and in managing a direct patient care clinic. Conclusions: The psychiatric clinical pharmacist has a significant impact on resource utilization to improve access to care for all, impact on individual cases via consultation, education-shaping prescriptive practices via DMG development. There are a number of medications with known risk for abuse in corrections, including quetiapine, clonidine, bupropion, and anticholinergics (benztropine, trihexyphenidyl) further making the expertise of the psychiatric clinical pharmacist an integral part of the mental healthcare team.</t>
  </si>
  <si>
    <t>(McKee J.; Armstead L.; Chin T.) 13th Annual Meeting of the College of Psychiatric and Neurologic Pharmacists, CPNP 2010 San Antonio, TX, United States 2010-04-18 to 2010-04-21 SAGE Publications Inc.; ID: 1360</t>
  </si>
  <si>
    <t>McKenney,J. M.;Harrison,W. L.</t>
  </si>
  <si>
    <t>Drug-related hospital admissions</t>
  </si>
  <si>
    <t>Adult;Age Factors;Aged;Drug Hypersensitivity;Drug Prescriptions;*Drug-Related Side Effects and Adverse Reactions;Female;Hospitalization;Humans;Male;Middle Aged;Patient Compliance;Poisoning/ep Epidemiology]</t>
  </si>
  <si>
    <t>The association between hospital admissions and drug-related problems was studied in 216 patients. All patients admitted to a general 100-bed ward in a large teaching hospital over a two-month period were interviewed by the pharmacist to determine (1) prescription and nonprescription drugs regularly administered by the patient, (2) method of administration, (3) patients' compliance with prescribed therapy, and (4) signs and symptoms of adverse drug reactions. Fifty-nine (27.3%) patients were found to have a drug-related problem associated with their hospital admission. Twenty-four patients (11.1%) had an adverse drug reaction associated with their hospital admission; in only 17 (7.9%) of the patients did the adverse reaction cause the hospital admission. Adverse drug reactions and noncompliance (10.5%) appeared to be the principal factors in hospital admission. To a lesser extent, inadequate therapy, improper or erroneous drug use and drug overdose were found to be associated with hospital admissions. As to mechanism of drug reaction, a drug side effect was involved in most cases. While hospital pharmacists have traditionally concentrated on improving inpatient distribution services, this study indicates a need for the improvement of drug monitoring and education services available to patients in outpatient settings.</t>
  </si>
  <si>
    <t>J2: Am J Hosp Pharm; McKenney, J M Harrison, W L; ID: 733</t>
  </si>
  <si>
    <t>http://ovidsp.ovid.com/ovidweb.cgi?T=JS&amp;CSC=Y&amp;NEWS=N&amp;PAGE=fulltext&amp;D=med1&amp;AN=949062</t>
  </si>
  <si>
    <t>MEDLINE; Ovid Technologies; Drug-related hospital admissions</t>
  </si>
  <si>
    <t>McMahon,C. G.;Jannini,E.;Waldinger,M.;Rowland,D.;Author,Addresses;Australian Centre,for Sexual;Sydney,Australia;University,of L.;Medical,Sexology;Experimental Medicine,L'Aquila Italy;Leyenburg Hospital,Psychiatry;Neurosexology,The Hague;Netherlands;Valparaiso University,Psychology,Valparaiso I.;States;Correspondence,Address;CG Mcmahon, Australian Centre for Sexual Health Berry,Road Medical;Centre,Suite a Berry Rd St Leonards Sydney N.S.W.Australia;Email,cmcmahon acsh com au</t>
  </si>
  <si>
    <t>22970767; Standard Operating Procedures in the Disorders of Orgasm and Ejaculation</t>
  </si>
  <si>
    <t>Journal of Sexual Medicine</t>
  </si>
  <si>
    <t>acetylsalicylic acid (adverse drug reaction, drug combination);alfuzosin (clinical trial, drug therapy);alpha 1 adrenergic receptor blocking agent (drug therapy);anesthetic agent (adverse drug reaction, drug therapy);citalopram (drug therapy);clomipramine (clinical trial, drug therapy);dapoxetine (adverse drug reaction, clinical trial, drug concentration, drug;interaction, drug therapy, pharmacokinetics);EMLA (drug therapy, topical drug administration);fluoxetine (drug interaction, drug therapy);ketoconazole (drug interaction);lidocaine (drug therapy, topical drug administration);nonsteroid antiinflammatory agent (adverse drug reaction, drug combination);paroxetine (adverse drug reaction, clinical trial, drug therapy);phosphodiesterase V inhibitor (drug combination, drug therapy);placebo;prilocaine (drug therapy, topical drug administration);serotonin 1A receptor (endogenous compound);serotonin 1B receptor (endogenous compound);serotonin 1D receptor (endogenous compound);serotonin 2C receptor (endogenous compound);serotonin uptake inhibitor (adverse drug reaction, clinical trial, drug;combination, drug therapy);sertraline (drug therapy);sildenafil (drug therapy);tadalafil (drug therapy);tempe;terazosin (clinical trial, drug therapy);testosterone (endogenous compound);thiazide diuretic agent (adverse drug reaction);tramadol (clinical trial, drug therapy);unclassified drug;unindexed drug;vardenafil (drug therapy);ejaculation disorder (side effect, complication, diagnosis, etiology, side;effect, therapy);orgasm disorder (complication, diagnosis, etiology, therapy);agitation;akathisia (side effect);anejaculation (complication, diagnosis, etiology, side effect, therapy);anejaculation (side effect);anorgasmia (complication, diagnosis, etiology, side effect, therapy);anxiety;article;attitude to sexuality;behavior therapy;classification algorithm;clinical practice;comorbidity;conditioning;delayed ejaculation (side effect);delayed ejaculation (complication, diagnosis, etiology, side effect,;therapy);depersonalization (side effect);depression (drug therapy);Diagnostic and Statistical Manual of Mental Disorders;diagnostic imaging;diagnostic test;diarrhea (side effect);diet supplementation;disease association;disease classification;dizziness (side effect);drug efficacy;drug withdrawal;endocrine disease;erectile dysfunction (drug therapy, side effect);fatigue (side effect);headache (side effect);health belief;human;hyperthyroidism;hypoactive sexual desire disorder (side effect);hypomania (side effect);iatrogenic disease;insomnia (side effect);intravaginal ejaculation latency time;irritability;laboratory test;male;male genital system function;masturbation;medical history;medical society;mental concentration;nausea (side effect);nerve surgery;neuropathy;non insulin dependent diabetes mellitus (side effect);off label drug use;paresthesia (side effect);pathophysiology;phase 2 clinical trial (topic);phase 3 clinical trial (topic);physical examination;practice guideline;premature ejaculation (diagnosis, disease management, drug therapy,;epidemiology, etiology, therapy);prevalence;priapism (side effect);priority journal;prostate disease;prostate hypertrophy (drug therapy);psychodynamics;psychological aspect;psychotherapy;quality of life;questionnaire;randomized controlled trial (topic);receptor down regulation;rhinopharyngitis (side effect);self stimulation;serotonin uptake inhibitor withdrawal syndrome (side effect);sexual behavior;sexual counseling;sexual dysfunction (side effect);sexual education;sexual satisfaction;side effect (side effect);somnolence (side effect);suicidal ideation (side effect);suicide (side effect);suicide attempt (side effect);sweating;tachyphylaxis;topical anesthesia;unspecified side effect (side effect);upper gastrointestinal bleeding (side effect);vivid dream (side effect);vomiting (side effect);weight gain;withdrawal syndrome (side effect);yawning;DRUG TRADE NAMES;aspirin;tempe , United Kingdomplethora;DRUG MANUFACTURERS;(United Kingdom)plethora;EMLA (101362-25-8);acetylsalicylic acid (493-53-8, 50-78-2, 53663-74-4, 53664-49-6, 63781-77-1);alfuzosin (81403-68-1, 81403-80-7);citalopram (59729-33-8);clomipramine (17321-77-6, 303-49-1);dapoxetine (119356-77-3, 129938-20-1);fluoxetine (54910-89-3, 56296-78-7, 59333-67-4);ketoconazole (65277-42-1);lidocaine (137-58-6, 24847-67-4, 56934-02-2, 73-78-9);paroxetine (61869-08-7);prilocaine (1786-81-8, 721-50-6);sertraline (79617-96-2);sildenafil (139755-83-2);tadalafil (171596-29-5);terazosin (63074-08-8, 63590-64-7);testosterone (58-22-0);tramadol (27203-92-5, 36282-47-0);vardenafil (224785-90-4, 224785-91-5, 224789-15-5);Urology and Nephrology (28);Psychiatry (32);Drug Literature Index (37);Adverse Reactions Titles (38)</t>
  </si>
  <si>
    <t>Introduction. Ejaculatory/orgasmic disorders are common male sexual dysfunctions and include premature ejaculation (PE), inhibited ejaculation, anejaculation, retrograde ejaculation, and anorgasmia. Aim. To provide recommendations and guidelines of the current state-of-the-art knowledge for management of ejaculation/orgasmic disorders in men as standard operating procedures (SOPs) for the treating health care professional. Methods. The International Society of Sexual Medicine Standards Committee assembled over 30 multidisciplinary experts to establish SOPs for various male and female sexual medicine topics. The SOP for the management of disorders of orgasm and ejaculation represents the opinion of four experts from four countries developed in a process over a 2-year period. Main Outcome Measure. Expert opinion was based on grading of evidence-based medical literature, limited expert opinion, widespread internal committee discussion, public presentation, and debate. Results. PE management is largely dependent upon etiology. Lifelong PE is best managed with PE pharmacotherapy (selective serotonin reuptake inhibitors and/or topical anesthetics). The management of acquired PE is etiology specific and may include erectile dysfunction (ED) pharmacotherapy in men with comorbid ED. All men seeking treatment for PE should receive basic psychosexual education. Graded behavioral therapy is indicated when psychogenic or relationship factors are present and is often best combined with PE pharmacotherapy in an integrated treatment program. Delayed ejaculation, anejaculation, and/or anorgasmia may have a biogenic and/or psychogenic etiology. Men with age-related penile hypoanesthesia should be educated, reassured, and instructed in revised sexual techniques which maximize arousal. Retrograde ejaculation is managed by education, patient reassurance, and pharmacotherapy. Conclusions. Additional research is required to further the understanding of the disorders of ejaculation and orgasm. ‚î¨‚åê 2012 International Society for Sexual Medicine.</t>
  </si>
  <si>
    <t>(Mcmahon C.G., cmcmahon@acsh.com.au) (Jannini E.) (Waldinger M.) (Rowland D.) Blackwell Publishing Ltd, 9600 Garsington Road, Oxford, United Kingdom.; ID: 1086</t>
  </si>
  <si>
    <t>1743-6095 1743-6109 (electronic)</t>
  </si>
  <si>
    <t>http://www.ncbi.nlm.nih.gov/pubmed/22970767</t>
  </si>
  <si>
    <t>Standard Operating Procedures in the Disorders of Orgasm and Ejaculation</t>
  </si>
  <si>
    <t>McMullin,S. T.;Reichley,R. M.;Kahn,M. G.;Dunagan,W. C.;Bailey,T. C.</t>
  </si>
  <si>
    <t>Automated system for identifying potential dosage problems at a large university hospital</t>
  </si>
  <si>
    <t>Adolescent;Adult;Aged;Aged, 80 and over;Chemistry, Pharmaceutical;*Clinical Pharmacy Information Systems;Drug Prescriptions;*Drug Therapy, Computer-Assisted/st Standards];Humans;Kidney/me Metabolism];Kidney Diseases/me Metabolism];*Medication Errors;Middle Aged;Pharmacy Service, Hospital/og Organization &amp; Administration];Software</t>
  </si>
  <si>
    <t>A hospital's experience with an automated system for screening drug orders for potential dosage problems is described. DoseChecker was developed by the hospital pharmacy department in collaboration with a local university. Pharmacy, laboratory, and patient demographic data are transferred nightly from the hospital's mainframe system to a database server; DoseChecker uses these data and user-defined rules to (1) identify patients receiving any of 35 targeted medications, (2) evaluate the appropriateness of current dosages, and (3) generate alerts for patients potentially needing dosage adjustments. The alert reports are distributed to satellite pharmacists, who evaluate each patient's condition and make recommendations to physicians as needed. One of the system's primary purposes is to calculate creatinine clearance and verify that dosages are properly adjusted for renal function. Between May and October 1995, the system electronically screened 28,528 drug orders and detected potential dosage problems in 2859 (10%). The system recommended a lower daily dose in 1992 cases (70%) and a higher daily dose in 867 (30%). Pharmacists contacted physicians concerning 1163 (41%) of the 2859 alerts; in 868 cases (75%), the physicians agreed to adjust the dosage. The most common dosage problem identified was failure to adjust dosages on the basis of declining renal function. An automated system provided an efficient method of identifying inappropriate dosages at a large university hospital.</t>
  </si>
  <si>
    <t>J2: Am J Health-Syst Pharm; McMullin, S T Reichley, R M Kahn, M G Dunagan, W C Bailey, T C; ID: 610</t>
  </si>
  <si>
    <t>McMullin,S T. Department of Pharmacy, Barnes-Jewish Hospital, St. Louis, MO 63110, USA.</t>
  </si>
  <si>
    <t>http://ovidsp.ovid.com/ovidweb.cgi?T=JS&amp;CSC=Y&amp;NEWS=N&amp;PAGE=fulltext&amp;D=med4&amp;AN=9066863</t>
  </si>
  <si>
    <t>MEDLINE; Ovid Technologies; Automated system for identifying potential dosage problems at a large university hospital</t>
  </si>
  <si>
    <t>McNairy,S.;Dols,R.;Keple,T.;Thuras,P.;Westermeyer,J.;Author,Addresses;Center,V. AM;University,of Minnesota;Correspondence,Address;McNairy, VAMedical Center University of Minnesota United States,S.</t>
  </si>
  <si>
    <t>Benefits of combined buprenorphine medication management and support group</t>
  </si>
  <si>
    <t>(MAJOR FOCUS);buprenorphine;opiate;partial agonist;addiction;drug therapy;psychiatry;support group;abstinence;chronic pain;community;diagnosis;education;follow up;graduate;group therapy;human;length of stay;methadone treatment;model;organization and management;pain;patient;patient satisfaction;peer group;prospective study;relapse;remission;therapy;treatment outcome;urine;veteran</t>
  </si>
  <si>
    <t>Background: At theAAAPmeeting December 2004 lead author (SM) reported on the novel use of a combined medication management and support group to address the two core mandates ofCSAT for effectively using buprenorphine in OBOT, namely provision of both (1) pharmacotherapy and (2) recovery-based education and support services. Traditional abstinence-only community support groups were found to be unreceptive to medication-assisted therapies, which invalidated this newly emerging treatment approach. This is the follow-up study of treatment outcomes over 6 years of continued operations of the group model. Methods: This was a prospective study of 142 veterans with a primary diagnosis of opioid dependence treated with buprenorphine/naloxone at the VA Minneapolis between January 2004 and October 2010. On a self-select basis they were offered either a combined medication management-peer support group or individualized medication management services with referral to communitybased supports as usual. Group medication/Cotherapy was provided by an LICSW and an RN with MD assistance. Outcome measures were related to length of stay, relapses and remissions, positive opioid and other drug urine screens, patient satisfaction, and level of daily socialoccupational functioning. Two clinicians independently rated the recovery success or lack thereof using the Modified DARP Outcome Criteria. Results: The combination of group support and medication management was found to be superior in outcomes to that of persons preferring individualmed management and referral to traditional community-based supports. Patients who had been regarded as group therapy resistant displayed a high degree of affiliation, personal pride, and ownership in the group processwhen stabilized on buprenorphine. The early dropout rate in the first month of stabilization was substantially less among the group treatment participants than individual treatment participants consistent with the expected positive aspects of peer support and engagement during the most difficult transition from active opioid use and withdrawal. The presence of chronic pain problems did not deter successful outcomes when compared to participants without pain when using partial-agonist therapy to treat opioid dependence. Positive group participation experiences were most indentified by graduates group in the continued success with individual office-based med management. Conclusions: Based upon these findings over the past 6 years, the combined group treatment format continues to be the coremethod of initiation andmaintaining buprenorphine therapy for mild to moderate opioid dependence at this VA. It has displaced the traditional methadone maintenance program which has since been reserved for the most severely addicted, treatment refractory and/or who were unsuccessful using buprenorphine to cease opioid use first.</t>
  </si>
  <si>
    <t>(McNairy S.; Dols R.; Keple T.; Thuras P.; Westermeyer J.) 21st Annual Meeting and Symposium of the American Academy of Addiction Psychiatry, AAAP 2010 Boca Raton, FL, United States 2010-12-02 to 2010-12-05 Wiley-Blackwell; ID: 1252</t>
  </si>
  <si>
    <t>McNally,G. P.;Author,Addresses;University of New,South Wales;of Psychology, Sydney N. S. W. Australia;Correspondence,Address;GP Mcnally, University of New South Wales School of,Psychology Sydney;Nsw,Australia Email g mcnally unsw edu au</t>
  </si>
  <si>
    <t>23774135; Extinction of drug seeking: Neural circuits and approaches to augmentation</t>
  </si>
  <si>
    <t>kappa opiate receptor (endogenous compound);opiate peptide (endogenous compound);orexin (endogenous compound);drug seeking behavior;nerve cell network;abstinence;brain cortex;brain nerve cell;corpus striatum;drug efficacy;extinction training;hypothalamus;learning;memory;paraventricular thalamic nucleus;priority journal;relapse;review;thalamus;training;Neurology and Neurosurgery (8);Psychiatry (32);Drug Dependence, Alcohol Abuse and Alcoholism (40)</t>
  </si>
  <si>
    <t>Extinction training can reduce drug seeking behavior. This article reviews the neural circuits that contribute to extinction and approaches to enhancing the efficacy of extinction. Extinction of drug seeking depends on cortical-striatal-hypothalamic and cortical-hypothalamic-thalamic pathways. These pathways interface, in the hypothalamus and thalamus respectively, with the neural circuits controlling reinstatement of drug seeking. The actions of these pathways at lateral hypothalamic orexin neurons, and of perifornical/dorsomedial hypothalamic derived opioid peptides at kappa opioid receptors in the paraventricular thalamus, are important for inhibiting drug seeking. Despite effectively reducing or inhibiting drug seeking in the short term, extinguished drug seeking is prone to relapse. Three different strategies to augment extinction learning or retrieval are reviewed: pharmacological augmentation, retrieval - extinction training, and provision of extinction memory retrieval cues. These strategies have been used in animal models and with human drug users to enhance extinction or cue exposure treatments. They hold promise as novel strategies to promote abstinence from drug seeking. This article is part of a Special Issue entitled 'NIDA 40th Anniversary Issue'. ‚î¨‚åê 2013 Elsevier Ltd. All rights reserved.</t>
  </si>
  <si>
    <t>(Mcnally G.P., g.mcnally@unsw.edu.au) Elsevier Ltd, Langford Lane, Kidlington, Oxford, United Kingdom.; ID: 952</t>
  </si>
  <si>
    <t>0028-3908 1873-7064 (electronic)</t>
  </si>
  <si>
    <t>http://www.ncbi.nlm.nih.gov/pubmed/23774135</t>
  </si>
  <si>
    <t>Extinction of drug seeking: Neural circuits and approaches to augmentation</t>
  </si>
  <si>
    <t>McNeil,J.;Johnson,C.;Author,Addresses;Middleton,William S.;States;Correspondence,Address;Middleton Veterans Hospital United States,J.McNeil, William S.</t>
  </si>
  <si>
    <t>Implementation and outcomes of a pharmacy managed clinic for veterans in a substance abuse residential rehabilitation treatment program</t>
  </si>
  <si>
    <t>college;hospital;pharmacist;pharmacy;rehabilitation;substance abuse;veteran;cost control;drug therapy;electronic medical record;emergency ward;information processing;institutional review;lifestyle modification;medical record review;patient;primary medical care;residential care</t>
  </si>
  <si>
    <t>Abstract Type: Work in Progress. Background: The purpose of this study is to evaluate the impact of a newly implemented pharmacy managed service in the Addictive Disorders Treatment Program (ADTP) at the William S. Middleton Veterans Medical Center. ADTP provides services to patients suffering from a variety of addictive disorders. One treatment option available is the Substance Abuse Residential Rehabilitation Treatment Program (SARRTP.) Patients receiving residential treatment may have a lapse in primary care services if their primary care provider is based out of a different facility. This often results in undesirable outcomes including unnecessary emergency department (ED) visits or unaddressed medical needs. Additionally, these patients have often made significant lifestyle modifications including alcohol/drug cessation and dietary changes that can have a major impact on their chronic medical conditions. A pharmacy managed clinic was created for these patients to address medical issues as appropriate within the scope of the pharmacist. Objectives: 1) Describe the need for a pharmacy-managed clinic to provide services to patients undergoing residential treatment for substance abuse. 2) Identify interventions that can be made by a pharmacist in a medication management clinic. 3) Recognize potential cost-savings and benefits of a pharmacy-managed clinic for patients undergoing residential substance abuse treatment. Methods: A retrospective chart review will be performed using the Computerized Patient Record System to assess outcomes of a newly implemented pharmacy managed clinic for SARRTP patients. Institutional review board approval will be obtained prior to data collection. Outcomes assessed will include number and purpose of ED visits as well as number and type of pharmacist interventions. A list will be generated of ED visits forSARRTP patients for a six month period prior to the start of the pharmacy managed clinic and for a six month period following the initiation of the clinic. Differences in the number and purpose of ED visits between the two time periods will be compared. A chart review will be performed for all patients in residential treatment who received care from the pharmacy managed clinic. Number and type of pharmacist interventions will be assessed. Outcomes/Conclusions: Pending.</t>
  </si>
  <si>
    <t>(McNeil J.; Johnson C.) 13th Annual Meeting of the College of Psychiatric and Neurologic Pharmacists, CPNP 2010 San Antonio, TX, United States 2010-04-18 to 2010-04-21 SAGE Publications Inc.; ID: 1356</t>
  </si>
  <si>
    <t>McRae,J.;Lovett,A.;Ohaya,V.;Ohaya,J.;Pounds,T.;Author,Addresses;Mercer University,Atlanta United;States;Atlanta Medical Center, Atlanta,United States;Correspondence,Address;McRae, Mercer University Atlanta United States,J.</t>
  </si>
  <si>
    <t>Drug-related problems and medication errors: A literature review on economic outcomes in sub-saharan africa</t>
  </si>
  <si>
    <t>A198</t>
  </si>
  <si>
    <t>counterfeit drug;Africa;medication error;Benin;cost effectiveness analysis;drug distribution;drug therapy;economics;electronic medical record;Embase;government;health;health care delivery;health care personnel;human;information technology;Medline;patient education;pharmaceutical care;pharmacist;pharmacy;population;quality of life;training;university;work environment</t>
  </si>
  <si>
    <t>OBJECTIVES: To review the literature published within the last decade related to drug-related problems and medication errors in Sub-Saharan Africa. This article provides a discussion on pharmaceutical care, with a focus on economic outcomes. METHODS: A search using Medline, Embase was conducted over the timeframe January 2002-December 2012 using key words such as: Sub-Saharan Africa, medication errors, economics, and pharmaceutical care. The abstract and/or full text of each article was reviewed. RESULTS: Twenty studies were identified for review. The most common problems in the pharmacy system were improper labeling, counterfeit drugs, lack of patient education, and inadequate drug distribution. The lack of electronic medical records and payment systems prevent the assessment of clinical cost outcomes. In a study conducted by the University of Benin, of 1500 pharmacists, 93% reported that they would be willing to participate in Œì√á¬£any training program to enable them to practice pharmaceutical care.Œì√á¬• There is a lack of pharmacists able to provide pharmaceutical care as defined as the direct, responsible provision of medication-related care designed to achieve definite outcomes. The shortage of pharmacists is due to few training institutions, migration, inadequate pay and poor working conditions. Specifically, 25% of the world's global burden of disease is in Sub Saharan Africa, while this area comprises 3% of the world's health workers. These factors contribute to an increase in medication errors. CONCLUSIONS: Sub-Saharan Africa lacks the necessary governmental regulation to ensure a decrease in medication errors. The government may consider streamlining their drug distribution system through the enforcement of regulations and the use of information technology in the health care delivery system. Additional studies are needed to examine economic outcomes. Several studies provide information on cost effectiveness and quality of life, but these studies are specific to the HIV/AIDS population.</t>
  </si>
  <si>
    <t>(McRae J.; Lovett A.; Ohaya V.; Ohaya J.) (Pounds T.) ISPOR 18th Annual International Meeting New Orleans, LA, United States 2013-05-18 to 2013-05-22 Elsevier Ltd; ID: 1050</t>
  </si>
  <si>
    <t>Meka,V. S.;Thing,L. K.;Gorajana,A.;Kolapalli,V. R.</t>
  </si>
  <si>
    <t>Formulation and optimization of gastric floating drug delivery system using Central composite design and its biopharmaceutical evaluation</t>
  </si>
  <si>
    <t>Pakistan Journal of Pharmaceutical Sciences</t>
  </si>
  <si>
    <t>Adult;Biological Availability;Cellulase;Chemistry, Pharmaceutical;*Drug Delivery Systems;*Gastrointestinal Absorption;Humans;Male;Polyethylene Glycols;Solubility;Spectroscopy, Fourier Transform Infrared;Tablets;0 (Tablets);30IQX730WE (Polyethylene Glycols);EC 3-2-1-4 (Cellulase);EC 3-2-1-4 (carboxymethylcellulase)</t>
  </si>
  <si>
    <t>The present work investigates the formulation and biopharmaceutical estimation of gastric floating drug delivery system (GFDDS) of propranolol HCl using semi-synthetic polymer carboxymethyl ethyl cellulose (CMEC) and a synthetic polymer polyethylene oxide (PEO). A central composite design was applied for optimization of polymer quantity (CMEC or PEO) and sodium bicarbonate concentration as independent variables. The dependent variables evaluated were: % of drug release at 1 hr (D1hr), % drug release at 3 hr (D3hr) and time taken for 95% of drug release (t95). Numerical optimization and graphical optimization were conducted to optimize the response variables. All observed responses of statistically optimized formulations were in high treaty with predicted values. Accelerated stability studies were conducted on the optimized formulations at 40 +/- 2degreeC/75% +/- 5% RH and confirm that formulations were stable. Optimized formulations were evaluated for in vivo buoyancy characterization in human volunteers and were found buoyant in gastric fluid. Gastric residence time was enhanced in the fed but not the fasted state. The optimized formulations and marketed formulation were administered to healthy human volunteers and evaluated for pharmacokinetic parameters. Mean residence time (MRT) was prolonged and AUC levels were increased for both optimized floating tablets when compared with marketed product. High relative bioavailability obtained with optimized gastric floating tablets compared to commercial formulation, indicated the improvement of bioavailability.</t>
  </si>
  <si>
    <t>J2: Pak; Meka, Venkata Srikanth Thing, Lim Kee Gorajana, Adinarayana Kolapalli, Venkata Ramana-Murthy; ID: 14</t>
  </si>
  <si>
    <t>1011-601X</t>
  </si>
  <si>
    <t>Meka,Venkata Srikanth. School of Pharmacy, International Medical University, Kuala Lumpur, Malaysia / AU College of Pharmaceutical Sciences, Andhra University, Visakhapatnam, India. Thing,Lim Kee. School of Pharmacy, International Medical University, Kuala Lumpur, Malaysia. Gorajana,Adinarayana. School of Pharmacy, International Medical University, Kuala Lumpur, Malaysia. Kolapalli,Venkata Ramana-Murthy. AU College of Pharmaceutical Sciences, Andhra University, Visakhapatnam, India.</t>
  </si>
  <si>
    <t>http://ovidsp.ovid.com/ovidweb.cgi?T=JS&amp;CSC=Y&amp;NEWS=N&amp;PAGE=fulltext&amp;D=medl&amp;AN=26142528</t>
  </si>
  <si>
    <t>MEDLINE; Ovid Technologies; Formulation and optimization of gastric floating drug delivery system using Central composite design and its biopharmaceutical evaluation</t>
  </si>
  <si>
    <t>Mekonnen,A. B.;Yesuf,E. A.;Odegard,P. S.;Wega,S. S.</t>
  </si>
  <si>
    <t>PMC3780502; Implementing ward based clinical pharmacy services in an Ethiopian University Hospital</t>
  </si>
  <si>
    <t>BACKGROUND: Clinical pharmacy practice has developed internationally to expand the role of a pharmacist well beyond the traditional roles of compounding, dispensing and supplying drugs to roles more directly in caring for patients. Studies on the activities of the clinical pharmacist in an inpatient ward in resource constrained settings are scarce, however. OBJECTIVE: To assess ward based clinical pharmacy services in an internal medicine ward of Jimma University Specialized Hospital. METHODS: The study was carried out in the internal medicine ward from March to April, 2011 at Jimma University Specialized Hospital. The study design was a prospective observational study where pharmaceutical care services provided by clinical pharmacists for inpatients were documented over a period of two months. Interventions like optimization of rational drug use and physician acceptance of these recommendations were documented. Clinical significance of interventions was evaluated by an independent team (1 internist, 1 clinical pharmacologist) using a standardized method for categorizing drug related problems (DRPs). RESULTS: A total of 149 drug related interventions conducted for 48 patients were documented; among which 133(89.3%) were clinical pharmacists initiated interventions and 16(10.7%) interventions were initiated by other health care professionals. The most frequent DRPs underlying interventions were unnecessary drug therapy, 36(24.2%); needs additional drug therapy, 34(22.8%) and noncompliance, 29(19.5%). The most frequent intervention type was change of dosage/instruction for use, 23(15.4%). Acceptance rate by physicians was 68.4%. Among the interventions that were rated as clinically significant, 46(48.9%) and 25(26.6%) had major and moderate clinical importance respectively. CONCLUSIONS: Involving trained clinical pharmacists in the healthcare team leads to clinically relevant and well accepted optimization of medicine use in a resource limited settings. This approach can likely be generalized to other health care settings in the country to improve medication outcomes.</t>
  </si>
  <si>
    <t>J2: Pharm; Mekonnen, Alemayehu B Yesuf, Elias A Odegard, Peggy S Wega, Sultan S; ID: 143</t>
  </si>
  <si>
    <t>Mekonnen,Alemayehu B. School of Pharmacy, University of Gondar. Gondar (Ethiopia).</t>
  </si>
  <si>
    <t>http://ovidsp.ovid.com/ovidweb.cgi?T=JS&amp;CSC=Y&amp;NEWS=N&amp;PAGE=fulltext&amp;D=prem&amp;AN=24155850</t>
  </si>
  <si>
    <t>MEDLINE; Ovid Technologies; Implementing ward based clinical pharmacy services in an Ethiopian University Hospital</t>
  </si>
  <si>
    <t>Melissa,C. M. Y.;Li,C. L.;Yeng,K. G.;Chee,O. W.;Mui,N. S.;Terk,C. W.;Lina,C.;Author,Addresses;Department of Pharmacy, Singapore General,Hospital Singapore;Department of Renal Medicine, Singapore,General Hospital;Singapore;Correspondence,Address;CMY Melissa, Department of Pharmacy Singapore,General Hospital;Singapore</t>
  </si>
  <si>
    <t>Optimising drug therapy with pharmacistconducted medication review in hemodialysis patients: A collaborative approach</t>
  </si>
  <si>
    <t>American Journal of Kidney Diseases</t>
  </si>
  <si>
    <t>A28</t>
  </si>
  <si>
    <t>drug therapy;hemodialysis patient;human;kidney;non profit organization;clinical decision making;general hospital;health;hemodialysis;hospital;interview;kidney failure;medical record review;medication therapy management;morbidity;observational study;patient;patient care;pharmacist;physician;population;prevalence;risk;Singapore;statistics</t>
  </si>
  <si>
    <t>Introduction: Patients with end-stage renal disease on hemodialysis are at high risk of drug-related problems (DRPs). They usually have multiple co-morbidities which require a cocktail of medications. One strategy is to include a clinical pharmacist in the renal multidisciplinary team to optimize pharmacotherapy and improve patient's care. The objectives of this study were to determine the prevalence of DRPs and pharmacists' interventions in hemodialysis patients. Methods: A retrospective observational study was conducted at Medication Management Clinic by pharmacists from March to November 2011 in Singapore General Hospital. The study population were hemodialysis patients referred by renal physicians for a comprehensive medication review prior to their clinic appointment. The pharmacist collected relevant information using direct interview and medical record review process. A written report with recommendations was submitted to the doctor to aid clinical decision making. Data were analysed using descriptive statistics on patients' demographic, types of DRPs and interventions made. Results: Twenty nine (75%) renal patients visited the pharmacist for a medication review. A total of 388 medications were reviewed and 93 DRPs identified. The top 3 DRPs were non-adherence (33.5%), untreated indication (15.1%) and drug without indication (8.6%). Seven types of interventions by pharmacists were identified mainly were, educational (35.2%), addition of drug (22%), discontinuation of drug (14.7%). Conclusion: At least 3 DRPs were identified per patient reviewed by pharmacists. DRPs in hemodialysis patients have been associated with poor health related outcomes. A collaborated medication management approach between the pharmacist and physician will help to address drug related issues and improve patient care.</t>
  </si>
  <si>
    <t>(Melissa C.M.Y.; Li C.L.; Yeng K.G.; Chee O.W.; Mui N.S.; Terk C.W.) (Lina C.) National Kidney Foundation 2012 Spring Clinical Meetings Washington, DC, United States 2012-05-09 to 2012-05-13 W.B. Saunders; ID: 1174</t>
  </si>
  <si>
    <t>0272-6386</t>
  </si>
  <si>
    <t>Melnyk,P. S.;Shevchuk,Y. M.;Remillard,A. J.</t>
  </si>
  <si>
    <t>Impact of the dial access drug information service on patient outcome</t>
  </si>
  <si>
    <t>Consumer Participation;*Drug Information Services/st Standards];Evaluation Studies as Topic;Health Personnel;Humans;*Outcome Assessment (Health Care);Pharmacists;*Pharmacy Service, Hospital/st Standards];*Quality Assurance, Health Care/st Standards];Quality of Health Care;Saskatchewan;Telephone;Time Factors</t>
  </si>
  <si>
    <t>OBJECTIVE: To determine the impact of a drug information service on patient outcomes. DESIGN: Prospective evaluation of patient-specific drug information requests. SETTING: Healthcare professional and consumer drug information service located at a college of pharmacy. PARTICIPANTS: Consumers and healthcare professionals of the province. INTERVENTION: Patient-specific questions received by the drug information service were reviewed and evaluated for actual patient outcome, inquirers' opinion of impact of the service with respect to patient outcome, and for objectivity and timeliness of the response. An expert panel determined whether the responses and recommendations given by the service were appropriate, determined what impact the service had on the patient, and assessed the seriousness of the inquiry. MAIN OUTCOME MEASURE: Classification of patient outcome by objective and subjective data based on predetermined desired outcomes. RESULTS: Ninety-eight and 68 patient-specific requests were received from healthcare professionals and consumers, respectively. The panel concluded that 94.9% of the healthcare requests and 98.5% of the consumer requests were answered appropriately and that the majority of the requests involved potentially serious drug-related problems. The panel also determined that 46.8% of the recommendations to healthcare professionals and 41.0% of the recommendations to consumers resulted in positive patient outcomes. The majority of the positive outcomes involved the prevention of a disease or its symptoms (professional section) and the reduction or elimination of symptoms (consumer section). CONCLUSIONS: The drug information service not only met its objectives of providing drug information in an accurate, objective, and timely manner, but was also able to provide positive patient outcomes.</t>
  </si>
  <si>
    <t>J2: Ann Pharmacother; Melnyk, P S Shevchuk, Y M Remillard, A J; ID: 552</t>
  </si>
  <si>
    <t>Melnyk,P S. Dial Access Drug Information Service, College of Pharmacy and Nutrition, University of Saskatchewan at Saskatoon, Canada. paul.melnyk@usask.ca</t>
  </si>
  <si>
    <t>http://ovidsp.ovid.com/ovidweb.cgi?T=JS&amp;CSC=Y&amp;NEWS=N&amp;PAGE=fulltext&amp;D=med4&amp;AN=10852084</t>
  </si>
  <si>
    <t>MEDLINE; Ovid Technologies; Impact of the dial access drug information service on patient outcome</t>
  </si>
  <si>
    <t>Menendez,E.;Balisa-Rocha,B.;Jabbur-Lopes,M.;Costa,W.;Nascimento,J. R.;Dosea,M.;Silva,L.;Lyra Junior,D.</t>
  </si>
  <si>
    <t>Using a virtual patient system for the teaching of pharmaceutical care</t>
  </si>
  <si>
    <t>International journal of medical informatics</t>
  </si>
  <si>
    <t>Int.J.Med.Inf.</t>
  </si>
  <si>
    <t>PURPOSE: The communication skills of pharmacists are essential for the identification and reduction of patients drug related problems. Therefore, Pharmacy courses started the process of teaching Pharmaceutical Care to students in order to improve their communication skills. The use of virtual patients (VP) has been a widely used technique in health care courses, but many of the VP tools in Pharmacy field are in English and do not have clinical cases that are common in tropical countries, such as Brazil. The aim of this work is to describe the PharmaVP system, developed with the purpose of training Latin America students in Pharmaceutical Care. The main differential of PharmaVP is the availability in three languages (Portuguese, English and Spanish) and the possibility of clinical case evolution, simulating several visits made by the patient. METHODS: The system was developed according to an incremental and interactive methodology, well suited for conducting multidisciplinary projects. Real clinical cases were collected from a Pharmaceutical Care program and added in PharmaVP to simulate the virtual patients. Then, 31 students of a Pharmacy course were trained and invited to participate of the evaluation study. They used the software and answered adapted instruments that assess the students' acceptance of, use of, learning of, and satisfaction with the system. RESULTS: The results showed that the students found the cases realistic and learned significantly using the software. Another positive point is that the application process of PharmaVP did not consume much time. DISCUSSION: We can conclude that the virtual patient tool contributed to the development of the skills required for the practice of Pharmaceutical Care, but should be used as complementary technique.Copyright ‚î¨‚åê 2015 Elsevier Ireland Ltd. All rights reserved.</t>
  </si>
  <si>
    <t>J2: Int J Med Inf; Menendez, Elisa Balisa-Rocha, Blicie Jabbur-Lopes, Monique Costa, Wanderson Nascimento, Jose Rafael Dosea, Marcos Silva, Leila Lyra Junior, Divaldo S1386-5056(15)30004-6; ID: 771</t>
  </si>
  <si>
    <t>1872-8243</t>
  </si>
  <si>
    <t>Menendez,Elisa. Department of Computing (DCOMP), Federal University of Sergipe, Brazil. Balisa-Rocha,Blicie. Laboratory of Teaching and Research in Social Pharmacy (LEPFS), Faculty of Pharmacy, Federal University of Sergipe, Brazil. Jabbur-Lopes,Monique. Laboratory of Teaching and Research in Social Pharmacy (LEPFS), Faculty of Pharmacy, Federal University of Sergipe, Brazil. Costa,Wanderson. Department of Computing (DCOMP), Federal University of Sergipe, Brazil. Nascimento,Jose Rafael. Department of Computing (DCOMP), Federal University of Sergipe, Brazil. Dosea,Marcos. Department of Computing (DCOMP), Federal University of Sergipe, Brazil. Silva,Leila. Department of Computing (DCOMP), Federal University of Sergipe, Brazil. Electronic address: leila@ufs.br. Lyra Junior,Divaldo. Laboratory of Teaching and Research in Social Pharmacy (LEPFS), Faculty of Pharmacy, Federal University of Sergipe, Brazil.</t>
  </si>
  <si>
    <t>http://ovidsp.ovid.com/ovidweb.cgi?T=JS&amp;CSC=Y&amp;NEWS=N&amp;PAGE=fulltext&amp;D=prem&amp;AN=26077512</t>
  </si>
  <si>
    <t>http://dx.doi.org/10.1016/j.ijmedinf.2015.05.015</t>
  </si>
  <si>
    <t>MEDLINE; Ovid Technologies; Using a virtual patient system for the teaching of pharmaceutical care</t>
  </si>
  <si>
    <t>Mengiardi,S.;Tsakiris,D. A.;Lampert,M. L.;Hersberger,K. E.</t>
  </si>
  <si>
    <t>Drug use problems with self-injected low-molecular-weight heparins in primary care</t>
  </si>
  <si>
    <t>Cross-Sectional Studies;Female;*Heparin, Low-Molecular-Weight/ad Administration &amp; Dosage];Humans;Male;Middle Aged;Outpatients;Patient Compliance;Patient Satisfaction;Primary Health Care;Prospective Studies;Self Administration;Self Care;0 (Heparin, Low-Molecular-Weight)</t>
  </si>
  <si>
    <t>PURPOSE: Outpatient subcutaneous therapies are becoming increasingly common. A literature search failed to find produced any studies on application problems pertaining to the self-injection of low-molecular-weight heparins (LMWH) in a heterogeneous outpatient population under daily-life conditions. We therefore designed a study with the aim of recording drug use problems, patient satisfaction, compliance, problems arising from the injection site (abdomen vs. thigh), and residual drug volumes in pre-filled syringes used in self-injection therapy. METHODS: Patients were recruited in community pharmacies by 95 trained Master's students in pharmacy. Data were collected during recruitment and by means of structured questionnaire-based telephone interviews that were carried out at the beginning and the end of the LMWH treatment. RESULTS: The median age of the 213 patients enrolled in the study was 54 years interquartile range (IQR) 39-70 years]; of these, 15.5% had their injections administered by a third person. The rate of self-reported non-compliance was 17.1%. At least one relevant problem was recorded in 85.0% of the cases. At the end of the treatment, 38.9% of the patients stated self-administration of the injections required some effort. The preferred injection site was the thigh (68.5%). An overall mean residual drug volume &gt; 10.0% was detected for 3.9% of the patients. If residual drug was present, a median of 11.2% (IQR 8.6-17.6%) of the total drug volume had not been injected. Patients injecting into the thigh showed a higher risk of leaving residual medication (odds ratio 2.16, 95% confidence interval 1.04-4.51). CONCLUSIONS: Most patients had drug use problems, whereas no clear factors were associated with non-compliance, the injection site (apart from residual drug), and discomfort or effort required (apart from prior injection use).</t>
  </si>
  <si>
    <t>J2: Eur J Clin Pharmacol; Mengiardi, Seraina Tsakiris, Dimitrios A Lampert, Markus L Hersberger, Kurt E; ID: 269</t>
  </si>
  <si>
    <t>Mengiardi,Seraina. Pharmaceutical Care Research Group, Pharmacenter, University of Basel, Klingelbergstrasse 50, 4056 Basel, Switzerland. seraina.mengiardi@unibas.ch</t>
  </si>
  <si>
    <t>http://ovidsp.ovid.com/ovidweb.cgi?T=JS&amp;CSC=Y&amp;NEWS=N&amp;PAGE=fulltext&amp;D=med5&amp;AN=21107827</t>
  </si>
  <si>
    <t>http://dx.doi.org/10.1007/s00228-010-0956-5</t>
  </si>
  <si>
    <t>MEDLINE; Ovid Technologies; Drug use problems with self-injected low-molecular-weight heparins in primary care</t>
  </si>
  <si>
    <t>Mengiardi,S.;Tsakiris,D. A.;Lampert,M. L.;Hersberger,K. E.;Author,Addresses;Pharmaceutical,Care Research;University,of Basel;Division of Hematology, University Hospital,Basel Basel;Switzerland;Clinical Pharmacy, Canton Hospital,Bruderholz Bruderholz;Switzerland;Correspondence,Address;Mengiardi, Pharmaceutical Care Research Group University of Basel,S.;Switzerland</t>
  </si>
  <si>
    <t>Problems with self-injecting low-molecular-weight Heparins in primary care</t>
  </si>
  <si>
    <t>(MAJOR FOCUS);low molecular weight heparin;dalteparin;enoxaparin;nadroparin;clinical pharmacy;drug use;injection site;outpatient;primary medical care;subcutaneous drug administration;abdomen;community;devices;drug therapy;human;information processing;injection;interview;male;needle;patient;patient satisfaction;pharmacy;pharmacy student;population;prevention;risk;self report;side effect;structured questionnaire;syringe;telephone;therapy;thigh;venous thromboembolism</t>
  </si>
  <si>
    <t>Introduction Outpatient subcutaneous (s.c.) therapies are becoming more and more common in the treatment of different diseases. Low-molecular-weight heparins (LMWH) are frequently used for the prevention and treatment of venous thromboembolism. A literature search failed to find studies on application problems concerning selfinjection of LMWH in a heterogeneous outpatient population under daily life conditions. Thus, we designed this study to record drug use problems, patient satisfaction, compliance, problems arising form the injection site (abdomen vs. thigh) and residual drug volumes in the used pre-filled syringes. Materials &amp; Methods Patient recruitment and data collection were carried out in community pharmacies by 95 skilled, graduating pharmacy students. Data were collected through structured questionnaire- based telephone interviews both at the beginning and at the end of the LMWH treatment. Drug use problems comprised handling difficulties with the injection-device, discomfort, confidence, degree of effort required to inject and experience of side effects. Compliance was assessed based on patient's self-report. The returned sharps collectors allowed investigation of illegitimate recapping, residual drug volume and use of needle guards. Results Median age of the 213 patients was 54 years (range: 18-88); 50.7% were male and 41.8% had previous outpatient s.c. injection therapies. A total of 15.5% had their injections administered by another person. The rate of self-reported non-compliance was 17.1%. At least one relevant problem with self-injecting was recorded in 85.0% (e.g. lack of knowledge concerning injection site or technique, recapping). At the end of treatment, 38.9% of patients stated the injections required them some effort. The preferred injection site was the thigh with 68.5%. We found no differences between those injecting into the abdomen and those into the thigh. The needle caps of Fragmin‚î¨¬´ were rated as significantly easier to remove than those of Clexane‚î¨¬´ and Fraxiparine‚î¨¬´. Of patients using Fraxiparine‚î¨¬´ or Fraxiforte ‚î¨¬´, 31.3% did not use the post-use needle guards. A total of 46.1% of patients had no residual drug in any of their syringes. The overall mean residual drug volume was negligible. However, in 59.8% of the cases where some residual drug was present, an average of Œì√´√ë10% (median: 6.7%; range: 3.7-79.6%) of the total drug volume had not been injected. Patients injecting into the thigh showed a higher risk of leaving residual medication. Discussion &amp; Conclusion Problems encountered in patients with LMWH applications may affect the injection itself or handling of the injection-deviceand have to be evaluated on an individual basis. From the patient's point of view, injections required some effort. Patient support was appreciated, but there is still a need for improvement. Injection-free solutions for patients on chronic LMWH use would be appreciated.</t>
  </si>
  <si>
    <t>(Mengiardi S.; Hersberger K.E.) (Tsakiris D.A.) (Lampert M.L.) 39th ESCP European Symposium on Clinical Pharmacy and 13th SFPC Congress: Clinical Pharmacy at the Front Line of Innovations Lyon, France 2010-10-21 to 2010-10-23 Springer Netherlands; ID: 1296</t>
  </si>
  <si>
    <t>Merlo,L. J.;Cummings,S. M.;Cottler,L. B.</t>
  </si>
  <si>
    <t>NIHMS504914 PMC3756819; Recovering substance-impaired pharmacists' views regarding occupational risks for addiction</t>
  </si>
  <si>
    <t>Adult;Aged;*Attitude of Health Personnel;Behavior, Addictive/et Etiology];Behavior, Addictive/pc Prevention &amp; Control];*Behavior, Addictive/px Psychology];Cross-Sectional Studies;Female;*Health Knowledge, Attitudes, Practice;Humans;Male;Middle Aged;Occupational Diseases/et Etiology];Occupational Diseases/pc Prevention &amp; Control];*Occupational Diseases/px Psychology];*Pharmacists;Prescription Drugs/ae Adverse Effects];Risk Factors;Students, Pharmacy;Substance-Related Disorders/et Etiology];Substance-Related Disorders/pc Prevention &amp; Control];*Substance-Related Disorders/px Psychology];0 (Prescription Drugs)</t>
  </si>
  <si>
    <t>OBJECTIVE: To better understand the occupational risks for substance use disorders among pharmacists and possibilities for improved prevention. DESIGN: Descriptive, nonexperimental, cross-sectional study. SETTING: A southeastern state from December 2008 to April 2009. PARTICIPANTS: 32 participants (72.7% men) from the impaired professionals monitoring groups in the geographic regions within the state that had the greatest number of physicians, pharmacists, and allied health professionals currently under monitoring contracts for substance use disorders. INTERVENTION: Guided group discussions regarding substance use among health care providers. MAIN OUTCOME MEASURES: Persistent occupational risks for development of a substance use disorder among pharmacists. RESULTS: Several occupational hazards unique to the pharmacy profession might contribute to the problem of substance use disorders among some members of this population, including increased access to potent drugs of abuse, a stressful/unpleasant working environment, a culture that unofficially condones medication diversion, lack of education related to addiction, and lack of support for individuals seeking treatment. CONCLUSION: These results have important implications for the education of student pharmacists, the continuing education of licensed pharmacists, and the management of pharmacies in which these individuals work. Given the potential occupational risks for substance abuse associated with the pharmacy profession, additional training, monitoring, changes to the work environment, and increased confidential access to treatment may be needed to safeguard pharmacy professionals and the communities they serve.</t>
  </si>
  <si>
    <t>J2: J Am Pharm Assoc (2003); Merlo, Lisa J Cummings, Simone M Cottler, Linda B R01 DA020791 (United States NIDA NIH HHS) R01-DA20791 (United States NIDA NIH HHS) T32 DA007313 (United States NIDA NIH HHS) T32-DA07313-10 (United States NIDA NIH HHS); ID: 183</t>
  </si>
  <si>
    <t>Merlo,Lisa J. School of Medicine, Washington University, St. Louis, MO, USA. lmerlo@ufl.edu</t>
  </si>
  <si>
    <t>http://ovidsp.ovid.com/ovidweb.cgi?T=JS&amp;CSC=Y&amp;NEWS=N&amp;PAGE=fulltext&amp;D=medl&amp;AN=22825228</t>
  </si>
  <si>
    <t>http://dx.doi.org/10.1331/JAPhA.2012.10214</t>
  </si>
  <si>
    <t>MEDLINE; Ovid Technologies; Recovering substance-impaired pharmacists' views regarding occupational risks for addiction</t>
  </si>
  <si>
    <t>Mesquita,A. M.;de Andrade,A. G.;Anthony,J. C.</t>
  </si>
  <si>
    <t>Use of the inhalant lanca by Brazilian medical students</t>
  </si>
  <si>
    <t>Substance use &amp; misuse</t>
  </si>
  <si>
    <t>Subst.Use Misuse</t>
  </si>
  <si>
    <t>Administration, Inhalation;Adolescent;Adult;*Alcohol Drinking/ep Epidemiology];*Anesthetics, Inhalation;Brazil/ep Epidemiology];Chi-Square Distribution;Confidence Intervals;Female;Health Surveys;Humans;Likelihood Functions;Logistic Models;Male;Marijuana Smoking/ep Epidemiology];Odds Ratio;Risk Factors;*Street Drugs;*Students, Medical/sn Statistics &amp; Numerical Data];*Substance-Related Disorders/ep Epidemiology];0 (Anesthetics, Inhalation);0 (Street Drugs)</t>
  </si>
  <si>
    <t>In a recent epidemiological survey of more than 700 Brazilian medical students, we found new evidence on a previously reported pattern of the "lanca perfume" inhalant drug use. With multiple logistic regression used to hold constant an array of suspected correlates, we found a moderately strong association between the use of marijuana and the use of lanca (adjusted odds ratio, OR = 5.6; p &lt; .01). We also found that lanca is almost never used by students who have never consumed alcoholic beverages. This pattern of associations can be used to guide the planning of programs to reduce the occurrence of illicit use of pharmaceutical compounds by medical students in Brazil.</t>
  </si>
  <si>
    <t>J2: Subst Use Misuse; Mesquita, A M de Andrade, A G Anthony, J C; ID: 583</t>
  </si>
  <si>
    <t>1082-6084</t>
  </si>
  <si>
    <t>Mesquita,A M. Department of Psychiatry and Medical Psychology, Paulista School of Medicine, Federal University of Sao Paulo, SP, Brazil.</t>
  </si>
  <si>
    <t>http://ovidsp.ovid.com/ovidweb.cgi?T=JS&amp;CSC=Y&amp;NEWS=N&amp;PAGE=fulltext&amp;D=med4&amp;AN=9680087</t>
  </si>
  <si>
    <t>MEDLINE; Ovid Technologies; Use of the inhalant lanca by Brazilian medical students</t>
  </si>
  <si>
    <t>Messaadi,N.;Pansu,A.;Cohen,O.;Cottencin,O.</t>
  </si>
  <si>
    <t>Pharmacists' role in the continued care of patients under opiate substitution treatment</t>
  </si>
  <si>
    <t>Therapie</t>
  </si>
  <si>
    <t>*Attitude of Health Personnel;Buprenorphine/ad Administration &amp; Dosage];*Community Pharmacy Services/og Organization &amp; Administration];Cross-Sectional Studies;Dose-Response Relationship, Drug;France;General Practitioners/og Organization &amp; Administration];Humans;Interprofessional Relations;Methadone/ad Administration &amp; Dosage];*Opiate Substitution Treatment/mt Methods];Patient Education as Topic/mt Methods];*Pharmacists/og Organization &amp; Administration];Professional Role;Surveys and Questionnaires;40D3SCR4GZ (Buprenorphine);UC6VBE7V1Z (Methadone)</t>
  </si>
  <si>
    <t>CONTEXT: In France, over 170 000 persons benefit from opiate substitution treatment. The treatment delivery is most often assured by community pharmacies spread out throughout the territory. The aim of this study is to better know the continued care of individuals treated by methadone or high-dose buprenorphine in community pharmacies in Lille (North of France). METHOD: This was a cross-sectional descriptive study with hand-delivered questionnaires. All pharmacies (n=65) in Lille were included. RESULTS: Fifty-eight of pharmacies (89%) responded to the survey and 55 of them (95%) followed patients treated by opiate substitution treatment. Addiction was considered as an illness by 53 of pharmacists (91%). Confidential discussions could only be conducted at one of every two treatment delivery work station. CONCLUSION: Pharmacists are active in the continued care of individuals treated by opiate substitution treatment. They have a privileged relationship with the general practitioner. A rearrangement of pharmacies' premises could foster the development of therapeutic patient education within the pharmacy.Copyright ‚î¨‚åê 2013 Societe Francaise de Pharmacologie et de Therapeutique.</t>
  </si>
  <si>
    <t>J2: Therapie; Messaadi, Nassir Pansu, Aymeric Cohen, Olivier Cottencin, Olivier; ID: 102</t>
  </si>
  <si>
    <t>0040-5957</t>
  </si>
  <si>
    <t>Messaadi,Nassir. Departement de Medecine generale, Faculte Henri Warembourg, Universite Lille Nord de France, Lille, France. Pansu,Aymeric. Maison medicale Moulins, Lille, France. Cohen,Olivier. Pharmacien, Lille, France. Cottencin,Olivier. Addictologie, Centre Hospitalier Universitaire de Lille, Lille, France.</t>
  </si>
  <si>
    <t>http://ovidsp.ovid.com/ovidweb.cgi?T=JS&amp;CSC=Y&amp;NEWS=N&amp;PAGE=fulltext&amp;D=medl&amp;AN=24246120</t>
  </si>
  <si>
    <t>http://dx.doi.org/10.2515/therapie/2013059</t>
  </si>
  <si>
    <t>MEDLINE; Ovid Technologies; Pharmacists' role in the continued care of patients under opiate substitution treatment</t>
  </si>
  <si>
    <t>Messerli,M.;De Pretto,D.;Hersberger,K. E.;Author,Addresses;Dept. Pharmaceutical,Sciences;University Basel, Pharmaceutical Care Research Group,Basel Switzerland;Correspondence,Address;Messerli, Dept Pharmaceutical Sciences University Basel Pharmaceutical,M.;Care,Research Group</t>
  </si>
  <si>
    <t>Polymedication check-first experiences with a new reimbursed cognitive service</t>
  </si>
  <si>
    <t>clinical pharmacy;community;counseling;female;hospital;human;information processing;patient;pharmaceutical care;pharmacist;pharmacy;physician;pill;pilot study;screening;student;Switzerland;teleconsultation;university</t>
  </si>
  <si>
    <t>Introduction Swiss community pharmacies can offer a 'Polymedication Check' (PMC) to patients on Œì√´√ë4 prescribed drugs taken over Œì√´√ë3 months. The check is focused on adherence problems, drug related problems (DRP) and the need for supply of prescribed drugs filled into a weekly pill organizer (WPO). This descriptive pilot study aimed at collecting first data shortly after implementation in order to design a comprehensive evaluation across Switzerland. Materials &amp; Methods Pharmacies offering internships for pharmacy master students from the University of Basel provided copies of official PMC-protocols, patient's drug-history and data from a short telephone interview for standardized data collection. Additionally all documents were screened for missed counselling opportunities by two independent experts. Results Of 58 dossiers handed in, 53 were eligible, 3 were insufficient, and 2 PMC were done in a hospital setting. Mean age of patients was 72 (‚î¨‚ñí10.4) years, 64.2% were women. Patients were on 9.4 (‚î¨‚ñí3.3) different drugs. Pharmacists recommended in 73.6% (n = 39) a WPO to be filled either by the patient himself or by the pharmacist as a continuous service. Out of them, 18 (46.2%) were already using a WPO and 10 25.6%] newly started to use a WPO. In total, 106 counselling issues were addressed (2.0 per PMC) and in 16 cases 30.2%] pharmacists performed further investigations or contacted the physician. Post-hoc screening by experts revealed in 23 cases (43.4%) 1-2 missed opportunities for further counselling and in 13 cases even Œì√´√ë3 were not addressed. Discussions, Conclusion Pharmacists mainly followed the primary intention of a PMC to screen for patients in need of a WPO, which frequently was in use already. Further investigation should focus on the need for more training with respect to different pharmaceutical care issues and explore acceptance and impact of WPO filled by pharmacists.</t>
  </si>
  <si>
    <t>(Messerli M.; De Pretto D.; Hersberger K.E.) ESCP 40th International Symposium on Clinical Pharmacy. Clinical Pharmacy: Connecting Care and Outcomes Dublin, Ireland 2011-10-19 to 2011-10-21 Springer Netherlands; ID: 1197</t>
  </si>
  <si>
    <t>Messersmith,L. J.;Adjei,R.;Beard,J.;Agyarko-Poku,T.;Wondergem,P.;Falconer,A.;Sabin,L.;Adu-Sarkodie,Y.</t>
  </si>
  <si>
    <t>Drug use and sexual behavior: the multiple HIV vulnerabilities of men and women who inject drugs in Kumasi, Ghana</t>
  </si>
  <si>
    <t>Journal of Acquired Immune Deficiency Syndromes: JAIDS</t>
  </si>
  <si>
    <t>68 Suppl 2</t>
  </si>
  <si>
    <t>S124</t>
  </si>
  <si>
    <t>Adolescent;Adult;Condoms;Female;Ghana/ep Epidemiology];*HIV Infections/ep Epidemiology];HIV Infections/pc Prevention &amp; Control];Health Knowledge, Attitudes, Practice;Humans;Male;Middle Aged;Needle Sharing;Prevalence;Risk Factors;*Sexual Behavior;*Substance Abuse, Intravenous;Young Adult</t>
  </si>
  <si>
    <t>BACKGROUND: Recent evidence suggests that injecting drug use presents a new challenge to HIV prevention in West Africa. Very little is known about the HIV vulnerability of people who inject drugs (PWID) in Ghana, and no HIV prevention efforts are currently targeting PWID. METHODS: Purposive sampling was used to recruit 30 (20 men and 10 women) PWID to participate in in-depth interviews in Kumasi, Ghana. Transcripts were coded and analyzed by theme. RESULTS: Half the men and more than half the women in this study reported sharing needles/syringes (N/S); most shared a common mixing container; and all said they shared N/S with intimate partners. Some PWID who said that they do not share N/S with other PWID, also said they routinely use N/S that they find on the ground at injecting sites or in the hospital dumpster. Nearly, all the women (9/10) and more than half the men (12/20) were currently sexually active; most had more than 1 partner in the last 6 months, but very few reported condom use. Three women said they exchanged sex for money and 3 men reported buying sex in the last year. Several PWID had no knowledge of HIV transmission through injecting. CONCLUSIONS: PWID in Kumasi are highly vulnerable to HIV because of N/S sharing and reuse, lack of condom use, low knowledge of HIV transmission, and lack of services. Program and policy recommendations include N/S and condom distribution, peer education, opioid substitution therapy, and training of health providers, police, and pharmacy staff.</t>
  </si>
  <si>
    <t>J2: J Acquir Immune Defic Syndr; Messersmith, Lisa J Adjei, Rose Beard, Jennifer Agyarko-Poku, Thomas Wondergem, Peter Falconer, Ariel Sabin, Lora Adu-Sarkodie, Yaw; ID: 49</t>
  </si>
  <si>
    <t>1944-7884</t>
  </si>
  <si>
    <t>Messersmith,Lisa J. *Department of Global Health, Boston University School of Public Health, Boston, MA; +Center for Global Health and Development, Boston University, Boston, MA; ++School of Medical Sciences, Kwame Nkrumah University of Science and Technology, Kumasi, Ghana; Ghana Health Service, Kumasi, Ghana; and ||USAID/Cameroon, Yaounde, Cameroon.</t>
  </si>
  <si>
    <t>http://ovidsp.ovid.com/ovidweb.cgi?T=JS&amp;CSC=Y&amp;NEWS=N&amp;PAGE=fulltext&amp;D=medl&amp;AN=25723976</t>
  </si>
  <si>
    <t>http://dx.doi.org/10.1097/QAI.0000000000000445</t>
  </si>
  <si>
    <t>MEDLINE; Ovid Technologies; Drug use and sexual behavior: the multiple HIV vulnerabilities of men and women who inject drugs in Kumasi, Ghana</t>
  </si>
  <si>
    <t>Metowogo,K.;Eklu-Gadegbeku,K.;Agbonon,A.;Aklikokou,K. A.;Gbeassor,M.;Author,Addresses;Medicinal Plants,Research Center;Science,University of Loma Togo;Correspondence,Address;Metowogo, Medicinal Plants Research Center Faculty of Science,K.;University of Loma, Togo Email kossi metowogo,gmail com</t>
  </si>
  <si>
    <t>Gastroprotective effect of hydroalcoholic extract of aloe buettneri</t>
  </si>
  <si>
    <t>(MAJOR FOCUS);alcohol;Aloe buettneri extract (drug therapy, oral drug administration,;pharmacology);plant extract (pharmacology);arginine (drug therapy, intravenous drug administration);indometacin (drug therapy, intraperitoneal drug administration);lansoprazole (drug therapy);n(g) nitroarginine methyl ester (drug therapy, intravenous drug;administration);unclassified drug;Aloe;Aloe buettneri;medicinal plant;stomach protection;stomach ulcer (drug therapy, drug therapy, prevention);animal experiment;article;body weight;controlled study;diet restriction;drug efficacy;drug inhibition;female;male;nonhuman;rat;stomach;stomach mucus;stomach pH;alcohol (64-17-5);arginine (1119-34-2, 15595-35-4, 7004-12-8, 74-79-3);indometacin (53-86-1, 74252-25-8, 7681-54-1);lansoprazole (103577-45-3, 138530-94-6, 138530-95-7);n(g) nitroarginine methyl ester (50903-99-6);Clinical and Experimental Pharmacology (30);Drug Literature Index (37);Gastroenterology (48)</t>
  </si>
  <si>
    <t>Aloe buettneri A. Berger is commonly used in traditional Togolese medicine to treat inflammatory and gastric ulcers. The present study examined the gastro-protection effect of the hydro-alcoholic extract of A. buettneri on mucus production and gastric pH. A gastric ulcer is induced by ethanol 95‚î¨‚ñë alone (1 mL/kg body weight), after pre-treatment with indomethacin (300 mg/kg) or by utilising L-NAME (40 mg/kg IV). In addition gastric mucus was removed by scraping and subsequently weighed. The experiment focused entirely on rats that had been subjected to fasting. The hydro-alcoholic extract of A. buettneri (500 mg/kg) significantly inhibited ulcers that were induced by ethanol, indomethacin or L-NAME pre-treatment. A. buettneri was shown to increase the production of gastric mucus. Furthermore L-arginine significantly decreased the size of the induced ulcers. The results achieved in the study carried out suggest that A. buettneri posses gastro-protective properties. ‚î¨‚åê 2011 by School of Pharmacy.</t>
  </si>
  <si>
    <t>(Metowogo K., kossi.metowogo@gmail.com; Eklu-Gadegbeku K.; Agbonon A.; Aklikokou K.A.; Gbeassor M.) Iranian Journal of Pharmaceutical Research, P.O. Box 14155-6153, Vali-e-Asr Avenue, Niayesh Junction, Tehran, Iran.; ID: 1267</t>
  </si>
  <si>
    <t>Metrik,Jane;Kahler,Christopher W.;McGeary,John E.;Monti,Peter M.;Rohsenow,Damaris J.</t>
  </si>
  <si>
    <t>Acute effects of marijuana smoking on negative and positive affect</t>
  </si>
  <si>
    <t>Journal of Cognitive Psychotherapy</t>
  </si>
  <si>
    <t>46 16p</t>
  </si>
  <si>
    <t>Affect -- Drug Effects;Cannabis;Smoking -- Psychosocial Factors;Adolescence;Adult;Analysis of Covariance;Analysis of Variance;Arousal -- Physiology;Carbon Monoxide -- Analysis;Checklists;Chi Square Test;Clinical Trials;Descriptive Statistics;Female;Funding Source;Heart Rate -- Physiology;Human;Interview Guides;Male;Multiple Regression;Psychological Tests;Questionnaires;Repeated Measures;Scales;Self Report</t>
  </si>
  <si>
    <t>Human studies and animal experiments present a complex and often contradictory picture of the acute impact of marijuana on emotions. The few human studies specifically examining changes in negative affect find either increases or reductions following delta-9-tetrahydrocannabinol (THC) administration. In a 2 3 2, instructional set (told THC vs. told no THC) by drug administration (smoked marijuana with 2.8% THC vs. placebo) between-subjects design, we examined the pharmacologic effect of marijuana on physiological and subjective stimulation, subjective intoxication, and self-reported negative and positive affect with 114 weekly marijuana smokers. Individuals were first tested under a baseline/no smoking condition and again under experimental condition. Relative to placebo, THC significantly increased arousal and confusion/bewilderment. However, the direction of effect on anxiety varied depending on instructional set: Anxiety increased after THC for those told placebo but decreased among other participants. Furthermore, marijuana users who expected more impairment from marijuana displayed more anxiety after smoking active marijuana, whereas those who did not expect the impairment became less anxious after marijuana. Both pharmacologic and stimulus expectancy main effects significantly increased positive affect. Frequent marijuana users were less anxious after smoking as compared to less frequent smokers. These findings show that expectancy instructions and pharmacology play independent roles in effects of marijuana on negative affect. Further studies examining how other individual difference factors impact marijuana's effects on mood are needed.</t>
  </si>
  <si>
    <t>Entry Date: 20110422. Revision Date: 20150818. Publication Type: Journal Article; clinical trial; research; tables/charts. Journal Subset: Biomedical; Double Blind Peer Reviewed; Peer Reviewed; USA. Special Interest: Psychiatry/Psychology. Instrumentation: Profile of Mood States (POMS); Marijuana Effect Expectancy Questionnaire (MEEQ) (Schafer and Brown); Time-Line Follow-Back (TLFB) (Dennis et al); Marijuana History and Smoking Questionnaire (Metrik et al); Structured Clinical Interview for DSM-IV Nonpatient Edition (SCID-IV) (First et al); ARCI-Marijuana Scale (ARCI) (Chait et al); Marijuana Withdrawal Checklist. Grant Information: Supported by a grant R01 DA021403 from the National Institute on Drug Abuse, a Research Career Development Award from the Medical Research Service of the Department of Veteran Affairs, and Senior Research Career Scientist awards. NLM UID: 8806397.; ID: 1806</t>
  </si>
  <si>
    <t>0889-8391</t>
  </si>
  <si>
    <t>Center for Alcohol and Addiction Studies, Brown University, Providence VA Medical Center</t>
  </si>
  <si>
    <t>http://proxy.lib.umich.edu/login?url=http://search.ebscohost.com/login.aspx?direct=true&amp;db=ccm&amp;AN=104824940&amp;site=ehost-live&amp;scope=site</t>
  </si>
  <si>
    <t>10.1891/0889-8391.25.1.31</t>
  </si>
  <si>
    <t>ccm; EBSCOhost; Acute effects of marijuana smoking on negative and positive affect</t>
  </si>
  <si>
    <t>Mezei,Janos</t>
  </si>
  <si>
    <t>Computer-Assisted Instruction; How to Solve Drug Formulation Problems</t>
  </si>
  <si>
    <t>Higher Education;Instructional Effectiveness;(Major): Computer Assisted Instruction;Courseware;Pharmaceutical Education;Pharmacology;Problem Solving;Simulation</t>
  </si>
  <si>
    <t>Computer simulation of drug formulation problems involves a database of pharmacological properties, chemical stability, and compatibility data on 20 active ingredients, physiological factors and requirements for parenteral solutions, and additives. The user gathers data from the database, formulates a stable and effective solution, and the drug is evaluated by the instructor. (Author/MSE)</t>
  </si>
  <si>
    <t>Connect to the Mirlyn catalog at the University of Michigan Article (EJ); ID: 2080</t>
  </si>
  <si>
    <t>EJ408829</t>
  </si>
  <si>
    <t>ERIC; OCLC; Computer-Assisted Instruction; How to Solve Drug Formulation Problems</t>
  </si>
  <si>
    <t>Middleton,M.;Sarno,M.;Agarwala,S. S.;Glaspy,J.;Laurent,A.;McMasters,K.;Naredi,P.;O'Day,S.;Whitman,E.;Danson,S.;Cosford,R.;Gehlsen,K.;Author,Addresses;Christie Hospital,Manchester,United Kingdom;Vision Biotechnology Consulting, Encinitas,C.A.United States;University of Pittsburgh,Cancer Institute;United,States;University of California, Los Angeles,C.A.United States;Ppd Development,Austin,T.X.United States;University of Louisville, Louisville,K.Y.United States;Ume‚îú√ë,University Hospital;John Wayne Cancer Center, Santa Monica,C.A.United States;Melanoma Center of St Louis, St Louis,M.O.United States;Maxim Pharmaceuticals,San,Diego C.;States;Maxim Pharmaceuticals, Inc University Center,Lane San;Diego,C. A. U.;Correspondence,Address;Gehlsen, Maxim Pharmaceuticals Inc University Center Lane San,K.;Diego,C. A. U.</t>
  </si>
  <si>
    <t>12092744; Pharmacokinetics of histamine dihydrochloride in healthy volunteers and cancer patients: Implications for combined immunotherapy with interleukin-2</t>
  </si>
  <si>
    <t>(MAJOR FOCUS);histamine (adverse drug reaction, clinical trial, drug administration, drug;combination, drug comparison, drug concentration, drug dose, drug;interaction, drug therapy, pharmacokinetics, pharmacology, subcutaneous drug;administration);interleukin 2 (clinical trial, drug administration, drug combination, drug;comparison, drug dose, drug interaction, drug therapy, subcutaneous drug;cancer immunotherapy;kidney carcinoma (drug therapy);melanoma (drug therapy);area under the curve;article;blood pressure;cancer patient;clinical article;clinical trial;controlled clinical trial;controlled study;drug efficacy;drug half life;drug induced disease (side effect);drug safety;headache (side effect);heart rate;human;phase 2 clinical trial;phase 3 clinical trial;vasodilatation;DRUG TRADE NAMES;ceplene;histamine (51-45-6, 56-92-8, 93443-21-1);interleukin 2 (85898-30-2);Cancer (16);Immunology, Serology and Transplantation (26);Clinical and Experimental Pharmacology (30);Drug Literature Index (37);Adverse Reactions Titles (38)</t>
  </si>
  <si>
    <t>Recent clinical trials in melanoma and leukemia have demonstrated potential for increased survival time and improved remission when histamine dihydrochloride is added to cytokine monotherapy. In the present study, the pharmacokinetics of subcutaneous histamine (1 mg) in 21 healthy subjects and 12 melanoma patients was determined via model-dependent methods. Drug-drug interactions with subcutaneous interleukin-2 (1.1 mg) were evaluated in a combined cohort of patients with melanoma (n = 8) or renal cell carcinoma (n = 4), Histamine dihydrochloride administered over 10 minutes in healthy subjects peaked at 18 minutes (C(max) 38 nmol/L), attained a distribution volume of 59 L, and was eliminated at 6%/min. The results were similar in a 20-minute infusion in melanoma patients. No gender effects were observed (p &gt; 0.05). Interleukin-2 injected either 10 minutes prior to or 10 minutes following histamine dihydrochloride had no effect on histamine kinetics. Histamine dihydrochloride administered 10 minutes prior to injection of interleukin-2 also had no effect on interleukin-2 kinetics. Maximal concentration of interleukin-2 (2,442 pg/ml) occurred at 2.5 hours with an elimination half-life of 1.7 hours, area under the curve (AUC) of 15,746 pg‚î¨‚ïñh/ml, and volume of distribution and plasma clearance of 194 L and 74 L/h, respectively. However, interleukin-2 C(max) (1,758 pg/ml) and AUC (12,448 pg‚î¨‚ïñh/ml) were reduced when histamine dihydrochloride was infused 10 minutes following interleukin-2, likely due to the pharmacodynamic effects of histamine, including increased heart rate and reduced blood pressure. It is concluded that histamine dihydrochloride and interleukin-2 can be safely coadministered with minimal interaction. ‚î¨‚åê 2002 the American College of Clinical Pharmacology.</t>
  </si>
  <si>
    <t>(Middleton M.; Danson S.) (Sarno M.) (Agarwala S.S.) (Glaspy J.) (Laurent A.) (McMasters K.) (Naredi P.) (O'Day S.) (Whitman E.) (Cosford R.; Gehlsen K.) (Gehlsen K.) SAGE Publications Inc., 2455 Teller Road, Thousand Oaks, United States.; ID: 1607</t>
  </si>
  <si>
    <t>http://www.ncbi.nlm.nih.gov/pubmed/12092744</t>
  </si>
  <si>
    <t>Pharmacokinetics of histamine dihydrochloride in healthy volunteers and cancer patients: Implications for combined immunotherapy with interleukin-2</t>
  </si>
  <si>
    <t>Midlov,P.;Bondesson,A.;Eriksson,T.;Petersson,J.;Minthon,L.;Hoglund,P.</t>
  </si>
  <si>
    <t>Descriptive study and pharmacotherapeutic intervention in patients with epilepsy or Parkinson's disease at nursing homes in southern Sweden</t>
  </si>
  <si>
    <t>Activities of Daily Living;Adult;Aged;Aged, 80 and over;*Epilepsy/dt Drug Therapy];Epilepsy/px Psychology];Female;Humans;Male;Middle Aged;Nursing Homes;*Parkinson Disease/dt Drug Therapy];Parkinson Disease/px Psychology];Quality of Life;Sweden</t>
  </si>
  <si>
    <t>OBJECTIVES: To describe the drug use in epilepsy and Parkinson's patients living in nursing homes and to evaluate the impact of multi-speciality team intervention on health-related quality of life, activities of daily living (ADL) and confusion state. METHODS: Nursing home residents with epilepsy or Parkinson's disease in the county of Skane in Sweden were identified. From 119 nursing homes, 262 patients were identified. After obtaining informed consent, 157 patients from 48 nursing homes were included. Of these patients 74 were diagnosed with epilepsy and 84 with Parkinson's disease (one patient had both diagnoses). The average age of the epilepsy patients was 79 years and of the Parkinson's patients 81 years. Pharmacists documented the patients' drug use and any drug-related problems after communication with nursing-home residents, their contact persons at the nursing home and the residents' physicians. A multi-speciality group consisting of pharmacists, a primary care physician, a neurologist, a neuro-psychiatrist and a clinical pharmacologist evaluated the patients' medication and, when appropriate, suggested changes. Lists of each resident's medications were collected together with information about drug-related problems. The use of drugs deemed inappropriate for geriatric nursing-home residents according to Beer's criteria was documented. Health-related quality of life was evaluated using a generic health-related quality of life instrument, SF-36. Confusion state was measured using the Behaviour Pathology in Alzheimer's Disease Rating Scale (Behave-AD), and ability to perform ADL was assessed using the Schwab and England capacity for daily living scale. All measurements were repeated after approximately 6 months. During that period, for the group randomised to active intervention, the physicians involved in the care of the patients had received the recommendations for changes in drug treatment from the multi-speciality group. RESULTS: Epilepsy patients at nursing homes used on average 8.0 drugs for continuous use whereas Parkinson's patients used 8.6 drugs. According to Beer's criteria about 40% of both patient groups used drugs that are classified as inappropriate to geriatric nursing-home patients. Dopamine receptor-blocking psychotropic drugs were used by 29% of the Parkinson's patients. Indication for a patient's total drug treatment was not documented for 50% of epilepsy and 40% of Parkinson's patients. There were no significant differences between the active and control groups in changes in SF-36, Behave-AD or ADL for epilepsy patients. For Parkinson's patients there was a significant decrease in ADL for the active group, whereas there were no differences in SF-36 or Behave-AD. CONCLUSION: Nursing-home residents with epilepsy or Parkinson's disease use many drugs and often drugs that are classified as inappropriate. A simple problem-oriented questionnaire may be helpful in identifying specific drug-related problems in geriatric patients with common neurological diseases. Methods on how to improve the pharmacotherapy of these patients still have to be developed.</t>
  </si>
  <si>
    <t>J2: Eur J Clin Pharmacol; Midlov, Patrik Bondesson, Asa Eriksson, Tommy Petersson, Jesper Minthon, Lennart Hoglund, Peter; ID: 519</t>
  </si>
  <si>
    <t>Midlov,Patrik. Department of Clinical Pharmacology, Lund University Hospital, Sweden.</t>
  </si>
  <si>
    <t>http://ovidsp.ovid.com/ovidweb.cgi?T=JS&amp;CSC=Y&amp;NEWS=N&amp;PAGE=fulltext&amp;D=med4&amp;AN=11936711</t>
  </si>
  <si>
    <t>MEDLINE; Ovid Technologies; Descriptive study and pharmacotherapeutic intervention in patients with epilepsy or Parkinson's disease at nursing homes in southern Sweden</t>
  </si>
  <si>
    <t>Miederhoff,P. A.;Lyng,S.;Author,Addresses;Department,of Sociology;University,Richmond V. A.;Correspondence,Address;Department of Sociology, Virginia Commonwealth University,Richmond V.</t>
  </si>
  <si>
    <t>Evaluation of substance abuse education courses in colleges of pharmacy</t>
  </si>
  <si>
    <t>Research Communications in Substances of Abuse</t>
  </si>
  <si>
    <t>curriculum;drug abuse;education;adult;article;human;normal human;Drug Dependence, Alcohol Abuse and Alcoholism (40)</t>
  </si>
  <si>
    <t>(Miederhoff P.A.; Lyng S.); ID: 1729</t>
  </si>
  <si>
    <t>0193-0818</t>
  </si>
  <si>
    <t>Miller,Christina Jarvis</t>
  </si>
  <si>
    <t>A Comparison of Alcohol and Illicit Drug Use between Pharmacy Students and the General College Population</t>
  </si>
  <si>
    <t>College Students;Comparative Analysis;Drug Use;Higher Education;Substance Abuse;(Major): Drinking;Drug Abuse;Incidence;Pharmaceutical Education;Student Attitudes</t>
  </si>
  <si>
    <t>A study of substance use and abuse habits and attitudes of pharmacy students in eight institutions found substances used, in descending order of frequency, were alcohol, marijuana, amphetamines, and then all other drugs. Except for tranquilizers and heroin, all substances were used less by pharmacy students than by other students. (Author/MSE)</t>
  </si>
  <si>
    <t>Connect to the Mirlyn catalog at the University of Michigan Article (EJ); ID: 2079</t>
  </si>
  <si>
    <t>EJ408828</t>
  </si>
  <si>
    <t>ERIC; OCLC; A Comparison of Alcohol and Illicit Drug Use between Pharmacy Students and the General College Population</t>
  </si>
  <si>
    <t>Miller,K. O.</t>
  </si>
  <si>
    <t>Pharmacist involvement in an endocrinology clinic</t>
  </si>
  <si>
    <t>*Endocrine System Diseases/dt Drug Therapy];Humans;*Outpatient Clinics, Hospital/og Organization &amp; Administration];Patient Education as Topic;*Pharmacists/ut Utilization];Pharmacy Service, Hospital;South Carolina</t>
  </si>
  <si>
    <t>The patient-care activities of pharmacists involved in the operation of an endocrinology clinic are described. During the patient's initial clinic visit, the pharmacist completes a medication profile by interviewing the patients and reviewing each patient's medication. The clinic also serves as a teaching laboratory. Pharmacy students gain experience interviewing, obtaining medication profiles, evaluating drug-related problems, and conveying their findings to the physician. The pharmacists' activities include: (1) explaining the prescribed medication to the patients on a one-to-one basis, (2) discussing the importance of compliance with the family members who motivate and reinforce positive behavior, (3) fostering relationships with the patients, physicians, and other patient-care personnel, and (4) helping the patients obtain medications that are not commonly found in community pharmacies. Pharmacist involvement in an endocrinology clinic can be an effective means of ensuring patient compliance and enhancing interdisciplinary participation, and it can serve as a clinical learning experience for pharmacy students.</t>
  </si>
  <si>
    <t>J2: Am J Hosp Pharm; Miller, K O; ID: 715</t>
  </si>
  <si>
    <t>http://ovidsp.ovid.com/ovidweb.cgi?T=JS&amp;CSC=Y&amp;NEWS=N&amp;PAGE=fulltext&amp;D=med2&amp;AN=7304625</t>
  </si>
  <si>
    <t>MEDLINE; Ovid Technologies; Pharmacist involvement in an endocrinology clinic</t>
  </si>
  <si>
    <t>Miller,R. L.;Hyatt,J.;Author,Addresses;Suny at Buffalo, Veterans Affairs Western,New York;Healtcare System,United States;Correspondence,Address;RL Miller, Suny at Buffalo Veterans Affairs Western New,York Healtcare;System,United States</t>
  </si>
  <si>
    <t>Treatment compliance in OEF/OIF veterans with PTSD treated at the PTSD medication management clinic at the vawny healthcare system</t>
  </si>
  <si>
    <t>college;health care system;hospital;human;medication therapy management;patient compliance;pharmacist;posttraumatic stress disorder;veteran;alcohol consumption;buffalo;classification;dependent variable;diagnosis;drug therapy;employment;government;homelessness;independent variable;information processing;marriage;medical record review;mental health;patient;risk factor;school;stimulus;substance abuse;therapy;traumatic brain injury;tree;United States;vocational guidance</t>
  </si>
  <si>
    <t>Type: Work in Progress. Background: Half of Operation Enduring Freedom (OEF) and Operation Iraqi Freedom (OIF) Veterans with mental health problems receive a diagnosis of Post-Traumatic Stress Disorder (PTSD). Symptoms include reexperiencing the event, avoidance of stimuli, and hyperarousal. Many Veterans fail to adhere to medication treatment and the reasons are unclear. Objectives: The objective of this study is to determine risk factors for treatment non-compliance in OEF/OIF Veterans with Post-Traumatic Stress Disorder (PTSD) being treated at the PTSD Medication Management Clinic at Veterans Administration Western New York Healthcare System in Buffalo, NY. Methods: This IRB approved study is a retrospective cohort chart review of Veterans with PTSD treated in the PTSD Medication Management Clinic for at least two months between January 2010 and June 2012. A chart review is being done to identify patients compliant with therapy, the dependent variable, defined as keeping at least 75% of appointments. The noncompliant group consists of patients treated in the clinic for at least 2 months who kept less than 75% of their appointments. The chart review will identify independent variables including the number of medications prescribed in the first 30 days of treatment as well as the type of medications prescribed. Other patient factors being identified include: age, sex, number of scheduled appointments in the first 2 months of treatment, alcohol use, substance abuse, presence of traumatic brain injury, homelessness, marital status, employment, enrollment in school, and professional counseling. CART (Classification and Regression Tree) analysis will be used to look for relationships between the dependent and independent variables with significance accepted at p&lt;0.05. Outcomes: The cohorts have been identified and data collection is underway with results pending.</t>
  </si>
  <si>
    <t>(Miller R.L.; Hyatt J.) 16th Annual Meeting of the College of Psychiatric and Neurologic Pharmacists, CPNP 2013 Colorado Springs, CO, United States 2013-04-21 to 2013-04-24 SAGE Publications Inc.; ID: 1031</t>
  </si>
  <si>
    <t>Millman,R. B.</t>
  </si>
  <si>
    <t>Considerations on the psychotherapy of the substance abuser</t>
  </si>
  <si>
    <t>Adult;Alcoholics Anonymous;Alcoholism/th Therapy];Anxiety/co Complications];Cocaine;Female;Humans;Male;Methadone/tu Therapeutic Use];Middle Aged;Opioid-Related Disorders/rh Rehabilitation];Physician-Patient Relations;*Psychotherapy;Smoking;*Substance-Related Disorders/th Therapy];I5Y540LHVR (Cocaine);UC6VBE7V1Z (Methadone)</t>
  </si>
  <si>
    <t>Psychotherapy is an important treatment option for many substance abuse patients. There are some similarities but important differences in psychotherapeutic procedures with substance abusers as compared to other psychiatric patients. The primary goal of the treatment process must be abstinence; resolution of psychological conflicts is not a necessary condition for the achievement or maintenance of abstinence. The initial treatment phase including development of a therapeutic alliance often requires the therapist to take an active educational and conforntative role. The pharmacology and patterns of abuse of the drugs should be well understood. Twelve-step programs such as Alcoholic Anonymous (AA) are a valuable component of the treatment process; psychotherapists must be sensitive to the ethos and procedures of these programs.</t>
  </si>
  <si>
    <t>J2: J Subst Abuse Treat; Millman, R B; ID: 697</t>
  </si>
  <si>
    <t>http://ovidsp.ovid.com/ovidweb.cgi?T=JS&amp;CSC=Y&amp;NEWS=N&amp;PAGE=fulltext&amp;D=med2&amp;AN=3761406</t>
  </si>
  <si>
    <t>MEDLINE; Ovid Technologies; Considerations on the psychotherapy of the substance abuser</t>
  </si>
  <si>
    <t>Mills,Kenneth V.</t>
  </si>
  <si>
    <t>Biochemistry in an Undergraduate Writing-Intensive First-Year Program: Seminar Courses in Drugs and Bioethics</t>
  </si>
  <si>
    <t>Biochemistry and Molecular Biology Education</t>
  </si>
  <si>
    <t>Undergraduate Students;Biochemistry;Seminars;Pharmaceutical Education;Drug Abuse;Botany;Legislation;Religious Factors;Drug Therapy;Costs;Ethics;Case Studies;Birth;Informed Consent;Privacy;Genetics;Student Centered Curriculum;Cooperative Learning;Dormitories;Identifier: Massachusetts</t>
  </si>
  <si>
    <t>The College of the Holy Cross offers a universal first-year program called Montserrat, in which first-year students participate in a living-learning experience anchored by a yearlong seminar course. The seminar courses are part of a thematic cluster of four to eight courses; students in the cluster live together in a common dormitory and participate in shared co-curricular events designed to engage the entire cluster in intellectual discourse related to the theme. A two-semester seminar within the "Natural World" cluster was offered using biochemical principles as the underlying content. In the first semester, students were introduced to drug design, activity and abuse via student presentations and guided readings on ethnobotany, drug laws, drug use in religion, and prescription drug costs. In the second semester, students discussed primary readings in ethics followed by case study analyses of assisted reproduction technologies, informed consent, genetic privacy, performance enhancing drugs and genetically modified organisms. Student learning outcomes were evaluated via rubrics and a College-facilitated survey.</t>
  </si>
  <si>
    <t>FirstSearch indicates your institution subscribes to this publication. Libraries worldwide that own item: 701 University of Michigan Library Search the Mirlyn catalog at the University of MichiganLocal Holdings Information: 28-; 2000- 10 pages Associated Inst: National Science Foundation (NSF); Education Level: Higher Education; Postsecondary Education Article (EJ); ID: 2108</t>
  </si>
  <si>
    <t>1470-8175</t>
  </si>
  <si>
    <t>Wiley-Blackwell. 350 Main Street, Malden, MA 02148. Tel: 800-835-6770; Tel: 781-388-8598; Fax: 781-388-8232; e-mail: cs-journals@wiley.com; Web site: http://www.wiley.com/WileyCDA; http://dx.doi.org/10.1002/bmb.20878</t>
  </si>
  <si>
    <t>EJ1068685</t>
  </si>
  <si>
    <t>ERIC; OCLC; Biochemistry in an Undergraduate Writing-Intensive First-Year Program: Seminar Courses in Drugs and Bioethics</t>
  </si>
  <si>
    <t>Minh,C.;Lovich-Sapola,J.;Author,Addresses;Case Western/MetroHealth,Medical Center;States;Correspondence,Address;Minh, Case Western MetroHealth Medical Center United States,C.</t>
  </si>
  <si>
    <t>Epidural anesthesia for the treatment of burn pain</t>
  </si>
  <si>
    <t>Regional anesthesia and pain medicine</t>
  </si>
  <si>
    <t>Reg.Anesth.Pain Med.</t>
  </si>
  <si>
    <t>adhesive agent;adjuvant;analgesic agent;bupivacaine;chlorhexidine;narcotic agent;narcotic analgesic agent;opiate;American;epidural anesthesia;pain;regional anesthesia;society;abuse;analgesia;body surface;burn;burn patient;buttock;case report;catheter;counseling;debridement;disinfection;drug therapy;epidural abscess;epidural catheter;epidural drug administration;excision;female;gas;human;indwelling catheter;infection;injury;leg;meningitis;patient;patient education;patient satisfaction;population;postoperative pain;procedures;risk;scar formation;skin;skin graft;surface area;surgery;therapy;thickness</t>
  </si>
  <si>
    <t>Introduction Introduction: Burn injuries can be one of the most painful and scarring forms of trauma, causing considerable suffering and incapacitation. Pain management for burns is often difficult and despite advances in burn therapy, inadequate pain relief remains a common problem. Reports of epidural anesthesia for the treatment of burn pain remains limited. We present a case involving a patient who suffered large surface area burns leading to substantial pain that was significantly relieved by a lumbar epidural placed for postoperative pain control. Material and methods Case Report: A 24 year-old female with a history of opioid abuse presented after sustaining extensive burn injuries from a home gas explosion. Initial assessment revealed 27% total body surface area mixed partial and full thickness burns involving the face, bilateral upper and lower extremities, anterior trunk and buttocks. Initial pain management by the ICU team was difficult and inadequate as the patient complained of significant pain despite receiving considerable scheduled and PRN narcotics. The acute pain service was then consulted and a multi-modal pharmacological pain regimen was implemented resulting in improved pain relief. The patient was then scheduled to undergo excision, debridement, and skin grafts for treatment of her burns. An epidural was arranged for post-op pain control due to the anticipated escalation in pain from surgery. After extensive disinfection with chlorhexidine, a lumbar epidural was placed without complication at the L3-L4 level pre-operatively. This area had intact skin with no burns or dressings. The catheter was meticulously secured in a sterile fashion with adhesives and transparent film dressings to minimize the risk of infection. Post-op, the patient reported adequate pain relief with an epidural infusion of bupivacaine. The epidural catheter remained in place for 6 days without complication and provided the patient with satisfactory pain relief. Discussion Discussion: Although advancements in pain management protocols have been developed and implemented, burn pain is still often undertreated and remains a common issue, particularly with patients undergoing multiple procedures. Pain management often relies heavily on pharmacologic treatments, including both the use of opioids and non-opioid analgesics. Patient response varies widely, requiring a highly individualized pain management plan. Some individuals may be ideal candidates for epidural or regional blocks but their use has been limited by concerns of indwelling catheter colonization and infection, the associated risks of meningitis and epidural abscess formation as well as ongoing care by appropriately trained staff. Our case illustrates that epidural anesthesia can be a safe and effective method in providing background, procedural, and postoperative pain relief. Additional studies investigating the complications of an epidural anesthesia in the burn population would be beneficial. Ultimately, a multidisciplinary approach to pain management involving patient education, psychological counseling, pharmacological therapy, and adjuvant intervention should be implemented to improve patient satisfaction and outcome. Conclusion: The management of burn pain continues to be a challenge that requires a multimodal approach involving both pharmacologic analgesic strategies and adjunctive non-pharmacologic techniques. The use of epidural anesthesia should be considered as a valuable option in eligible burn patients to help manage pain.</t>
  </si>
  <si>
    <t>(Minh C.; Lovich-Sapola J.) 40th Annual Regional Anesthesia and Acute Pain Medicine Meeting of the American Society of Regional Anesthesia and Pain Medicine, ASRA 2015 Las Vegas, NV, United States 2015-05-14 to 2015-05-16 Lippincott Williams and Wilkins; ID: 814</t>
  </si>
  <si>
    <t>1098-7339</t>
  </si>
  <si>
    <t>Minian,N.;Penner,J.;Voci,S.;Selby,P.</t>
  </si>
  <si>
    <t>PMC4788944; Woman focused smoking cessation programming: a qualitative study</t>
  </si>
  <si>
    <t>BMC Women's Health</t>
  </si>
  <si>
    <t>BMC Womens Health</t>
  </si>
  <si>
    <t>BACKGROUND: Several studies of smoking cessation programs in clinical settings have revealed poorer outcomes for women compared to men, including counselling alone or in combination with pharmacotherapy. The objective of the current study was to explore treatment and program structure needs and preferences among female clients in a specialized smoking cessation clinic in an academic mental health and addiction health science centre in order to inform program design so that it meets the needs of female clients. METHODS: Four focus groups were conducted with current and former female clients (n=23, mode age range=50-59 years old, 56.5 % were still smoking and 43.5 % had quit) who had registered for outpatient smoking cessation treatment. Questions were designed to examine what aspects of the services were helpful and what changes they would like to see to better assist them and other women with quitting smoking. A thematic analysis of the raw data (audio recordings and notes taken during the focus groups) was conducted using a phenomenological theoretical framework. RESULTS: Themes that emerged indicated that females trying to quit smoking are best supported if they have choice from a variety of services so that treatment can be individualized to meet their specific needs; psychosocial support is provided both one-one-one with health care professionals and by peers in support groups; free pharmacotherapy is available to eliminate financial barriers to use; women-specific educational topics and support groups are offered; the clinic is accessible with evening/weekend hours, options to attend a local clinic, and childcare availability; and communication about clinic services and operation are clear, readily available, and regularly updated. CONCLUSIONS: An ideal smoking cessation program for women includes a women's centred approach with sufficient variety and choice, free pharmacotherapy, non-judgmental support, accessible services and clear communication of program options and changes. Findings may suggest an actionable list of adaptations that can be adopted by other clinics providing smoking cessation services to women.</t>
  </si>
  <si>
    <t>J2: BMC Womens Health; Minian, Nadia Penner, Jessica Voci, Sabrina Selby, Peter; ID: 755</t>
  </si>
  <si>
    <t>1472-6874</t>
  </si>
  <si>
    <t>Minian,Nadia. Addictions Program, Centre for Addiction and Mental Health, 100 Stokes Street, Toronto, ON, M6J 1H4, Canada. Penner,Jessica. Addictions Program, Centre for Addiction and Mental Health, 100 Stokes Street, Toronto, ON, M6J 1H4, Canada. Voci,Sabrina. Addictions Program, Centre for Addiction and Mental Health, 100 Stokes Street, Toronto, ON, M6J 1H4, Canada. Selby,Peter. Addictions Program, Centre for Addiction and Mental Health, 100 Stokes Street, Toronto, ON, M6J 1H4, Canada. peter.selby@camh.ca. Selby,Peter. Department of Family and Community Medicine, University of Toronto, 500 University Avenue, Toronto, ON, M5G 1V7, Canada. peter.selby@camh.ca. Selby,Peter. Department of Psychiatry, University of Toronto, 250 College Street, 8th floor, Toronto, ON, M5T 1R8, Canada. peter.selby@camh.ca. Selby,Peter. Dalla Lana School of Public Health, University of Toronto, 155 College Street, Toronto, ON, M5T 3M7, Canada. peter.selby@camh.ca. Selby,Peter. Ontario Tobacco Research Unit, 155 College Street, Toronto, ON, M5T 3M7, Canada. peter.selby@camh.ca.</t>
  </si>
  <si>
    <t>http://ovidsp.ovid.com/ovidweb.cgi?T=JS&amp;CSC=Y&amp;NEWS=N&amp;PAGE=fulltext&amp;D=prem&amp;AN=26971306</t>
  </si>
  <si>
    <t>http://dx.doi.org/10.1186/s12905-016-0298-2</t>
  </si>
  <si>
    <t>MEDLINE; Ovid Technologies; Woman focused smoking cessation programming: a qualitative study</t>
  </si>
  <si>
    <t>Miquel,L.;Rodamilans,M.;Gimenez,R.;Cambras,T.;Canudas,A. M.;Gual,A.</t>
  </si>
  <si>
    <t>Alcohol consumption in college students from the pharmacy faculty</t>
  </si>
  <si>
    <t>Adicciones</t>
  </si>
  <si>
    <t>Alcohol consumption is highly prevalent in university students. Early detection in future health professionals is important: their consumption might not only influence their own health but may determine how they deal with the implementation of preventive strategies in the future. The aim of this paper is to detect the prevalence of risky alcohol consumption in first- and last-degree year students and to compare their drinking patterns.Risky drinking in pharmacy students (n=434) was assessed and measured with the AUDIT questionnaire (Alcohol Use Disorders Identification Test). A comparative analysis between college students from the first and fifth years of the degree in pharmacy, and that of a group of professors was carried to see differences in their alcohol intake patterns.Risky drinking was detected in 31.3% of students. The highest prevalence of risky drinkers, and the total score of the AUDIT test was found in students in their first academic year. Students in the first academic level taking morning classes had a two-fold risk of risky drinking (OR=1.9 (IC 95%1.1-3.1)) compared with students in the fifth level. The frequency of alcohol consumption increases with the academic level, whereas the number of alcohol beverages per drinking occasion falls.Risky drinking is high during the first year of university. As alcohol consumption might decrease with age, it is important to design preventive strategies that will strengthen this tendency.</t>
  </si>
  <si>
    <t>J2: Adicciones; Miquel, Laia Rodamilans, Miquel Gimenez, Rosa Cambras, Trinitat Canudas, Ana Maria Gual, Antoni; ID: 764</t>
  </si>
  <si>
    <t>0214-4840</t>
  </si>
  <si>
    <t>Miquel,Laia. Grup de recerca en Addiccions Clinic, Unitat de conductes addictives. Hospital Clinic Universitari de Barcelona, Institut Clinic de Neurociencies, Espana. IDIBAPS. Red de Trastornos Adictivos (RTA), RETICS. miquel@clinic.cat.</t>
  </si>
  <si>
    <t>English Spanish</t>
  </si>
  <si>
    <t>http://ovidsp.ovid.com/ovidweb.cgi?T=JS&amp;CSC=Y&amp;NEWS=N&amp;PAGE=fulltext&amp;D=prem&amp;AN=26437317</t>
  </si>
  <si>
    <t>MEDLINE; Ovid Technologies; Alcohol consumption in college students from the pharmacy faculty</t>
  </si>
  <si>
    <t>Mir,P. A.;Mukhtar,H. M.;Ali,B.;Yadav,S.;Author,Addresses;Natural Product,Research;Laboratory,Department of Pharmacognosy;Phytochemistry,S. B. S. C.;of Pharmacy, Chuslewar Morh Patti Tarn Taran,Punjab India;Correspondence,Address;PA Mir, Natural Product Research Laboratory Department,of Pharmacognosy;and Phytochemistry, S B S College of Pharmacy Chuslewar Morh,Patti Tarn;Taran,Punjab India</t>
  </si>
  <si>
    <t>Preliminary pharmacognostical standardization of portulaca oleracea linn</t>
  </si>
  <si>
    <t>acetic acid ethyl ester;alcohol;antiinfective agent;benzene;chloroform;diuretic agent;methanol;petroleum ether;solvent;tannin;water;Portulaca oleracea;standardization;alcoholism;biodiversity;chemical reaction;extraction;foreign body;herb;India;microscopy;moisture;parameters;plant;Portulacaceae;taxonomy;traditional medicine;university;world health organization</t>
  </si>
  <si>
    <t>Portulaca oleracea, commonly known as purslane, belongs to the family Portulaceae. It has been used as folk medicine in many countries for its diuretic, febrifuge, antiseptic, antimicrobial effects 1]. The plant investigated was authenticated by the Centre for Biodiversity and Taxonomy Department of Botany, University of Kashmir. Systematic pharmacognostical evaluation of dried powdered plant of purslane has been carried out according to WHO guidelines involving, microscopy, physicochemical parameters, chemical reactions and fluorescent analysis 2] etc. Physicochemical evaluation results like total ash values, foreign matter, moisture content was found to be 23.25%, 2.23%, 3.45% respectively. Tannin content was found to be 3.02%. Cold, hot and successive extraction was done by different solvents with increasing polarity like petroleum ether, benzene, ethyl acetate, chloroform, ethanol, methanol, hydro alcoholic and water. The highest extractive value was found in water 3]. The results provide useful data that is essential for standardization and characterization of this medicinal herb.</t>
  </si>
  <si>
    <t>(Mir P.A.; Mukhtar H.M.; Ali B.; Yadav S.) 11th Annual Oxford International Conference on the Science of Botanicals, ICBS 2012 Oxford, MS, United States 2012-04-16 to 2012-04-19 Georg Thieme Verlag; ID: 1178</t>
  </si>
  <si>
    <t>Mirkov,S.</t>
  </si>
  <si>
    <t>Implementation of a pharmacist medication review clinic for haemodialysis patients</t>
  </si>
  <si>
    <t>New Zealand Medical Journal</t>
  </si>
  <si>
    <t>N.Z.Med.J.</t>
  </si>
  <si>
    <t>Adult;Aged;Aged, 80 and over;Critical Pathways;*Drug Utilization Review;Female;Humans;Kidney Failure, Chronic/ep Epidemiology];*Kidney Failure, Chronic/th Therapy];Logistic Models;Male;Middle Aged;New Zealand/ep Epidemiology];Patient Education as Topic;Pharmaceutical Preparations;*Pharmacists;*Pharmacy Service, Hospital/og Organization &amp; Administration];Polypharmacy;Prospective Studies;*Renal Dialysis;*Role;Substance-Related Disorders/pc Prevention &amp; Control];0 (Pharmaceutical Preparations)</t>
  </si>
  <si>
    <t>AIMS: To implement the Pharmacist Medication Review Clinic and establish a sustainable clinical pharmacy service. METHODS: Prospective clinical medication review conducted by trained clinical pharmacists using standardised tools. Pharmacists' intervention included medication recommendation and patient education. RESULTS: From December 2007 to July 2008, medication reviews were conducted with 64 haemodialysis patients. Patients were taking on average 13 medications. Drug-related problems (DRPs) were identified in 92% of medication reviews (a total of 278 DRPs). The major DRP was non-adherence with medication regimen (33%), followed by medication requiring dose decrease (9.3%) and indication requiring new medication (8.6%). The risk factors for multiple DRPs were ethnicity, length of time on dialysis and age. New Zealand (NZ) Maori and Pacific Peoples were more likely to have more than three DRPs compared to patients of European descent. (NZ Maori: OR 7.49, 95%CI 1.15-48.9, p=0.035; Pacific Peoples: OR 5.4, 95%CI 0.96-30.34, p=0.055) and patients who spent 3.5 to 6.3 years on dialysis (OR 7.48, 95%CI 1.45-38.76, p=0.016). Patients older than 55 were less likely to have more than three DRPs compared to younger patients (OR 0.14, 95%CI 0.03-0.69, p=0.016). CONCLUSIONS: Pharmacist-led medication review clinic identified drug-related problems (DRPs) and risk factors for DRPs in haemodialysis patients.</t>
  </si>
  <si>
    <t>J2: N Z Med J; Mirkov, Sanja; ID: 325</t>
  </si>
  <si>
    <t>1175-8716</t>
  </si>
  <si>
    <t>Mirkov,Sanja. Middlemore Hospital, Counties Manukau District Health Board, Auckland, New Zealand. smirkov@middlemore.co.nz</t>
  </si>
  <si>
    <t>http://ovidsp.ovid.com/ovidweb.cgi?T=JS&amp;CSC=Y&amp;NEWS=N&amp;PAGE=fulltext&amp;D=med5&amp;AN=19648999</t>
  </si>
  <si>
    <t>MEDLINE; Ovid Technologies; Implementation of a pharmacist medication review clinic for haemodialysis patients</t>
  </si>
  <si>
    <t>Mitcheva,M.;Vitcheva,V.;Kondeva-Burdina,M.;Simeonova-Vitanska,R.;Author,Addresses;Department,of Pharmacology;Toxicology,Faculty of;Pharmacy,Medical University of Sofia Dunav St Sofia Bulgaria;Correspondence,Address;Mitcheva, Department of Pharmacology Pharmacotherapy,M.;Toxicology;Faculty of Pharmacy, Medical University of Sofia Dunav,St Sofia;Bulgaria</t>
  </si>
  <si>
    <t>Adverse drug reactions: Experimental studies on metabolic-mediated toxicity</t>
  </si>
  <si>
    <t>albendazole;amiodarone;amphetamine;antioxidant;benzophenone derivative;biological marker;calcium channel;carbon tetrachloride;chloramphenicol;chlorpromazine;cocaine;cytochrome;cytochrome P450;cytochrome P450 2B;cytochrome P450 3A;diosgenin;drug metabolizing enzyme;electrophile;enzyme;epoxide;glutathione;lactate dehydrogenase;malonaldehyde;metoprolol;morphine;n demethylase;naphthalene;nifedipine;paracetamol;phenobarbital;promethazine;protein;quinidine;saponin;scavenger;silymarin;toxin;adverse drug reaction;experimental study;pharmacology;toxicity;absorption;asparagus;biotransformation;blood level;cell function;cell structure;cell viability;cholesterol metabolism;clinical study;competition;concentration (parameters);cyanosis;cytotoxicity;death;detoxification;diagnosis;drug formulation;drug interaction;drug metabolism;drug therapy;drug toxicity;dynamics;experimental model;grapefruit juice;Hypericum;in vitro study;kinetics;lipid peroxidation;liver;liver cell;liver cell damage;liver microsome;liver toxicity;male;medicine;membrane;metabolic activation;metabolism;metabolite;model;neurotoxicity;oxidative stress;parent;patient;pharmacognosy;pharmacokinetics;pharmacy;physiology;prophylaxis;rat;respiration depression;risk;risk factor;side effect;species;therapy;tissues;university;Western blotting;world health organization</t>
  </si>
  <si>
    <t>The used terminology of this area contains many different terms, which described an Undesired Reaction, Adverse Drug Reaction, Adverse Event, Adverse Effects and Side Effects. The common definition of Adverse Drug Reaction is: a response to a drug, which is noxious and unintended and which occurs at doses normally used in man for prophylaxis, diagnosis, or therapy of diseases or the modification of physiological function. The importance of adverse drug reaction (ADR) is often underestimated. It is very important to understand the role of metabolism of drug toxicity and ADR. Different authors classify these effects in various ways. Along WHO, ADR are classified into 6 types: dose-related (Augmented); non-dose related (Bizarre); dose- and time-related (Chronic); time-related (Delayed); withdraw (End of use); failure of therapy (Failure). It is very convenient to resolve all drug adverse effects as either reversible (Type A) or irreversible (Type B). Type A ADR is reversible but not related with toxicity. These effects can be caused by intensification of pharmacodynamic effect. These effects, also known generally as 'side effects', are mostly an augmentation of the 'main effects' and are to be cause of more than 80% of patients, problems with drug therapy. If the drug is interacting reversible, it cannot 'damage' a tissue, it has not changed its structure or its functions irreversibly. Reversible ADR can be received during the metabolism of any given drug. It is possible that one or other of metabolites may disrupt cellular function in a way that is unrelated to the pharmacological effect of the drug, but the disruption is reversible and predictable. Type B ADR are irreversible effects. The drug must somehow change cellular structure. This can happen if the drug can form and unstable and reactive toxic metabolite, which can react covalently with the cellular structures. A variety of therapeutic drugs can undergo biotransformation via Phase I and Phase II enzymes to reactive metabolites, which have reactivity toward to proteins and cause potential toxicity. Factors, predisposing to ADR include: dose, pharmaceutical variation in drug formulation, kinetic and dynamics abnormalities and drug-drug interactions (DDI). DDI occurs when therapeutic agent either alters the concentration (pharmacokinetics interactions) or the biological effect of another agent (pharmacodynamic interactions). Pharmacokinetics DDI can occur at the level of absorption, distribution or clearance of the affected agent. Many drugs are eliminated by metabolism. The microsomal reactions involved cytochrome P450 family of enzymes (CYPs), of which a few are responsible of the majority of metabolic reactions, involving drugs. This includes the isoforms: CYP1A2, 2C9, 2C19 (15%), 2D6 (20%), 3A4 (50%) Venkatakrishnan K et al., 2001). The cytochrome P450 family of hememonooxygenases comprises the most important group of Phase I enzymes. Many drug interactions are result of inhibition or induction of CYP's enzymes. For that in particular at the level on the liver metabolizing system, DDI can result both in toxicity or loss of efficacy. Drug metabolism can be a key determinant of drug toxicity. A non-toxic parent drug may be transformed by drug metabolizing enzymes to toxic metabolites (metabolic activation, bioactivation). Conversely a toxic drug may be transformed to non-toxic metabolites (detoxication). A clear understanding of the role of drug metabolism in toxicity can add the identification of risk factors that may potentiate drug toxicity and may provide key information for the evelopment of safe drugs. Our scientific studies included a group of medicines and prospective bioactive substances (BAS), from natural and synthetic origin, with a certain pharmacological activity and proved or supposed hepatic biotransformation. The compounds have been investigated for cytotoxicity and in some cases for antioxidant and protective effect. These studies were performed in cellular and sub cellular models of toxicity, both in vitro and in vivo. The effects of the examined compounds have been compared to the effects of referent compounds. Elucidating of these effects might contribute to enrichment of their characteristics, linked to their metabolism and to prevent possible metabolic interactions. These experiments are part of the pre-clinical studies of novel compounds. In many cases they could explain some of the future serious clinical problems, as well as to elucidate the main causes for the failure of certain molecules, as candidate-drug. The experimental systems, mostly used for investigating drug metabolism, cytotoxicity and DDI, are liver microsomes and isolated hepatocytes. Isolated hepatocytes have been widely employed for studying the biotransformation of chemicals, their cytotoxicity and hepatotoxicity, including their mechanisms. The most important parameters that assessed the functional-metabolic status of the hepatocytes, recommended and implemented by ECVAM are: cell viability; activity of lactate dehydrogenase (LDH) - in cases, when the membrane integrity is affected; level of cell glutathione (GSH) and quantity of malondialdehyde (MDA). The alteration in the cells at different level, as a result of biotransformation and/ or bioactivation of the examined compounds, is evaluated by the changes in the level of reduced glutathione - the most important factor of the cell's defence. At the same time, malondialdehyde is determined as a biomarker of the process of lipid peroxidation. This compound is a reactive ldehyde and is one of the many reactive electrophile species that cause toxic stress in cells and form covalent protein adducts. Along with these parameters, in our studies, the quantity of cytochrome P 450, the activity of some drug metabolising enzymes, as well as changes in mitochondrial potential, levels of Ca(2+) and ROS, were measured, under the influence of the some perspective compounds. In view of the expected protective properties of some of the tested BAS by natural origin, their effects were studied on appropriate experimental models of toxicity, provoked by different agents - CCl(4), chlorpromazine, metoprolol, paracetamol, t-BuOOH, which possess different toxic properties. On the basis of a part of our results, we could formulate the following conclusions (Mitcheva, 2008): 14 derivatives of benzimidasole, with a putative hepatic metabolism, have been screened for hepatotoxicity. Four of them, with antihelmint activity, similar with those of Albendazole and less toxicity, have been selected (Mavrova et al. 2005; Mavrova et al. 2006). 5 benzophenones and Gentisein, isolated from Hypericum annulatum, have been characterized in vitro. For three of the compunds, a cytoprotective and antioxidant effects, studied in models of cytochrome P 450 mediated toxicity - CCl(4), chlorpromazine, metoprolol - were observed (Mitcheva et al., 2006). These effects were similar to the effects of silymarin, a well known hepatoprotector and antioxidant. The selected compounds have been tested in Chang Liver cells, where they changed parameters linked to the mitochondrial function. These results correlate with the studies of Prabhakar et al. (2006) that discuss proapoptotic activity of some synthetic analogues of benzophenones. Studies of BAS, with known pharmacological activity Diosgenin, isolated from Asparagus officinalis Diosgenin is a steroidal saponin, with an established pharmacological activity, mainly antihypercholesterolemic.Using a model of lipid peroxidation (LPO) - enzyme-induced and non-enzyme-induced, our studies proved an antioxidant effect of Diosgenin, similar to the effect of the scavenger promethazine. We discussed a possible membrane stabilizing effect of the compound. On a cellular level, in isolated rat hepatocytes, in a model of cytochrome P 450-mediated toxicity - CCl(4), chlorpromazine, metoprolol, and in a model of oxidative stress - t-BuOOH, diosgenin exerted cytoprotective effects, similar to those of silymarin. In Chang liver cells, diosgenin showed pro-apoptotic effect, however ROS levels remained unchanged. In vivo, after multiple administrations, diosgenin acted as a CYP inducer, similar to phenobarbital. The results from the Western blot analysis, showed that diosgenin caused an expression of CYP 3A, similar to those, caused by henobarbital. On the basis of our results, we suggest that the antihypercholesterolemic activity of diosgenin might be due to its influence on cholesterol metabolism and kinetics in the hepatocyte. - Studies on some psychoactive compounds, undergo hepatic biotransformation Besides the potential risk of tolerance and dependence developing, multiple administrations of psychoactive compounds are associated with neurotoxicity and hepatocellular damage. The majority of the psychoactive substances undergo extensive hepatic biotransformation, mediated by cytochrome P450, to active and reactive metabolites. The metabolism of morphine, cocaine and amphetamine is mediated mainly by CYP3A and CYP2D6 (Sun L&amp;Lau CE, 2001; Projean D et al. 2003; Carvalho F et al., 1996). Preincubation of the hepatocytes with inhibitor of CYP3A - amiodaron, and inhibitor of CYP 2B - chloramphenicol, resulted in reduction of cocaine epatotoxicity in vitro. These data suggest an involvement of cocaine's metabolism in its toxicity. In vitro, amphetamine was cytotoxic, which was diminished after preincubation with inhibitors of its biotransformation - quinidine, inhibitor of CYP2D and amiodarone, inhibitor of CYP3A. On the basis of this study we suggested the involvement of CYP3A in amphetamine hepatotoxicity (Vitcheva et al., 2009). The involvement of CYP3A in metabolism of morphine, cocaine and amphetamine, implies possible metabolic interactions with other substrates, inducers or inhibitors of this isoform that might lead to changes in their metabolism and toxicity. Ca-channel blockers, such as nifedipine, have been reported to modulate tolerance and dependence development. At the same time, Nifedipine is known to be a substrate and an inducer of some isoforms of cytochrome P450, including CYP3A (Drocourt et al. 2001). After multiple administrations, Cocaine in vivo changed some parameters of drug metabolism and toxicity. In combination with nifedipine, cocaine could not exert its own effect on the drug-metabolizing enzymes. Since both cocaine and nifedipine are substrates of one and the same isoform CYP3A, these results are probably due to a metabolic interaction between the compounds (Vitcheva &amp;Mitcheva, 2007). Multiple co-administrations of nifedipine and amphetamine resulted in changes in some parameters of drug metabolism that differed from those observed after their administration alone. Regarding the metabolic pathways of amphetamine and nifedipine, we suggest a metabolic interaction, involving several cytochrome P450 isoforms. Our results show that morphine and nifedipine, per se, increased the activity of drug metabolizing enzyme systems, while their co-administration resulted in reduction of values of the examined parameters (Vitcheva &amp;Mitcheva, 2004). Regarding the metabolic pathways, namely N-demethylation, of both compounds, these results might be due to a possible metabolic interaction of the two drugs. At the same time it is important to note that among the rats, which morphine and Nifedipine were co-administered, an increased toxicity, manifested by respiratory depression, cyanosis and even death (4/7), was observed. In vivo interaction on the metabolic level Interactions of paracetamol The hepatotoxic agent naphthalene undergoes metabolic activation to diol-epoxides - reactive intermediate metabolites responsible for a toxic stress in the cell. As a result of our study, based on the investigation of Paracetamol and naphthalene interaction, we found out that co-administration of Paracetamol and naphthalene, resulted in decreased naphthalene toxicity. This effect is probably due to a competition for one isoform of cytochrome P 450. Multiple co-administration of grapefruit juice and paracetamol, led to changes in some parameters, connected with drug metabolism, compared to their application alone. These changes correlate with the observed increased plasma level of paracetamol. Conclusions The results obtained, confirmed that it is necessary to know of the possible interactions between different compounds that are substrates and/or inhibitors of one particular cytochrome P450 isoform, with a view to prevent adverse drug-drug interactions, which can have serious clinical consequences, as well as to avoid the discontinuation of needed pharmacotherapy. In vitro based experimental systems used in combination with in vivo animal system, represent the best approach to assess this important drug properties before clinical rials. Acknowledgements This work was supported in part by Grants from The Medical Science Committee (Medical University, Sofia). The natural biological active substances were kindly provided by Prof. St. Nikolov, Assoc. Prof. G. Kitanov, Assoc. Prof. I. Krasteva, and Assist. Prof. P. Nedialkov, Department of Pharmacognosy and Botany, Faculty of Pharmacy, Medical University, Sofia.</t>
  </si>
  <si>
    <t>(Mitcheva M.; Vitcheva V.; Kondeva-Burdina M.; Simeonova-Vitanska R.) 6th National Congress of Pharmacology Varna, Bulgaria 2009-10-01 to 2009-10-04 Blackwell Publishing Ltd; ID: 1381</t>
  </si>
  <si>
    <t>Mobarok Ali, A. T. M.;Al-Swayeh,O.;Author,Addresses;Department,of Medical;College of Medicine, King Saud University Riyadh,Saudi Arabia;Department of,Medical Pharmacology;Medicine,King Saud University P.O.Box Riyadh Saudi Arabia;Correspondence,Address;ATMM Ali, Department of Medical Pharmacology College of,Medicine King;Saud University, P O Box Riyadh,Saudi Arabia</t>
  </si>
  <si>
    <t>The role of nitric oxide in gastric protection by honey</t>
  </si>
  <si>
    <t>(MAJOR FOCUS);arginine (drug comparison, drug interaction, pharmacology);dextro arginine (drug comparison, pharmacology);nitric oxide (endogenous compound);nitric oxide synthase inhibitor (drug interaction, drug toxicity,;pharmacology);alcohol (drug interaction, drug toxicity);n(g) nitroarginine methyl ester (drug interaction, drug toxicity,;honey (drug interaction, drug therapy, pharmacology);stomach mucosa lesion (drug therapy);stomach protection;animal model;article;controlled study;disease severity;dose time effect relation;drug antagonism;drug potentiation;intraperitoneal drug administration;male;nonhuman;oral drug administration;rat;Saudi Arabia;DRUG MANUFACTURERS;(United Kingdom)Sigma;alcohol (64-17-5);arginine (1119-34-2, 15595-35-4, 7004-12-8, 74-79-3);n(g) nitroarginine methyl ester (50903-99-6);nitric oxide (10102-43-9);Clinical and Experimental Pharmacology (30);Drug Literature Index (37);Gastroenterology (48);General Pathology and Pathological Anatomy (5);Toxicology (52)</t>
  </si>
  <si>
    <t>Objectives: To investigate the role of nitric oxide in the protective mechanism of honey against ethanol-induced gastric lesions in rats. Setting: Department of Medical Pharmacology, College of Medicine, King Saud University, Riyadh, Saudi Arabia. Materials and methods: Male Wistar rats were used in all experiments. Honey orally and drugs intraperitoneally were administered to 24-hour fasted rats 30, 45 or 60 minutes before oral administration of one ml ethanol. Gastric mucosal lesions were assessed one hour after ethanol by modification of the method of Schiantarelli et al, 1984. The severity of gastric lesions was analyzed statistically either using unpaired Student's t-test or by analysis of variance. Results: Pre-treatment with NG-nitro-L-arginine methyl ester (12.5-5-50 mg/kg) which is reported to inhibit nitric oxide synthesis in various cells, dose dependently aggravated ethanol-induced gastric lesions. The enhancement of lesions was time dependent and maximum effect occurred if it was given 45 minutes before ethanol. Pre-treatment with honey (1.25 mg/kg) afforded protection against ethanol-induced lesions by 78%. Pre-treatment with</t>
  </si>
  <si>
    <t>(Mobarok Ali A.T.M.; Al-Swayeh O.A.) (Mobarok Ali A.T.M.); ID: 1687</t>
  </si>
  <si>
    <t>Moczygemba,L.;Matzke,G.;Gatewood,S.;Alexander,A.;Kennedy,A.;Osborn,R.;Goode,J.;Reynolds-Cane,D.;Author,Addresses;Virginia Commonwealth University, School,of Pharmacy;United,States;Daily Planet,United States;Correspondence,Address;Moczygemba, Virginia Commonwealth University School of Pharmacy United,L.;States Email,lrmoczygemba,vcu edu</t>
  </si>
  <si>
    <t>Development of a clinical pharmacy services provider network for homeless patients</t>
  </si>
  <si>
    <t>clinical pharmacy;hospital department;human;patient;astronomy;chronic disease;community;drug therapy;emergency ward;funding;health;health care;hospital;interpersonal communication;medication error;medication therapy management;mental health;outpatient;patient compliance;pharmacy;pilot study;school;substance abuse;United States;university</t>
  </si>
  <si>
    <t>Objective: To enhance the continuity of clinical pharmacy services at transition points of care through the development of a provider network. Methods: The Daily Planet Inc., a Health Care for the Homeless Clinic, and the Virginia Commonwealth University School of Pharmacy (VCU SOP), through their collaborative care provision to homeless mental health patients, have identified many barriers to optimal medication use. Homeless patients have high rates of mental and physical health problems and substance abuse, which are exacerbated by living on the streets and in shelters. Also, homeless patients often experience transitions of care, such as emergency department visits or incarcerations, which may lead to medication errors and gaps in medication use for chronic diseases. Disruptions in patients' medication regimens decrease medication adherence and can lead to poor health outcomes. Therefore, the Daily Planet and VCU SOP providers proposed a plan to enhance communication with and the quality of care given by community providers. The first step in this process was to create a Clinical Pharmacy Services Provider Network (CPSPN) to minimize medication errors and gaps in medication use during transitions of care. The CPSPN currently has four additional partners, VCU Health System Outpatient Pharmacy, VCU Health System Emergency Department, and two community pharmacies, all of whom have enthusiastically endorsed the mission to coordinate clinical pharmacy services with an initial focus on medication reconciliation. Initial funding for this CPSPN initiative has been received from the VCU Council for Community Engagement. This pilot project will test the utility of the network's foundational electronic tool for coordinating medication reconciliation between the Daily Planefr-VCU team and community providers. Results: NA (research in progress). Conclusion: NA (research in progress).</t>
  </si>
  <si>
    <t>(Moczygemba L., lrmoczygemba@vcu.edu; Matzke G.; Gatewood S.; Alexander A.; Kennedy A.; Goode J.) (Osborn R.; Reynolds-Cane D.) APhA2010 Washington, DC, United States 2010-03-12 to 2010-03-15 American Pharmacists Association; ID: 1388</t>
  </si>
  <si>
    <t>Modesto-Lowe,V.;Chmielewska,A.</t>
  </si>
  <si>
    <t>Coping with urges to smoke: what is a clinician to do?</t>
  </si>
  <si>
    <t>Connecticut medicine</t>
  </si>
  <si>
    <t>Conn.Med.</t>
  </si>
  <si>
    <t>*Adaptation, Psychological;Cognitive Therapy/mt Methods];Humans;*Smoking/px Psychology];*Smoking Cessation/mt Methods];*Smoking Cessation/px Psychology];*Substance Withdrawal Syndrome/px Psychology];*Substance Withdrawal Syndrome/th Therapy];Tobacco Use Cessation Products</t>
  </si>
  <si>
    <t>Cigarette smoking is a public-health problem associated with significant morbidity and mortality. Effective medications such as nicotine replacement therapy (NRT), bupropion, and varenicline can assistwith nicotine withdrawal and facilitate smoking cessation. In order to sustain abstinence, however, a smoker must also disrupt strong behavioral associations with smoking. Behavioral strategies complement pharmacotherapy by enhancing the smoker's motivation to quit and teaching quitting skills such as managing relapse triggers (e.g. negative emotions, urges to smoke). Despite these therapies, long-term cigarette abstinence rates are modest for each attempt to quit. However, many smokers who are persistent in their efforts eventually quit. This review outlines strategies for smoking cessation with a focus on pharmacotherapy.</t>
  </si>
  <si>
    <t>J2: Conn Med; Modesto-Lowe, Vania Chmielewska, Anna; ID: 153</t>
  </si>
  <si>
    <t>Modesto-Lowe,Vania. Addiction Services Division, Connecticut Valley Hospital, Middletown, USA. vania.modesto-lowe@po.state.ct.us</t>
  </si>
  <si>
    <t>http://ovidsp.ovid.com/ovidweb.cgi?T=JS&amp;CSC=Y&amp;NEWS=N&amp;PAGE=fulltext&amp;D=medl&amp;AN=23777042</t>
  </si>
  <si>
    <t>MEDLINE; Ovid Technologies; Coping with urges to smoke: what is a clinician to do?</t>
  </si>
  <si>
    <t>Modi,P.;Author,Addresses;Innovatech Rx, Golf Links,Road Ancaster</t>
  </si>
  <si>
    <t>Review of rational approaches to the treatment of pain management - Role for opioids therapies</t>
  </si>
  <si>
    <t>Current Drug Therapy</t>
  </si>
  <si>
    <t>(MAJOR FOCUS);narcotic analgesic agent (adverse drug reaction, drug administration, drug;comparison, drug dose, drug therapy, intramuscular drug administration,;intrathecal drug administration, intravenous drug administration, oral drug;administration, pharmaceutics, subcutaneous drug administration, transdermal;drug administration);acetylsalicylic acid (drug comparison, drug therapy);acetylsalicylic acid plus oxycodone plus oxycodone terephthalate;analgesic agent (drug combination, drug therapy);antiemetic agent (drug therapy);antihistaminic agent (drug therapy);buprenorphine (adverse drug reaction, drug dose, drug therapy, oral drug;administration, pharmacology);buprenorphine plus naloxone;codeine (adverse drug reaction, drug comparison, drug therapy, oral drug;administration);dextropropoxyphene (adverse drug reaction, drug comparison, drug dose, drug;therapy, pharmacokinetics, pharmacology);dextropropoxyphene plus paracetamol (drug therapy);fentanyl (adverse drug reaction, buccal drug administration, drug;comparison, drug dose, drug therapy, intravenous drug administration, oral;drug administration, parenteral drug administration, pharmaceutics,;pharmacokinetics, pharmacology, transdermal drug administration);fentanyl citrate;fluoxetine (drug interaction);hydrocodone (drug combination, drug comparison, drug therapy, oral drug;hydrocodone bitartrate plus paracetamol (drug therapy);hydromorphone (adverse drug reaction, drug comparison, drug therapy,;intravenous drug administration, oral drug administration, parenteral drug;administration, rectal drug administration, subcutaneous drug;levorphanol (drug comparison, drug therapy, oral drug administration,;parenteral drug administration, pharmacokinetics);long acting drug (drug therapy);methadone (adverse drug reaction, drug comparison, drug dose, drug therapy,;oral drug administration, parenteral drug administration, pharmaceutics,;pharmacokinetics);morphine (adverse drug reaction, drug administration, drug comparison, drug;therapy, oral drug administration, parenteral drug administration,;pharmaceutics);morphine sulfate (drug therapy, oral drug administration);opiate agonist (adverse drug reaction, drug therapy);opiate antagonist (drug therapy);oxy contin;oxycodone (adverse drug reaction, drug comparison, drug therapy, oral drug;administration, pharmaceutics);oxymorphone;oxymorphone (adverse drug reaction, drug comparison, drug therapy, oral drug;administration, pharmaceutics, pharmacokinetics);paracetamol (adverse drug reaction, drug combination, drug therapy);pentazocine (adverse drug reaction, drug therapy);pethidine (adverse drug reaction, drug administration, drug comparison, drug;dose, drug therapy, intramuscular drug administration, oral drug;administration, pharmacokinetics, pharmacology);sertraline (drug interaction);short acting drug (drug therapy);tramadol (adverse drug reaction, drug dose, drug interaction, drug therapy,;pharmacology);tylenol 3;unclassified drug;pain (side effect, drug therapy, side effect);agitation;analgesic activity;breathing;cancer pain (drug therapy);cardiotoxicity (side effect);chronic pain (drug therapy);clinical effectiveness;cognitive defect (side effect);confusion (side effect);constipation (drug therapy, side effect);continuous infusion;cyanosis (side effect);delirium (side effect);depression (side effect);disease severity;dizziness (side effect);dose response;drug abuse;drug accumulation;drug bioavailability;drug choice;drug contraindication;drug dependence;drug dosage form comparison;drug dose escalation;drug dose increase;drug dose reduction;drug dose titration;drug elimination;drug half life;drug hypersensitivity (side effect);drug metabolism;drug monitoring;drug potency;drug receptor binding;drug safety;drug substitution;drug tolerability;drug tolerance;drug withdrawal;euphoria;first pass effect;hallucination (side effect);heart arrhythmia (side effect);histamine release;human;hydrocortisone blood level;hyperalgesia (side effect);hypotension (side effect);immune deficiency (side effect);immunomodulation;irritability;liver failure (side effect);long term care;myoclonus (side effect);nausea (side effect);nausea and vomiting (drug therapy, side effect);nociception;opiate addiction;pain assessment;patient compliance;patient controlled analgesia;priority journal;pruritus (drug therapy, side effect);recommended drug dose;repeated drug dose;respiration depression (side effect);respiratory arrest (side effect);review;sedation;seizure (side effect);serotonin syndrome (side effect);side effect (side effect);sustained release preparation;tremor (side effect);unspecified side effect (side effect);virus load;vomiting (side effect);DRUG TRADE NAMES;actiq;aspirin;avinza;darvocet;darvon;dilaudid;dolophine;duragesic;fentora;kadian;levo dromoran;lorcet;ms contin;opana er;opana;palladone;percodan;suboxone;subutex;tramal;vicodin;acetylsalicylic acid (493-53-8, 50-78-2, 53663-74-4, 53664-49-6, 63781-77-1);buprenorphine (52485-79-7, 53152-21-9);codeine (76-57-3);dextropropoxyphene (1639-60-7, 469-62-5);dextropropoxyphene plus paracetamol (39400-85-6);fentanyl (437-38-7);fentanyl citrate (990-73-8);fluoxetine (54910-89-3, 56296-78-7, 59333-67-4);hydrocodone (125-29-1, 25968-91-6, 34366-67-1);hydromorphone (466-99-9, 71-68-1);levorphanol (125-72-4, 77-07-6);methadone (1095-90-5, 125-56-4, 23142-53-2, 297-88-1, 76-99-3);morphine (52-26-6, 57-27-2);morphine sulfate (23095-84-3, 35764-55-7, 64-31-3);oxycodone (124-90-3, 76-42-6);oxymorphone (357-07-3, 76-41-5);paracetamol (103-90-2);pentazocine (359-83-1, 64024-15-3);percodan (64336-56-7);pethidine (28097-96-3, 50-13-5, 57-42-1);sertraline (79617-96-2);tramadol (27203-92-5, 36282-47-0);Neurology and Neurosurgery (8);Anesthesiology (24);Clinical and Experimental Pharmacology (30);Drug Literature Index (37);Adverse Reactions Titles (38);Pharmacy (39)</t>
  </si>
  <si>
    <t>Opioids remain an important cornerstone and the most effective mainstay analgesies for acute and terminal cancer pain treatments. Effective analgesia is obtained in the majority of cancer pain patients with the application of fairly straightforward rational treatment algorithms using opioids as the main therapy. A major barrier to be overcome, however, is that chronic pain is often not viewed as a physical illness worthy of treatment. Many studies demonstrating that specific changes occur in the peripheral and central nervous systems of patients with chronic pain provide the rationale for changing the approaches to chronic pain management and instituting more aggressive and comprehensive treatment. This review describes the role of opioids in the treatment of cancer pain, including a brief overview of cancer pain syndromes, essential aspects of opioid therapy, opioid pharmacology, opioid rotation, properties of the individual opioids, and management of common side effects of opioids. As understanding ofthe pharmacology of this class of drugs becomes more sophisticated, clinicians may anticipate dosage-limiting adverse effects and variations in individual response. ‚î¨‚åê 2008 Bentham Science Publishers Ltd.</t>
  </si>
  <si>
    <t>(Modi P., Pankajmodi@aol.com) Bentham Science Publishers B.V., P.O. Box 294, Bussum, Netherlands.; ID: 1475</t>
  </si>
  <si>
    <t>1574-8855</t>
  </si>
  <si>
    <t>2008072017 FULL TEXT LINK http://dx.doi.org/10.2174/157488508783331199</t>
  </si>
  <si>
    <t>Moeller,S. J.;Woicik,P. A.;Tomasi,D.;Volkow,N. D.;Goldstein,R. Z.;Author,Addresses;Brookhaven National Laboratory, Upton,United States;Correspondence,Address;SJ Moeller, Brookhaven National Laboratory Upton,United States</t>
  </si>
  <si>
    <t>Methylphenidate enhances executive function while optimizing prefrontal error-related processing in both health and cocaine addiction</t>
  </si>
  <si>
    <t>S286</t>
  </si>
  <si>
    <t>(MAJOR FOCUS);methylphenidate;catechol methyltransferase;cocaine;dopamine;dopamine receptor;noradrenalin;placebo;receptor;cocaine dependence;college;executive function;health;processing;psychopharmacology;agonist;anterior cingulate;behavior;brain;brain region;cerebellum;cognition;color;drug dependence;drug therapy;functional disease;functional magnetic resonance imaging;genetic variability;genotype;group dynamics;hyperactivity;intervention study;learning;monitoring;nerve potential;neurochemistry;Parkinson disease;population;prefrontal cortex;reinforcement;task performance;working memory</t>
  </si>
  <si>
    <t>Background: Error monitoring is a core executive function that allows for successful identification and correction of discrepancies between an intended and executed response. Previous studies that investigated genetic variation e.g., polymorphisms of catechol- O-methyl transferase (COMT), dopamine D2 receptor] or relevant disease states (e.g., Parkinson's disease, attention deficit/hyperactivity disorder, drug addiction) have suggested dopamine to be involved in error monitoring/processing, possibly through impact on reinforcement learning. Nevertheless, pharmacological studies that can manipulate dopaminergic functioning are needed to appropriately characterize the neurochemistry underlying error monitoring. The current study tested whether methylphenidate (MPH), an indirect dopamine and norepinephrine agonist (that acts by blocking both respective transporters), modulates brain and behavioral responses to error. To further explore the effects of MPH on error-related processing vis-‚îú√á-vis dopamine, we also included individuals addicted to cocaine, a population characterized by drug-mediated decreases in dopamine receptor availability and release, and functional impairments in prefrontal cortical areas innervated by dopamine. Methods: After receiving oral MPH (20 mg) or placebo (counterbalanced across subjects), 17 healthy and 17 cocaine addicted individuals completed a classical executive function task (the color word Stroop) during event-related functional magnetic resonance imaging. All trials during which an error occurred were modeled against an active baseline (all correct congruent trials) using Statistical Parametric Mapping. Behavioral measures of task performance (total errors and post-error slowing, the latter being an adaptive, corrective response following an error that is thought to enable more controlled responding to prevent future errors) were also collected. Results: MPH improved task-related performance in all subjects fewer errors: F(1,32)=8.4, p3.1, p&lt;0.05 cluster-level corrected, small volume correction). Finally, across medication conditions and compared with controls, the cocaine subjects showed more error-related response in the cerebellum (group effect: Z=3.7, p&lt;0.01 cluster-level corrected). Discussion: An indirect dopamine/norepinephrine agonist (MPH) improved executive function in health and in cocaine addiction, paralleled by both common and unique underlying neural responses to error between the groups. The reduced error-related dACC activation in all subjects suggests more efficient errorrelated processing during MPH. This result is consistent with studies examining genetic variation in the COMT genotype, where individuals with the Val/Val genotype (associated with reduced extracellular dopamine in the prefrontal cortex) showed less efficient cognitive functioning (greater fMRI response in the ACC) than those with the Met/Met genotype during a working memory task. In contrast, MPH reduced DLPFC activation uniquely in the addicted subjects, possibly pointing to differential implementation of cognitive control (as there were indeed differences in DLPFC function between the groups during placebo). The cerebellar hyperactivity in the addicted individuals possibly reflects compensatory mechanisms that are needed (even with MPH) to achieve comparable task performance. Taken together, these pharmacological fMRI results point to the brain regions that could become potential therapeutic targets in future longitudinal intervention studies, such that the supervised and controlled administration of oral MPH could be used to improve cognitive function and optimize brain response to error.</t>
  </si>
  <si>
    <t>(Moeller S.J.; Woicik P.A.; Tomasi D.; Volkow N.D.; Goldstein R.Z.) 50th Annual Meeting of the American College of Neuropsychopharmacology, ACNP Waikoloa, HI, United States 2011-12-04 to 2011-12-08 Nature Publishing Group; ID: 1210</t>
  </si>
  <si>
    <t>Mohammed,S. I.;Author,Addresses;Department,of Clinical;College of Pharmacy, Baghdad University,Baghdad Iraq;Correspondence,Address;SI Mohammed, Department of Clinical Pharmacy College of,Pharmacy Baghdad;University,Baghdad Iraq Email drsamerimad gmail com</t>
  </si>
  <si>
    <t>Evaluation of analgesics use and misuse by Iraqi patients in Baghdad community</t>
  </si>
  <si>
    <t>Asian Journal of Pharmaceutical and Clinical Research</t>
  </si>
  <si>
    <t>(MAJOR FOCUS);analgesic agent (adverse drug reaction, drug therapy);analgesic agent abuse;drug misuse;drug use;adolescent;adult;adverse outcome;article;awareness;consultation;controlled study;cross-sectional study;drug information;drug preference;female;headache (drug therapy);human;Iraqi;male;medication compliance;middle aged;needs assessment;prescription;questionnaire;tooth pain (drug therapy);unspecified side effect (side effect);young adult;Public Health, Social Medicine and Epidemiology (17);Drug Literature Index (37);Adverse Reactions Titles (38);Drug Dependence, Alcohol Abuse and Alcoholism (40)</t>
  </si>
  <si>
    <t>Objectives: Analgesics, which currently represents the cornerstone of pain treatment, is one of the most widely used and abused medications all over the world. Since analgesics used and misused widely in Iraqi community, the possibility of complications and adverse effect development from analgesics may be significant. The purpose of this study is to assess the attitude and degree of awareness about the correct use, side effects, and complication of improper use of analgesics in Baghdad community and to find if there is any correlation between the miss use of analgesic and the need to extra medication or treatment as a result of analgesic adverse effect. Methods: This study was a cross-sectional survey using a pre-tested self-administered questionnaire which carried out in the different community pharmacy in Baghdad. An 11-question questionnaire collects demographics information and attitudes to use analgesics by respondents. Results: Analgesics consumption increases with age. The majority of users, 46% reported taking analgesics for unspecified general body pain, followed by a headache and other types of pain. (50.26%) of participant use analgesics frequently (more than 3 times weekly) and (57.44%) of them prefer a certain type of analgesics and used it frequently. Larger percentage of analgesics recommended to Iraqi patients by a pharmacist, followed by a doctor, or sometimes according to advice from a relative\friend while only (18.46%) were prescribed by patients themselves. Interestingly, (52.82%) of respondents have no information about the side effect, and higher percentage of them (61%) do not adhere to doses prescribed. About (11.28%) of respondents need for hospitalization, (58%) consult a physician, and (56%) use another medicine as a result of side effects or complications of analgesics. Significant correlation confirmed between misuse of analgesics and the need for hospitalization and patients need another medicine to treat side effects or complications of analgesics. Conclusion: Analgesics consumed widely and most of the times incorrectly by Iraqi people in Baghdad and its usage usually associated with many complications as a result of a misuse by the patients due to improper dispensing information or education provided by a pharmacist or other health care providers about the correct use or side effects associated with these medications.</t>
  </si>
  <si>
    <t>(Mohammed S.I., drsamerimad@gmail.com) Asian Journal of Pharmaceutical and Clinical Research, editor@ajpcr.com; ID: 782</t>
  </si>
  <si>
    <t>0974-2441</t>
  </si>
  <si>
    <t>Mohan,L.;Manish,Manish;Bairy,K. L.;Mohan,Babu Amberkar;Narayanareddy,M.;Meena Kumari,K.;Author,Addresses;Dept,of Pharmacology;College,Manipal University Manipal India;Dept of surgery, Katihar Medical College,Katihar India;Correspondence,Address;Meena Kumari, Dept of Pharmacology Kasturba Medical College Manipal,K.;University,Manipal India Email mini yahoo co in</t>
  </si>
  <si>
    <t>Personal formulary for anxiety disorder developed by post graduates of pharmacology</t>
  </si>
  <si>
    <t>alprazolam (adverse drug reaction, drug therapy, oral drug administration);antihistaminic agent (drug therapy);benzodiazepine (drug therapy);beta adrenergic receptor blocking agent (drug therapy);buspirone (drug therapy);chlordiazepoxide (drug therapy);diazepam (drug therapy);escitalopram (drug therapy);fluoxetine (drug therapy);hydroxyzine (drug therapy);lorazepam (drug therapy);oxazepam (drug therapy);paroxetine (drug therapy);propranolol (drug therapy);sedative agent (drug therapy);serotonin uptake inhibitor (drug therapy);anxiety disorder (drug therapy, drug therapy);drug use;personal drug concept;personal formulary;prescription;article;blurred vision (side effect);decision making;drowsiness (side effect);drug cost;drug dependence (side effect);drug efficacy;drug safety;fatigue (side effect);human;medical school;muscle weakness (side effect);nausea (side effect);patient information;pharmacology;postgraduate education;sedation;side effect (side effect);skill;teaching;vertigo (side effect);vomiting (side effect);withdrawal syndrome (side effect);alprazolam (28981-97-7);benzodiazepine (12794-10-4);buspirone (33386-08-2, 36505-84-7);chlordiazepoxide (438-41-5, 58-25-3);diazepam (439-14-5);escitalopram (128196-01-0, 219861-08-2);fluoxetine (54910-89-3, 56296-78-7, 59333-67-4);hydroxyzine (2192-20-3, 64095-02-9, 68-88-2);lorazepam (846-49-1);oxazepam (604-75-1);paroxetine (61869-08-7);propranolol (13013-17-7, 318-98-9, 3506-09-0, 4199-09-1, 525-66-6);Public Health, Social Medicine and Epidemiology (17);Psychiatry (32);Drug Literature Index (37);Adverse Reactions Titles (38)</t>
  </si>
  <si>
    <t>Selection of a drug for disease requires proper skill. Physicians select drug for a disease on the basis of efficacy, safety, cost and availability of medicine. Unfortunately, selection is not always done carefully as it is often based on previous experience or promotional campaigns by pharmaceutical companies. Personal drug concept deals with selection of drugs for disease. Undergraduate medical students are the future doctors, who require proper training to develop personal formulary for disease. In 2001, 'Teachers' Guide to Good Prescribing' was developed as a companion volume to help medical teacher for teaching undergraduate medical students. Students are taught to develop a standard treatment for common disorders and a set of firstchoice drugs called Personal or P-drugs or personal formulary. Students develop their set of P-drugs using National and International treatment guidelines, formularies, textbooks and other sources of drug information. It is a method of orienting students towards therapeutics and to expose them to a sequential decision-making process for developing prescribing skills. The faculty of department of Pharmacology of Kasturba Medical College took initiative to teach post graduate (PG) students regarding the development of personal formulary. The ultimate aim is to expand this exercise further to teach undergraduate medical students to develop their own personal formulary. This paper describes the teaching of development of personal formulary for anxiety disorders, which demonstrates the usefulness of P drug concept approach, relevance in understanding a particular topic and rational drug prescription.</t>
  </si>
  <si>
    <t>(Mohan L., mini41178@yahoo.co.in; Bairy K.L.; Mohan Babu Amberkar V.; Narayanareddy M.; Meena Kumari K.) (Manish Manish) Global Research Online, Plot No: 6, R. K. Lake view, Hebbagudi, Anekal Taluk, Bangalore, India.; ID: 1306</t>
  </si>
  <si>
    <t>Mohide,E. A.</t>
  </si>
  <si>
    <t>Review: existing evidence does not support behavioural or other specific interventions to prevent smoking relapse</t>
  </si>
  <si>
    <t>109 1p</t>
  </si>
  <si>
    <t>Behavior Therapy;Recurrence -- Prevention and Control;Smoking Cessation;Smoking -- Prevention and Control;Clinical Trials;Systematic Review;Treatment Outcomes</t>
  </si>
  <si>
    <t>Are smoking relapse prevention interventions effective in people who have recently quit smoking?METHODSData sources: Cochrane Tobacco Addiction Review Group register of trials, which included the results of searches of Medline, PsycINFO, and conference abstracts (all to Aug 2005).Study selection and assessment: randomised or quasi-randomised controlled trials of participants who had quit smoking on their own, were in enforced abstinence, or were in cessation programmes; had &gt;/=6 months of follow up; and compared relapse prevention interventions with no intervention, a shorter intervention, or an intervention not oriented toward relapse prevention. 42 trials (n = 30 580) met the selection criteria. Relapse prevention interventions included behavioural strategies and pharmacotherapy. Intensive behavioural intervention involved repeated face to face contact aimed at teaching people to identify tempting situations and apply coping and cognitive strategies to resist relapse. Less intensive interventions included written materials and brief face to face or telephone contacts.Outcomes: smoking abstinence at follow up (&gt;/=6 mo).MAIN RESULTSMost analyses showed no difference between relapse prevention interventions and control conditions for smoking abstinence (table).CONCLUSIONExisting evidence does not support the effectiveness of behavioural or other specific interventions for prevention of relapse in people who have successfully quit smoking.</t>
  </si>
  <si>
    <t>Entry Date: 20070119. Revision Date: 20150820. Publication Type: Journal Article; abstract; commentary; tables/charts. Original Study: Lancaster T, Hajek P, Stead LF et al. Prevention of relapse after quitting smoking: a systematic review of trials. ARCH INTERN MED 2006; 166: 828-35. Journal Subset: Core Nursing; Europe; Nursing; Peer Reviewed; UK &amp; Ireland. Special Interest: Evidence-Based Practice. NLM UID: 9815947. PMID: 17076011.; ID: 2021</t>
  </si>
  <si>
    <t>School of Nursing, McMaster University, Hamilton, Ontario, Canada</t>
  </si>
  <si>
    <t>http://proxy.lib.umich.edu/login?url=http://search.ebscohost.com/login.aspx?direct=true&amp;db=ccm&amp;AN=106216767&amp;site=ehost-live&amp;scope=site</t>
  </si>
  <si>
    <t>ccm; EBSCOhost; Review: existing evidence does not support behavioural or other specific interventions to prevent smoking relapse</t>
  </si>
  <si>
    <t>Moka,E.;Vadalouca,A.;Argyra,E.;Siafaka,I.;Author,Addresses;Anaesthesiology Department, Creta InterClinic,Hospital Heraklion;Crete,Greece;Anaesthesiology Department,Chronic;Pain;Palliative Care Centre, Aretaieion University,Hospital Athens;Greece;Correspondence,Address;Moka, Anaesthesiology Department Creta InterClinic Hospital Heraklion,E.;Crete,Greece</t>
  </si>
  <si>
    <t>RA in opiod tolerant patients</t>
  </si>
  <si>
    <t>September-October</t>
  </si>
  <si>
    <t>e96</t>
  </si>
  <si>
    <t>e100</t>
  </si>
  <si>
    <t>analgesic agent;cyclic AMP;cytochrome P450;guanine nucleotide binding protein;methadone;morphine;narcotic analgesic agent;opiate;opiate agonist;opiate receptor;oxycodone;receptor;sedative agent;sufentanil;human;pain;patient;regional anesthesia;society;therapy;abuse;acceleration;adaptation;addiction;agonist;analgesia;analgesic activity;anesthesia;anesthesia (sensory dysfunction);basic research;behavior;brain;cancer pain;caregiver;cell surface;chronic pain;cross tolerance;diagnosis;diaphoresis;diarrhea;diseases;dose response;down regulation;drug dependence;drug exposure;drug metabolism;drug therapy;enzyme induction;exposure;hepatitis;Human immunodeficiency virus;hypertension;implantable cardioverter defibrillator;infection;internalization;intestine motility;intoxication;kinetics;long term exposure;medical specialist;mental disease;metabolism;methadone treatment;miosis;patient satisfaction;pharmacokinetics;physician;preoperative evaluation;quality of life;receptor density;receptor down regulation;receptor occupancy;respiration depression;safety;signal transduction;spinal cord;spinal cord dorsal horn;substance abuse;surgery;synthesis;tachycardia;therapy effect;tuberculosis;upregulation;withdrawal syndrome</t>
  </si>
  <si>
    <t>Introduction: Noticeable shifts in pain pharmacotherapy and physicians attitude have occurred during the previous years, in reference to opioids use for the treatment of benign and malignancy-related pain, with pain specialists prescribing opioids to a greater number of patients and in doses appropriately titrated towards individualized needs. The percentage of patients to whom opiates for chronic pain are prescribed has increased dramatically in recent years. Interestingly, 47% of these patients are treated with strong opioids, such as morphine, oxycodone and methadone, whereas long-term opioid use and dose escalation has been noted in one third of patients with chronic non-cancer pain. Avariety of opioid analgesics and delivery systems have been introduced, that have increased patient satisfaction, physician acceptance, and overall use. Concomitant with improvements in pain relief and quality of life improvement, an increasing number of patients are affected by issues related to opioid tolerance and physical dependence. Only few published reviews address the treatment of acute pain in patients with substance abuse disorders, and even fewer have focused specifically on perioperative pain management in opioid- tolerant or opioid-dependent patients, incorporating Regional Anaesthesia (RA) techniques. Multiple factors are responsible for opioid tolerance, physical dependence and/or addiction, making pain management even more difficult in this specialized subset of patients. Many patients who present for surgery and anesthesia may be opioid- dependent or at least moderately tolerant to the therapeutic effects of opioid analgesics. Causal factors underlying tolerance and dependency include substance use disorder and, more commonly, legitimate use of opioid analgesics for treatment of chronic benign or malignancy-associated pain. Opioid- dependent/tolerant patients, particularly substance abusers, may present with organ damage, infectious diseases such as human immunodeficiency virus, tuberculosis, hepatitis, associated psychological disorders, and drug-specific adaptations such as tolerance, physical dependence, and withdrawal. These variables alone or in combination may diminish opioid analgesic effectiveness in the perioperative setting. Perioperative management of opioid-tolerant/ dependent patients and RAapplication pose a special challenge to primary caregivers, anaesthesiologists and pain specialists alike, with the problem usually emanating from the often conflicting needs to balance the rights of the patient on one hand and concerns regarding safety, diversion, and abuse on the other, thus raising important ethical issues. Basic Concepts of Opioid Use Disorders: Terminology-Criteria-Key Issues: Prior to presentation of RA role in opioid tolerant patients, the following issues should be considered to provide a comprehensive perioperative pain management strategy: (1) key concepts and definitions, such as substance abuse, physical versus psychological dependence, and tolerance development; (2) clinical differentiation of opioid dependency; (3) preoperative assessment issues; and (4) postoperative-perioperative management issues. Substance use disorders have been classified according to clinical manifestations of psychological dependence, with/without physical dependence or tolerance or/and both. Specific definitions have already been consolidated in current literature. Distinctive boundaries of definitions might not be always clear (especially for terms such as addiction, dependence, abuse and substance abuse), partly due to terminology evolvement over time in varying historical and sociocultural contexts, also reflecting conflicts regarding appropriate terminology for the complex medical and psychosocial issues, that underlie chronic and compulsive substance-using behaviour. Opioids Physical Dependence - Withdrawal Syndrome: It describes alterations in physiologic response that result from opioid binding and receptor-mediated activity. Abrupt discontinuation of oral or parenterally administered opioids leads to opioid withdrawal or abstinence syndrome (hypertension, tachycardia, diaphoresis, abdominal cramping, and diarrhea, as well as physiologic and behavioral responses). These symptoms, although very unpleasant are rarely life threatening; however, they can often confuse clinical diagnosis and care. The time course of withdrawal (onset, peak intensity) is variable, depending on the opioid used. Opioid Tolerance - Definition: Opioid tolerance is a predictable pharmacologic adaptation. Continued opioid exposure results in a rightward shift in the dose-response curve, and patients require increasing amounts of drug to maintain the same pharmacologic effects. The phenomenon of tolerance develops to analgesic, euphoric, sedative, respiratory depressant, and nauseating effects of opioids, but not to their effects on miosis and bowel motility. The degree or gradation of opioid tolerance is generally related to duration of exposure, daily dose requirement, and receptor association/disassociation kinetics. Opioid agonists binding to the same receptor may show asymmetric cross-tolerance, depending on their intrinsic efficacy. For example, patients treated with sufentanil, an agonist having high intrinsic efficacy and requiring low receptor occupancy for a given analgesic effect, develop tolerance more slowly than to opioids having low intrinsic efficacy, such as morphine. Tolerance is observed in patients to whom opioids are legitimately prescribed for pain management, as well as in those abusing this class of drug. In general, the higher the daily dose requirement, the greater is the degree of tolerance development, thus reflecting harmful addiction rather than a normal adaptation to this class of analgesics. Types of Opioid Tolerance - Molecular and Cellular Mechanisms: Several types of opioid tolerance, including (1) Innate and (2) Acquired, have been defined. Innate tolerance refers to preexisting insensitivity, which is genetically determined and hence is present before drug exposure. True Tolerance is acquired after multiple exposures. This can be of three types: Pharmacokinetic Tolerance, Learned Tolerance, and Pharmacodynamic Tolerance. Pharmacokinetic tolerance refers to changes in distribution or metabolism of the drug, usually by enzyme induction and subsequent acceleration in metabolism. There is also adequate evidence that drug metabolism by genetically variable P-450 can also influence the development of tolerance and dependence. Learned tolerance, refers to a reduction in the effects of a drug due to compensatory mechanisms that are learned. For example, an opioid abuser learns to behave normally despite intoxication. Learned tolerance is also observed in methadone maintenance programs, where abusers mask the effects of methadone, so that a higher dose will be prescribed. Perhaps the most important form of tolerance relevant to opioids is pharmacodynamic tolerance. Pharmacodynamic tolerance has been related to neuroadaptive changes that take place after long-term exposure to the drug. These include changes in receptor density and alterations in receptor coupling to G proteins and signal transduction pathways. Basic research has provided a better understanding of the cellular and molecular mechanisms mediating pharmacodynamic opioid tolerance. These mechanisms possibly occur at two distinct levels. The first occurs at the level of the opioid receptor and involves (a) receptor desensitization on long-term or repeated exposure to opioids, (b) subsequent decreases in the absolute number of opioid receptors (down-regulation), (c) receptor trafficking from cell surface to the interior of the cells (internalization), and (d) secondary uncoupling of opioid receptors from underlying G proteins. Another mechanism proposed to explain pharmacodynamic tolerance involves up-regulation of the cyclic adenosine monophosphate (cAMP). Acutely, opiates inhibit the functional activity of the cAMP pathway, although with long-term opiate exposure, the cAMP pathway gradually recovers, and tolerance develops. Increased synthesis of cAMP may be responsible for physical dependence and physiologic changes associated with withdrawal. Up-regulation of cAMP has been most clearly demonstrated in brain, but up-regulation within the dorsal horn of the spinal cord seems to be responsible for tolerance to opioid - induced analgesia.</t>
  </si>
  <si>
    <t>(Moka E.) (Vadalouca A.; Argyra E.; Siafaka I.) 33rd Annual European Society of Regional Anaesthesia and Pain Therapy, ESRA Congress 2014 Seville, Spain 2014-09-03 to 2014-09-06 Lippincott Williams and Wilkins; ID: 891</t>
  </si>
  <si>
    <t>Molino Cde,G.;Carnevale,R. C.;Rodrigues,A. T.;Visacri,M. B.;Moriel,P.;Mazzola,P. G.</t>
  </si>
  <si>
    <t>PMC4130328; Impact of pharmacist interventions on drug-related problems and laboratory markers in outpatients with human immunodeficiency virus infection</t>
  </si>
  <si>
    <t>Therapeutics &amp; Clinical Risk Management</t>
  </si>
  <si>
    <t>BACKGROUND: Substantial complexity has been introduced into treatment regimens for patients with human immunodeficiency virus (HIV) infection. Many drug-related problems (DRPs) are detected in these patients, such as low adherence, therapeutic inefficacy, and safety issues. We evaluated the impact of pharmacist interventions on CD4+ T-lymphocyte count, HIV viral load, and DRPs in patients with HIV infection. METHODS: In this 18-month prospective controlled study, 90 outpatients were selected by convenience sampling from the Hospital Dia-University of Campinas Teaching Hospital (Brazil). Forty-five patients comprised the pharmacist intervention group and 45 the control group; all patients had HIV infection with or without acquired immunodeficiency syndrome. Pharmaceutical appointments were conducted based on the Pharmacotherapy Workup method, although DRPs and pharmacist intervention classifications were modified for applicability to institutional service limitations and research requirements. Pharmacist interventions were performed immediately after detection of DRPs. The main outcome measures were DRPs, CD4+ T-lymphocyte count, and HIV viral load. RESULTS: After pharmacist intervention, DRPs decreased from 5.2 (95% confidence interval CI] =4.1-6.2) to 4.2 (95% CI =3.3-5.1) per patient (P=0.043). A total of 122 pharmacist interventions were proposed, with an average of 2.7 interventions per patient. All the pharmacist interventions were accepted by physicians, and among patients, the interventions were well accepted during the appointments, but compliance with the interventions was not measured. A statistically significant increase in CD4+ T-lymphocyte count in the intervention group was found (260.7 cells/mm(3) 95% CI =175.8-345.6] to 312.0 cells/mm(3) 95% CI =23.5-40.6], P=0.015), which was not observed in the control group. There was no statistical difference between the groups regarding HIV viral load. CONCLUSION: This study suggests that pharmacist interventions in patients with HIV infection can cause an increase in CD4+ T-lymphocyte counts and a decrease in DRPs, demonstrating the importance of an optimal pharmaceutical care plan.</t>
  </si>
  <si>
    <t>J2: Ther Clin Risk Manag; Molino, Caroline de Godoi Rezende Costa Carnevale, Renata Cavalcanti Rodrigues, Aline Teotonio Visacri, Marilia Berlofa Moriel, Patricia Mazzola, Priscila Gava; ID: 90</t>
  </si>
  <si>
    <t>1176-6336</t>
  </si>
  <si>
    <t>Molino,Caroline de Godoi Rezende Costa. Department of Clinical Pathology, Faculty of Medical Sciences (FCM), University of Campinas (UNICAMP), Sao Paulo, Brazil. Carnevale,Renata Cavalcanti. Department of Clinical Pathology, Faculty of Medical Sciences (FCM), University of Campinas (UNICAMP), Sao Paulo, Brazil. Rodrigues,Aline Teotonio. Department of Clinical Pathology, Faculty of Medical Sciences (FCM), University of Campinas (UNICAMP), Sao Paulo, Brazil. Visacri,Marilia Berlofa. Department of Clinical Pathology, Faculty of Medical Sciences (FCM), University of Campinas (UNICAMP), Sao Paulo, Brazil. Moriel,Patricia. Department of Clinical Pathology, Faculty of Medical Sciences (FCM), University of Campinas (UNICAMP), Sao Paulo, Brazil. Mazzola,Priscila Gava. Department of Clinical Pathology, Faculty of Medical Sciences (FCM), University of Campinas (UNICAMP), Sao Paulo, Brazil.</t>
  </si>
  <si>
    <t>http://ovidsp.ovid.com/ovidweb.cgi?T=JS&amp;CSC=Y&amp;NEWS=N&amp;PAGE=fulltext&amp;D=prem&amp;AN=25120369</t>
  </si>
  <si>
    <t>http://dx.doi.org/10.2147/TCRM.S61821</t>
  </si>
  <si>
    <t>MEDLINE; Ovid Technologies; Impact of pharmacist interventions on drug-related problems and laboratory markers in outpatients with human immunodeficiency virus infection</t>
  </si>
  <si>
    <t>Moni,Roger W.;Depaz,Iris;Lluka,Lesley J.</t>
  </si>
  <si>
    <t>Student Perceptions of Social Learning Space: Designing and Implementing a Co-Operative Assessment Task in Pharmacology</t>
  </si>
  <si>
    <t>(13</t>
  </si>
  <si>
    <t>Student Attitudes;Pharmacology;College Science;Science Instruction;Case Studies;Undergraduate Students;Computer Assisted Instruction;Cooperative Learning;Focus Groups;Student Surveys;Foreign Countries;Identifier: Australia</t>
  </si>
  <si>
    <t>We report findings from a case study of co-operative, group-based assessment in Pharmacology for second-year undergraduates at The University of Queensland, Australia. Students enrolled in the 2005 Bachelor of Science and 2006 Bachelor of Pharmacy degree programs, were early users of the university's new Collaborative Teaching and Learning Centre (CTLC), a specialised social learning space. A pre-existing, traditionally taught Computer Assisted Learning (CAL) module on the topic of Drug Dependence was common to the courses for Science and Pharmacy students. We describe how this module was redesigned as part of a 3-hour, co-operative assignment weighted as 5%. Details of the co-operative learning principles, the teaching strategy and the assessment design are documented. Most students achieved high academic results: Science (2005) mean plus or minus] SD = 79.5plus or minus]14.8%, n = 232; Pharmacy (2006) mean plus or minus] SD = 83.3plus or minus]13.6%, n = 186. From post-task opinion surveys and focus group interviews, both student cohorts perceived that CTLC facilities and the group work helped them learn about Drug Dependence. These data confirmed that most students felt they worked co-operatively to complete the assessment. Time and understanding the new task were the main reported stressors. (Contains 3 figures and 1 table.)</t>
  </si>
  <si>
    <t>FirstSearch indicates your institution subscribes to this publication. Libraries worldwide that own item: 524 University of Michigan Library Search the Mirlyn catalog at the University of MichiganLocal Holdings Information: 1-; 2003- Education Level: Higher Education; Postsecondary Education Article (EJ); ID: 2107</t>
  </si>
  <si>
    <t>Centre for Bioscience, The Higher Education Academy. Room 9.15, Worsley Building, University of Leeds, Leeds LS2 9JT United Kingdom. Tel: +44-113-343-3001; Fax: +44-113-343-5894; e-mail: beej@leeds.ac.uk; Web site: http://www.bioscience.heacademy.ac.uk/journal; http://dx.doi.org/10.3108/beej.11.9</t>
  </si>
  <si>
    <t>EJ835799</t>
  </si>
  <si>
    <t>ERIC; OCLC; Student Perceptions of Social Learning Space: Designing and Implementing a Co-Operative Assessment Task in Pharmacology</t>
  </si>
  <si>
    <t>Monson,A. L.;Romas,J. A.</t>
  </si>
  <si>
    <t>A review of pharmacological and educational approaches for tobacco cessation</t>
  </si>
  <si>
    <t>Internet Journal of Allied Health Sciences &amp; Practice</t>
  </si>
  <si>
    <t>13p</t>
  </si>
  <si>
    <t>13p 1p</t>
  </si>
  <si>
    <t>Psychoeducation;Smoking Cessation;Smoking -- Drug Therapy;Transtheoretical Stages of Change Model;Behavior, Addictive -- Complications;Chronic Disease -- Etiology;Female;Fetus;Health Personnel;Life Style Changes;Nicotine Replacement Therapy;Nicotine -- Adverse Effects;Pregnancy;Smoking -- Complications;Smoking -- Complications -- In Utero;Smoking -- Mortality;Smoking -- Therapy;Substance Dependence -- Etiology</t>
  </si>
  <si>
    <t>Assisting patients to quit smoking continues to be critical for all health care providers as the Surgeon General's report in 2004 reported a significant increase in the number of diseases caused by smoking. Awareness of the extreme addictiveness of nicotine may help health care providers increase empathy for patients attempting to quit. Health care providers can identify the patient's stage of change, according to the Transtheoretical Model, and incorporate appropriate pharmacological and educational methods to aid in the quit attempt.</t>
  </si>
  <si>
    <t>Entry Date: 20060331. Revision Date: 20150818. Publication Type: Journal Article. Journal Subset: Allied Health; Blind Peer Reviewed; Double Blind Peer Reviewed; Editorial Board Reviewed; Expert Peer Reviewed; Peer Reviewed; USA.; ID: 1801</t>
  </si>
  <si>
    <t>1540-580X</t>
  </si>
  <si>
    <t>Assistant Professor, Department of Dental Hygiene, Minnesota State University, Mankato, 3 Morris Hall, Mankato, MN 56001; angela.monson@mnsu.edu</t>
  </si>
  <si>
    <t>http://proxy.lib.umich.edu/login?url=http://search.ebscohost.com/login.aspx?direct=true&amp;db=ccm&amp;AN=106416312&amp;site=ehost-live&amp;scope=site</t>
  </si>
  <si>
    <t>ccm; EBSCOhost; A review of pharmacological and educational approaches for tobacco cessation</t>
  </si>
  <si>
    <t>Montagne,M.;Clute,S. S.;McKennell,T.</t>
  </si>
  <si>
    <t>A statewide decentralized public drug information system</t>
  </si>
  <si>
    <t>Community Pharmacy Services/og Organization &amp; Administration];*Drug Information Services/og Organization &amp; Administration];Education, Pharmacy, Continuing;Minnesota;*Regional Medical Programs/og Organization &amp; Administration]</t>
  </si>
  <si>
    <t>A statewide drug information system designed to assist consumers and health professionals is described, with emphasis on the training of pharmacists in the system's satellites. The development of the system was initially funded by a 10-month, $12,500 grant from the Chemical Dependency Division of the State of Minnesota Department of Public Welfare. Twenty-one satellite drug information centers in community or hospital pharmacies are linked by a WATS telephone line to the library of the University of Minnesota College of Pharmacy. Consumers' questions are handled through the satellites with the pharmacists there referring to the central information source as needed. All the pharmacists in the system are trained in a one and one-half day program that covers (1) consultation skills, (2) communication skills, (3) drug information retrieval and distribution, (4) practical applications, (5) promotion, and (6) resources and referrals. The average amount of time devoted to the service for all pharmacy sites is 15-20 minutes per day. Percentage of time that specific resources are used include one's own knowledge and experience, 64.8%; a fellow pharmacist, 5.7%; another resource individual, 5.1%; a standard pharmacy reference book, 13.4%; the central clearinghouse at the college, 6.2%; and another resource facility, 4.8%. The authors believe that their system can be easily adapted to other areas.</t>
  </si>
  <si>
    <t>J2: Am J Hosp Pharm; Montagne, M Clute, S S McKennell, T; ID: 723</t>
  </si>
  <si>
    <t>http://ovidsp.ovid.com/ovidweb.cgi?T=JS&amp;CSC=Y&amp;NEWS=N&amp;PAGE=fulltext&amp;D=med2&amp;AN=7416176</t>
  </si>
  <si>
    <t>MEDLINE; Ovid Technologies; A statewide decentralized public drug information system</t>
  </si>
  <si>
    <t>Montalto,N. J.</t>
  </si>
  <si>
    <t>Recommendations for the treatment of nicotine dependency</t>
  </si>
  <si>
    <t>Journal of the American Osteopathic Association</t>
  </si>
  <si>
    <t>J.Am.Osteopath.Assoc.</t>
  </si>
  <si>
    <t>Health Behavior;Humans;Motivation;*Practice Guidelines as Topic;Referral and Consultation;*Tobacco Use Cessation/mt Methods];Tobacco Use Disorder/di Diagnosis];*Tobacco Use Disorder/th Therapy]</t>
  </si>
  <si>
    <t>The US Public Health Service (PHS) Clinical Practice Guideline Treating Tobacco Use and Dependence, published in June 2000, is a clinician-targeted resource that encourages physicians to apply evidence-based interventions when treating tobacco-dependent patients. Issued by the PHS Surgeon General, the guideline recommends a new standard of care in treating tobacco dependency, the chief cause of preventable death and disease in the United States. It calls on clinicians to more consistently identify and evaluate tobacco-dependent patients and to provide treatment, motivation to quit, and referrals to smoking cessation specialists. The guideline also serves as a mandate for healthcare insurers to offer pharmacologic and behavioral treatment modalities as benefits to insured persons and to provide education and reimbursement for clinicians.</t>
  </si>
  <si>
    <t>J2: J Am Osteopath Assoc; Montalto, Norman J; ID: 521</t>
  </si>
  <si>
    <t>0098-6151</t>
  </si>
  <si>
    <t>Montalto,Norman J. West Virginia University/Charleston Division, USA. norman.montalto@camc.org</t>
  </si>
  <si>
    <t>http://ovidsp.ovid.com/ovidweb.cgi?T=JS&amp;CSC=Y&amp;NEWS=N&amp;PAGE=fulltext&amp;D=med4&amp;AN=12090652</t>
  </si>
  <si>
    <t>MEDLINE; Ovid Technologies; Recommendations for the treatment of nicotine dependency</t>
  </si>
  <si>
    <t>Montelius,E.;Astrand,B.;Hovstadius,B.;Petersson,G.</t>
  </si>
  <si>
    <t>Individuals appreciate having their medication record on the web: a survey of attitudes to a national pharmacy register</t>
  </si>
  <si>
    <t>Journal of Medical Internet Research</t>
  </si>
  <si>
    <t>e35</t>
  </si>
  <si>
    <t>e35 1p</t>
  </si>
  <si>
    <t>Attitude to Computers;Automation;Drug Therapy;Electronics -- Standards;Internet;Medical Informatics -- Standards;Medication Systems -- Standards;Data Collection;Power;Risk Assessment;Human</t>
  </si>
  <si>
    <t>BACKGROUND: Many patients receive health care in different settings. Thus, a limitation of clinical care may be inaccurate medication lists, since data exchange between settings is often lacking and patients do not regularly self-report on changes in their medication. Health care professionals and patients are both interested in utilizing electronic health information. However, opinion is divided as to who should take responsibility for maintaining personal health records. In Sweden, the government has passed a law to enforce and fund a national register of dispensed medications. The register comprises all individuals with dispensed medications (6.4 million individuals, September 2006) and can be accessed by the individual online via 'My dispensed medications'. The individual has the right to restrict the accessibility of the information in health care settings. OBJECTIVE: The aim of the present study was to evaluate the users' attitudes towards their access to 'My dispensed medications' as part of a new interactive Internet service on prescribed medications. METHOD: A password-protected Web survey was conducted among a first group of users of 'My dispensed medications'. Data was anonymously collected and analyzed with regard to the usefulness and design of the Web site, the respondents' willingness to discuss their 'My dispensed medications' with others, their reasons for access, and their source of information about the service. RESULTS: During the study period (January-March, 2007), all 7860 unique site visitors were invited to answer the survey. Invitations were accepted by 2663 individuals, and 1716 responded to the online survey yielding a view rate of 21.8% (1716/7860) and a completion rate of 64.4% (1716/2663). The completeness rate for each question was in the range of 94.9% (1629/1716) to 99.5% (1707/1716). In general, the respondents' expectations of the usefulness of 'My dispensed medications' were high (total median grade 5; Inter Quartile Range IQR] 3, on a scale 1-6). They were also positive about the design of the Web site (total median grade 5; IQR 1, on a scale 1-6). The high grades were not dependent on age or number of drugs. A majority of the respondents, 60.4% (1037/1716), had learned about 'My dispensed medications' from pharmacies. 70.4% (1208/1716) of all respondents said they visited 'My dispensed medications' to get control or an overview of their drugs. Getting control was a more common (P &lt; .001) answer for the elderly (age 75 or above), whereas curiosity was more common (P &lt; .001) for the younger age group (18-44 years). CONCLUSION: We found that users of the provider-based personal medication record 'My dispensed medications' appreciated the access to their record. Since we found that the respondents liked the design of the Web site and perceived that the information was easy to understand, the study provided no reason for system changes. However, a need for more information about the register, and to extend its use, was recognized.</t>
  </si>
  <si>
    <t>Entry Date: 20090529. Revision Date: 20150711. Publication Type: Journal Article; research. Journal Subset: Biomedical; Canada; Computer/Information Science; Editorial Board Reviewed; Expert Peer Reviewed; Peer Reviewed. Special Interest: Informatics. NLM UID: 100959882. PMID: 19000978.; ID: 1921</t>
  </si>
  <si>
    <t>1438-8871</t>
  </si>
  <si>
    <t>E-Health Institute, University of Kalmar, Kalmar, Sweden. emelie.montelius@hik.se</t>
  </si>
  <si>
    <t>http://proxy.lib.umich.edu/login?url=http://search.ebscohost.com/login.aspx?direct=true&amp;db=ccm&amp;AN=105572555&amp;site=ehost-live&amp;scope=site</t>
  </si>
  <si>
    <t>ccm; EBSCOhost; Individuals appreciate having their medication record on the web: a survey of attitudes to a national pharmacy register</t>
  </si>
  <si>
    <t>Montello,M. J.;Ames,T.</t>
  </si>
  <si>
    <t>Therapeutic selection during an emergency response</t>
  </si>
  <si>
    <t>Decision Making;*Disasters;*Drug Therapy/st Standards];*Emergency Treatment/st Standards];Guidelines as Topic;Humans;Maryland;Patient Care Management/st Standards];*Pharmaceutical Services/st Standards]</t>
  </si>
  <si>
    <t>Therapeutic selection in a postdisaster setting is described. Therapeutic selection is the process of assessing a patient's pharmaceutical requirements and selecting the appropriate therapy. Although the primary criteria for drug selection during a disaster response are the same as in usual pharmacy practice, there is a shift in emphasis created by communication and transportation limitations and by changes in the patient's general living environment. The cost of agents is no longer viewed in terms of dollars but in the context of limited inventories. A disaster may exacerbate health problems or make adverse drug effects more common and problematic. Drug administration and patient compliance will be hampered. Pre-established guidelines for appropriate patient care should be reviewed and approved by a group of representative health care providers. General policies for pharmaceutical care should include guidelines for a formulary, prescription refills, dispensing limitations, and prescriber approval. Therapeutic selection should involve obtaining a medical history, selecting a drug regimen, educating and counseling the patient, and documenting the process. Pharmacists should use familiar procedures that they are comfortable with to minimize stress and optimize outcomes. Procedures should be flexible to adjust to circumstances and individual patient needs. Therapeutic selection during a disaster response, although based on the same principles as traditional therapeutic selection, is more complex. Pharmacists will need to tailor their approach to the circumstances and to individual patient needs. References: 4]</t>
  </si>
  <si>
    <t>J2: Am J Health-Syst Pharm; Montello, M J Ames, T; ID: 568</t>
  </si>
  <si>
    <t>Montello,M J. Disaster Medical Assistance Team-1, U.S. Public Health Service, Bethesda, MD, USA. montellom@ctep.nci.nih.gov</t>
  </si>
  <si>
    <t>http://ovidsp.ovid.com/ovidweb.cgi?T=JS&amp;CSC=Y&amp;NEWS=N&amp;PAGE=fulltext&amp;D=med4&amp;AN=10030508</t>
  </si>
  <si>
    <t>MEDLINE; Ovid Technologies; Therapeutic selection during an emergency response</t>
  </si>
  <si>
    <t>Montgomery,J.;Turner,T. J.;Quinn,M.;Harms,J.;Samol,S.;Fabian,T.;Author,Addresses;Western Psychiatric,Institute;Clinic,University of Pittsburgh Medical;Center,Pittsburgh United States;Correspondence,Address;Montgomery,Western Psychiatric Institute,J.;Clinic,University of;Pittsburgh Medical Center, Pittsburgh,United States</t>
  </si>
  <si>
    <t>The role of a community pharmacy resident in expanding clinical pharmacy services within a traditional dispensing model</t>
  </si>
  <si>
    <t>394e</t>
  </si>
  <si>
    <t>clinical pharmacy;college;community;hospital department;human;model;pharmacy;diabetes mellitus;diagnosis;diseases;documentation;drug therapy;education;electronic medical record;health;hyperlipidemia;hypertension;mental disease;metabolic syndrome X;outpatient;patient;patient care;patient compliance;pharmacist;pilot study;population;premature mortality;primary medical care;risk;workflow</t>
  </si>
  <si>
    <t>PURPOSE: Patients with serious mental illness are at a higher risk for developing chronic medical disorders including metabolic syndrome and have significantly higher rates of premature mortality. Adherence to medications presents a special challenge for this vulnerable patient population. Community pharmacists can directly impact patient care and improve clinical outcomes through innovative dispensing models and specialized pharmacy services. We evaluated the role of a community pharmacy resident in expanding clinical pharmacy services within a traditional dispensing model. METHODS: A total of 50 psychiatric outpatients were identified as having complex medication regimens and poor medication adherence and were enrolled in a pillbox program. Medical and psychiatric medications were dispensed in a weekly pillbox to promote adherence. Electronic medical records were reviewed to identify individuals with medical comorbidities including diabetes, hypertension or hyperlipidemia. A comprehensive medication review was conducted and medication education provided to the patient over three visits. Documentation of each visit was sent to the patient's primary care provider. RESULTS: Of the 50 patients enrolled in the pillbox program, 27 (54%) had co-morbid medical diagnoses of diabetes, hypertension and/or hyperlipidemia. To date, one-third (9/27) have completed the medication management program. Patients were prescribed an average of 11 medications with complex dosing regimens. Eighteen drug therapy problems were identified of which 16 (89%) were resolved through pharmacy interventions with providers. CONCLUSION: The addition of a community pharmacy resident was important to the success of this pilot project to assess feasibility of adding clinical pharmacy services to our current workflow. Although patients were enrolled in a structured dispensing program, drug therapy problems including adherence were identified. Pharmacists addressed patient specific medication issues and collaborated with providers to resolve. Incorporation of clinical pharmacy services into a traditional dispensing model can improve medication adherence, address access to care and promote health outcomes.</t>
  </si>
  <si>
    <t>(Montgomery J.; Turner T.J.; Quinn M.; Harms J.; Samol S.; Fabian T.) 2011 Annual Meeting of the American College of Clinical Pharmacy Pittsburgh, PA, United States 2011-10-16 to 2011-10-19 Pharmacotherapy Publications Inc.; ID: 1225</t>
  </si>
  <si>
    <t>Moore,S. R.;Hollandsworth,J. G.;Author,Addresses;Dept Hlth Adm, Sch Publ,Hlth Univ;North Carolina,Chapel,Hill N.;Correspondence,Address;Dept Hlth Adm, Sch Publ Hlth Univ North Carolina Chapel,Hill N.</t>
  </si>
  <si>
    <t>Implementation and evaluation of a drug education program for a pharmacy school curriculum</t>
  </si>
  <si>
    <t>curriculum;drug abuse;education;stereotypy;adult;central nervous system;normal human;prevention;Public Health, Social Medicine and Epidemiology (17);Psychiatry (32);Health Policy, Economics and Management (36);Drug Dependence, Alcohol Abuse and Alcoholism (40)</t>
  </si>
  <si>
    <t>As the result of a perceived need for some type of classroom attempt at approaching the subject of drug use in society, an interdisciplinary class was begun at the School of Pharmacy at the University of North Carolina. Using funding from Project SPEED, a NIDA contract with the Student American Pharmaceutical Association, and continuing them for a three year period, the program was able to substantiate both a significant change in the cognitive levels of knowledge about drugs and its effect in society, as well as significant changes in attitudes of students to that of a more accepting attitude toward drug users as well as greater desire for social change related to stereotypes and current social policy.</t>
  </si>
  <si>
    <t>(Moore S.R.; Hollandsworth J.G.); ID: 1782</t>
  </si>
  <si>
    <t>Moore,T. J.;Ritter,A.;Caulkins,J. P.</t>
  </si>
  <si>
    <t>The costs and consequences of three policy options for reducing heroin dependency</t>
  </si>
  <si>
    <t>Australia;Cost-Benefit Analysis;Drug and Narcotic Control/ec Economics];Drug and Narcotic Control/lj Legislation &amp; Jurisprudence];*Drug and Narcotic Control/mt Methods];*Health Policy;*Heroin Dependence/ec Economics];*Heroin Dependence/pc Prevention &amp; Control];Heroin Dependence/rh Rehabilitation];Humans;*Law Enforcement;Methadone/ec Economics];Methadone/tu Therapeutic Use];Outcome and Process Assessment (Health Care);Patient Compliance;Prisons/ec Economics];Prisons/ut Utilization];Prospective Studies;Quality-Adjusted Life Years;Residential Treatment/ec Economics];Substance Abuse Treatment Centers/ec Economics];UC6VBE7V1Z (Methadone)</t>
  </si>
  <si>
    <t>INTRODUCTION AND AIMS: This study compares the costs and consequences of three interventions for reducing heroin dependency: pharmacotherapy maintenance, residential rehabilitation and prison. DESIGN AND METHODS: Using Australian data, the interventions' cost - consequence ratio was estimated, taking into consideration reduction in heroin use during the intervention; the length of intervention; and post-intervention effects (as measured by abstinence rates). Sensitivity analyses were conducted, including varying the magnitude and duration of treatment effects, and ascribing positive outcomes only to treatment completers. A hybrid model that combined pharmacotherapy maintenance with a prison term was also considered. RESULTS: If the post-programme abstinence rates are sustained for 2 years, then for an average heroin user the cost of averting a year of heroin use is approximately AUD$5000 for pharmacotherapy maintenance, AUD$11,000 for residential rehabilitation and AUD$52 000 for prison. Varying the parameters does not change the ranking of the programmes. If the completion rate in pharmacotherapy maintenance was raised above 95% (by the threat of prison for non-completers), the combined model of treatment plus prison may become the most cost-effective option. DISCUSSION AND CONCLUSIONS: Relative performance in terms of costs and consequences is an important consideration in the policy decision-making process, and quantitative data such as those reported herein can provide insights pertinent to evidence-based policy.</t>
  </si>
  <si>
    <t>J2: Drug Alcohol Rev; Moore, Timothy J Ritter, Alison Caulkins, Jonathan P; ID: 381</t>
  </si>
  <si>
    <t>0959-5236</t>
  </si>
  <si>
    <t>Moore,Timothy J. Turning Point Alcohol and Drug Centre. Fitzroy, VIC, Australia.</t>
  </si>
  <si>
    <t>http://ovidsp.ovid.com/ovidweb.cgi?T=JS&amp;CSC=Y&amp;NEWS=N&amp;PAGE=fulltext&amp;D=med5&amp;AN=17564872</t>
  </si>
  <si>
    <t>MEDLINE; Ovid Technologies; The costs and consequences of three policy options for reducing heroin dependency</t>
  </si>
  <si>
    <t>Morgan,M.;Lockwood,A.;Steinke,D.;Botts,S.;Author,Addresses;Lexington Veterans,Affairs;Medical Center,Lexington,United States;University of Kentucky, College,of Pharmacy;Lexington,United States;Correspondence,Address;Morgan, Lexington Veterans Affairs Medical Center Lexington United,M.;States</t>
  </si>
  <si>
    <t>Evaluation of pharmacotherapeutic regimens in patients with a history of traumatic brain injury and co-morbid post-traumatic stress disorder</t>
  </si>
  <si>
    <t>antidepressant agent;college;patient;pharmacist;posttraumatic stress disorder;traumatic brain injury;confounding variable;diagnosis;drug therapy;electronic medical record;gender;headache;health service;injury;institutional review;logistic regression analysis;multiple trauma;pain;polypharmacy;Student t test;substance abuse;therapy;veteran</t>
  </si>
  <si>
    <t>Abstract Type: Work in Progress. Purpose: Traumatic Brain Injury (TBI) has become the signature injury for veterans serving in the Operation Enduring Freedom and Operation Iraqi Freedom (OEF/OIF). Approximately one-third of veterans who sustain a TBI will also develop Posttraumatic Stress Disorder (PTSD). It is unknown if pharmacotherapies used in PTSD are beneficial, safe, or affect long term outcomes in veterans with comorbid TBI. The purpose of this study is to determine if veterans with PTSD and TBI are treated differently pharmacologically or utilize more services than patients with PTSD alone. We hypothesize that veterans with PTSD and TBI are more likely to receive lower doses and less polypharmacy, discontinue treatment more often, and utilize more health services than veterans with PTSD alone. Methods: This is a retrospective comparative evaluation of PTSD pharmacotherapy for veterans with and without TBI. Subjects include all OEF/OIF veterans receiving treatment at the Lexington VA Medical Center and diagnosed with PTSD, between April 1, 2007 and March 31, 2009. This study was approved by the Institutional Review Board. All data will be obtained from the Lexington Veterans Affairs computerized patient records system and include demographic data, medication regimen data and service encounter data. A diagnosis of TBI will be confirmed through a polytrauma team assessment. The primary outcome, pharmacotherapy of PTSD, will be characterized by classes of medications received for PTSD, dose, total number of psychotropic medications, and number of medication changes during the six-month period post PTSD diagnosis. Doses will be compared using the defined daily dose (DDD). Polypharmacy will be defined as receipt of &gt;1 psychotropic medication. Secondary outcomes include adherence to antidepressant therapy and utilization of health services. Analysis: Outcomes will be reported as means or frequencies and compared using independent sample t-tests and chisquare analysis. A logistic regression analysis will be preformed to control for confounding variables such as age, gender and other diagnosis (substance abuse, pain, headache, depression). Results: Pending.</t>
  </si>
  <si>
    <t>(Morgan M.; Lockwood A.; Steinke D.; Botts S.) (Steinke D.; Botts S.) 13th Annual Meeting of the College of Psychiatric and Neurologic Pharmacists, CPNP 2010 San Antonio, TX, United States 2010-04-18 to 2010-04-21 SAGE Publications Inc.; ID: 1372</t>
  </si>
  <si>
    <t>Moriguchi,S.</t>
  </si>
  <si>
    <t>Pharmacological study on Alzheimer's drugs targeting calcium/calmodulin-dependent protein kinase II</t>
  </si>
  <si>
    <t>Journal of Pharmacological Sciences</t>
  </si>
  <si>
    <t>*Alzheimer Disease/dt Drug Therapy];Animals;*Calcium-Calmodulin-Dependent Protein Kinase Type 2/de Drug Effects];Dose-Response Relationship, Drug;*Drug Delivery Systems;Hippocampus/cy Cytology];Hippocampus/de Drug Effects];Long-Term Potentiation/de Drug Effects];Neurons/de Drug Effects];Patch-Clamp Techniques;Pyrrolidinones/pd Pharmacology];Rats;0 (Pyrrolidinones);1JK12GX30N (nefiracetam);EC 2-7-11-17 (Calcium-Calmodulin-Dependent Protein Kinase Type 2)</t>
  </si>
  <si>
    <t>In the brain of Alzheimer's disease patients, down-regulation of both cholinergic and glutamatergic systems have been found and is thought to play an important role in impairment of cognition, learning, and memory. Nefiracetam is a pyrrolidine-related nootropic drug exhibiting various pharmacological actions such as a cognitive-enhancing effect. The present study was undertaken to elucidate mechanisms underlying the action of nefiracetam on glutamatergic receptors and intracellular protein kinases. N-Methyl-D-aspartate (NMDA)-evoked currents were recorded from rat cortical neurons in long-term cultured primary neurons using the whole-cell patch-clamp technique. NMDA-evoked currents were greatly and reversibly potentiated by bath application of nefiracetam, resulting in a bell-shaped dose-response curve. The maximum potentiation of 170% relative to the control was produced at 10 nM. Treatment with an inhibitor of the glycine binding site of the NMDA receptor, 7-chlorokynurenic acid, at 1 micro M prevented augmentation of NMDA-evoked currents by nefiracetam. In rat hippocampal CA1 slices, field excitatory postsynaptic potentials were recorded by stimulation of Schaffer collateral/commissural pathways. Nefiracetam treatment significantly enhanced long-term potentiation (LTP) with the same bell-shaped dose-response curve. Furthermore, nefiracetam-induced LTP enhancement was closely associated with calcium/calmodulin-dependent protein kinase II (CaMKII) activation with concomitant increase in phosphorylation of AMPA-type glutamate receptor subunit 1 (GluA1) (Ser-831) as a postsynaptic CaMKII substrate. In conclusion, nefiracetam enhances NMDA-receptor function through stimulation of its glycine binding site and nefiracetam-induced CaMKII activation likely contributes to improvement of cognition, learning, and memory.</t>
  </si>
  <si>
    <t>J2: J Pharmacol Sci; Moriguchi, Shigeki; ID: 234</t>
  </si>
  <si>
    <t>1347-8648</t>
  </si>
  <si>
    <t>Moriguchi,Shigeki. Department of Pharmacology, Graduate School of Pharmaceutical Sciences, Tohoku University, Japan. shigeki@mail.pharm.tohoku.ac.jp</t>
  </si>
  <si>
    <t>http://ovidsp.ovid.com/ovidweb.cgi?T=JS&amp;CSC=Y&amp;NEWS=N&amp;PAGE=fulltext&amp;D=med5&amp;AN=21821968</t>
  </si>
  <si>
    <t>MEDLINE; Ovid Technologies; Pharmacological study on Alzheimer's drugs targeting calcium/calmodulin-dependent protein kinase II</t>
  </si>
  <si>
    <t>Morissette,S.;Spiegel,D.;Barlow,D.</t>
  </si>
  <si>
    <t>Combining exposure and pharmacotherapy in the treatment of social anxiety disorder: a preliminary study of state dependent learning</t>
  </si>
  <si>
    <t>Journal of Psychopathology &amp; Behavioral Assessment</t>
  </si>
  <si>
    <t>219 9p</t>
  </si>
  <si>
    <t>Antianxiety Agents, Benzodiazepine -- Therapeutic Use;Learning;Social Anxiety Disorders -- Drug Therapy;Substance Dependence -- Therapy;Social Anxiety Disorders;Adult;Antianxiety Agents, Benzodiazepine -- Administration and Dosage;Behavior Therapy;Coefficient Alpha;Combined Modality Therapy;Comparative Studies;Experimental Studies;Female;Internal Consistency;Interviews;Male;Massachusetts;Questionnaires;Random Assignment;Sample Size;Scales;Self Report;Test-Retest Reliability;Treatment Outcomes;Videorecording;Human</t>
  </si>
  <si>
    <t>Entry Date: 20081114. Revision Date: 20150711. Publication Type: Journal Article; research; tables/charts. Journal Subset: Biomedical; USA. Special Interest: Psychiatry/Psychology. Instrumentation: Subjective Units of Distress Scale (SUDS); Anxiety Disorders Interview Schedule-IV: Lifetime Version (ADIS-IV-L) (DiNardo et al); Positive and Negative Affect Schedule (PANAS)(Watson et al). NLM UID: 8608482.; ID: 1849</t>
  </si>
  <si>
    <t>0882-2689</t>
  </si>
  <si>
    <t>Center for Anxiety and Related Disorders, Boston University, Boston, MA</t>
  </si>
  <si>
    <t>http://proxy.lib.umich.edu/login?url=http://search.ebscohost.com/login.aspx?direct=true&amp;db=ccm&amp;AN=105687771&amp;site=ehost-live&amp;scope=site</t>
  </si>
  <si>
    <t>ccm; EBSCOhost; Combining exposure and pharmacotherapy in the treatment of social anxiety disorder: a preliminary study of state dependent learning</t>
  </si>
  <si>
    <t>Mormann,M.;Hoehns,J. D.;Author,Addresses;Northeast Iowa,Family Practice;Waverly,Health;Center,Waterloo United States;University of Iowa, College of Pharmacy Northeast,Iowa Family;Practice Center,Waterloo,United States;Correspondence,Address;Mormann, Northeast Iowa Family Practice Center,M.;Waverly Health,Center;Waterloo,United States</t>
  </si>
  <si>
    <t>Pharmacist integration in pre-visit planning in the medical home</t>
  </si>
  <si>
    <t>American;clinical pharmacy;college;human;pharmacist;planning;ambulatory care;documentation;drug therapy;electronic medical record;general practice;hospital;hospital patient;laboratory;medical record;medical record review;model;monitoring;patient;patient care;pharmacy;physician;student;United States</t>
  </si>
  <si>
    <t>PURPOSE: The patient centered medical home (PCMH) model provides new opportunities for pharmacist involvement in patient care. A key aspect of the PCMH is to optimize medication use. Although some pharmacists participate in patient care at medical homes, such practices are not widespread, and there is much interest in developing new pharmacist care models in ambulatory care. The objective of the study was to evaluate a new model of pharmacist care in the PCMH at Northeast Iowa Family Practice Center (NEIFPC). METHODS: Pharmacy staff prospectively reviewed electronic patient medical records the day prior to their physician appointment. Pharmacists identified potential drug related problems and recorded them in the chart to be printed on the pre-visit huddle form. Pharmacists then attended the pre-visit patient care huddles to provide further clarification on recommendations. RESULTS: Overall, 431 patient charts were reviewed prior to their physician appointments. Chart reviews were conducted in Œì√´√±5 minutes for 64% of patients. Drug therapy problems were frequently identified, occurring in 60% of chart reviews. The most common drug therapy problems identified pertained to laboratory monitoring and a need for additional drug therapy. Although there was only partial capture of physician acceptance rates of pharmacist recommendations, acceptance rates were similar between pharmacists (61%) and students (58%). CONCLUSION: Prospective pharmacist review of a patient's medical record is seldom done in ambulatory physician clinics. We developed a method to facilitate pharmacist documentation of potential drug therapy problems and recommendations within an existing electronic medical record and incorporated them as part of the pre-visit Œì√á¬£team huddleŒì√á¬•. Most reviews were performed in Œì√´√±5 minutes per patient. This suggests a feasible process whereby a small number of pharmacists could provide this service to a busy physician practice. We believe this is a pharmacist care model which could readily be adapted to other medical homes.</t>
  </si>
  <si>
    <t>(Mormann M.) (Hoehns J.D.) 2013 Annual Meeting of the American College of Clinical Pharmacy, ACCP 2013 Albuquerque, NM, United States 2013-10-13 to 2013-10-16 Pharmacotherapy Publications Inc.; ID: 980</t>
  </si>
  <si>
    <t>Morris,R. W.;Author,Addresses;Dept Pharmacol, Univ Illinois Coll Pharm,Urbana I.;Correspondence,Address;Dept Pharmacol, Univ Illinois Coll Pharm,Urbana I.</t>
  </si>
  <si>
    <t>Positive community drug education: a team approach - family, pharmacist, community</t>
  </si>
  <si>
    <t>Pharmindex</t>
  </si>
  <si>
    <t>community;family;health education;pharmacist;central nervous system;drug dependence;prevention;Public Health, Social Medicine and Epidemiology (17);Drug Dependence, Alcohol Abuse and Alcoholism (40)</t>
  </si>
  <si>
    <t>The objectives of this paper are to summarize the status of drug abuse in the U.S., to relate current drug problems to those of previous cultures and civilizations, to identify the problems with older drug abuse programs, to identify the advantages of positive drug education, to identify the relationship of positive drug education to the maturing child, to identify the role of the family in positive drug education, to identify the role of the school in positive drug education, to identify the role of the pharmacist in community positive drug education, and to identify the way that a pharmacist might serve as leader of the community drug education program.</t>
  </si>
  <si>
    <t>(Morris R.W.); ID: 1765</t>
  </si>
  <si>
    <t>0031-7152</t>
  </si>
  <si>
    <t>Morrison,S.;Andrew,C.;Ives,T.;Author,Addresses;University of North,Carolina Eshelman;Pharmacy,United States;University of North Carolina, School,of Medicine;United,States;Correspondence,Address;Morrison, University of North Carolina Eshelman School of Pharmacy,S.;United,States</t>
  </si>
  <si>
    <t>Rates of adherence for the filling of antidepressant prescriptions in a medicaid population with chronic pain and depression</t>
  </si>
  <si>
    <t>(MAJOR FOCUS);antidepressant agent;chronic pain;college;medicaid;pharmacist;population;prescription;data base;depression;diagnosis;drug therapy;electronic medical record;functional status;general practice;information processing;mental health service;pain;pain clinic;patient;pharmacy;questionnaire;recall;risk;substance abuse;United States</t>
  </si>
  <si>
    <t>Abstract Type: Work in Progress. Background: It is recognized that chronic pain and depression coexist for many individuals. When depression presents in chronic pain patients, the existing condition is often exacerbated and functional status can decline. It is important for clinicians to assess both pain and depressive symptoms when managing this patient population. There are multiple proposed barriers to providing optimal care in chronic pain patients. A potential reason for unsuccessful management of chronic pain is nonadherence to antidepressant pharmacotherapy. Objectives: The purpose of this study is to assess the adherence of antidepressant medications in chronic pain patients. Common barriers to adherence of antidepressant pharmacotherapy will also be identified. Methods: Subjects Medicaid patients enrolled in the UNC General Medicine Pain Clinic with a dual diagnosis of nonmalignant chronic pain and depression during the calendar year 2008. Data Collection Fill rates of antidepressant prescriptions will be collected using the North Carolina Pharmacy Home Database for the 2008 calendar year. Electronic medical records will be used to determine new and existing antidepressant prescriptions. These records will also be used to collect baseline characteristics (i.e., demographics, type of chronic pain, substance abuse history, access to mental health services). The Brief Medication Questionnaire (BMQ) will be self-administered by participants to assess nonadherence, negative beliefs, motivational barriers, adverse events, recall barriers, and access barriers. The Adherence Risk Scale will be calculated. Outcomes: 1) To obtain the fill rates for antidepressant prescriptions in Medicaid patients with a dual diagnosis of nonmalignant chronic pain and depression. 2) To report adherence barriers with antidepressant pharmacotherapy.</t>
  </si>
  <si>
    <t>(Morrison S.; Ives T.) (Andrew C.; Ives T.) 13th Annual Meeting of the College of Psychiatric and Neurologic Pharmacists, CPNP 2010 San Antonio, TX, United States 2010-04-18 to 2010-04-21 SAGE Publications Inc.; ID: 1370</t>
  </si>
  <si>
    <t>Morrow,N. C.;Author,Addresses;The Queen's University of Belfast, Medical,Biology Centre;Belfast,Bt Bl;Correspondence,Address;The Queen's University of Belfast, Medical Biology Centre,Belfast B.</t>
  </si>
  <si>
    <t>2869687; Problem-oriented drug monographs developed for physicians in Northern Ireland</t>
  </si>
  <si>
    <t>benzodiazepine derivative;beta adrenergic receptor blocking agent;nitrate;cost;drug information;education;hospital;pharmacist;economic aspect;nonhuman;organization and management;pharmacokinetics;priority journal;short survey;United Kingdom;nitrate (14797-55-8);Clinical and Experimental Pharmacology (30);Health Policy, Economics and Management (36)</t>
  </si>
  <si>
    <t>Monographs prepared by a drug information pharmacist at a government hospital in Northern Ireland were evaluated by hospital and community physicians. The monographs related drug information to both the primary medical problem (e.g., angina) and secondary problems of individual patients (e.g., renal or hepatic dysfunction). The pharmacokinetic and pharmacodynamic properties of various agents in a drug group were compared. The initial monograph about ‚ï¨‚ñì blockers was evaluated by 13 pharmacists in government hospitals. The monograph was then revised and two additional monographs were written on the use of benzodiazepines in anxiety and insomnia and the use of organic nitrates in cardiovascular disease. The three monographs were distributed to 122 hospital physicians and 67 community physicians for evaluation of the information and the manner in which it was presented. Questionnaires were returned by 46% of the hospital physicians and 39% of the community physicians. Almost 50% of the responding prescribers said the monographs gave them new information. The lack of cost information in the monographs was cited as a problem by 25% of respondents. The most frequently suggested topics for additional monographs were antibiotics, analgesics, nonsteroidal anti-inflammatory agents, bronchodilators, and antidepressants. Physicians considered the monographs a useful source of education about selection of appropriate drug therapy.</t>
  </si>
  <si>
    <t>(Morrow N.C.); ID: 1747</t>
  </si>
  <si>
    <t>http://www.ncbi.nlm.nih.gov/pubmed/2869687</t>
  </si>
  <si>
    <t>Problem-oriented drug monographs developed for physicians in Northern Ireland</t>
  </si>
  <si>
    <t>Mort,J. R.;Shiyanbola,O. O.;Ndehi,L. N.;Xu,Y.;Stacy,J. N.</t>
  </si>
  <si>
    <t>Opioid-paracetamol prescription patterns and liver dysfunction: a retrospective cohort study in a population served by a US health benefits organization</t>
  </si>
  <si>
    <t>Acetaminophen/ad Administration &amp; Dosage];*Acetaminophen/ae Adverse Effects];Analgesics, Opioid/ad Administration &amp; Dosage];*Analgesics, Opioid/ae Adverse Effects];Cohort Studies;Drug Combinations;Drug Overdose;*Drug Prescriptions/sn Statistics &amp; Numerical Data];*Drug-Induced Liver Injury/ep Epidemiology];Humans;Insurance Benefits;Practice Patterns, Physicians';Retrospective Studies;United States/ep Epidemiology];0 (Analgesics, Opioid);0 (Drug Combinations);362O9ITL9D (Acetaminophen)</t>
  </si>
  <si>
    <t>BACKGROUND: Paracetamol (acetaminophen) is the most common cause of acute liver failure (ALF). ALF attributed to paracetamol is most often associated with the following features: an unintentional overdose, a single product, an opioid-paracetamol combination, duration of 325mg) and prescriber specialty (dentist, physician assistant), were associated with high-dose paracetamol prescriptions. Liver dysfunction was diagnosed in 3818 cases, and 23.4% of these beneficiaries received an opioid-paracetamol prescription in the 90 days prior to the liver dysfunction diagnosis. CONCLUSIONS: Although most opioid-paracetamol prescriptions are written and dispensed for &lt;4g/day of paracetamol, a significant portion of beneficiaries are being prescribed and dispensed excessive doses of paracetamol. Efforts to curtail this practice may involve provision of prescriber and pharmacist education, utilization of benefit manager systems to flag excessive dosing or that require confirmation of dosing, and implementation of US FDA recommendations supported by these data.</t>
  </si>
  <si>
    <t>J2: Drug Saf; Mort, Jane R Shiyanbola, Olayinka O Ndehi, Lilian N Xu, Yihua Stacy, Jane N; ID: 233</t>
  </si>
  <si>
    <t>Mort,Jane R. College of Pharmacy, South Dakota State University, Brookings, SD 57007, USA. Jane.Mort@sdstate.edu</t>
  </si>
  <si>
    <t>http://ovidsp.ovid.com/ovidweb.cgi?T=JS&amp;CSC=Y&amp;NEWS=N&amp;PAGE=fulltext&amp;D=med5&amp;AN=21981435</t>
  </si>
  <si>
    <t>http://dx.doi.org/10.2165/11593100-000000000-00000</t>
  </si>
  <si>
    <t>MEDLINE; Ovid Technologies; Opioid-paracetamol prescription patterns and liver dysfunction: a retrospective cohort study in a population served by a US health benefits organization</t>
  </si>
  <si>
    <t>Morton,W. A., J.;Bridges,M. E.</t>
  </si>
  <si>
    <t>Pharmaceutical services in a medical screening clinic</t>
  </si>
  <si>
    <t>*Ambulatory Care/og Organization &amp; Administration];Drug Prescriptions;Evaluation Studies as Topic;*Health Facility Administration;Humans;Medical Records;Patient Care Team/og Organization &amp; Administration];Patient Education as Topic;*Pharmaceutical Services;Pharmacists/ut Utilization];South Carolina</t>
  </si>
  <si>
    <t>Pharmaceutical services in a medical screening clinic are described. Services provided include medication refills, patient education and medication histories. During the first year 1,067 patients were interviewed, evaluated and received these services from the pharmacist. The majority of these patients were seen for medication refills. A clinical assessment was made by the pharmacist of the current drug therapy, evidence of new or drug-related problems, and compliance with medication regimens. One hundred seventy-six patients were found to be receiving inappropriate drug therapy, 69 patients were found to have drug-related problems and 248 patients were found to be noncompliant with their drug regimens. Patients received 1,633 refills and 24 new prescriptions. One hundred fifty patients were refused refills because the medications were being abused or were not indicated. Many patients (564) received extensive education about their medications and diseases. One hundred eleven laboratory tests were ordered and 323 clinic appointments were made. The pharmacist is providing services which are an asset to both patients and other members of the health care team.</t>
  </si>
  <si>
    <t>J2: Am J Hosp Pharm; Morton, W A Jr Bridges, M E; ID: 729</t>
  </si>
  <si>
    <t>http://ovidsp.ovid.com/ovidweb.cgi?T=JS&amp;CSC=Y&amp;NEWS=N&amp;PAGE=fulltext&amp;D=med1&amp;AN=655180</t>
  </si>
  <si>
    <t>MEDLINE; Ovid Technologies; Pharmaceutical services in a medical screening clinic</t>
  </si>
  <si>
    <t>Mottram,D. R.;Minten,J.;Murphy,D.;Author,Addresses;Department of,Pharmacy Practice;of,Pharmacy;Chemistry,Liverpool John Moores University Byrom Street;3Af,Liverpool L3;Correspondence,Address;DR Mottram, Department of Pharmacy Practice School of,Pharmacy and;Chemistry,Liverpool John Moores University Byrom Street Liverpool L.A.F.;United,Kingdom</t>
  </si>
  <si>
    <t>A comparative analysis of opinions on the use of illicit drugs by sports science, business studies and pharmacy undergraduate students</t>
  </si>
  <si>
    <t>(MAJOR FOCUS);illicit drug;cannabis;cocaine;lysergide;drug misuse;article;attitude;female;health hazard;human;male;questionnaire;student;university;cannabis (8001-45-4, 8063-14-7);cocaine (50-36-2, 53-21-4, 5937-29-1);lysergide (50-37-3);Public Health, Social Medicine and Epidemiology (17);Drug Dependence, Alcohol Abuse and Alcoholism (40)</t>
  </si>
  <si>
    <t>Comparison of opinions of Pharmacy, Sports Science and Business Studies students on illicit drug use was investigated using a structured questionnaire. Overall, the percentage of students estimated to use illicit drugs (52.6%) was double the percentage actually known by respondents to take drugs (25.6%). Pharmacy students estimated and knew far fewer drug users. In response to a number of statements presented, students generally disagreed that there is no harm in seeking excitement through drugs but tended to be neutral that it is ethically wrong to take drugs. Illicit drugs were perceived as having a risk to health and being able to affect ability to perform tasks such as driving. Business Studies students exhibited the most liberal attitudes. There was little difference in attitude between students based on level of participation in sport and exercise or on gender. Consequences for future professional conduct and for drug misuse in sport are discussed.</t>
  </si>
  <si>
    <t>(Mottram D.R.; Minten J.; Murphy D.); ID: 1651</t>
  </si>
  <si>
    <t>Mueller,M. P.;Christ,T.;Dobrev,D.;Nitsche,I.;Stehr,S. N.;Ravens,U.;Koch,T.</t>
  </si>
  <si>
    <t>Teaching antiarrhythmic therapy and ECG in simulator-based interdisciplinary undergraduate medical education</t>
  </si>
  <si>
    <t>British journal of anaesthesia</t>
  </si>
  <si>
    <t>Br.J.Anaesth.</t>
  </si>
  <si>
    <t>Adult;*Anesthesiology/ed Education];*Anti-Arrhythmia Agents/tu Therapeutic Use];Consumer Behavior;*Education, Medical, Undergraduate/mt Methods];*Electrocardiography;Emergency Medicine/ed Education];Female;Germany;Humans;Male;Manikins;Patient Simulation;Students, Medical/px Psychology];*Teaching/mt Methods];0 (Anti-Arrhythmia Agents)</t>
  </si>
  <si>
    <t>BACKGROUND: Third-year students in the Dresden Medical School Programme undergo a 6 week course 'Basics of Drug Therapy' in a problem-based learning curriculum. As part of this course a practical seminar about antiarrhythmic drugs and ECG was set up. This study was conducted to evaluate the use of a simulator in this course. METHODS: A total of 234 students were randomly allocated to receive instructions with (Group S) or without (Group C control]) the use of a simulator. After a lecture on antiarrhythmic drugs, arrhythmias were presented to Group S using an advanced life support (ALS) manikin. The students were asked to administer a drug or to defibrillate, and the outcome was shown on the monitor. The students in Group C were presented with ECG charts without a simulator. The course was evaluated by a questionnaire and multiple-choice questions (MCQ) about arrhythmias. RESULTS: We received 222 questionnaires. The content-time ratio was rated almost perfect in both groups, but the students in Group S rated the course better suited to link theory and practice. Students in Group S considered the simulator helpful and a good tool for teaching, and the extra effort to be worthwhile. A significantly higher number of students in Group S preferred electric cardioversion as therapy for ventricular tachycardia. CONCLUSIONS: An ALS manikin can be an effective tool in teaching clinical pharmacology.</t>
  </si>
  <si>
    <t>J2: Br J Anaesth; Mueller, M P Christ, T Dobrev, D Nitsche, I Stehr, S N Ravens, U Koch, T; ID: 443</t>
  </si>
  <si>
    <t>0007-0912</t>
  </si>
  <si>
    <t>Mueller,M P. Interdisciplinary Simulation Centre, Department of Anaesthesiology and Intensive Care Medicine, University Hospital Carl Gustav Carus, Dresden University of Technology, Germany. michael.mueller@uniklinikum-dresden.de</t>
  </si>
  <si>
    <t>http://ovidsp.ovid.com/ovidweb.cgi?T=JS&amp;CSC=Y&amp;NEWS=N&amp;PAGE=fulltext&amp;D=med5&amp;AN=15964889</t>
  </si>
  <si>
    <t>MEDLINE; Ovid Technologies; Teaching antiarrhythmic therapy and ECG in simulator-based interdisciplinary undergraduate medical education</t>
  </si>
  <si>
    <t>Mukattash,Tareq L.;Shara,Mohd;Jarab,Anan S.;Al-Azzam,Sayer;Almaaytah,Ammar;Al Hamarneh,Yazid N.</t>
  </si>
  <si>
    <t>Public knowledge and awareness of cardiovascular disease and its risk factors: a cross-sectional study of 1000 Jordanians</t>
  </si>
  <si>
    <t>376 10p</t>
  </si>
  <si>
    <t>Patient Education;Health Knowledge -- Education;Heart Diseases -- Risk Factors;Pharmacy and Pharmacology;Cross Sectional Studies;Jordan;Cardiovascular Diseases -- Mortality;Cardiovascular Diseases -- Prevention and Control;Coronary Disease -- Diagnosis;Literature Review;Questionnaires;Demography;Male;Female;Education;Age Factors -- Evaluation;Smoking -- Evaluation;Cardiovascular Diseases -- Familial and Genetic;Obesity -- Evaluation;Life Style;Diet;Exercise;Cardiovascular Diseases -- Diagnosis;Pharmacists;Human</t>
  </si>
  <si>
    <t>Entry Date: 20121108. Revision Date: 20150711. Publication Type: Journal Article; research; tables/charts. Journal Subset: Biomedical; Europe; Peer Reviewed; UK &amp; Ireland.; ID: 2012</t>
  </si>
  <si>
    <t>Department of Clinical Pharmacy, Faculty of Pharmacy Department of Pharmacy, Faculty of Pharmacy, Al-Zaytoonah University of Jordan, Amman, Jordan Department of Pharmaceutical Technology, Faculty of Pharmacy, Jordan University of Science and Technology, Irbid Epicore Centre, University of Alberta, Edmonton, Alberta, Canada</t>
  </si>
  <si>
    <t>http://proxy.lib.umich.edu/login?url=http://search.ebscohost.com/login.aspx?direct=true&amp;db=ccm&amp;AN=104434521&amp;site=ehost-live&amp;scope=site</t>
  </si>
  <si>
    <t>10.1111/j.2042-7174.2012.00208.x</t>
  </si>
  <si>
    <t>ccm; EBSCOhost; Public knowledge and awareness of cardiovascular disease and its risk factors: a cross-sectional study of 1000 Jordanians</t>
  </si>
  <si>
    <t>Mulholland,P.;Cannady,R.;McGonigal,J.;Woodward,J.;Gass,J.;Author,Addresses;Medical;University of South Carolina, Charleston,United States;Correspondence,Address;Mulholland, Medical University of South Carolina Charleston United,P.;States</t>
  </si>
  <si>
    <t>KCa2 channel inhibition in the infralimbic cortex is necessary for mGluR5-dependent enhancement of synaptic plasticity and extinction of alcohol-seeking behavior</t>
  </si>
  <si>
    <t>40 SUPPL. 1</t>
  </si>
  <si>
    <t>S260</t>
  </si>
  <si>
    <t>S261</t>
  </si>
  <si>
    <t>(MAJOR FOCUS);alcohol;receptor;apamin;metabotropic receptor;small conductance calcium activated potassium channel;American;college;drug self administration;infralimbic cortex;learning;nerve cell plasticity;psychopharmacology;adult;agonist;alcohol use disorder;cognition;drug seeking behavior;electrophysiology;enhancer region;exposure;long term potentiation;microinjection;nerve cell;prefrontal cortex;pyramidal nerve cell;rat;recording;recurrence risk;relapse;substance abuse;synaptic transmission;systemic therapy;therapy;whole cell patch clamp;Wistar rat;withdrawal syndrome</t>
  </si>
  <si>
    <t>Background: Postsynaptic activation of metabotropic glutamate receptors (mGluRs) enhances induction of long-term potentiation (LTP) of synaptic transmission, and mGluR5 positive allosteric modulators (PAMs) show promise in facilitating cognitive function. Relapse to drugseeking behaviors is a major obstacle for the successful treatment of individuals with substance use disorders and repeated exposures to drug-associated cues leads to craving that promotes consumption and facilitates relapse. Although cue-exposure therapy (inhibitory learning) should reduce the impact of cues through repeated, non-contingent cue exposure, this approach has not been effective in preventing relapse to drugs. Using cognitive enhancers to facilitate extinction learning of drug-associated cues is a promising therapeutic approach to reduce relapse rates, and results of preclinical studies show that mGluR5 PAMs facilitate extinction of drug-seeking behaviors. In the current study, we targeted a novel molecular target (i.e., small-conductance calcium-activated potassium channels (KCa2) that facilitates inhibitory learning and examined how pharmacological manipulation of KCa2 function in the infralimbic prefrontal cortex (IL-PFC) affects mGluR5-dependent synaptic plasticity and extinction learning of alcohol-associated cues. Methods: Adult Wistar rats were first trained to selfadminister alcohol and then underwent extinction training and a spontaneous recovery test session of alcohol-seeking behaviors. Drugs or vehicle were administered systemically or were microinjected into the IL-PFC prior to each extinction training session. Using slices from adult alcohol na‚îú¬ªve rats, whole-cell patch-clamp electrophysiology and field recordings were used to determine the molecular mechanisms the drive mGluR5-dependent enhancement of LTP of IL-PFC neurons. Results: Systemic administration of the KCa2 channel inhibitor apamin prior to each extinction training session enhanced extinction of alcohol-seeking behavior. Apamin treated rats responded significantly fewer times on the previously active lever on multiple days of extinction training and required fewer sessions to reach extinction criteria without demonstrating locomotor impairments. Rats treated with apamin prior to each extinction session also responded significantly fewer times on the previously active lever during the spontaneous recovery test performed 3 weeks following extinction. Consistent with previous findings, mGluR5 activation reduced the amplitude of KCa2 channel-mediated currents in layer V IL-PFC pyramidal neurons, and systemic treatment with an mGluR5 PAM facilitated extinction learning of alcohol-associated cues. Microinjection of the KCa2 channel positive modulator 1-EBIO into the IL-PFC prevented the ability of an mGluR5 PAM to facilitate extinction learning. Similarly, 1-EBIO coexposure blocked the ability of an mGluR5 agonist to potentiate LTP in acute IL-PFC slices. Conclusions: These data provide compelling evidence that activation of mGluR5s reduce function of KCa2 channels and enhance extinction learning of alcohol-seeking behavior. A critical finding from the present study is that the ability of mGluR5 activation to facilitate extinction learning and synaptic plasticity requires a reduction in KCa2 channel function in the</t>
  </si>
  <si>
    <t>(Mulholland P.; Cannady R.; McGonigal J.; Woodward J.; Gass J.) 54th Annual Meeting of the American College of Neuropsychopharmacology, ACNP 2015 Hollywood, FL, United States 2015-12-06 to 2015-12-10 Nature Publishing Group; ID: 784</t>
  </si>
  <si>
    <t>Munroe,W. P.;Kunz,K.;Dalmady-Israel,C.;Potter,L.;Schonfeld,W. H.</t>
  </si>
  <si>
    <t>Economic evaluation of pharmacist involvement in disease management in a community pharmacy setting</t>
  </si>
  <si>
    <t>Aged;*Community Pharmacy Services/ec Economics];*Community Pharmacy Services/og Organization &amp; Administration];*Economics, Pharmaceutical;Female;Health Care Costs;Humans;Male;Middle Aged;Patient Education as Topic;*Prescription Fees</t>
  </si>
  <si>
    <t>This study evaluated the economic impact of patient-focused pharmacist intervention in the community retail setting in patients with hypertension, diabetes, asthma, and/or hypercholesterolemia. Specially trained pharmacists intervened by providing targeted patient education, performing systematic patient monitoring, offering feedback and behavior modification, and communicating regularly with patients' physicians to enable early intervention for drug-related problems. We evaluated prescription drug costs and total medical costs by comparing claims data from 188 patients enrolled in the program at three intervention pharmacies with data from 401 control patients at five nonparticipating pharmacies from the same retail chain. For all disease states, the average cost per prescription was significantly higher in the group receiving intervention than in the control group. Differences in total monthly prescription costs were significant only for patients with asthma, with higher monthly costs in the group receiving intervention. Substantial savings were demonstrated across all cost analyses for total monthly medical costs. Savings ranged from a conservative estimate of $143.95 per patient per month to $293.39 per patient per month when accounting for the possible influence of age, comorbid conditions, and disease severity. Our data indicate that pharmacist intervention in this community pharmacy-based disease management model substantially reduced monthly health care costs in patients with hypertension, hypercholesterolemia, diabetes, and asthma.</t>
  </si>
  <si>
    <t>J2: Clin Ther; Munroe, W P Kunz, K Dalmady-Israel, C Potter, L Schonfeld, W H; ID: 609</t>
  </si>
  <si>
    <t>Munroe,W P. MedOutcomes, Inc., Richmond, Virginia, USA.</t>
  </si>
  <si>
    <t>http://ovidsp.ovid.com/ovidweb.cgi?T=JS&amp;CSC=Y&amp;NEWS=N&amp;PAGE=fulltext&amp;D=med4&amp;AN=9083713</t>
  </si>
  <si>
    <t>MEDLINE; Ovid Technologies; Economic evaluation of pharmacist involvement in disease management in a community pharmacy setting</t>
  </si>
  <si>
    <t>Murillo,S. L. M.;Santamaria,V. P. A.;Author,Addresses;Fundaci‚îú‚îÇn M‚îú‚åêdico,Preventiva;para el,Bienestar Social;Programa,de farmacovigilancia;preventiva para el,Bienestar Social;Correspondence,Address;LM Murillo S, Fundaci‚îú‚îÇn M‚îú‚åêdico Preventiva para el Bienestar,Social Calle;N‚ï¶√ú, Medell‚îú¬°n Colombia Email lauramurillo,fundamep com</t>
  </si>
  <si>
    <t>Pharmacy office as an strategy to assess safety and adherence to pharmacotherapy ORIGINAL (NON-ENGLISH) TITLE El consultorio farmac‚îú‚åêutico como estrategia para evaluar la seguridad y la adherencia a la farmacoterapia</t>
  </si>
  <si>
    <t>S65</t>
  </si>
  <si>
    <t>calcium;drug;paracetamol;adverse drug reaction;drug therapy;human;patient compliance;pharmacy;safety;adult;central nervous system;diabetes mellitus;drug misuse;dyslipidemia;education program;female;follow up;gender;hospital department;hypertension;hypothyroidism;interview;laboratory test;pathology;patient;pharmacist;pharmacology;physician;physiotherapy;risk;therapy;treatment duration</t>
  </si>
  <si>
    <t>Rationale: The pharmacy office is an organization strategy that allows interventions aimed at treatment effectiveness and safety improvement. It specially serves polymedication cases, adherence problems and adverse drug reaction (ADR) risk. Aim: To assess pharmacotherapy safety and adherence through pharmacist office. Methods: 100 polymedicated and polyconsulting patients were selected. 20 of them were referred by physicians and the pharmacy service. Interviews were performed during from March to May 2011. They focused on identifying information related to dosing, administration frequency, treatment duration, usage, interactions, adverse reactions (analyzed through laboratory tests and clinical progress) and therapy adherence (based on missed doses). Results: The 100-patient sample was composed of 77% women, 66% older adults and 28% adults. Each patient was diagnosed with two or more pathologies under treatment. The most common pathologies were hypothyroidism (HPT), hypertension (HTN), diabetes mellitus (DM) and dyslipidemias (DLP). In addition, 20% suffered DLP-DM- HTN and 14%, DLP-DM-HTN-HPT. Regardless gender, 57% of the patients were adherent to treatment. 35% of the assessed patients showed ADR, mainly related to gastric reactions (56%) and to reactions in the central nervous system (24%). 8% of the patients manifested drug misuse and 32% reported auto-medication, chiefly with physiotherapy products (58%) and medicaments, such as calcium and acetaminophen (22%). Conclusions: When dealing with polymedicated patients, the office condition allows the assessment of adherence and safety of the pharmacology treatment. These variables refer to values that can be intervened with information and education programs, supported by pharmacotherapy follow-up, for ADR cases.</t>
  </si>
  <si>
    <t>(Murillo S. L.M., lauramurillo@fundamep.com) (Santamaria V. P.A.) 1st Congreso Colombiano de Atencion Farmaceutica Medellin, Colombia 2011-09-08 to 2011-09-10 Universidad de Antioquia; ID: 1304</t>
  </si>
  <si>
    <t>Murnion,B. P.;Gnjidic,D.;Hilmer,S. N.</t>
  </si>
  <si>
    <t>Prescription and administration of opioids to hospital in-patients, and barriers to effective use</t>
  </si>
  <si>
    <t>Adult;Aged;Aged, 80 and over;Analgesia, Patient-Controlled;Analgesics, Opioid/ad Administration &amp; Dosage];Analgesics, Opioid/ae Adverse Effects];*Analgesics, Opioid/tu Therapeutic Use];Australia;Cross-Sectional Studies;*Drug Prescriptions;Drug Utilization;Ethnic Groups;Female;Health Knowledge, Attitudes, Practice;Humans;Inpatients;Male;Middle Aged;Morphine/tu Therapeutic Use];Nurses;Oxycodone/tu Therapeutic Use];*Pain/dt Drug Therapy];Pain Measurement;Physicians;Tramadol/tu Therapeutic Use];Young Adult;0 (Analgesics, Opioid);39J1LGJ30J (Tramadol);76I7G6D29C (Morphine);CD35PMG570 (Oxycodone)</t>
  </si>
  <si>
    <t>OBJECTIVE: This study aimed to describe prescribing and administration of opioids in a tertiary referral teaching hospital. Secondary aims were assessment of staff knowledge of opioid pharmacology and available preparations, and of perceived barriers limiting opioid use. DESIGN: A cross-sectional survey of in-patients requiring opioid analgesia was performed. An anonymous semi-structured questionnaire was administered to medical and nursing staff. SETTING: Australian tertiary referral teaching hospital. PATIENTS: All patients prescribed opioids on study wards over 3 months (N = 190). RESULTS: Oxycodone was the most frequently prescribed opioid (51.4%). The majority (64.7%) of participants had incomplete pain relief, which was significantly associated with having opioid related side effects. There was no association between pain relief and prescribed daily dose or received daily dose of opioids. Limited understanding of opioid preparations, tolerance, and dependence was demonstrated by staff. The most common perceived barriers to opioid use included difficulties in identifying the right dose, staff time required to prescribe and monitor, and large numbers of preparations. While prescription of inadequate doses was perceived as a barrier, this study identified that submaximal doses were administered. An opioid educational session improved knowledge of opioid formulations. CONCLUSION: The majority of participants had incomplete pain relief and the maximum prescribed doses of opioids were not administered. Reported barriers included staff knowledge of opioid dose titration and opioid preparations, and time constraints. Identified barriers included poor knowledge of opioid preparations.</t>
  </si>
  <si>
    <t>J2: Pain Med; Murnion, Bridin P Gnjidic, Danijela Hilmer, Sarah N; ID: 291</t>
  </si>
  <si>
    <t>1526-4637</t>
  </si>
  <si>
    <t>Murnion,Bridin P. Drug Health Services, Royal Prince Alfred Hospital, Royal North Shore Hospital, Sydney, NSW, Australia. bmurnion@med.usyd.edu.au</t>
  </si>
  <si>
    <t>http://ovidsp.ovid.com/ovidweb.cgi?T=JS&amp;CSC=Y&amp;NEWS=N&amp;PAGE=fulltext&amp;D=med5&amp;AN=19930113</t>
  </si>
  <si>
    <t>http://dx.doi.org/10.1111/j.1526-4637.2009.00747.x</t>
  </si>
  <si>
    <t>MEDLINE; Ovid Technologies; Prescription and administration of opioids to hospital in-patients, and barriers to effective use</t>
  </si>
  <si>
    <t>Murphy,S. A.</t>
  </si>
  <si>
    <t>Interdisciplinary education in the addictions: a commentary on the current status</t>
  </si>
  <si>
    <t>Journal of Addictions Nursing</t>
  </si>
  <si>
    <t>Jan-Mar</t>
  </si>
  <si>
    <t>*Education, Professional/mt Methods];Humans;*Interdisciplinary Studies;Interprofessional Relations;Patient Care Team;*Substance-Related Disorders/th Therapy]</t>
  </si>
  <si>
    <t>Educating doctors, nurses, pharmacists, dentists, and social workers in a shared, patient-centered curriculum, let alone in the same classrooms and clinics, would appear impractical at best and as an insurmountable task at worst. Nonetheless, this novel idea is being implemented. This article traces the concept's development. The proceedings of three national conferences held in 2010 and 2011 are briefly summarized. Several model programs are described. Interdisciplinary education in the addictions is in the early phases. Alternative and complementary forms of health care show less progress in interprofessional education. Two concerns are noted. These pertain to the timing of implementation and budget considerations.</t>
  </si>
  <si>
    <t>J2: J Addict Nurs; Murphy, Shirley A; ID: 66</t>
  </si>
  <si>
    <t>1548-7148</t>
  </si>
  <si>
    <t>Murphy,Shirley A. University of Washington, Seattle.</t>
  </si>
  <si>
    <t>http://ovidsp.ovid.com/ovidweb.cgi?T=JS&amp;CSC=Y&amp;NEWS=N&amp;PAGE=fulltext&amp;D=medl&amp;AN=24622524</t>
  </si>
  <si>
    <t>http://dx.doi.org/10.1097/JAN.0b013e31828767b7</t>
  </si>
  <si>
    <t>MEDLINE; Ovid Technologies; Interdisciplinary education in the addictions: a commentary on the current status</t>
  </si>
  <si>
    <t>Murray,J. E.;Bevins,R. A.</t>
  </si>
  <si>
    <t>NIHMS76176 PMC2632769; Acquired appetitive responding to intravenous nicotine reflects a Pavlovian conditioned association</t>
  </si>
  <si>
    <t>Analysis of Variance;Animals;*Appetitive Behavior/de Drug Effects];*Association Learning/de Drug Effects];*Conditioning, Classical/de Drug Effects];Dose-Response Relationship, Drug;Extinction, Psychological/de Drug Effects];Food Preferences/de Drug Effects];Injections, Intravenous/mt Methods];Male;Mecamylamine/pd Pharmacology];*Nicotine/ad Administration &amp; Dosage];*Nicotinic Agonists/ad Administration &amp; Dosage];Nicotinic Antagonists/pd Pharmacology];Rats;Rats, Sprague-Dawley;0 (Nicotinic Agonists);0 (Nicotinic Antagonists);6EE945D3OK (Mecamylamine);6M3C89ZY6R (Nicotine)</t>
  </si>
  <si>
    <t>Recent research examining Pavlovian appetitive conditioning has extended the associative properties of nicotine from the unconditioned stimulus or reward to include the role of a conditional stimulus (CS), capable of acquiring the ability to evoke a conditioned response. To date, published research has used presession extravascular injections to examine nicotine as a contextual CS in that appetitive Pavlovian drug discrimination task. Two studies in the current research examined whether a nicotine CS can function discretely, multiple times within a session using passive iv infusions. In Experiment 1, rats readily acquired a discrimination in conditioned responding between nicotine and saline infusions when nicotine was selectively paired with sucrose presentations. In Experiment 2, rats were either trained with nicotine paired with sucrose or explicitly unpaired with sucrose. The results showed that rats trained with explicitly unpaired nicotine and sucrose did not increase dipper entries after the infusions. Nicotine was required to be reliably paired with sucrose for control of conditioned responding to develop. Implications of these findings are discussed in relation to tobacco addiction, learning theory, and pharmacology.Copyright (c) 2009 APA, all rights reserved.</t>
  </si>
  <si>
    <t>J2: Behav Neurosci; Murray, Jennifer E Bevins, Rick A DA018114 (United States NIDA NIH HHS) R01 DA018114 (United States NIDA NIH HHS) R01 DA018114-03 (United States NIDA NIH HHS) R01 DA018114-04 (United States NIDA NIH HHS); ID: 340</t>
  </si>
  <si>
    <t>0735-7044</t>
  </si>
  <si>
    <t>Murray,Jennifer E. Department of Psychology, University of Nebraska-Lincoln, Lincoln, NE 68588-0308, USA.</t>
  </si>
  <si>
    <t>http://ovidsp.ovid.com/ovidweb.cgi?T=JS&amp;CSC=Y&amp;NEWS=N&amp;PAGE=fulltext&amp;D=med5&amp;AN=19170434</t>
  </si>
  <si>
    <t>http://dx.doi.org/10.1037/a0013735</t>
  </si>
  <si>
    <t>MEDLINE; Ovid Technologies; Acquired appetitive responding to intravenous nicotine reflects a Pavlovian conditioned association</t>
  </si>
  <si>
    <t>Murray,R. M.;Paparelli,A.;Morrison,P. D.;Marconi,A.;Di Forti,M.</t>
  </si>
  <si>
    <t>What can we learn about schizophrenia from studying the human model, drug-induced psychosis?</t>
  </si>
  <si>
    <t>American Journal of Medical Genetics.Part B, Neuropsychiatric Genetics: the Official Publication of the International Society of Psychiatric Genetics</t>
  </si>
  <si>
    <t>162B</t>
  </si>
  <si>
    <t>Endocannabinoids/me Metabolism];Glutamates/me Metabolism];Humans;*Models, Biological;*Psychoses, Substance-Induced/pa Pathology];*Schizophrenia/pa Pathology];Serotonin/me Metabolism];0 (Endocannabinoids);0 (Glutamates);333DO1RDJY (Serotonin)</t>
  </si>
  <si>
    <t>When drug-induced psychoses were first identified in the mid-20th century, schizophrenia was considered a discrete disease with a likely genetic cause. Consequently, drug-induced psychoses were not considered central to understanding schizophrenia as they were thought to be phenocopies rather than examples of the illness secondary to a particular known cause. However, now that we know that schizophrenia is a clinical syndrome with multiple component causes, then it is clear that the drug-induced psychoses have much to teach us. This article shows how the major neuropharmacological theories of schizophrenia have their origins in studies of the effects of drugs of abuse. Research into the effects of LSD initiated the serotonergic model; amphetamines the dopamine hypothesis, PCP and ketamine the glutamatergic hypothesis, while most recently the effects of cannabis have provoked interest in the role of endocannabinoids in schizophrenia. None of these models account for the complete picture of schizophrenia; rather the various drug models mimic different aspects of the illness. Determining the different molecular effects of those drugs whose pharmacological effects do and do not mimic the various aspects of schizophrenia has much to teach us concerning the pathogenesis of the illness.Copyright ‚î¨‚åê 2013 Wiley Periodicals, Inc.</t>
  </si>
  <si>
    <t>J2: Am J Med Genet B Neuropsychiatr Genet; Murray, Robin M Paparelli, Alessandra Morrison, Paul D Marconi, Arianna Di Forti, Marta G0800462 (United Kingdom Medical Research Council); ID: 99</t>
  </si>
  <si>
    <t>1552-485X</t>
  </si>
  <si>
    <t>Murray,Robin M. Department of Psychosis Studies, Institute of Psychiatry, Kings College London, London, United Kingdom.</t>
  </si>
  <si>
    <t>http://ovidsp.ovid.com/ovidweb.cgi?T=JS&amp;CSC=Y&amp;NEWS=N&amp;PAGE=fulltext&amp;D=medl&amp;AN=24132898</t>
  </si>
  <si>
    <t>http://dx.doi.org/10.1002/ajmg.b.32177</t>
  </si>
  <si>
    <t>MEDLINE; Ovid Technologies; What can we learn about schizophrenia from studying the human model, drug-induced psychosis?</t>
  </si>
  <si>
    <t>Musshoff,F.;Madea,B.;Woelfle,J.;Vlanic,D.</t>
  </si>
  <si>
    <t>Xylometazoline poisoning: A 40-fold nasal overdose caused by a compounding error in 3 children</t>
  </si>
  <si>
    <t>Forensic science international</t>
  </si>
  <si>
    <t>Forensic Sci.Int.</t>
  </si>
  <si>
    <t>e3</t>
  </si>
  <si>
    <t>Child, Preschool;*Drug Overdose;Humans;*Imidazoles/po Poisoning];Imidazoles/ur Urine];Male;*Medication Errors;*Nasal Decongestants/po Poisoning];Nasal Decongestants/ur Urine];Triplets;0 (Imidazoles);0 (Nasal Decongestants);WPY40FTH8K (xylometazoline)</t>
  </si>
  <si>
    <t>The imidazoline derivative xylometazoline, an alpha-2-adrenergic agonist, is used as non-prescription nasal preparation due to its vasoconstrictive and decongestive properties. Especially in children, an overdose can quickly cause severe central nervous system depression and cardiovascular adverse effects. In three 3-year-old boys (triplets) a xylometazoline intoxication was diagnosed by toxicological analysis. On admission to an emergency unit all three children were still unresponsive. One triplet showed respiration of 15-20 breaths/min and required oxygen support (3L/min) via face mask; his electrocardiogram revealed sinus bradycardia of 64 beats/min with supraventricular extrasystoles. However, no interventions were necessary except fluid management via intravenous lines. Eleven hours after the event, two of the triplets were awake but still not fully oriented. The third triplet woke up 20h after instillation of nose drops. Intoxication was caused by a compounding error in a pharmacy resulting in a concentration 40 times above the adequate dosage for children. In general, physicians, pharmacists and the public should be educated about the toxicity of over-the-counter preparations.Copyright ‚î¨‚åê 2014 Elsevier Ireland Ltd. All rights reserved.</t>
  </si>
  <si>
    <t>J2: Forensic Sci Int; Musshoff, Frank Madea, Burkhard Woelfle, Joachim Vlanic, Dejan S0379-0738(14)00072-3; ID: 21</t>
  </si>
  <si>
    <t>1872-6283</t>
  </si>
  <si>
    <t>Musshoff,Frank. University Hospital, Institute of Forensic Medicine, Stiftsplatz 12, 53111 Bonn, Germany. Electronic address: f.musshoff@ftc-muenchen.de. Madea,Burkhard. University Hospital, Institute of Forensic Medicine, Stiftsplatz 12, 53111 Bonn, Germany. Woelfle,Joachim. University Children's Hospital, Pediatric Endocrinology Division, Adenauerallee 119, Bonn 53113, Germany. Vlanic,Dejan. University Children's Hospital, Pediatric Endocrinology Division, Adenauerallee 119, Bonn 53113, Germany.</t>
  </si>
  <si>
    <t>http://ovidsp.ovid.com/ovidweb.cgi?T=JS&amp;CSC=Y&amp;NEWS=N&amp;PAGE=fulltext&amp;D=medl&amp;AN=24642023</t>
  </si>
  <si>
    <t>http://dx.doi.org/10.1016/j.forsciint.2014.02.011</t>
  </si>
  <si>
    <t>MEDLINE; Ovid Technologies; Xylometazoline poisoning: A 40-fold nasal overdose caused by a compounding error in 3 children</t>
  </si>
  <si>
    <t>Mutafoglu,K.;Author,Addresses;Institute of Oncology, Department Pediatric,Oncology Dokuz;Eylul University,Inciralti,Izmir Turkey;Correspondence,Address;Mutafoglu, Institute of Oncology Department Pediatric Oncology Dokuz,K.;Eylul University,Inciralti,Izmir Turkey</t>
  </si>
  <si>
    <t>The challenges and obstacles in cancer pain management in Turkey</t>
  </si>
  <si>
    <t>Journal of Pediatric Hematology/Oncology</t>
  </si>
  <si>
    <t>analgesic agent;codeine;fentanyl;morphine;narcotic analgesic agent;opiate;paracetamol;sufentanil;tramadol;cancer pain;neoplasm;palliative therapy;addiction;cancer patient;cancer therapy;caregiver;clinical practice;death;drug therapy;education;eye;fear;government;health care;health care personnel;health practitioner;home care;hospice;hospital;hospital bed;human rights;industry;interpersonal communication;market;maximum permissible dose;medical care;medical education;medical specialist;nurse;oncology;organization;pain;patient;pharmacist;pharmacy;physician;physiotherapist;prescription;primary medical care;psychologist;social worker;sustained drug release;terminal disease;transdermal drug administration</t>
  </si>
  <si>
    <t>The inadequate management of cancer pain is a serious problem in Turkey. Cancer pain frequently goes ineffectively treated owing to several different factors. There are mainly 3 levels of barriers to effective pain management: the barriers related to providers, the patients and families, and the health system. Provider barriers to effective pain management include: Lack of awareness of patient's pain Inadequate training and education on the management of cancer pain Lack of time and resources to address pain A higher priority given to curing cancer Concern about legal or regulatory sanctions for overuse of opioids. Medical education, not addressing palliative care, has a major impact on inadequate pain management. A great majority of the physicians and nurses are cure-oriented and there is lack of awareness of patient's pain. Most of them do not have adequate education, and training on pain management. Besides, there is lack of time and resources. Careful assessment and understanding of pain requires time in the clinic. However, this is not always possible in the busy clinics in which there is limited time for each patient. The number of health professionals is not enough even to meet the need for curative anticancer treatment. Very limited number of hospital beds is another major barrier to manage severe pain. In Turkey, opioids can only be prescribed using a special type of prescription, the so called Œì√á¬£red prescription.Œì√á¬• Although all physicians are entitled to prescribe this type of medication, and it is a legal requirement for them to keep red prescription available, most of them do not keep it ready owing to concerns about legal or regulatory sanctions regarding opioids. Nonpharmacologic interventions for pain management are almost unavailable. Most of the health care workers turn a blind eye to these interventions. Patient and family barriers include: Belief that pain is an inevitable part of dealing with cancer Belief that nothing can be done for cancer pain Failure to mention pain to providers Fear that mentioning pain will distract providers from cancer treatment Fear of addiction and dependence to painkillers Failure to access to the prescription of opioids The stigmatization regarding morphine and terminal illness Lack of adherence to treatment regimens There is lack of public awareness regarding the fact that living and dying without pain is a human right. There is an assumption that pain is inevitable in the course of cancer. Patients only rarely express their pain unless it is specifically addressed by physicians or nurses. The time spared per patient is very short, so the patients and the care givers fear that mentioning pain will distract providers from cancer treatment. Although fear of addiction and dependence on part of both patients and providers may play a role in inadequate pain management, we have no studies looked into this important issue. The number of patients who directly refuse opioid analgesics is small. In clinical practice, patients usually agree to use morphine if the physicians inform the patient and the family about the rationale. However, family members often have more concern than the patients. Some patients or family members may show reluctance or poor compliance stem from the perception of morphine as a drug whose prescription marks the beginning of the road toward death. Patients may experience difficulty in getting an opioid prescription. Lack of adherence to treatment regimens is a serious problem for every kind of analgesic medicine. System barriers include: A priority on curing cancer over caring for cancer patients Lack of palliative care organizations Regulatory barriers to effective pain management Lack of communication between specialists and primary care providers The heath care system has a priority on curing cancer over caring for cancer patients. Palliative care has still not been established. Most of the health professionals are even not aware of the recent definition of palliative care. Lack of palliative care organizations, particularly home care and hospices, is the most important barrier to adequate pain management. Among the current barriers is the lack of a functioning drug supply system. Opioid analgesics cannot be found in all pharmacies even though it is legally required. Although nonopioid analgesics are available almost everywhere, only some of the opioid analgesics are available in limited quantities or places, or some are available but underused. The only minor opioid available in the market is tramadol. Codeine, in its pure form, is almost absent. It is only available in some analgesic combination formulas such as paracetamol+ cafein + codein, which causes problems in dose adjustment. The injectable forms of morphine are still available more readily than the oral forms. The currently available parenteral opioids in the market are morphine, fentanyl, and sufentanyl. Immediate release oral morphine, which is the preferred first line major opioid, is not available in Turkey. Although sustained-release oral morphine was earlier available in the market, currently it is not. For economic reasons, health care professionals are encouraged by the industry to use more expensive drugs. There is no oral morphine, but oromucosal fentanyl is available in the market. Transdermal fentanyl is currently the drug of choice to manage cancer pain. The limitations regarding the maximum dose of opioid analgesics in a single red recipe is another obstacle. The lack of communication between oncology specialists and primary care providers plays an important role in inadequate pain management. In conclusion, there is a serious pain treatment gap: it is the difference between what can be done, and what is done about cancer pain. Education and awareness of the need for adequate pain management are necessary first steps. The oncologists, oncology nurses, and pharmacists should be educated and legally empowered to prescribe, dispense, and administer opioid analgesics to patients in accordance with local needs. National standards to establish a palliative care program should be defined urgently. As a priority, we need staff including physicians, nurses, social workers, psychologists, physiotherapists, etc to be particularly trained to provide palliative care. Pain medication including opioids must be available in adequate amounts in both parenteral and oral forms, and in the places where patients are living. The government should designate a functional control mechanism for ensuring adequate availability of opioids for medical care. Governmental and institutional efforts to identify and address impediments in the health care and regulatory systems are needed.</t>
  </si>
  <si>
    <t>(Mutafoglu K.) Middle Eastern Cancer Consortium, MECC Palliative Care Steering Committee Meeting Larnaca, Cyprus 2010-01-08 to 2010-01-10 Lippincott Williams and Wilkins; ID: 1339</t>
  </si>
  <si>
    <t>1077-4114</t>
  </si>
  <si>
    <t>Muttaqi,S. S. S. A.;Shamim,S.;Omer,M.;Author,Addresses;Dow;College of Pharmacy, Dow University of Health Sciences,Karachi Pakistan;Correspondence,Address;SSSA Muttaqi, Dow College of Pharmacy Dow University,of Health;Sciences,Karachi Pakistan Email shaukat muttaqi yahoo com</t>
  </si>
  <si>
    <t>Practicing hospital pharmacists mentoring pharmacy students in clinical pharmacy: An experience from Dow University of Health Sciences (DUHS) Pakistan</t>
  </si>
  <si>
    <t>International Research Journal of Pharmacy</t>
  </si>
  <si>
    <t>clinical pharmacy;medical education;pharmacist;article;health science;hospital pharmacy;human;laboratory test;medical record;Pakistan;pharmacy student;teacher;Public Health, Social Medicine and Epidemiology (17)</t>
  </si>
  <si>
    <t>Pharmacy education has been an important and integral part of the education system of a country. Pharmacy education in Pakistan has grown significantly through the ages and there are quite a few number of pharmacy schools providing education to the students. The academia and practice had always been disjointed in the country. Dow College of Pharmacy (DCOP) at DUHS was established in the year 2008, with the vision to provide exemplary pharmacy education to the students and bridging the gap between education and practice. The intervention was made by the college through appointing practicing faculty members, working at Dow University Hospital as clinical pharmacists and teaching clinical pharmacy to the students at DCOP. Since no other pharmacy school in the country had jointly appointed faculty of pharmacy, this intervention provided opportunity to DCOP to produce quality clinical pharmacists for the country. Under the supervision of clinical pharmacist pharmacy students were regularly rotated to hospital and were trained to take medication history, review patient profiles, gather &amp; interpret laboratory data, and identifying potential drug related problems. Students were required to present their findings and interventions in patient profile as case studies to clinical pharmacists and interactive discussions were carried out by the mentors to enhance their clinical skills. The experiment of mentoring pharmacy students through practicing clinical pharmacist proved to be an efficient tool to develop and strengthen clinical skills of pharmacy graduates and could serve as a role model for other pharmacy schools in the country. ‚î¨‚åê 2010 IRJP.</t>
  </si>
  <si>
    <t>(Muttaqi S.S.S.A., shaukat_muttaqi@yahoo.com; Shamim S.; Omer M.) International Research Journal of Pharmacy, Shiv Ganga Hospital, Lakser Rd,, Haridwar, Uttaranchal, India.; ID: 1152</t>
  </si>
  <si>
    <t>2230-8407 (electronic)</t>
  </si>
  <si>
    <t>Myers,T.;Cockerill,R.;Worthington,C.;Millson,M.;Rankin,J.</t>
  </si>
  <si>
    <t>Community pharmacist perspectives on HIV/AIDS and interventions for injection drug users in Canada</t>
  </si>
  <si>
    <t>AIDS Care</t>
  </si>
  <si>
    <t>Canada;*Community Pharmacy Services;Delivery of Health Care;Female;*HIV Infections/pc Prevention &amp; Control];HIV Infections/px Psychology];*Health Knowledge, Attitudes, Practice;Humans;Male;Needle-Exchange Programs;Substance Abuse, Intravenous/px Psychology];*Substance Abuse, Intravenous/rh Rehabilitation];Syringes/sd Supply &amp; Distribution]</t>
  </si>
  <si>
    <t>In several countries, community pharmacies play a major role in the provision of HIV prevention services to injection drug users (IDUs). In this study, results from a national Canadian Survey of Community Pharmacies and HIV/AIDS Prevention are used to describe pharmacists' perspectives on HIV/AIDS and services to IDUs, and explore the relationship between personal and organizational characteristics and the level of support for HIV/AIDS prevention initiatives. A mailed questionnaire was directed to a random sample of 2,017 pharmacist owner-managers. The response rate was 84.6%. Results suggest that current services to IDUs primarily are limited to discretionary needle and syringe sales to non-diabetics, with almost three-quarters supportive. Staff safety was an important consideration in the provision of this service (77%), while remuneration was the lowest (27%). Community pharmacists were most comfortable with the provision of counselling, advice and literature (X = 2.6) and environmental and technological interventions (X = 2.4) and least supportive of provision of services as part of a programme (X = 1.6) and legalization of drugs or prescription of methadone (X = 1.9). Female pharmacists were more likely to support preventive measures such as the provision of counselling or advice, and males were more likely to promote legislative change. Pharmacists appear generally willing to expand their services in the fight against HIV/AIDS. However, it is not feasible to expect uniform programmes to be immediately introduced. While organizational, educational and policy changes may facilitate programme development, individual pharmacy and pharmacist discretion remains important.</t>
  </si>
  <si>
    <t>J2: AIDS Care; Myers, T Cockerill, R Worthington, C Millson, M Rankin, J; ID: 572</t>
  </si>
  <si>
    <t>0954-0121</t>
  </si>
  <si>
    <t>Myers,T. HIV Social Behavioural and Epidemiological Studies Unit, Faculty of Medicine, University of Toronto Canada, Ontario. ted.myers@utoronto.ca</t>
  </si>
  <si>
    <t>http://ovidsp.ovid.com/ovidweb.cgi?T=JS&amp;CSC=Y&amp;NEWS=N&amp;PAGE=fulltext&amp;D=med4&amp;AN=9924524</t>
  </si>
  <si>
    <t>MEDLINE; Ovid Technologies; Community pharmacist perspectives on HIV/AIDS and interventions for injection drug users in Canada</t>
  </si>
  <si>
    <t>N‚îú‚ïïrgaard,L. S.;Kaae,S.;S‚îú‚ïïrensen,E. W.;Author,Addresses;Department of Pharmacy, Faculty,of Health;Medical Science,University of;Copenhagen,Denmark;Correspondence,Address;LS N‚îú‚ïïrgaard, Department of Pharmacy Faculty,of Health;Medical;Science,University of Copenhagen Denmark Email lotte norgaard sund ku dk</t>
  </si>
  <si>
    <t>When skills are not enough: Home medication reviews (HMRs) seen through tutors', pharmacy students' and GPs' competency glasses</t>
  </si>
  <si>
    <t>drug therapy;human;pharmacy student;skill;spectacles;decision making;Denmark;patient;pharmacist;pharmacy;reading;socialization;student;teaching;university</t>
  </si>
  <si>
    <t>Background An HMR program (''Medisam'') was launched in 2008-2010 in Denmark. The program involves patients, pharmacy internship students, the (pharmacist) tutors of the pharmacy students and GPs. Purpose The aim of the study was to evaluate if Medisam was an effective way to induce HMR collaboration between pharmacy internship students and GPs. In order to conduct joint HMRs, though, students need to possess special competencies. So what were the pharmacy student's competencies in relation to carrying out HMRs- seen from the participating student's, tutor's and GPs point of view? Methods The aim of the study was to evaluate if Medisam was an effective way to induce HMR collaboration between pharmacy internship students and GPs. In order to conduct joint HMRs, though, students need to possess special competencies. So what were the pharmacy student's competencies in relation to carrying out HMRs- seen from the participating student's, tutor's and GPs point of view? Findings Generally the GPs, the students and the supervisors agreed that students possess good technical HMR skills, but that their joint competencies were challenged by issues concerning professional socialization and judgement. The three groups also agreed that the student's communicative skills were sufficient for doing HMRs, but that they lacked clinical expertise and understanding for the patient's entire clinical picture. As to professional socialization, the majority of students stated that they-in the pharmacy-were socialized into a set of values based on humbleness and cautiousness concerning the GP dialogue-and the GPs agreed. Another component of professional socialization dealt with tutors' and students' attitudes towards patients; thus in order for a patient to be of pharmaceutical interest many and/or potentially serious drug-related problems are ''needed''. With regard to judgement, students stated that they would like to make patient advice judgments themselves without permission from their tutor; that they realize their own limitations and know when to ask their for advice; and they agree with their supervisors that GPs are to be treated differently in the HMR-dialogue. Tutors and GPs state that student's HMR-related trust and confidence comes with experience and ca‚îº√§t be learned from basic university teaching and reading. Conclusion The study has shown how skills, professional socialization and judgement are closely woven, and that student's technical skills were not sufficient for doing good HMRs.</t>
  </si>
  <si>
    <t>(N‚îú‚ïïrgaard L.S., lotte.norgaard@sund.ku.dk; Kaae S.; S‚îú‚ïïrensen E.W.) PCNE Working Symposium 2014 Sliema, Malta 2014-03-14 to 2014-03-15 Kluwer Academic Publishers; ID: 893</t>
  </si>
  <si>
    <t>Nacopoulos,A. G.;Lewtas,A. J.;Ousterhout,M. M.</t>
  </si>
  <si>
    <t>Syringe exchange programs: Impact on injection drug users and the role of the pharmacist from a U.S. perspective</t>
  </si>
  <si>
    <t>Mar-Apr 1</t>
  </si>
  <si>
    <t>Humans;Needle Sharing/ae Adverse Effects];*Needle-Exchange Programs/og Organization &amp; Administration];Needle-Exchange Programs/sn Statistics &amp; Numerical Data];Pharmacies/st Standards];Pharmacies/sn Statistics &amp; Numerical Data];Pharmacies/sd Supply &amp; Distribution];Pharmacists/st Standards];*Pharmacists;*Professional Role;Substance Abuse, Intravenous/ep Epidemiology];*Substance Abuse, Intravenous;Syringes/sn Statistics &amp; Numerical Data];*Syringes/sd Supply &amp; Distribution];United States</t>
  </si>
  <si>
    <t>OBJECTIVE: To present a summary of the existing literature on syringe exchange programs (SEPs) and to discuss the potential role of pharmacists in providing support for injection drug users (IDUs) and such programs. DATA SOURCES: To identify relevant articles published since 2000, a search of PubMed and Medline was conducted using syringe exchange programs and needle exchange programs as search terms. A manual review of each article's citation list was also conducted. DATA EXTRACTION: By the authors. DATA SYNTHESIS: Information is presented in four categories: state and federal support of SEPs, characteristics of SEP users, epidemiological studies, and social reluctance for SEP support. The information summarized in these sections is then used as a foundation for a review of the potential role of the pharmacist. CONCLUSION: SEPs have demonstrated a clear effect in improving the health outcomes of IDUs by decreasing the transmission of blood-borne disease and lowering high-risk injecting behaviors. Despite conflicting support for SEPs at both the federal and local levels, pharmacists can play a pivotal role in the health of IDUs by providing sound medical advice and, in some states, acting as an alternative channel for obtaining clean syringes. Efforts should continue to focus on educating pharmacists about this role and how their individual actions can benefit the health of the entire population. References: 50]</t>
  </si>
  <si>
    <t>J2: J Am Pharm Assoc (2003); Nacopoulos, Alkiviadis G Lewtas, Andrea J Ousterhout, Maria M; ID: 303</t>
  </si>
  <si>
    <t>Nacopoulos,Alkiviadis G. Clinical Pharmacy Services, University of Massachusetts Medical School, Shrewsbury, MA, USA. alkiviadis.nacopoulos@umassmed.edu</t>
  </si>
  <si>
    <t>http://ovidsp.ovid.com/ovidweb.cgi?T=JS&amp;CSC=Y&amp;NEWS=N&amp;PAGE=fulltext&amp;D=med5&amp;AN=20199955</t>
  </si>
  <si>
    <t>http://dx.doi.org/10.1331/JAPhA.2010.09178</t>
  </si>
  <si>
    <t>MEDLINE; Ovid Technologies; Syringe exchange programs: Impact on injection drug users and the role of the pharmacist from a U.S. perspective</t>
  </si>
  <si>
    <t>Naderi,N.;Akhavan,N.;Ahari,F. A.;Zamani,N.;Kamalinejad,M.;Shokrzadeh,M.;Ahangar,N.;Motamedi,F.;Author,Addresses;Neuroscience Research,Center;Shahid Beheshti University of,Medical Sciences;Faculty,of Pharmacy;University of,Medical Sciences;Neuroscience,Research Center;University of,Medical Sciences;Faculty,of Pharmacy;Beheshti University of,Medical Sciences;Correspondence,Address;Naderi, Neuroscience Research Center Shahid Beheshti University of,N.;Medical Sciences, Tehran Iran Email naderi sbmu,ac ir</t>
  </si>
  <si>
    <t>Effects of hydroalcoholic extract from salvia verticillata on pharmacological models of seizure, anxiety and depression in mice</t>
  </si>
  <si>
    <t>(MAJOR FOCUS);plant extract (oral drug administration, pharmacology);Salvia verticillata extract (drug comparison, oral drug administration,;pharmacology);diazepam (drug comparison, drug therapy, oral drug administration);imipramine (drug comparison, drug therapy, oral drug administration);pentetrazole;unclassified drug;anxiety disorder (drug therapy, drug therapy);depression (drug therapy, drug therapy);medicinal plant;Salvia verticillata;seizure (drug therapy, drug therapy);animal experiment;animal model;anticonvulsant activity;antidepressant activity;article;controlled study;electric shock;forced swim test;locomotion;maze test;mouse;nonhuman;open field test;diazepam (439-14-5);imipramine (113-52-0, 50-49-7);pentetrazole (54-95-5);Neurology and Neurosurgery (8);Clinical and Experimental Pharmacology (30);Psychiatry (32);Drug Literature Index (37);Epilepsy Abstracts (50)</t>
  </si>
  <si>
    <t>Salvia verticillata is one of the salvia species which possesses remarkable antioxidant activity. In the present study, we investigated the possible effects of hydro-alcoholic extract from Salvia verticillata plant (SVE) in various models of anxiety, depression and seizure in mice. Mice were randomly divided into control (saline), SVE-treated and standard treatment groups. The SVE-treated groups received oral administration of various doses of SVE. As a standard treatment, diazepam and imipramine were used orally for anxiety/seizure and depression tests, respectively. The results of the study revealed that the plant extract produced significant anticonvulsant activity in maximal electroshock and pentylenetetrazol induced seizure models. Moreover, in forced swim test and tail suspension test of depression, SVE produced significant antidepressant effect in mice compared to control group. However, SVE did not show any effects on anxiety-like behavior of mice in elevated plus maze and light-dark tests. These results suggest potential therapeutic effects of the plant extract in seizure and depression. ‚î¨‚åê 2011 by School of Pharmacy.</t>
  </si>
  <si>
    <t>(Naderi N., naderi@sbmu.ac.ir; Motamedi F.) (Akhavan N.; Shokrzadeh M.; Ahangar N.) (Ahari F.A.; Zamani N.) (Naderi N., naderi@sbmu.ac.ir; Kamalinejad M.) Iranian Journal of Pharmaceutical Research, P.O. Box 14155-6153, Vali-e-Asr Avenue, Niayesh Junction, Tehran, Iran.; ID: 1243</t>
  </si>
  <si>
    <t>Nahaczewski,A. E.;Fowler,S. B.;Hariharan,S.</t>
  </si>
  <si>
    <t>Dexamethasone therapy in patients with brain tumors--a focus on tapering</t>
  </si>
  <si>
    <t>Journal of Neuroscience Nursing</t>
  </si>
  <si>
    <t>*Brain Neoplasms/dt Drug Therapy];Brain Neoplasms/nu Nursing];*Dexamethasone/ad Administration &amp; Dosage];Dexamethasone/ae Adverse Effects];*Glucocorticoids/ad Administration &amp; Dosage];Glucocorticoids/ae Adverse Effects];Humans;Substance Withdrawal Syndrome/nu Nursing];*Substance Withdrawal Syndrome/pc Prevention &amp; Control];0 (Glucocorticoids);7S5I7G3JQL (Dexamethasone)</t>
  </si>
  <si>
    <t>Administration of corticosteriods in brain tumor patients requires an understanding of the physiology of the adrenal system and desired patient response. Close attention to other concomitant medications will ensure adequate amounts of all drugs, including dexamethasone. Nurses need to assess patients' tolerance of dexamethasone, discuss these findings with physicians and pharmacists, and educate both patients and family members on doses and tapering schedules tailored to individual patient needs. References: 21]</t>
  </si>
  <si>
    <t>J2: J Neurosci Nurs; Nahaczewski, Ann E Fowler, Susan B Hariharan, S; ID: 462</t>
  </si>
  <si>
    <t>0888-0395</t>
  </si>
  <si>
    <t>Nahaczewski,Ann E. Robert Wood Johnson University Hospital, New Brunswick, NJ, USA.</t>
  </si>
  <si>
    <t>http://ovidsp.ovid.com/ovidweb.cgi?T=JS&amp;CSC=Y&amp;NEWS=N&amp;PAGE=fulltext&amp;D=med5&amp;AN=15673210</t>
  </si>
  <si>
    <t>MEDLINE; Ovid Technologies; Dexamethasone therapy in patients with brain tumors--a focus on tapering</t>
  </si>
  <si>
    <t>Nahvi,S.;Richter,K.;Li,X.;Modali,L.;Arnsten,J.</t>
  </si>
  <si>
    <t>Cigarette smoking and interest in quitting in methadone maintenance patients</t>
  </si>
  <si>
    <t>Adult;Aged;Cross-Sectional Studies;Drug Administration Schedule;Female;Health Care Surveys;Humans;Male;*Methadone/ad Administration &amp; Dosage];Middle Aged;Motivation;Multivariate Analysis;*Narcotics/ad Administration &amp; Dosage];Smoking/eh Ethnology];Smoking/pc Prevention &amp; Control];*Smoking/px Psychology];*Smoking Cessation/px Psychology];Tobacco Use Disorder/px Psychology];Urban Health;0 (Narcotics);UC6VBE7V1Z (Methadone)</t>
  </si>
  <si>
    <t>OBJECTIVES: To examine tobacco use, readiness to quit, and interest in smoking cessation interventions among methadone maintenance patients. METHODS: Cross-sectional survey of outpatients enrolled in four urban methadone maintenance clinics. Stage of readiness to quit was determined for all smokers, and factors associated with both readiness to quit and interest in attending an on-site smoking cessation program were determined. RESULTS: Among 389 patients, 83% were current smokers. Nearly half (48%) of smokers were contemplating quitting, and an additional 22% were in the preparation stage of readiness to quit. In multivariate analyses, lower nicotine dependence, prior use of smoking cessation pharmacotherapy, and lower methadone dose were associated with being in the preparation stage. Patients with more education, Hispanics/Latinos, and patients who had used smoking cessation pharmacotherapy or were in the preparation or contemplation stages of behavior change were more interested in attending an on-site smoking cessation program. CONCLUSIONS: Tobacco use is highly prevalent among methadone maintenance patients, but we also observed a high level of readiness to quit and interest in smoking cessation. Targeted smoking cessation interventions, including on-site programs, should be developed for methadone maintenance patients.</t>
  </si>
  <si>
    <t>J2: Addict Behav; Nahvi, Shadi Richter, Kimber Li, Xuan Modali, Laxmi Arnsten, Julia; ID: 417</t>
  </si>
  <si>
    <t>Nahvi,Shadi. Division of Substance Abuse, Department of Psychiatry and Behavioral Sciences, Albert Einstein College of Medicine, Montefiore Medical Center, Bronx, NY, USA. snahvi@dosa.aecom.yu.edu &lt;snahvi@dosa.aecom.yu.edu&gt;</t>
  </si>
  <si>
    <t>http://ovidsp.ovid.com/ovidweb.cgi?T=JS&amp;CSC=Y&amp;NEWS=N&amp;PAGE=fulltext&amp;D=med5&amp;AN=16473476</t>
  </si>
  <si>
    <t>MEDLINE; Ovid Technologies; Cigarette smoking and interest in quitting in methadone maintenance patients</t>
  </si>
  <si>
    <t>Nair,H.;Author,Addresses;Iu Health, West Avon,United States;Correspondence,Address;Health West Avon United States,H.Nair, I.U.</t>
  </si>
  <si>
    <t>Changing the face of pain through pharmacy pain consults</t>
  </si>
  <si>
    <t>pain;pharmacy;society;addiction;analgesia;caregiver;chronic pain;community hospital;drug therapy;education;hospital;human;nurse;nursing staff;occupational therapy;patient;pharmacist;pharmacokinetics;pharmacology;physician;physiotherapy;positive feedback;purchasing;weakness</t>
  </si>
  <si>
    <t>Changing the Face of Pain through Pharmacy Pain Consults at a Small Community Hospital. In 2010, IU HealthWest Hospital ranked in the 12th percentile in our value based purchasing pain score. In April of 2010 we implemented a multidisciplinary Pain Resource Nurse and Colleague program with the stated aim to improve our patient experience scores for pain management. After two days of classroom education, this core group met monthly to identify weaknesses in our practice methods, and to look for key strategies to support improvements in pain management. Very early in our Pain Committee evolution it was identified some staff had misunderstandings and misperceptions about the nuances of appropriate pain management. Pharmacological knowledge about various pain medications was identified as an area that needed improvement. The pharmacist on the Pain Resource and Colleague committee agreed to help educate the both physicians and nursing staff. This education was done in phases due to the varying shifts and staffing issues. After initial positive feedback, colleagues from physical therapy and occupational therapy requested pharmacy education in the area of pain management. This content was added for all new caregivers joining our team. Our pain scores improved somewhat following this education, but were still below our desired preeminent level. The Pain Committee advocated for the initiation of a Pharmacy Pain Consult program to further support patients experiencing unrelieved pain, chronic pain or who had addiction issues. It was recognized that the pharmacists could share their understanding of the pharmacology and pharmacokinetics of pain medications with physicians and nurses who might need further education.</t>
  </si>
  <si>
    <t>(Nair H.) 32nd Annual Scientific Meeting of the American Pain Society New Orleans, LA, United States 2013-05-09 to 2013-05-11 Churchill Livingstone Inc.; ID: 1057</t>
  </si>
  <si>
    <t>Nakaki,T.;Author,Addresses;Department of Pharmacology, Teikyo University,School of;Medicine,Kaga Itabashi Ward Tokyo Japan;Correspondence,Address;Nakaki, Department of Pharmacology Teikyo University School of Medicine,T.;Kaga,Itabashi Ward Tokyo Japan Email;nakaki@medteikyo,u ac jp</t>
  </si>
  <si>
    <t>12107630; Learning adverse drug effects from judicial precedents</t>
  </si>
  <si>
    <t>learning;medical education;article;controlled study;criminal law;curriculum;drug information;drug misuse;drug safety;drug use;health care organization;health care personnel;human;Internet;malpractice;medical student;microcomputer;patient care;physician;prognosis;teaching;Public Health, Social Medicine and Epidemiology (17);Clinical and Experimental Pharmacology (30);Forensic Science Abstracts (49)</t>
  </si>
  <si>
    <t>In order to help students to become familiar with the official web site on drug safety information in Japan, a short course, in which they actively learn the adverse effects of drugs, has been introduced in our pharmacology curriculum. Each student was allotted a personal computer that was connected to the internet, and was informed of the URL (www.pharmasys.gr.jp/homepage.html) where they were able to search for pertinent essential information on drugs and to report adverse events to the official concerned organization. There were three students to a group, each of which was provided with a judicial precedent. Each judicial case record was deliberately truncated after the section where the physician committed misuse of drugs, so that the students had freedom to imagine the rest of the story. Each group was asked to summarize the case, to speculate on the prognosis and to point out the inappropriate use of drugs. Most groups predicted the outcome optimistically at first, but as they scrutinized the cases, they became aware of serious mistakes that the physicians had committed in patient care. The results suggest that the internet is a powerful tool for gleaning drug information and reporting adverse effects. Judicial precedents provide an excellent teaching material for giving students an incentive to access web sites that are essential for healthcare professionals.</t>
  </si>
  <si>
    <t>(Nakaki T.) Springer Verlag, Tiergartenstrasse 17, Heidelberg, Germany.; ID: 1609</t>
  </si>
  <si>
    <t>http://www.ncbi.nlm.nih.gov/pubmed/12107630</t>
  </si>
  <si>
    <t>Learning adverse drug effects from judicial precedents</t>
  </si>
  <si>
    <t>Nakhaee,A.;Ghassemi,A. R.;Torshizi,Z.;Ebrahimi,N.;Rostami,N.;Karimzadeh,Z.;Sanjaripoor,A.;Sheibani,V.</t>
  </si>
  <si>
    <t>PMC3905484; Knowledge of Dentistry, Medicine, and Pharmacy Students about Psychedelic Drugs in Kerman University of Medical Sciences</t>
  </si>
  <si>
    <t>Addiction &amp; Health</t>
  </si>
  <si>
    <t>BACKGROUND: Psychedelic drugs can cause one to get out of normal status and permanent cerebral defects, via affecting central nervous system. Consumption of theses drugs seems to be increasing nowadays especially among the youth and university educated population. We conducted a study to evaluate the awareness of medical science students of Kerman University of medical science who are going to be the future medical population. METHODS: This cross-sectional study was carried out on 471 of students of medicine, dentistry and pharmacy which were in the first to forth year of their education about psychedelic drugs (Ecstasy, LSD, Ice, crack and Yaba). To evaluate the students' awareness of drugs we used questionnaire with reliability and validity proven via pilot study. Statistics analysis was performed using SPSS13 software. FINDINGS: Average of their age was 3.2 +/- 20.4. Overall among the students, 56.7% were in the low level of insight, 34.3% in medium and 6.9% in good level and 2.2% had best insight of the drugs. Also only 32.2% of students had the full information about the name of drug, 25.7 % had information about the form of them, 24% about the addiction with them, 7% about their complication and only 5% about the origin of drugs. The information about all psychedelic drugs was higher among pharmacy students, students of the third year and males. CONCLUSION: Our study showed a low insight about psychedelic drugs like Ecstasy, LSD, Ice, Crack, and Yaba among the students. According to this lack of information of these groups, it is suggested that educational courses about the complication, signs and symptoms of these drugs be held.</t>
  </si>
  <si>
    <t>J2: Addict; Nakhaee, Akram Ghassemi, Amir Reza Torshizi, Zahra Ebrahimi, Nazanin Rostami, Najmeh Karimzadeh, Zohreh Sanjaripoor, Asieh Sheibani, Vahid; ID: 118</t>
  </si>
  <si>
    <t>2008-4633</t>
  </si>
  <si>
    <t>Nakhaee,Akram. Researcher, Students' Research Centre, Kerman University of Medical Sciences, Kerman, Iran. Ghassemi,Amir Reza. Researcher, Students' Research Centre, Kerman University of Medical Sciences, Kerman, Iran. Torshizi,Zahra. Researcher, Students' Research Centre, Kerman University of Medical Sciences, Kerman, Iran. Ebrahimi,Nazanin. Researcher, Students' Research Centre, Kerman University of Medical Sciences, Kerman, Iran. Rostami,Najmeh. Researcher, Students' Research Centre, Kerman University of Medical Sciences, Kerman, Iran. Karimzadeh,Zohreh. Researcher, Students' Research Centre, Kerman University of Medical Sciences, Kerman, Iran. Sanjaripoor,Asieh. Researcher, Students' Research Centre, Kerman University of Medical Sciences, Kerman, Iran. Sheibani,Vahid. Assistant Professor of Physiology, Neuroscience Research Centre, Kerman University of Medical Sciences, Kerman, Iran.</t>
  </si>
  <si>
    <t>http://ovidsp.ovid.com/ovidweb.cgi?T=JS&amp;CSC=Y&amp;NEWS=N&amp;PAGE=fulltext&amp;D=prem&amp;AN=24494090</t>
  </si>
  <si>
    <t>MEDLINE; Ovid Technologies; Knowledge of Dentistry, Medicine, and Pharmacy Students about Psychedelic Drugs in Kerman University of Medical Sciences</t>
  </si>
  <si>
    <t>Nardini,S.;Castellani,P.;Carrozzi,L.</t>
  </si>
  <si>
    <t>Smoking cessation as a therapeutic and preventive intervention: a meeting report</t>
  </si>
  <si>
    <t>Monaldi Archives for Chest Disease</t>
  </si>
  <si>
    <t>*Disease Outbreaks/pc Prevention &amp; Control];Europe/ep Epidemiology];Humans;Physician's Role;*Smoking/ep Epidemiology];*Smoking/pc Prevention &amp; Control];*Smoking Cessation/mt Methods]</t>
  </si>
  <si>
    <t>In November 2000, a meeting took place on "Smoking cessation as a therapeutic and preventive intervention". The venue of the meeting was Venice, in the old Monastery of the Isola San Giorgio, and it was jointly organised by the Italian Association of Hospital Pulmonologists (AIPO) and the European Section of the Society for Research on Nicotine and Tobacco (SRNT--Europe). The meeting was also sponsored by the European Respiratory Society (ERS). The importance of the topic cannot be underestimated. According to the World Health Organisation (WHO) tobacco smoking is the most important cause of preventable death in the industrialised world. When tobacco smoking constitutes a repetitive and compulsive behaviour, for instance when a person continues smoking when suffering from a smoking related disease, it is due to tobacco dependence, which both WHO and the American Psychiatric Association classify as a disease. Tobacco smoking is not only a disease in itself but can also cause other diseases, such as chronic obstructive lung disease, lung cancer and cardiovascular disease, and can worsen pre-existent disease, e.g. asthma. In the WHO European region, according to WHO estimates, tobacco smoking causes at least 1,200,000 deaths each year (14% of all deaths). So far, a preventive strategy based on protection of children and adolescents from initiation has not worked in decreasing the prevalence among young generations. Even with the best educational programs success is partial and ephemeral. Smoking cessation with behavioural and pharmacological aid is a well established therapeutic intervention, supported by strong scientific evidence. But smoking cessation can also be a preventive intervention, because it can reduce the prevalence of smokers in a community. Obviously, smoking cessation is to be used together with all other interventions recognized as effective in tobacco control (cigarette and tobacco product pricing, regulatory approaches, smoking bans, health education).</t>
  </si>
  <si>
    <t>J2: Monaldi Arch Chest Dis; Nardini, S Castellani, P Carrozzi, L; ID: 525</t>
  </si>
  <si>
    <t>1122-0643</t>
  </si>
  <si>
    <t>Nardini,S. Pulmonary and TB Unit, General Hospital, Vittorio Veneto, TV, Italy. snardini@qubisoft.it</t>
  </si>
  <si>
    <t>http://ovidsp.ovid.com/ovidweb.cgi?T=JS&amp;CSC=Y&amp;NEWS=N&amp;PAGE=fulltext&amp;D=med4&amp;AN=11980287</t>
  </si>
  <si>
    <t>MEDLINE; Ovid Technologies; Smoking cessation as a therapeutic and preventive intervention: a meeting report</t>
  </si>
  <si>
    <t>Nascimento,Y. D. A.;Carvalho,W. D. S.;Acurcio,F. D. A.;Author,Addresses;Faculty of Pharmacy, Federal,University of;Minas Gerais,France;Centro Universit‚îú√≠rio,Newton;Paiva,Av Silva Lobo Nova Granada Belo Horizonte;Mg,Brazil;Correspondence,Address;Nascimento, Centro Universit‚îú√≠rio Newton Paiva Av Silva Lobo,Y.D.A.;Email,Nova Granada Belo Horizonte M.G.Brazil;yone_almeida@hotmail.com</t>
  </si>
  <si>
    <t>Drug-related problems observed in a pharmaceutical care service, Belo Horizonte, Brazil</t>
  </si>
  <si>
    <t>Revista Brasileira de Ciencias Farmaceuticas/Brazilian Journal of Pharmaceutical Sciences</t>
  </si>
  <si>
    <t>April-June</t>
  </si>
  <si>
    <t>analgesic agent;anticoagulant agent;beta adrenergic receptor blocking agent;calcium channel blocking agent;central stimulant agent;diuretic agent;drug induced disease;pharmaceutical care;adult;aged;article;Brazil;depression;drug efficacy;drug safety;female;follow up;health status;hospitalization;human;longitudinal study;major clinical study;male;observational study;population;professional practice;Public Health, Social Medicine and Epidemiology (17);Drug Dependence, Alcohol Abuse and Alcoholism (40)</t>
  </si>
  <si>
    <t>This present observational, longitudinal, and non-concurrent study was developed with the purposes of evaluate the profile of patients attended by a pharmacotherapeutic follow-up service and describe the Drug-Related Problems (DRPs) found over there; determine the proportion of DRPs between the health problems presented by the studied population, classifying them and identifying the situations related with their appearance. The study was developed at the School Pharmacy of Newton Paiva University Center, Belo Horizonte, MG, during the period from 2001 November up to 2003 November. Ninety seven patients have been evaluated, the majority of female sex (66.0%), with up to 8 years of scholarship (45.4%), mean age of 56.7 ‚î¨‚ñí 13.0 years; mean of 4 ‚î¨‚ñí 2 diagnosed diseases; 7 ‚î¨‚ñí 6 complaints and 4 ‚î¨‚ñí 2 medications per patient. Nine hundred and twelve health problems have been identified: 56.5% uncontrolled. From the uncontrolled problems, 380 (73.6%) were DRPs and between these, 81 (21.3%) were risks for DRP. From the 97 followed-up patients, 89 (91.7%) have presented at least one DRP during the follow-up. The more frequent DRPs were related to effectiveness (53.2%), to necessity (25.2%) and to safety (21.6%). A great number of uncontrolled problems was observed, as well as the possibility to resolve them by means of pharmaceutical care, indicating so the resolutive potential of this practice.</t>
  </si>
  <si>
    <t>(Carvalho W.D.S.; Acurcio F.D.A.) (Nascimento Y.D.A., yone_almeida@hotmail.com) Faculdade de Ciencias Farmaceuticas (Biblioteca), P.O. Box 66083, Sao Paulo, Brazil.; ID: 1440</t>
  </si>
  <si>
    <t>1516-9332</t>
  </si>
  <si>
    <t>2010095172 FULL TEXT LINK http://dx.doi.org/10.1590/S1984-82502009000200018</t>
  </si>
  <si>
    <t>Nasution,A.;Syed Sulaiman,S. A.;Shafie,A. A.;Author,Addresses;Fakultas Farmasi,Universitas;Sumatera Utara,Medan Indonesia;School,of Pharmaceutical;Universiti,Sains Malaysia;Correspondence,Address;Nasution, Fakultas Farmasi Universitas Sumatera Utara Jalan Tri Dharma,A.;No,Kampus U.S.U.Medan Indonesia Email nasution azizah gmail com</t>
  </si>
  <si>
    <t>Cost-effectiveness of clinical pharmacy education on infection management among patients with chronic kidney disease in an indonesian hospital</t>
  </si>
  <si>
    <t>Value in Health Regional Issues</t>
  </si>
  <si>
    <t>chronic kidney disease;clinical pharmacy;cost effectiveness analysis;infection (disease management);patient education;adult;article;cohort analysis;controlled study;disease association;disease severity;female;health care cost;health care delivery;health care utilization;human;Indonesia;major clinical study;male;mortality;priority journal;quasi experimental study;survival rate;Microbiology: Bacteriology, Mycology, Parasitology and Virology (4);Public Health, Social Medicine and Epidemiology (17);Health Policy, Economics and Management (36)</t>
  </si>
  <si>
    <t>Objectives: This study evaluated the clinical and economic impacts of clinical pharmacy education (CPE) on infection management among patients with chronic kidney disease (CKD) stages 4 and 5 in Haji Adam Malik Hospital, Indonesia. Methods: A quasi-experimental economic evaluation comparing CPE impact on 6-month CKD mortality was conducted on the basis of payer perspective. The experimental group (n = 63) received care by health care providers who were given CPE on drug-related problems and dose adjustment. The control group (n = 80) was based on the historical cohort of patients who received care before the CPE. Measure of clinical outcome applied in this study was number of lives saved/100 patients treated. Cost-effectiveness ratios for CKD stages 4 and 5 patients without CPE and with CPE and incremental cost-effectiveness ratios (ICERs) for CKD stages 4 and 5 patients were analyzed. Results: Lives saved (%) in the treatment of CKD without CPE: CKD stage 4, 78.57; CKD stage 5, 57.58. Lives saved (%) in the treatment of CKD with CPE: CKD stage 4, 88.89; CKD stage 5, 65.45. Cost-effectiveness ratios for stage 4 with and without CPEs were Rp3,348,733.27 and Rp3,519,931.009, respectively. Cost-effectiveness ratios for stage 5 with and without CPEs were Rp7,137,874.93 and Rp7,871,822.27, respectively. ICERs were Rp2,045,341.22 for CKD stage 4 and Rp1,767,585.60 for CKD stage 5. Conclusions: Treatment of CKD stages 4 and 5 with CPE was more effective and cost-effective compared with treatment of CKD stages 4 and 5 without CPE. The ICERs indicated that extra costs were required to increase life saved in both stages. ‚î¨‚åê 2013 International Society for Pharmacoeconomics and Outcomes Research (ISPOR).</t>
  </si>
  <si>
    <t>(Nasution A., nasution.azizah4@gmail.com) (Syed Sulaiman S.A.; Shafie A.A.) Elsevier Inc., 360 Park Avenue South, New York, United States.; ID: 1051</t>
  </si>
  <si>
    <t>2212-1099</t>
  </si>
  <si>
    <t>2013289563 FULL TEXT LINK http://dx.doi.org/10.1016/j.vhri.2013.02.009</t>
  </si>
  <si>
    <t>Nath,R. P.;Upton,R. A.;Everhart,E. T.;Cheung,P.;Shwonek,P.;Jones,R. T.;Mendelson,J. E.;Author,Addresses;Drug Dependence Research Center, Langley,Porter Psychiatric;Institute,Univ of California San Francisco Parnassus Avenue San;Francisco,C. A. U.;Correspondence,Address;JE Mendelson, Drug Dependence Research Center Langley,Porter Psychiatric;Institute,Univ of California San Francisco Parnassus Avenue San;Francisco,C. A. U.</t>
  </si>
  <si>
    <t>10354966; Buprenorphine pharmacokinetics: Relative bioavailability of sublingual tablet and liquid formulations</t>
  </si>
  <si>
    <t>(MAJOR FOCUS);buprenorphine (clinical trial, pharmaceutics, pharmacokinetics, sublingual;drug administration);opiate;drug bioavailability;liquid;tablet formulation;adult;area under the curve;article;capillary gas chromatography;clinical trial;crossover procedure;drug blood level;drug solubility;electron capture detection;human;human experiment;male;normal human;DRUG MANUFACTURERS;(United States)National Institute On Drug Abuse;(United States)Reckitt and Colman;(United States)Research Triangle Institute;buprenorphine (52485-79-7, 53152-21-9);opiate (53663-61-9, 8002-76-4, 8008-60-4);Clinical and Experimental Pharmacology (30);Drug Literature Index (37);Pharmacy (39);Drug Dependence, Alcohol Abuse and Alcoholism (40)</t>
  </si>
  <si>
    <t>Buprenorphine is an effective new treatment for opiate dependence. This study compared the bioavailability of buprenorphine from a tablet to that from a reference solution. Six men experienced with, but not dependent on, opiates (DSM-III-R) were each administered 7.7 mg of buprenorphine in liquid form and 8 mg in tablet form 1 week apart in a balanced crossover design. Plasma levels were measured by electron capture capillary gas chromatography (GC), and concentration-time curves were constructed. Pharmacokinetic data were analyzed by analysis of variance. The bioavailability from the tablet was approximately 50% that from the liquid and was not affected by saliva pH. Lower bioavailability from the tablet may be due to slow dissolution. (C) 1999 the American College of Clinical Pharmacology.</t>
  </si>
  <si>
    <t>(Nath R.P.; Upton R.A.; Everhart E.T.; Cheung P.; Shwonek P.; Jones R.T.; Mendelson J.E.) SAGE Publications Inc., 2455 Teller Road, Thousand Oaks, United States.; ID: 1646</t>
  </si>
  <si>
    <t>http://www.ncbi.nlm.nih.gov/pubmed/10354966</t>
  </si>
  <si>
    <t>Buprenorphine pharmacokinetics: Relative bioavailability of sublingual tablet and liquid formulations</t>
  </si>
  <si>
    <t>Nathell,L.</t>
  </si>
  <si>
    <t>Effects on sick leave of an inpatient rehabilitation programme for asthmatics in a randomized trial</t>
  </si>
  <si>
    <t>Scandinavian Journal of Public Health</t>
  </si>
  <si>
    <t>Scand.J.Public Health</t>
  </si>
  <si>
    <t>64 8p</t>
  </si>
  <si>
    <t>Asthma -- Rehabilitation;Hospital Programs -- Evaluation;Rehabilitation -- Methods;Sick Leave -- Utilization;Asthma -- Diagnosis;Asthma -- Drug Therapy;Chi Square Test;Clinical Trials;Coping;Data Analysis Software;Descriptive Statistics;Evaluation Research;Female;Funding Source;Inpatients;Male;Mann-Whitney U Test;McNemar's Test;Patient Education;Physical Therapy;Program Evaluation;Prospective Studies;Questionnaires;Random Sample;Rehabilitation Centers;Smoking Cessation;Smoking -- Complications;Statistical Significance;Structured Interview;Two-Tailed Test;Human</t>
  </si>
  <si>
    <t>AIM: Among adult asthmatics a major proportion of the cost of illness is attributed to productivity losses and societal costs in connection with sick leave compensation. The aim of the study was to evaluate an extensive structured four-week inpatient rehabilitation programme for asthmatics. METHODS: A diagnosis of asthma was made in a structured way among people on sick leave due to a respiratory disorder. In total, 197 persons were randomized to either a rehabilitation programme, or to usual care. The main components of the rehabilitation programme were education, pharmacological optimization, physical training, and coping skill acquisition. RESULTS: At the three-year follow-up, the median number of sick leave days in the rehabilitation group was 104, and in the usual care group 167 (p = 0.12). An analysis of a subgroup consisting of persons not currently smoking with a previous diagnosis of asthma by a physician (n = 57) showed a significant effect on sick leave at three years (median number of days 63 in the rehabilitation group vs 361 in the control group, p = 0.02). All analyses were based on intention to treat. CONCLUSIONS: The long-term effects on sick leave of an extensive inpatient asthma rehabilitation programme are most evident for non-smokers and ex-smokers with a previous asthma diagnosis. It is therefore recommended that persons with asthma who are current smokers should be offered participation in smoking cessation programmes instead of asthma rehabilitation programmes.</t>
  </si>
  <si>
    <t>Entry Date: 20050624. Revision Date: 20150711. Publication Type: Journal Article; clinical trial; research; tables/charts. Journal Subset: Biomedical; Blind Peer Reviewed; Europe; Expert Peer Reviewed; Peer Reviewed; Public Health; UK &amp; Ireland. Grant Information: Funded by the research department of AFA, Stockholm, Sweden. NLM UID: 100883503. PMID: 15764242.; ID: 1887</t>
  </si>
  <si>
    <t>1403-4948</t>
  </si>
  <si>
    <t>Section of Personal Injury Prevention, Department of Clinical Neuroscience, Karolinska Institutet, P.O. Box 12718, SE-112 94 Stockholm, Sweden; lennart.nathell@home.se</t>
  </si>
  <si>
    <t>http://proxy.lib.umich.edu/login?url=http://search.ebscohost.com/login.aspx?direct=true&amp;db=ccm&amp;AN=106473663&amp;site=ehost-live&amp;scope=site</t>
  </si>
  <si>
    <t>ccm; EBSCOhost; Effects on sick leave of an inpatient rehabilitation programme for asthmatics in a randomized trial</t>
  </si>
  <si>
    <t>Naunton,M.;Peterson,G. M.;Author,Addresses;Department of,Pharmacy;Tasmanian School of Pharmacy, University of Tasmania,Hobart Tasmania;Australia;Tasmanian,School of;Faculty of Health Science, University of Tasmania,G.P.O.Box Hobart;Tasmania,Australia;Correspondence,Address;GM Peterson, Tasmanian School of Pharmacy Faculty of,Health Science;University of Tasmania, G P O Box Hobart,Tasmania Australia;Email,G. P.</t>
  </si>
  <si>
    <t>Evaluation of Home-Based Follow-Up of High-Risk Elderly Patients Discharged from Hospital</t>
  </si>
  <si>
    <t>Journal of Pharmacy Practice and Research</t>
  </si>
  <si>
    <t>amiodarone (adverse drug reaction);atenolol (adverse drug reaction);digoxin (adverse drug reaction);dipeptidyl carboxypeptidase inhibitor (adverse drug reaction, drug;interaction);flecainide (adverse drug reaction);insulin (adverse drug reaction);nonsteroid antiinflammatory agent (adverse drug reaction, drug interaction);elderly care;home care;hospital discharge;adult;aged;article;bradycardia (side effect);controlled study;demography;drug hypersensitivity (side effect);female;follow up;food drug interaction;general practice;health care personnel;high risk population;hospital admission;human;hypoglycemia;major clinical study;male;patient compliance;pharmacist;practice guideline;randomization;side effect (side effect);toxicity (side effect);amiodarone (1951-25-3, 19774-82-4, 62067-87-2);atenolol (29122-68-7);digoxin (20830-75-5, 57285-89-9);flecainide (54143-55-4);insulin (9004-10-8);Public Health, Social Medicine and Epidemiology (17);Gerontology and Geriatrics (20);Health Policy, Economics and Management (36);Drug Literature Index (37);Adverse Reactions Titles (38)</t>
  </si>
  <si>
    <t>Objective: To evaluate pharmacist-conducted follow-up at home of high-risk elderly patients discharged from hospital. Method: A randomised controlled study, in which medical patients admitted to hospital and fulfilling high-risk criteria (including age 60 years or older and prescribed four or more regular medications) were randomly assigned to an intervention or control group. Patients in the intervention group were visited at home by a pharmacist five days after discharge. The pharmacist educated patients on their medications, encouraged compliance, assessed for drug-related problems, intervened when appropriate and communicated all relevant findings to community health professionals. The intervention group patients were revisited at home 90 days after discharge to evaluate the outcomes of interventions made on day 5. Patients in the control group were visited at home by a pharmacist 90 days after discharge and provided with an identical comprehensive medication review Results: One hundred and twenty-one patients completed the study. There were no significant differences between the two groups in key clinical and demographic parameters at baseline. A median of three drug-related problems were identified in each intervention group patient at the five day home visit. Ninety days after discharge this had declined to one, compared to two for the control group patients (p &lt; 0.0001). In the intervention group, compliance had improved and was significantly higher than for the control group after 90 days (p &lt; 0.0001). There was a significant decline in the use of nonsteroidal anti-inflammatory drugs by the intervention group patients. Forty-five per cent of the control group patients had unplanned readmissions to hospital during the 90 days following discharge compared to 28% of the intervention group patients (p = 0.05). The intervention program was well-received by patients and their general practitioners. Recommendations from the pharmacist were implemented by general practitioners in 79% of cases. Conclusion: A pharmacist-conducted follow-up at home of high-risk elderly patients discharged from hospital is valuable in identifying and addressing drug-related problems and reducing the risk of readmission to hospital.</t>
  </si>
  <si>
    <t>(Naunton M.; Peterson G.M., G.Peterson@utas.edu.au) (Peterson G.M., G.Peterson@utas.edu.au); ID: 1585</t>
  </si>
  <si>
    <t>1445-937X</t>
  </si>
  <si>
    <t>Neale,J.;Nettleton,S.;Pickering,L.</t>
  </si>
  <si>
    <t>Does recovery-oriented treatment prompt heroin users prematurely into detoxification and abstinence programmes? Qualitative study</t>
  </si>
  <si>
    <t>Adult;Female;Follow-Up Studies;*Heroin Dependence/ep Epidemiology];Heroin Dependence/px Psychology];*Heroin Dependence/th Therapy];Humans;Longitudinal Studies;Male;Middle Aged;*Recovery of Function;Substance Abuse Treatment Centers/mt Methods];*Substance Abuse Treatment Centers/st Standards];Treatment Outcome;Young Adult</t>
  </si>
  <si>
    <t>AIMS: (i) To consider whether or not recovery-oriented treatment might be prompting heroin users prematurely into detoxification and abstinence programmes; (ii) to explore the findings with reference to Foucauldian theory. METHODS: Longitudinal qualitative data comprising 57 audio-recorded interviews, which captured heroin users' views and experiences of treatment duration. Participants included 30 heroin users (15 men; 15 women) starting a new episode of treatment, of whom 27 (14 men; 13 women) were re-interviewed after 3 months. Recruitment occurred in community drug services, pharmacies and residential treatment settings in Southern England, UK. Transcribed data were systematically coded and analysed inductively. FINDINGS: All participants wanted to be free from heroin and prescribed substitute drugs. Individuals were often impatient with the detoxing process and some reduced dosages of substitute medication faster than prescribers recommended, occasioning cross addiction and relapse. Previously unsuccessful rapid detoxifications induced slower recovery attempts. Participation in residential rehabilitation facilitated client realisation that recovery required time and effort. CONCLUSIONS: Recovery-oriented treatment can prompt heroin users prematurely into detoxification and abstinence programmes with negative consequences. The desire to detoxify quickly can be interpreted through Foucault's concepts of 'self-governance' and 'resistance;' heroin users' participation in decision-making processes reflects notions of 'agency;' and clients' willingness to adopt longer approaches to recovery following past negative detoxification experiences and exposure to residential rehabilitation confirms their commitment to be 'well.' The experiential knowledge of heroin users who have personally attempted recovery is a crucial resource for both those contemplating their own recovery and those advocating recovery-oriented services.Copyright ‚î¨‚åê 2012 Elsevier Ireland Ltd. All rights reserved.</t>
  </si>
  <si>
    <t>J2: Drug Alcohol Depend; Neale, Joanne Nettleton, Sarah Pickering, Lucy S0376-8716(12)00262-1; ID: 146</t>
  </si>
  <si>
    <t>Neale,Joanne. Faculty of Health &amp; Life Sciences, Oxford Brookes University, Jack Straw's Lane, Marston, Oxford OX3 0FL UK. jneale@brookes.ac.uk</t>
  </si>
  <si>
    <t>http://ovidsp.ovid.com/ovidweb.cgi?T=JS&amp;CSC=Y&amp;NEWS=N&amp;PAGE=fulltext&amp;D=medl&amp;AN=22809895</t>
  </si>
  <si>
    <t>http://dx.doi.org/10.1016/j.drugalcdep.2012.06.030</t>
  </si>
  <si>
    <t>MEDLINE; Ovid Technologies; Does recovery-oriented treatment prompt heroin users prematurely into detoxification and abstinence programmes? Qualitative study</t>
  </si>
  <si>
    <t>Neale,J.;Nettleton,S.;Pickering,L.;Fischer,J.</t>
  </si>
  <si>
    <t>Eating patterns among heroin users: a qualitative study with implications for nutritional interventions</t>
  </si>
  <si>
    <t>Adult;Eating/px Psychology];*Feeding Behavior;Female;Heroin Dependence/dh Diet Therapy];*Heroin Dependence/px Psychology];Heroin Dependence/rh Rehabilitation];Humans;Male;Middle Aged;Nutritional Support;Residential Treatment/sn Statistics &amp; Numerical Data];Socioeconomic Factors</t>
  </si>
  <si>
    <t>AIM: To provide new insights into heroin users' eating patterns in order to inform nutritional interventions. DESIGN: Seventy-seven audio-recorded in-depth interviews which elicited detailed data on eating patterns. SETTING: Community and residential drug services, pharmacies and peer support groups in Southern England, UK. PARTICIPANTS: Forty current or ex-heroin users (21 men and 19 women), of whom 37 (20 men and 17 women) were re-interviewed after 3 months. MEASUREMENTS: Audio data transcribed verbatim, coded systematically and analysed inductively. FINDINGS: Heroin users' eating patterns were influenced by individual, social, cultural, economic and environmental factors. During active heroin use, participants consumed quick, convenient, cheap and sweet foods, ate infrequently and had little interest in food. Eating patterns often improved during stays in residential services and after heroin cessation. Ex-heroin users began to take pleasure in food preparation and eating and identified therapeutic benefits to cooking. Initially, weight gain was experienced positively, but subsequently generated anxieties as participants, particularly women, struggled to control their appetite and worried about becoming overweight. Findings complement and add to previous research and sociological and anthropological literatures. CONCLUSIONS: Heroin users have dysfunctional eating patterns that are amenable to change and community and residential services could enable them to experience the many health, psychological and social benefits of improved eating practices. Nutritional interventions need to be tailored to individual needs and circumstances, but also monitored and evaluated so that there is a future evidence base.Copyright ‚î¨‚åê 2011 The Authors, Addiction ‚î¨‚åê 2011 Society for the Study of Addiction.</t>
  </si>
  <si>
    <t>J2: Addiction; Neale, Joanne Nettleton, Sarah Pickering, Lucy Fischer, Jan; ID: 222</t>
  </si>
  <si>
    <t>Neale,Joanne. Faculty of Health and Life Sciences, Oxford Brookes University, Oxford, UK. jneale@brookes.ac.uk</t>
  </si>
  <si>
    <t>http://ovidsp.ovid.com/ovidweb.cgi?T=JS&amp;CSC=Y&amp;NEWS=N&amp;PAGE=fulltext&amp;D=medl&amp;AN=21933297</t>
  </si>
  <si>
    <t>http://dx.doi.org/10.1111/j.1360-0443.2011.03660.x</t>
  </si>
  <si>
    <t>MEDLINE; Ovid Technologies; Eating patterns among heroin users: a qualitative study with implications for nutritional interventions</t>
  </si>
  <si>
    <t>Neininger,M. P.;Kaune,A.;Bertsche,A.;Rink,J.;Musiol,J.;Frontini,R.;Prenzel,F.;Kiess,W.;Bertsche,T.</t>
  </si>
  <si>
    <t>PMC4314799; How to improve prescription of inhaled salbutamol by providing standardised feedback on administration: a controlled intervention pilot study with follow-up</t>
  </si>
  <si>
    <t>BMC Health Services Research</t>
  </si>
  <si>
    <t>BACKGROUND: The effectiveness of inhaled salbutamol in routine care depends particularly on prescribed dosage and applied inhalation technique. To achieve maximum effectiveness and to prevent drug-related problems, prescription and administration need to work in concert. METHODS: We performed a controlled intervention pilot study with 4 consecutive groups in a general paediatric unit and assessed problems in salbutamol prescribing and administration. Control group i]: Routine care without additional support. First intervention group ii]: We carried out a teaching session for nurses aimed at preventing problems in inhalation technique. Independently from this, a pharmacist counselled physicians on problems in salbutamol prescribing. Second intervention group iii]: Additionally to the first intervention, physicians received standardised feedback on the inhalation technique. Follow-up group iv]: Subsequently, without any delay after the second intervention group had been completed, sustainability of the measures was assessed. We performed the chi-square test to calculate the level of significance with p&lt;0.05 to indicate a statistically significant difference for the primary outcome. As we performed multiple testing, an adjusted p&lt;0.01 according to Bonferroni correction was considered as significant. RESULTS: We included a total of 225 patients. By counselling the physicians, we reduced the number of patients with problems from 55% to 43% (control i] vs. first intervention ii], n.s.). With additional feedback to physicians, this number was further reduced to 25% (i] vs. iii], p&lt;0.001). In the follow-up iv], the number rose again to 48% (p&lt;0.01 compared to feedback group). CONCLUSIONS: Teaching nurses, counselling physicians, and providing feedback on the quality of inhalation technique effectively reduced problems in salbutamol treatment. However, for success to be sustained, continuous support needs to be provided. TRIAL REGISTRATION: German Clinical Trials register: DRKS00006792 .</t>
  </si>
  <si>
    <t>J2: BMC Health Serv Res; Neininger, Martina P Kaune, Almuth Bertsche, Astrid Rink, Jessica Musiol, Juliane Frontini, Roberto Prenzel, Freerk Kiess, Wieland Bertsche, Thilo; ID: 772</t>
  </si>
  <si>
    <t>1472-6963</t>
  </si>
  <si>
    <t>Neininger,Martina P. Drug Safety Center, University of Leipzig, Leipzig, Germany. MartinaPatrizia.Neininger@medizin.uni-leipzig.de. Neininger,Martina P. Department of Clinical Pharmacy, University of Leipzig, Leipzig, Germany. MartinaPatrizia.Neininger@medizin.uni-leipzig.de. Kaune,Almuth. Drug Safety Center, University of Leipzig, Leipzig, Germany. Almuth.Kaune@medizin.uni-leipzig.de. Kaune,Almuth. Department of Clinical Pharmacy, University of Leipzig, Leipzig, Germany. Almuth.Kaune@medizin.uni-leipzig.de. Bertsche,Astrid. Department of Women and Child Health, Hospital for Children and Adolescents and Center for Pediatric Research, University of Leipzig, Leipzig, Germany. Astrid.Bertsche@medizin.uni-leipzig.de. Rink,Jessica. Drug Safety Center, University of Leipzig, Leipzig, Germany. jessica.rink@gmx.de. Rink,Jessica. Department of Clinical Pharmacy, University of Leipzig, Leipzig, Germany. jessica.rink@gmx.de. Musiol,Juliane. Drug Safety Center, University of Leipzig, Leipzig, Germany. juliane_musiol@hotmail.de. Musiol,Juliane. Department of Clinical Pharmacy, University of Leipzig, Leipzig, Germany. juliane_musiol@hotmail.de. Frontini,Roberto. Drug Safety Center, University of Leipzig, Leipzig, Germany. Roberto.Frontini@medizin.uni-leipzig.de. Frontini,Roberto. Pharmacy Department of the University Hospital Leipzig, University of Leipzig, Leipzig, Germany. Roberto.Frontini@medizin.uni-leipzig.de. Prenzel,Freerk. Department of Women and Child Health, Hospital for Children and Adolescents and Center for Pediatric Research, University of Leipzig, Leipzig, Germany. Freerk.Prenzel@medizin.uni-leipzig.de. Kiess,Wieland. Department of Women and Child Health, Hospital for Children and Adolescents and Center for Pediatric Research, University of Leipzig, Leipzig, Germany. Wieland.Kiess@medizin.uni-leipzig.de. Bertsche,Thilo. Drug Safety Center, University of Leipzig, Leipzig, Germany. thilo.bertsche@medizin.uni-leipzig.de. Bertsche,Thilo. Department of Clinic(TRUNCATED)</t>
  </si>
  <si>
    <t>http://ovidsp.ovid.com/ovidweb.cgi?T=JS&amp;CSC=Y&amp;NEWS=N&amp;PAGE=fulltext&amp;D=prem&amp;AN=25627678</t>
  </si>
  <si>
    <t>http://dx.doi.org/10.1186/s12913-015-0702-x</t>
  </si>
  <si>
    <t>MEDLINE; Ovid Technologies; How to improve prescription of inhaled salbutamol by providing standardised feedback on administration: a controlled intervention pilot study with follow-up</t>
  </si>
  <si>
    <t>Nelson,E. B.</t>
  </si>
  <si>
    <t>Drug substitution and rational therapeutics. Old problems and new challenges</t>
  </si>
  <si>
    <t>Postgraduate medicine</t>
  </si>
  <si>
    <t>Postgrad.Med.</t>
  </si>
  <si>
    <t>*Drug Prescriptions;Formularies as Topic;Pharmaceutical Services;*Therapeutic Equivalency;United States</t>
  </si>
  <si>
    <t>Drug substitution is a reality of current medical practice. Physicians need to be aware of how it affects patients both medically and economically. Continuing education in clinical pharmacology is essential. Although generic substitution and formulary restriction are usually acceptable, therapeutic substitution is not. The responsibility of instituting therapy by writing a prescription must not be delegated to non-physicians. This could ultimately lead to more problems with adverse drug reactions and poor clinical outcome.</t>
  </si>
  <si>
    <t>J2: Postgrad Med; Nelson, E B; ID: 684</t>
  </si>
  <si>
    <t>0032-5481</t>
  </si>
  <si>
    <t>Nelson,E B. Department of Medicine, Baylor College of Medicine, Houston.</t>
  </si>
  <si>
    <t>http://ovidsp.ovid.com/ovidweb.cgi?T=JS&amp;CSC=Y&amp;NEWS=N&amp;PAGE=fulltext&amp;D=med3&amp;AN=2740274</t>
  </si>
  <si>
    <t>MEDLINE; Ovid Technologies; Drug substitution and rational therapeutics. Old problems and new challenges</t>
  </si>
  <si>
    <t>Nelson,E. E.;Winslow,J. T.</t>
  </si>
  <si>
    <t>Non-human primates: model animals for developmental psychopathology</t>
  </si>
  <si>
    <t>Animals;*Disease Models, Animal;Genotype;Humans;Mental Disorders/ci Chemically Induced];Mental Disorders/et Etiology];Primates/ge Genetics];Primates/gd Growth &amp; Development];Primates/px Psychology];*Primates;*Psychopathology/mt Methods];Psychoses, Substance-Induced;Social Environment</t>
  </si>
  <si>
    <t>Non-human primates have been used to model psychiatric disease for several decades. The success of this paradigm has issued from comparable cognitive skills, brain morphology, and social complexity in adult monkeys and humans. Recently, interest in biological psychiatry has focused on similar brain, social, and emotional developmental processes in monkeys. In part, this is related to evidence that early postnatal experiences in human development may have profound implications for subsequent mental health. Non-human primate studies of postnatal phenomenon have generally fallen into three basic categories: experiential manipulation (largely manipulations of rearing), pharmacological manipulation (eg drug-induced psychosis), and anatomical localization (defined by strategic surgical damage). Although these efforts have been very informative each of them has certain limitations. In this review we highlight general findings from the non-human primate postnatal developmental literature and their implications for primate models in psychiatry. We argue that primates are uniquely capable of uncovering interactions between genes, environmental challenges, and development resulting in altered risk for psychopathology. References: 208]</t>
  </si>
  <si>
    <t>J2: Neuropsychopharmacology; Nelson, Eric E Winslow, James T (United States Intramural NIH HHS); ID: 342</t>
  </si>
  <si>
    <t>Nelson,Eric E. Mood and Anxiety Disorders Program, Intramural Research Program, National Institute of Mental Health, Bethesda, MD, USA.</t>
  </si>
  <si>
    <t>http://ovidsp.ovid.com/ovidweb.cgi?T=JS&amp;CSC=Y&amp;NEWS=N&amp;PAGE=fulltext&amp;D=med5&amp;AN=18800061</t>
  </si>
  <si>
    <t>http://dx.doi.org/10.1038/npp.2008.150</t>
  </si>
  <si>
    <t>MEDLINE; Ovid Technologies; Non-human primates: model animals for developmental psychopathology</t>
  </si>
  <si>
    <t>Nelson,J. E.</t>
  </si>
  <si>
    <t>Drug abusers on the job</t>
  </si>
  <si>
    <t>Journal of Occupational Medicine</t>
  </si>
  <si>
    <t>Costs and Cost Analysis;Heroin Dependence/rh Rehabilitation];Humans;Methadone/tu Therapeutic Use];*Occupational Medicine;Substance-Related Disorders/ec Economics];*Substance-Related Disorders/ep Epidemiology];United States;UC6VBE7V1Z (Methadone)</t>
  </si>
  <si>
    <t>Drug abusers in the working population range from the functional to the dysfunctional. Functional drug-abusing employees may work as productive members of a company for years without incident or detection. Cases have been documented of long-term heroin addicts with stable 10- and 20-year work histories., Studies of drug addicts in treatment with known work histories reveal that such persons can, and do, hold a broad range of jobs in the work force. In a study by Levy of 95 former addicts with histories of simultaneous employment and undetected drug abuse (including on-the-job use by 91 of the 95 addicts), the following occupations were found: bank teller; mail clerk; secretary; delivery man; stock clerk; college registrar; typist; baker; nurses aide; medical supply clerk; messenger; pharmacy clerk; receptionist; teletype operator; men's clothing salesman; truck driver; busboy; telephone installer; roofer; clothing designer; assembly line worker; waitress; auto mechanic; security officer; postal worker; credit collector; plant manager; and rigger. Reports from CODAP, a Federal statistical system covering drug treatment programs, indicate that about 20% of opiate users admitted to treatment were employed full time at the time of admission. Caplovitz found that the stable worker-addict is more similar in basic characteristics to other workers than to nonworking addicts.</t>
  </si>
  <si>
    <t>J2: J Occup Med; Nelson, J E; ID: 721</t>
  </si>
  <si>
    <t>0096-1736</t>
  </si>
  <si>
    <t>http://ovidsp.ovid.com/ovidweb.cgi?T=JS&amp;CSC=Y&amp;NEWS=N&amp;PAGE=fulltext&amp;D=med2&amp;AN=7241253</t>
  </si>
  <si>
    <t>MEDLINE; Ovid Technologies; Drug abusers on the job</t>
  </si>
  <si>
    <t>Nemoto,T.;Takeshi,K.;Togi,N.;Haneda,M.;Tsujino,N.;Ito,S.;Katagiri,N.;Morita,K.;Kobayashi,H.;Mizuno,M.;Author,Addresses;Toho University School,of Medicine;Japan;Keio University School,of Medicine;Japan;Correspondence,Address;Nemoto, Toho University School of Medicine Ota-ku Tokyo Japan,T.</t>
  </si>
  <si>
    <t>Divergent thinking as a potential target for cognitive intervention in early psychosis</t>
  </si>
  <si>
    <t>Schizophrenia research</t>
  </si>
  <si>
    <t>Schizophr.Res.</t>
  </si>
  <si>
    <t>neuroleptic agent;psychosis;schizophrenia;society;alcoholism;cognition;cognitive defect;day care;drug therapy;female;general aspects of disease;informed consent;Japan;Japanese (people);learning test;mental health;negative syndrome;outpatient;patient;psychoeducation;quality of life;risk;school;social interaction;Structured Clinical Interview for DSM Disorders;structured interview;substance abuse;training;university;wellbeing;world health organization</t>
  </si>
  <si>
    <t>Background: Not only patients with chronic schizophrenia but also those with first-episode schizophrenia (FES) show cognitive impairments in a wide variety of domains. Furthermore, even people with at-risk mental state (ARMS) exhibit cognitive deficits although they usually demonstrate superior performance. As cognitive impairments are significantly related to social functioning, cognitive intervention in early stages of schizophrenia may be preferable. The Toho University Omori Medical Center, Tokyo, established the day-care unit named 'Il Bosco' in 2007, which was specific to individuals with early psychosis. Its integrated treatment strategies consist of cognitive training, psychoeducation, and individual support in normal work and school setting under optimal pharmacotherapy with minimum dosage. The cognitive training program mainly targets divergent thinking deficits, because we revealed that interventions for divergent thinking significantly led to improvements in negative symptoms and social functioning in schizophrenia patients (Nemoto et al., 2009). The aim of this study was to examine the efficacy of cognitive intervention for divergent thinking in people with early psychosis. Methods: Twenty-six Japanese outpatients with early psychosis (13 men, 13 women) were recruited at 'Il Bosco.' They included 20 individuals (9 men, 11 women) with FES and 6 people (4 men, 2 women) with ARMS diagnosed by the Structured Clinical Interview for DSM-IV Axis I Disorder (SCID) and the Structured Interview for Prodromal Syndromes and the Scales of Prodromal Symptoms (SIPS/SOPS). The mean age of FES group was 21.5 (SD=3.6) years and that of ARMS group was 19.5 (SD=2.5). The mean of duration of untreated psychosis (DUP) in FES group was 5.5 months. All patients were taking antipsychotic medications. Subjects were excluded if they had a history of alcohol dependence, substance abuse, or a neurological illness. The cognitive training program for divergent thinking (Nemoto et al., 2009) was administered for 6 months in the group setting. The outcome measures of cognition included the Letter Cancellation Test (LCT), the Seven-word Learning Test (SLT), and the Modified Stroop Test (MST). In addition, the Social Functioning Scale (SFS), the WHO Quality of Life-26 (WHOQOL-26), and the Subjective Well-being Neuroleptic drug treatment Short form (SWNS) were used to assess functional outcome. These assessments and neurocognitive tests were administered at baseline and at the end of the six-month cognitive intervention. After providing a complete description of the study, written informed consent was obtained from every subject. Results: We found significant treatment effects on some measures in the FES group, including: time for completing on the LCT (p&lt;.004), the repeated times to remember all the words on the SLT (p&lt;.029), and the total score of the SFS (p&lt;.030). Significant treatment effects on the MST (Part II minus Part I) and two components on the SFS (Withdrawal and Interpersonal) were found in the ARMS group (p&lt;.027, 034, 042, respectively). Discussion: Cognitive intervention for divergent thinking deficits at the early stages of psychosis may maximize the chance of long-lasting functional recovery and minimize the potential for future onset in a proportion of people with ARMS because divergent thinking ability is critical for generating creative solutions in the social setting and navigating the complexities of social interactions.</t>
  </si>
  <si>
    <t>(Nemoto T.; Takeshi K.; Togi N.; Haneda M.; Tsujino N.; Ito S.; Katagiri N.; Morita K.; Mizuno M.) (Kobayashi H.) 2nd Schizophrenia International Research Society Conference, SIRS 2010 Florence, Italy 2010-04-10 to 2010-04-14 CONFERENCE EDITORS DeLisi L.E. Nasrallah H.A. Elsevier; ID: 1376</t>
  </si>
  <si>
    <t>0920-9964</t>
  </si>
  <si>
    <t>Nett,L. M.</t>
  </si>
  <si>
    <t>The physician's role in smoking cessation. A present and future agenda</t>
  </si>
  <si>
    <t>Chest</t>
  </si>
  <si>
    <t>28S</t>
  </si>
  <si>
    <t>32S</t>
  </si>
  <si>
    <t>Humans;*Physician's Role;Physician-Patient Relations;*Role;*Smoking/th Therapy]</t>
  </si>
  <si>
    <t>Medical views in the United States on the effects of smoking have shifted dramatically since the published evidence in 1958 established the link between smoking and fatal disease. Today's physician should be a nonsmoking role model, whose workplace both directly and indirectly teaches smoking cessation skills. Publications on smoking cessation techniques from the National Institutes of Health along with intervention tools such as patient smoking history questionnaires are available free of charge to physicians. Patient histories are critical to the intervention process, for they provide essential clues and information about which stage in cessation of smoking the patient has already reached: precontemplation, contemplation, action, and maintenance. Different approaches and techniques are required at each stage. The most important objective for the physician with a patient at the stage of contemplating quitting is to initiate a conversation leading to a directive to quit, with benefits of quitting stressed as reinforcement. Actively motivated patients committed to quit dates may need both educational and pharmacologic support; issues such as nicotine dependence and withdrawal symptoms must be addressed. Pharmacologic therapy at this time may consist of substitution of nicotine-containing gum (nicotine polacrilex) for cigarettes. Used in sufficient, regular dosages, the nicotine gum has been found to help diminish withdrawal symptoms following smoking cessation. Other drug therapies are currently under study. For now, nicotine replacement therapy (where indicated) is to be used for at least three months, the period of greatest chance of relapse. The physician should continue to encourage patients who have quit smoking to forestall relapses, while tacitly understanding that the incidence of relapse is high in first-time quitters. Hospital inpatients provide an opportunity to initiate bedside smoking cessation programs. The hope is that, in the future, hospitals will involve the entire health team in comprehensive smoking cessation programs. References: 19]</t>
  </si>
  <si>
    <t>J2: Chest; Nett, L M; ID: 681</t>
  </si>
  <si>
    <t>Nett,L M. Presbyterian St. Luke's Center for Health Science Education, Denver.</t>
  </si>
  <si>
    <t>http://ovidsp.ovid.com/ovidweb.cgi?T=JS&amp;CSC=Y&amp;NEWS=N&amp;PAGE=fulltext&amp;D=med3&amp;AN=2404711</t>
  </si>
  <si>
    <t>MEDLINE; Ovid Technologies; The physician's role in smoking cessation. A present and future agenda</t>
  </si>
  <si>
    <t>Neville,M. W.</t>
  </si>
  <si>
    <t>PMC3965147; Pharmacy students' attitudes about treating patients with alcohol addiction after attending a required mutual support group</t>
  </si>
  <si>
    <t>*Alcoholism;Behavior, Addictive;Education, Pharmacy;*Empathy;Female;*Health Knowledge, Attitudes, Practice;Humans;Male;*Self-Help Groups;*Students, Pharmacy</t>
  </si>
  <si>
    <t>OBJECTIVE: To implement required attendance at mutual support groups for addiction recovery as a pharmacy skills laboratory exercise, and to evaluate how attendance affected pharmacy students' attitudes about caring for patients with addiction. DESIGN: Third-year (P3) pharmacy students enrolled in a Pharmacy Skills Laboratory course were required to watch an introductory video about Alcoholics Anonymous (AA) and then attend 2 "open meetings" during the semester. Students submitted a written reflection as proof of attendance. ASSESSMENT: Pharmacy students who agreed to participate in the study completed the Short Alcohol and Alcohol Problems Perception Questionnaire (SAAPPQ) during the course orientation and again at the end of the semester. Mutual support group attendance significantly affected the students' attitudes within the domains of role adequacy, task specific self-esteem, and work satisfaction. Significant changes were not observed within the domains of motivation and role legitimacy. CONCLUSION: Mutual support group attendance exposed pharmacy students to the negative effects of alcohol abuse and increased their self-confidence to provide care to patients with alcohol addiction.</t>
  </si>
  <si>
    <t>J2: Am J Pharm Educ; Neville, Michael W; ID: 68</t>
  </si>
  <si>
    <t>Neville,Michael W. College of Pharmacy, University of Georgia, Athens, Georgia.</t>
  </si>
  <si>
    <t>http://ovidsp.ovid.com/ovidweb.cgi?T=JS&amp;CSC=Y&amp;NEWS=N&amp;PAGE=fulltext&amp;D=medl&amp;AN=24672072</t>
  </si>
  <si>
    <t>http://dx.doi.org/10.5688/ajpe78239</t>
  </si>
  <si>
    <t>MEDLINE; Ovid Technologies; Pharmacy students' attitudes about treating patients with alcohol addiction after attending a required mutual support group</t>
  </si>
  <si>
    <t>Newcorn,J. H.</t>
  </si>
  <si>
    <t>Risks and benefits of available treatments for adult ADHD</t>
  </si>
  <si>
    <t>e12</t>
  </si>
  <si>
    <t>Adult;Atomoxetine Hydrochloride;*Attention Deficit Disorder with Hyperactivity/dt Drug Therapy];Central Nervous System Stimulants/ae Adverse Effects];Central Nervous System Stimulants/tu Therapeutic Use];Humans;Patient Education as Topic;Propylamines/ae Adverse Effects];Propylamines/tu Therapeutic Use];Risk Assessment;0 (Central Nervous System Stimulants);0 (Propylamines);57WVB6I2W0 (Atomoxetine Hydrochloride)</t>
  </si>
  <si>
    <t>Several pharmacotherapeutic options, both FDA-approved and off-label, exist for the treatment of adult ADHD. The most commonly used agents include several stimulants and atomoxetine, which have demonstrated significant, though similar, efficacy for ADHD versus placebo. Treatment should be selected according to patient comorbidity profiles, cardiovascular risks, and risk of abuse of prescription medications. In this activity, treatments for ADHD with and without comorbidity are discussed, including mechanisms of action, safety risks, and the potential for substance abuse. Implementing psychosocial education in conjunction with pharmacotherapy is recommended.‚î¨‚åê Copyright 2011 Physicians Postgraduate Press, Inc.</t>
  </si>
  <si>
    <t>J2: J Clin Psychiatry; Newcorn, Jeffrey H; ID: 262</t>
  </si>
  <si>
    <t>1555-2101</t>
  </si>
  <si>
    <t>Newcorn,Jeffrey H. Division of Child and Adolescent Psychiatry, Department of Psychiatry, Mount Sinai School of Medicine, New York, New York, USA.</t>
  </si>
  <si>
    <t>http://ovidsp.ovid.com/ovidweb.cgi?T=JS&amp;CSC=Y&amp;NEWS=N&amp;PAGE=fulltext&amp;D=med5&amp;AN=21450148</t>
  </si>
  <si>
    <t>http://dx.doi.org/10.4088/JCP.9066tx2c</t>
  </si>
  <si>
    <t>MEDLINE; Ovid Technologies; Risks and benefits of available treatments for adult ADHD</t>
  </si>
  <si>
    <t>Newell,G.;Author,Addresses</t>
  </si>
  <si>
    <t>Providing methadone services - Case studies</t>
  </si>
  <si>
    <t>(MAJOR FOCUS);methadone (adverse drug reaction, drug administration, drug dose, drug;therapy, oral drug administration, pharmaceutics);diazepam (drug combination, drug therapy);drug misuse (drug therapy, epidemiology);methadone treatment;case report;dental caries (prevention);diarrhea (side effect);dose response;drug choice;drug formulation;drug withdrawal;human;male;medicolegal aspect;prescription;review;diazepam (439-14-5);methadone (1095-90-5, 125-56-4, 23142-53-2, 297-88-1, 76-99-3);Drug Literature Index (37);Adverse Reactions Titles (38);Pharmacy (39);Drug Dependence, Alcohol Abuse and Alcoholism (40)</t>
  </si>
  <si>
    <t>The following case studies, about provision of methadone services in the community, were used by the author as part of a Scottish Centre for Post Qualification Pharmaceutical Education (SCPPE) training event.</t>
  </si>
  <si>
    <t>(Newell G.); ID: 1625</t>
  </si>
  <si>
    <t>Ng,K. E.;Ahmed,E.;Saad,M.;Author,Addresses;College of,Pharmacy;Health Sciences,St;John's University,Queens,N.Y.United States;Correspondence,Address;College of,Pharmacy;Health Sciences, St John's University,Queens N.;United,States</t>
  </si>
  <si>
    <t>Legislative initiatives and review of abuse-deterrent opioid formulations</t>
  </si>
  <si>
    <t>U.S.Pharmacist</t>
  </si>
  <si>
    <t>(MAJOR FOCUS);opiate (drug therapy, pharmaceutics);naloxone;drug formulation;legal aspect;opiate addiction;article;chronic pain (drug therapy);drug surveillance program;human;pain (drug therapy);pharmacist;prescription;risk assessment;naloxone (357-08-4, 465-65-6);opiate (53663-61-9, 8002-76-4, 8008-60-4);Drug Literature Index (37);Pharmacy (39);Drug Dependence, Alcohol Abuse and Alcoholism (40)</t>
  </si>
  <si>
    <t>Opioid analgesics are the mainstay treatment of moderate-to-severe pain. However, opioids carry a risk of misuse, abuse, and death, and recently have become a public health challenge. In response to the steady increase in opioid abuse, pressure has been growing on pharmaceutical companies to develop prescription opioid formulations that help deter abuse while remaining readily accessible for pain management. This article discusses some of the novel abuse-deterrent formulation methods, including aversion, physical barrier, and agonist-antagonist. It also addresses some of the legislative initiatives and the role of pharmacists in providing education to health care professionals and patients as well as increasing their awareness of prescription opioid misuse and abuse. Pain is a significant public health problem in the United States. It is estimated that over 100 million people in the U.S. live with chronic pain, a prevalence that is greater than heart disease, diabetes, and cancer combined.(1) The consequences of unrelieved pain are associated with reduced quality of life and are estimated to cost society over $635 billion annually.(1) Pain is recognized as a disorder, and is associated with many psychosocial conditions, including depression, decreased appetite, and insomnia.(2).</t>
  </si>
  <si>
    <t>(Ng K.E.; Ahmed E.; Saad M.) Jobson Publishing Corporation, 100 Avenue of the Americas, New York, United States.; ID: 971</t>
  </si>
  <si>
    <t>0148-4818</t>
  </si>
  <si>
    <t>Nguyen,D.;Author,Addresses;Ernest Mario School of Pharmacy, State University of,New Jersey;Rutgers,Spring United States;Correspondence,Address;Nguyen, Ernest Mario School of Pharmacy State University of New Jersey,D.;Rutgers,Spring United States</t>
  </si>
  <si>
    <t>The intersection of pharmacy and global health</t>
  </si>
  <si>
    <t>isoniazid;American;clinical pharmacy;college;health;pharmacy;adolescent;cardiac resynchronization therapy device;caregiver;child health care;chronic disease;community;diabetes mellitus;diseases;drug therapy;family health;health care policy;health care system;hospital;hospital department;human;Human immunodeficiency virus;juvenile;laryngeal mask;Lesotho;mental health;model;Navajo (people);non insulin dependent diabetes mellitus;non profit organization;nutrition;organization;patient;patient safety;pharmacist;population;prevention;primary medical care;public health;risk;South Africa;storage;substance abuse;Swaziland;therapy;tuberculosis;United States;university</t>
  </si>
  <si>
    <t>PURPOSE: Global health has been described as focusing on issues that transcend national boundaries, embracing both prevention in populations and clinical care in individuals, and ultimately promoting health equity among nations and for all people. Clinical pharmacy services are well positioned to address global health matters, as clinical pharmacists provide not only clinical services, but care to people, and play a role in the healthcare system as an expert in the therapeutic use of medications. The PGY2 Public Health Residency through The State University of New Jersey, Rutgers and Bristol-Myers Squibb Foundation provides a unique opportunity to apply the principles of clinical pharmacy in a global health context and help improve health outcomes in underserved populations and resource-constrained settings domestically and internationally. METHODS: N/A. RESULTS: The poster will showcase the integration of clinical pharmacy with the work of community-based organizations in rural South Africa to help develop a coordinated care model for mental health disorders, substance abuse, and HIV/AIDS; promote diabetes and nutrition awareness; and mobilize the community to improve demand for maternal and child health services. Pharmacy-led assessment of medication storage and handling practices among primary care givers and adolescent patients to improve patient safety in a pediatric HIV clinic in Lesotho, and research initiated to assess knowledge, attitudes, and behaviors regarding isoniazid preventative therapy for tuberculosis in Swaziland will be described. U.S.-based work that will be highlighted include pharmacist-led diabetes initiatives and efforts to translate innovative models of care for chronic diseases into public health policy in the Mississippi Delta, and the support of a clinical pharmacist in the Family Health Coach model to engage youths at-risk or living with type 2 diabetes in the Navajo tribal community. CONCLUSION: Global health is highly interdisciplinary and multidisciplinary, and the diverse clinical pharmacy services described lie at the intersection of pharmacy and global health.</t>
  </si>
  <si>
    <t>(Nguyen D.) 2014 Annual Meeting of the American College of Clinical Pharmacy, ACCP 2014 Austin, TX, United States 2014-10-12 to 2014-10-15 Pharmacotherapy Publications Inc.; ID: 878</t>
  </si>
  <si>
    <t>Nguyen,Tinh An</t>
  </si>
  <si>
    <t>University of the Pacific</t>
  </si>
  <si>
    <t>California Pharmacist</t>
  </si>
  <si>
    <t>55 1p</t>
  </si>
  <si>
    <t>Colleges and Universities;Pharmacists -- Education;Pharmacy and Pharmacology;Serial Publications;Female;Leadership;Smoking -- Evaluation</t>
  </si>
  <si>
    <t>Entry Date: 20141104. Revision Date: 20141104. Publication Type: Article. Journal Subset: Biomedical; (April) USA.; ID: 2068</t>
  </si>
  <si>
    <t>0739-0483</t>
  </si>
  <si>
    <t>http://proxy.lib.umich.edu/login?url=http://search.ebscohost.com/login.aspx?direct=true&amp;db=ccm&amp;AN=99148563&amp;site=ehost-live&amp;scope=site</t>
  </si>
  <si>
    <t>ccm; EBSCOhost; University of the Pacific</t>
  </si>
  <si>
    <t>Nickel,R. O.;Briske,K.;Author,Addresses;School of Pharmacy, Ferris State,College Big;Rapids,M. I.;Correspondence,Address;School of Pharmacy, Ferris State College Big,Rapids M.</t>
  </si>
  <si>
    <t>4025136; Aiding impaired pharmacists: What's being done today?</t>
  </si>
  <si>
    <t>addiction;alcoholism;disability;drug abuse;law;legal liability;pharmacist;stress;human;legal aspect;organization and management;priority journal;psychological aspect;social aspect;therapy;United States;Occupational Health and Industrial Medicine (35);Public Health, Social Medicine and Epidemiology (17);Drug Dependence, Alcohol Abuse and Alcoholism (40)</t>
  </si>
  <si>
    <t>The APhA House of Delegates, at the 1982 Annual Meeting, adopted a two-part policy statement on impaired pharmacists. The first part recommended that pharmacists not practice while impaired. The second recommended 'the establishment of progams providing counseling, treatment, prevention, and rehabilitation to pharmacists and pharmacy students.' In 1985, therefore, the question is: How well have these 1982 recommendations been carried out? This question stimulated the survey research project whose results are presented in this article.</t>
  </si>
  <si>
    <t>(Nickel R.O.; Briske K.); ID: 1755</t>
  </si>
  <si>
    <t>http://www.ncbi.nlm.nih.gov/pubmed/4025136</t>
  </si>
  <si>
    <t>Aiding impaired pharmacists: What's being done today?</t>
  </si>
  <si>
    <t>Niehaus,J. L.;Cruz-Bermudez,N.;Kauer,J. A.</t>
  </si>
  <si>
    <t>NIHMS295331 PMC3125054; Plasticity of addiction: a mesolimbic dopamine short-circuit?</t>
  </si>
  <si>
    <t>*Dopamine/me Metabolism];Health Status;Humans;Learning;Memory;*Nerve Net/me Metabolism];*Neuronal Plasticity/ph Physiology];Nicotine/pk Pharmacokinetics];Nicotinic Agonists/pk Pharmacokinetics];Nucleus Accumbens/me Metabolism];Receptors, AMPA/me Metabolism];Receptors, N-Methyl-D-Aspartate/me Metabolism];Recurrence;Reward;*Substance-Related Disorders/me Metabolism];0 (Nicotinic Agonists);0 (Receptors, AMPA);0 (Receptors, N-Methyl-D-Aspartate);6M3C89ZY6R (Nicotine);VTD58H1Z2X (Dopamine)</t>
  </si>
  <si>
    <t>The development of drug addiction progresses along a continuum from acute drug use to compulsive use and drug seeking behavior. Many researchers have focused on identifying the physiological mechanisms involved in drug addiction in order to develop effective pharmacotherapies. Neuroplasticity, the putative mechanism underlying learning and memory, is modified by drugs of abuse and may contribute to the development of the eventual addicted state. Innovative treatments directly targeting these drug-induced changes in brain reward components and circuits may be efficacious in reducing drug use and relapse. References: 148]</t>
  </si>
  <si>
    <t>J2: Am J Addict; Niehaus, Jason L Cruz-Bermudez, Nelson D Kauer, Julie A DA011289 (United States NIDA NIH HHS) DA024527 (United States NIDA NIH HHS) R01 DA011289 (United States NIDA NIH HHS) R01 DA011289-09A1 (United States NIDA NIH HHS) R01 DA011289-10 (United States NIDA NIH HHS) R01 DA011289-11 (United States NIDA NIH HHS) R01 DA011289-11S1 (United States NIDA NIH HHS) R01 DA011289-12 (United States NIDA NIH HHS) R01 DA011289-13 (United States NIDA NIH HHS); ID: 323</t>
  </si>
  <si>
    <t>1521-0391</t>
  </si>
  <si>
    <t>Niehaus,Jason L. Department of Molecular Pharmacology, Physiology and Biotechnology, Brown University, Providence, Rhode Island 02912, USA.</t>
  </si>
  <si>
    <t>http://ovidsp.ovid.com/ovidweb.cgi?T=JS&amp;CSC=Y&amp;NEWS=N&amp;PAGE=fulltext&amp;D=med5&amp;AN=19444729</t>
  </si>
  <si>
    <t>http://dx.doi.org/10.1080/10550490902925946</t>
  </si>
  <si>
    <t>MEDLINE; Ovid Technologies; Plasticity of addiction: a mesolimbic dopamine short-circuit?</t>
  </si>
  <si>
    <t>Nigro,S. J.;Floeter,A. E.;Singh,H.;Author,Addresses;Oregon,State University;Science University, College of Pharmacy Portland,United States;Correspondence,Address;SJ Nigro, Oregon State University Oregon Health,Science University;College of Pharmacy, Portland,United States</t>
  </si>
  <si>
    <t>Beyond heart failure: Comprehensive review to improve the care of heart failure (HF) patients by clinical pharmacist at the Portland Veterans Affairs Medical Center (PVAMC)</t>
  </si>
  <si>
    <t>clinical pharmacy;college;heart failure;human;patient;pharmacist;veteran;drug induced disease;drug interaction;drug therapy;electronic medical record;hospital;laboratory;medical audit;medical record;medication therapy management;monitoring;polypharmacy;primary medical care;statistics;therapy</t>
  </si>
  <si>
    <t>BACKGROUND: Heart failure (HF) patients present with multiple competing comorbidities which results in polypharmacy - leading to non-compliance, drug-drug and drug-disease interactions. A comprehensive drug therapy review is important to screen for response to therapy, drug interactions, or contraindications to medications. PURPOSE: The purpose of this project is to improve quality of care for HF patients by providing a comprehensive review of medications and comorbidities. METHODS: Medical records of patients managed by the pharmacist- run HF clinic over the past year were abstracted. Patients with only one clinic visit were excluded from the analysis. A chart audit form was developed to assess quality of care in five areas: laboratory monitoring, medication reconciliation, referrals to specialty clinics, recommendations to primary care providers (PCPs), and medication adjustments. All HF clinic notes between the present day and the date of first clinic visit were reviewed to quantify interventions. Data were analyzed using descriptive statistics. RESULTS: In the past year, 41 patients were seen by the pharmacist. To date, electronic medical records of 35 patients were screened. Of those, three patients had only one clinic visit and were excluded from analysis, leaving 32 for further evaluation. A total of 51 recommendations were made to PCPs, of which 29 (57%) were acted on by the PCP resulting in therapy adjustments. Nineteen patients (59%) required updated laboratory values to assess comorbidities. Among these patients, 9 (47%) received therapy modifications to control comorbidities. Referrals were made when indicated. Fifteen patients (47%) received at least one referral and were subsequently scheduled with a specialty clinic. Medication reconciliation identified 38 drug-related problems which were all resolved with therapy adjustments. CONCLUSIONS: The clinical pharmacist trained in HF management provided effective comprehensive care. Our results demonstrate the quality of care pharmacists provide to manage this challenging disease.</t>
  </si>
  <si>
    <t>(Nigro S.J.; Floeter A.E.; Singh H.) 2012 Annual Meeting of the American College of Clinical Pharmacy, ACCP 2012 Hollywood, FL, United States 2012-10-21 to 2012-10-24 Pharmacotherapy Publications Inc.; ID: 1108</t>
  </si>
  <si>
    <t>Nishtala,P. S.;McLachlan,A. J.;Bell,J. S.;Chen,T. F.</t>
  </si>
  <si>
    <t>A retrospective study of drug-related problems in Australian aged care homes: medication reviews involving pharmacists and general practitioners</t>
  </si>
  <si>
    <t>Aged;Aged, 80 and over;Australia;*Drug-Related Side Effects and Adverse Reactions;Female;*General Practitioners;*Homes for the Aged;Humans;Male;Medication Errors/sn Statistics &amp; Numerical Data];Medication Reconciliation;*Pharmacists;Retrospective Studies</t>
  </si>
  <si>
    <t>BACKGROUND: Drug-related problems (DRPs) in Australian aged care homes have been studied previously. However, little is known about the acceptance and implementation of pharmacists' recommendations by general practitioners (GPs) to resolve DRPs. OBJECTIVES: The primary objective of this study was to investigate the number and nature of DRPs identified by accredited clinical pharmacists. The secondary objective was to study the GP acceptance and implementation of pharmacist recommendations to resolve DRPs. METHODS: This was a retrospective study of 500 randomly selected, de-identified medication reviews performed by 10 accredited clinical pharmacists over 6 months across 62 aged care homes. The DRPs identified by pharmacists were subsequently classified by the drugs involved, types of problem (indication, effectiveness and safety) and medical diagnoses of the patient. GP written feedback on the medication review reports determined implementation of pharmacists' recommendations to resolve the DRPs. RESULTS: A total of 1433 DRPs were identified in 480 of the 500 residents. Potential DRPs were frequently classified as risk of adverse drug reactions, need for additional monitoring and inappropriate choice of a drug. Alimentary, cardiovascular, central nervous system and respiratory drugs were most frequently implicated, accounting for more than 75% of the DRPs. GPs' acceptance and implementation of pharmacists recommendations were 72.5% (95% CI; 70.2, 74.8) and 58.1% (95% CI; 55.5, 60.6), respectively. CONCLUSIONS: Over 96% of the residents had potential DRPs identified by pharmacists. GP acceptance of pharmacists' recommendations was independent of the drug category, but not independent of the disease category.Copyright ‚î¨‚åê 2010 Blackwell Publishing Ltd.</t>
  </si>
  <si>
    <t>J2: J Eval Clin Pract; Nishtala, Prasad S McLachlan, Andrew J Bell, J Simon Chen, Timothy F; ID: 260</t>
  </si>
  <si>
    <t>Nishtala,Prasad S. Faculty of Pharmacy, The University of Sydney, Sydney, NSW, Australia. prasadn@pharm.usyd.edu.au</t>
  </si>
  <si>
    <t>http://ovidsp.ovid.com/ovidweb.cgi?T=JS&amp;CSC=Y&amp;NEWS=N&amp;PAGE=fulltext&amp;D=med5&amp;AN=20825538</t>
  </si>
  <si>
    <t>http://dx.doi.org/10.1111/j.1365-2753.2010.01374.x</t>
  </si>
  <si>
    <t>MEDLINE; Ovid Technologies; A retrospective study of drug-related problems in Australian aged care homes: medication reviews involving pharmacists and general practitioners</t>
  </si>
  <si>
    <t>Noordsy,D.;Torrey,W.;Mueser,K.;Mead,S.;O'Keefe,C.;Fox,L.;Author,Addresses;New Hampshire-Dartmouth P R Ctr, Manchester,N.H.United States;Mhcgm,Elm St;Manchester,N. H. U.;Correspondence,Address;United States Email,D.Noordsy, Mhcgm Elm St Manchester N.H.;noordsy@dartmouth.edu</t>
  </si>
  <si>
    <t>Recovery from severe mental illness: An intrapersonal and functional outcome definition</t>
  </si>
  <si>
    <t>International Review of Psychiatry</t>
  </si>
  <si>
    <t>schizophrenia (diagnosis, disease management, rehabilitation);adult;article;case report;community care;consumer;convalescence;disease course;drug abuse;human;male;mental disease (diagnosis, disease management, rehabilitation);mental health care;priority journal;psychosis (diagnosis, disease management, rehabilitation);rating scale;responsibility;social support;Rehabilitation and Physical Medicine (19);Psychiatry (32);Health Policy, Economics and Management (36)</t>
  </si>
  <si>
    <t>To promote research and improved clinical practice, three criteria are proposed to define recovery from severe mental illness: hope, self-responsibility and 'getting on with life' beyond illness. Each of these criteria can be measured at the intrapsychic-subjective, interpersonal-behavioral, and environmental levels. The criteria were identified through cumulative experiences of a decade of clinical services research at the New Hampshire-Dartmouth Psychiatric Research Center, contributions from consumers and family advocates, and focus groups. Measures of each criterion are proposed through the use of extant assessment instruments such as the Beck Hopel Hopelessness Scale, Locus of Control Questionnaire, instrumental and social role functioning scales, and subjective ratings of quality of life. Collateral sources of information are required to assure that the measures of the criteria for recovery are reliable, accurate and valid. The criteria selected to define recovery have already instigated the use of a broad array of tools to assess the course and outcome of schizophrenia in research and clinical practice. Concentrating on the importance of self-responsibility as a criterion should have the spin-off benefit of encouraging psychiatrists to more actively involve their clients in a collaborative enterprise for pharmacotherapy, including education in disease management and shared decision-making. To promote recovery using the three component definition will require rehabilitation practitioners to provide services that should facilitate clients managing and directing their own lives with greater autonomy. Services that enable clients to develop the social and independent living skills needed for community reintegration will engender hope, self-responsibility, and the development of a functional person who has recovered from a disabling mental disorder. Operationalizing recovery should accelerate hypothesis-testing research on this construct, including determining the attributes of treatment and rehabilitation services that are associated with optimal states of recovery.</t>
  </si>
  <si>
    <t>(Noordsy D., noordsy@dartmouth.edu; Torrey W.; Mueser K.; Mead S.; Fox L.) (Noordsy D., noordsy@dartmouth.edu; O'Keefe C.); ID: 1600</t>
  </si>
  <si>
    <t>0954-0261</t>
  </si>
  <si>
    <t>2002434478 FULL TEXT LINK http://dx.doi.org/10.1080/0954026021000016969</t>
  </si>
  <si>
    <t>Normann,C.;Nissen,C.;Frase,L.</t>
  </si>
  <si>
    <t>Neuroenhancement strategies for psychiatric disorders: rationale, status quo and perspectives</t>
  </si>
  <si>
    <t>European Archives of Psychiatry &amp; Clinical Neuroscience</t>
  </si>
  <si>
    <t>262 Suppl 2</t>
  </si>
  <si>
    <t>S113</t>
  </si>
  <si>
    <t>Brain/de Drug Effects];*Brain/ph Physiology];*Central Nervous System Stimulants/tu Therapeutic Use];Cognition Disorders/dt Drug Therapy];Cognition Disorders/et Etiology];Cycloserine/tu Therapeutic Use];Emotions/de Drug Effects];Emotions/ph Physiology];Humans;Interpersonal Relations;Learning/de Drug Effects];Learning/ph Physiology];*Mental Disorders/dt Drug Therapy];*Mental Disorders/pp Physiopathology];Oxytocin/tu Therapeutic Use];Psychotherapy/mt Methods];0 (Central Nervous System Stimulants);50-56-6 (Oxytocin);95IK5KI84Z (Cycloserine)</t>
  </si>
  <si>
    <t>With the growing mechanistic understanding of higher brain functions like learning and memory, vigilance and social cognition, new pharmacological approaches for the treatment of psychiatric disorders arise. Substances used as neuroenhancers for the improvement of cognitive or emotional functions in healthy subjects might provide novel pharmacological opportunities in psychiatry. Intriguingly, drugs like modafinil, D-cycloserine or oxytocin have shown significant improvements in key symptoms in several psychiatric disorders. When used as augmentation strategies, they could either directly interfere with psychopathological impairments or improve response to other treatment modalities like psychotherapy or psychopharmacological drugs. While initial studies yielded promising results, further research on beneficial or adverse effects is required.</t>
  </si>
  <si>
    <t>J2: Eur Arch Psychiatry Clin Neurosci; Normann, Claus Nissen, Christoph Frase, Lukas; ID: 167</t>
  </si>
  <si>
    <t>1433-8491</t>
  </si>
  <si>
    <t>Normann,Claus. Department of Psychiatry and Psychotherapy, University Medical Center, Hauptstr 5, 79100 Freiburg, Germany. claus.normann@uniklinik-freiburg.de</t>
  </si>
  <si>
    <t>http://ovidsp.ovid.com/ovidweb.cgi?T=JS&amp;CSC=Y&amp;NEWS=N&amp;PAGE=fulltext&amp;D=medl&amp;AN=22932721</t>
  </si>
  <si>
    <t>http://dx.doi.org/10.1007/s00406-012-0356-1</t>
  </si>
  <si>
    <t>MEDLINE; Ovid Technologies; Neuroenhancement strategies for psychiatric disorders: rationale, status quo and perspectives</t>
  </si>
  <si>
    <t>Normark,J. W.;Eckel,F. M.;Pfifferling,J. H.;Cocolas,G.</t>
  </si>
  <si>
    <t>Impairment risk in North Carolina pharmacy students</t>
  </si>
  <si>
    <t>NS25</t>
  </si>
  <si>
    <t>Humans;North Carolina;Risk;*Students, Pharmacy;*Substance-Related Disorders/ep Epidemiology]</t>
  </si>
  <si>
    <t>J2: Am Pharm; Normark, J W Eckel, F M Pfifferling, J H Cocolas, G; ID: 704</t>
  </si>
  <si>
    <t>http://ovidsp.ovid.com/ovidweb.cgi?T=JS&amp;CSC=Y&amp;NEWS=N&amp;PAGE=fulltext&amp;D=med2&amp;AN=4025143</t>
  </si>
  <si>
    <t>MEDLINE; Ovid Technologies; Impairment risk in North Carolina pharmacy students</t>
  </si>
  <si>
    <t>Normark,J. W.;Eckel,F. M.;Pfifferling,J. H.;Cocolas,G.;Author,Addresses;University of,North;Carolina School of Pharmacy, Chapel,Hill N.;Correspondence,Address;University of North Carolina School of Pharmacy, Chapel,Hill N.</t>
  </si>
  <si>
    <t>4025137; Impairment risk in North Carolina pharmacists</t>
  </si>
  <si>
    <t>The tissue of pharmacist 'impairment' resulting from drug or alcohol abuse, emotional or education problems, or other causes is receiving considerable attention from pharmacy organizations. The American Pharmaceutical Association (APhA) and the American Society of Hospital Pharmacists (ASHP) have issued policy statements addressing impairment and distress. The APhA House of Delegates passed a resolution supporting the establishment of counseling, treatment, rehabilitation, and prevention programs for pharmacists and students at the 1982 Annual Meeting. The ASHP House of Delegates adopted a statement encouraging the compilation and dissemination of information about prevention and treatment programs that pharmacists can contact for assistance in confronting impairment. A number of state pharmacy associations, most notably Texas and Georgia, have programs that offer impaired pharmacists options for treatment and rehabilitation, and also serve as a triage system for pharmacists. Other states, including North Carolina, are in the process of evaluating the need for programs concerned with impairment.</t>
  </si>
  <si>
    <t>(Normark J.W.; Eckel F.M.; Pfifferling J.H.; Cocolas G.); ID: 1753</t>
  </si>
  <si>
    <t>http://www.ncbi.nlm.nih.gov/pubmed/4025137</t>
  </si>
  <si>
    <t>Impairment risk in North Carolina pharmacists</t>
  </si>
  <si>
    <t>Norton,M.;Blinder,V.;Ford,H.;Fulford,M.;Author,Addresses;University,of Georgia;of Pharmacy,Athens,United States;Correspondence,Address;Norton, University of Georgia College of Pharmacy Athens United,M.;States</t>
  </si>
  <si>
    <t>The student pharmacists chemical health scale-2013: High risk factors for substance use disorders in student pharmacists</t>
  </si>
  <si>
    <t>alcohol;college;health;human;pharmacist;risk factor;student;substance abuse;addiction;alcohol consumption;alcohol use disorder;alcoholism;computer;computer program;diseases;early intervention;education;family history;health care personnel;impulsiveness;injury;mental disease;pharmacy;prevention;risk;screening;second degree relative;university</t>
  </si>
  <si>
    <t>Type: Work in Progress. Purpose: Student pharmacists represent a group of healthcare professionals at high risk of developing substance use disorders (SUD). The purpose of this research project is to develop the Student Pharmacist Chemical Health Scale (SPCHS), a prevention/ early intervention instrument designed to identify individuals at high risk for SUD. Methods: Administration of the SPCHS to University of Georgia student pharmacists yielded 393 usable submissions. The SPCHS collected data using Qualtrics computer software and examined demographics, age of first use, family history of addiction/mental illness, current alcohol use, trauma history, impulsivity, negative proscriptions, protective factors, and genetic use patterns. The Alcohol Use Disorders Identification Test (AUDIT) was used to identify patterns of high-risk alcohol use. Results: One hundred thirty-one (33.33%) respondents reported the presence of risk factors which may contribute to the development of a SUD. The mean age of first use for all respondents was approximately 17 years old, but the mean age of first use in individuals who qualified as alcohol dependent was approximately 15 years old. AUDIT scores Œì√´√ë 8 suggest the presence of hazardous and harmful alcohol use and potential alcohol dependence. The SPCHS found fifty-one (12.98%) respondents had AUDIT scores of 8-15, and seven (1.78%) respondents had AUDIT scores Œì√´√ë 16. When examining family history of 1st or 2nd degree relatives, one hundred sixty-nine (43.00%) respondents reported a family history of alcohol or substance abuse, and one hundred thirty-nine (35.37%) respondents reported a family history of psychiatric illness. Conclusion and Future Directions: This project is currently being expanded to include other colleges of pharmacy. Predictive tools like the SPCHS may be implemented as part of large-scale alcohol and drug education and intervention programs. The ability to effectively screen and detect individuals at increased risk for developing SUD could be used in early screenings to combat addiction by means of prevention and early intervention.</t>
  </si>
  <si>
    <t>(Norton M.; Blinder V.; Ford H.; Fulford M.) 16th Annual Meeting of the College of Psychiatric and Neurologic Pharmacists, CPNP 2013 Colorado Springs, CO, United States 2013-04-21 to 2013-04-24 SAGE Publications Inc.; ID: 1016</t>
  </si>
  <si>
    <t>Norton,M.;Jain,R.;Tackett,R.;Tomko,J. R.;Pfalzgraf,A.;Kennedy,K.;Author,Addresses;Department of,Clinical;Administrative;Pharmacy,University of Georgia College of Pharmacy Athens United States;Clinical,Social;Administrative,Sciences;Mylan School of Pharmacy, Duquesne University Pittsburgh,United States;Mercer University, School of Medicine Savannah,United States;Correspondence,Address;Norton,Department of Clinical,M.;Administrative Pharmacy,University of;Georgia,College of Pharmacy Athens United States</t>
  </si>
  <si>
    <t>The prediction of addiction risk in student pharmacists</t>
  </si>
  <si>
    <t>alcohol;addiction;college;pharmacist;prediction;risk;student;achievement;alcohol abuse;alcoholism;drug abuse;drug dependence;early intervention;family history;genetics;health care personnel;high risk population;injury;life event;lifespan;pharmacy;population;prevalence;risk factor;substance abuse;university</t>
  </si>
  <si>
    <t>Abstract Type: Work in Progress. Background: No one has ever studied the addiction predictability in student pharmacists who represent a high risk population for substance abuse and dependence. Recent studies indicate that 12-15% of student pharmacists develop an addiction in their professional careers. Addiction predictability is the statistical estimation of an individual developing an alcohol or drug addiction within their lifetime. It is a risk ratio calculation based on various factors that have been identified to contribute to one developing alcoholism or a drug addiction in their lifetime. Student pharmacists present as a potential high risk group of healthcare professionals to develop an addiction within their professional careers. Recent studies have indicated that student pharmacists have the following high risk factors that may contribute to potential addiction: a) age of first use, b) high achievement dependence, c) trauma/stressful life events, d) genetics, e) perfectionist traits, f) protective factors, g) negative proscriptions. Objectives: This research project will develop The Student Pharmacist Addiction Predictability Scale (SPAPS) that could be used as a prevention/ early intervention instrument for the student pharmacist group. Methods: Participants will be student pharmacists currently enrolled at the University of Georgia College of Pharmacy. This study has been approved by the University of Georgia IRB. Other colleges of pharmacy will be included as the SPAPS is approved. Demographic variables, age of first use data, trauma histories, perfectionism trait scores, family history data, high achievement dependence, protective factors, and negative proscriptions will be collected. This data will be analyzed using SPSS and other statistical measures to determine prevalence and relative risk. Our data will be compared to other epidemiological studies from the National Institute of Alcohol Abuse and Alcoholism (NIAAA) and the National Institute of Drug Abuse (NIDA). Outcomes: We will report the preliminary prevalence and relative risk data of a class of student pharmacists as compared to the general population in the US. This information will serve as pilot data as we expand the study to include 1000 student pharmacists.</t>
  </si>
  <si>
    <t>(Norton M.; Jain R.; Tackett R.) (Tomko J.R.; Pfalzgraf A.) (Kennedy K.) 13th Annual Meeting of the College of Psychiatric and Neurologic Pharmacists, CPNP 2010 San Antonio, TX, United States 2010-04-18 to 2010-04-21 SAGE Publications Inc.; ID: 1351</t>
  </si>
  <si>
    <t>Nozu,Y.;Watanabe,M.;Kubo,M.;Sato,Y.;Shibata,N.;Uehara,C.;Kikuchi,N.;Kawahara,Y.;Takahashi,N.;Kito,H.</t>
  </si>
  <si>
    <t>PMC2723636; Effectiveness of drug abuse prevention program focusing on social influences among high school students: 15-month follow-up study</t>
  </si>
  <si>
    <t>Environmental Health &amp; Preventive Medicine</t>
  </si>
  <si>
    <t>OBJECTIVE: To examine the effectiveness of a drug abuse prevention program focusing on social influences for drug education classes in high school. METHODS: The social influence program in the experimental group used role-playing led by a pharmacist, a police officer and a teacher. The intervention evaluation used a quasi-experimental design. The subjects were first-year students from 10 high schools assigned to the experimental group (6 schools, 828 students) and the control group (4 schools, 408 students). In the control group, a pharmacist used a conventional information program in a lecture format. RESULTS: Regarding knowledge about drug abuse, in both the experimental and control groups, and for both males and females, a long-term effect was observed immediately after the program and lasted up to 15 months. For three other measures, attitudes toward drug abuse problem, self-efficacy regarding drug abuse prevention, and perception of social support for preventing drug abuse, a short-term effect was generally observed in the experimental group beginning immediately after the program and lasting for 3 months. A long-term effect was evident in high-risk students with positive opinions regarding drugs. In the control group and for both males and females, although an effect was generally evident immediately after the program, neither a short-nor a long-term effect was observed in males, suggesting the difficulty in achieving lasting effects. CONCLUSIONS: The social influence program in the experimental group showed remarkable effectiveness. Thus, the program may be useful for preventing drug abuse among high school students in Japan.</t>
  </si>
  <si>
    <t>J2: Environ; Nozu, Yuji Watanabe, Motoi Kubo, Motoyoshi Sato, Yuki Shibata, Nobuyuki Uehara, Chie Kikuchi, Nobuhiro Kawahara, Yoshiko Takahashi, Naoko Kito, Hideaki; ID: 196</t>
  </si>
  <si>
    <t>1342-078X</t>
  </si>
  <si>
    <t>Nozu,Yuji. Graduate School of Comprehensive Human Sciences, University of Tsukuba, 1-1-1 Tennohdai, 305-8574, Tsukuba, Ibaraki, Japan, nozu@taiiku.tsukuba.ac.jp.</t>
  </si>
  <si>
    <t>http://ovidsp.ovid.com/ovidweb.cgi?T=JS&amp;CSC=Y&amp;NEWS=N&amp;PAGE=fulltext&amp;D=prem&amp;AN=21432366</t>
  </si>
  <si>
    <t>http://dx.doi.org/10.1007/BF02898146</t>
  </si>
  <si>
    <t>MEDLINE; Ovid Technologies; Effectiveness of drug abuse prevention program focusing on social influences among high school students: 15-month follow-up study</t>
  </si>
  <si>
    <t>Nsimba,S. E. D.</t>
  </si>
  <si>
    <t>Outpatient treatment programs: a review article on substances of abuse outpatients treatment outcomes in the United States</t>
  </si>
  <si>
    <t>99 9p</t>
  </si>
  <si>
    <t>Outpatients;Substance Abuse -- Therapy;Health Care Costs;Substance Abuse -- Drug Therapy;Treatment Duration;Treatment Outcomes;United States</t>
  </si>
  <si>
    <t>A number of treatment approaches and techniques have been developed and used for management of drug abuse and alcoholism during the last 50 years in the United States. These treatment methods have been categorized based on the treatment settings (outpatient, short-term residential, long-term residential) or based on treatment techniques pharmacological or nonpharmacological (behavioral, psychosocial)]. The relative effectiveness and appropriateness of these treatments has always been an issue of concern to health policy, and decision makers, treatment providers and the users. For example, naltrexone, a long acting orally effective opioid antagonist, has been tried in patients of opioid or alcohol dependence. In controlled clinical studies, the drug has shown positive effects when added to counseling. It is reported to significantly reduce heavy drinking in patients who are willing to take the drug as prescribed. However, the beneficial effects of naltrexone are limited due to the serious problem of noncompliance or lack of willingness of patients to continue it for sufficient duration. Buprenorphine is an opioid agonist-antagonist effective for the treatment of opiate abuse besides its analgesic indication in patients with advanced painful cancer. Three national studies evaluating drug abuse treatment programs have been carried out to evaluate the suitability of the different outpatient treatment programs. However, methodological differences used in these programs have been a limitation to arrive at solid conclusions. Furthermore, the treatment modalities also varied as they evolved across time and change in their components. The client characteristics changed across last 3 decades particularly regarding the drug of abuse. The admission to specific treatment modalities depended on client criteria based on admission guidelines in force from time to time. These variations may limit the comparability of treatment outcome across these studies and across different treatment modalities, though adequate measures have been taken during analysis to minimize these limitations. Despite these limitations, some generalizations about the effectiveness of outpatient treatment can be made from the findings that have been consistent across studies. Outpatient drug-free treatment program is effective in reducing drug abuse and in improving other parameters like criminality and employment. Furthermore, it is effective as methadone maintenance; however, it is less effective than long-term residential treatment program. The program is effective primarily if patients receive treatment for 3 months or longer.</t>
  </si>
  <si>
    <t>Entry Date: 20080125. Revision Date: 20150711. Publication Type: Journal Article; tables/charts. Journal Subset: Biomedical; Blind Peer Reviewed; Editorial Board Reviewed; Expert Peer Reviewed; Peer Reviewed; USA. Special Interest: Psychiatry/Psychology. NLM UID: 101148822.; ID: 1962</t>
  </si>
  <si>
    <t>Department of Clinical Pharmacology, Muhimbili University College of Health Sciences (MUCHS), PO Box 65010, Dar-es-Salaam, Tanzania, East Africa; nsimbastephen@yahoo.co.uk.</t>
  </si>
  <si>
    <t>http://proxy.lib.umich.edu/login?url=http://search.ebscohost.com/login.aspx?direct=true&amp;db=ccm&amp;AN=105940004&amp;site=ehost-live&amp;scope=site</t>
  </si>
  <si>
    <t>ccm; EBSCOhost; Outpatient treatment programs: a review article on substances of abuse outpatients treatment outcomes in the United States</t>
  </si>
  <si>
    <t>Nugent,K.;Smart,W.</t>
  </si>
  <si>
    <t>PMC4186490; Attention-deficit/hyperactivity disorder in postsecondary students</t>
  </si>
  <si>
    <t>Neuropsychiatric Disease &amp; Treatment</t>
  </si>
  <si>
    <t>A PubMed review was conducted for papers reporting on attention-deficit/hyperactivity disorder (ADHD) in postsecondary students. The review was performed in order to determine the prevalence and symptomatology of ADHD in postsecondary students, to examine its effects on academic achievement, and discuss appropriate management. The prevalence of ADHD symptoms among postsecondary students ranges from 2% to 12%. Students with ADHD have lower grade point averages and are more likely to withdraw from courses, to indulge in risky behaviors, and to have other psychiatric comorbidities than their non-ADHD peers. Ensuring that students with ADHD receive appropriate support requires documented evidence of impairment to academic and day-to-day functioning. In adults with ADHD, stimulants improve concentration and attention, although improved academic productivity remains to be demonstrated. ADHD negatively impacts academic performance in students and increases the likelihood of drug and alcohol problems. Affected students may therefore benefit from disability support services, academic accommodations, and pharmacological treatment.</t>
  </si>
  <si>
    <t>J2: Neuropsychiatr; Nugent, Kevin Smart, Wallace; ID: 79</t>
  </si>
  <si>
    <t>1176-6328</t>
  </si>
  <si>
    <t>Nugent,Kevin. Kinark Child and Family Services, Trent University and Sir Sanford Fleming College, Peterborough, ON, Canada. Smart,Wallace. Department of Psychiatry, Faculty of Medicine and Dentistry, University of Alberta, Edmonton, AB, Canada ; University of Lethbridge Health Centre, Lethbridge, AB, Canada.</t>
  </si>
  <si>
    <t>http://ovidsp.ovid.com/ovidweb.cgi?T=JS&amp;CSC=Y&amp;NEWS=N&amp;PAGE=fulltext&amp;D=prem&amp;AN=25298735</t>
  </si>
  <si>
    <t>http://dx.doi.org/10.2147/NDT.S64136</t>
  </si>
  <si>
    <t>MEDLINE; Ovid Technologies; Attention-deficit/hyperactivity disorder in postsecondary students</t>
  </si>
  <si>
    <t>Nye,A.;Author,Addresses;Correspondence,Address;Nye,A.</t>
  </si>
  <si>
    <t>Interventions of a pharmacist on a teaching nursing home team</t>
  </si>
  <si>
    <t>consultation;human;nursing home;pharmacist;society;teaching;drug abuse;drug choice;drug therapy;medical record review;monitoring;patient;pharmacy student;physician;risk;therapy</t>
  </si>
  <si>
    <t>Purpose: To determine the added value of a clinical pharmacist rounding with an interdisciplinary team in a nursing home. Methods: A pharmacist rounded with the physician team four days a week in a teaching nursing home in addition to the monthly chart review. For two months interventions by a CGP preceptor and pharmacy students were recorded, including the drug problem and outcome. Results: There were a total of 197 drug problems identified with 132 recommendations on a nursing home panel of approximately 90 patients. Eighty-five percent of recommendations were implemented. The most common problems were an untreated problem (35), unnecessary drug (31), lab monitoring needed (24), ineffective medication (17), suboptimal drug choice (11), and high-risk drug (11). Recommendations including stopping a drug (40), initiating new therapy (33), monitoring needed (25), changing the drug (16), increasing the dose (16), and decreasing the dose (9). Conclusion: By rounding with the team a pharmacist could make recommendations when decisions were being made for the patient. When a less optimal medication was being considered it could be changed before it was ordered. Having a pharmacist at the point of care facilitates appropriate use of medications.</t>
  </si>
  <si>
    <t>(Nye A.) American Society of Consultant Pharmacists Fall 2012 National Harbor, MD, United States 2012-11-06 to 2012-11-09 American Society of Consultant Pharmacists; ID: 1100</t>
  </si>
  <si>
    <t>Nystrom,M.;Perasalo,J.;Salaspuro,M.</t>
  </si>
  <si>
    <t>Carbohydrate-deficient transferrin (CDT) in serum as a possible indicator of heavy drinking in young university students</t>
  </si>
  <si>
    <t>Adult;*Alcohol Drinking/bl Blood];Alcohol Drinking/ep Epidemiology];*Alcoholism/bl Blood];Alcoholism/di Diagnosis];Alcoholism/ep Epidemiology];Cross-Sectional Studies;Female;Finland/ep Epidemiology];Humans;Incidence;Male;Students/sn Statistics &amp; Numerical Data];*Students;Temperance;*Transferrin/aa Analogs &amp; Derivatives];Transferrin/me Metabolism];0 (Transferrin);0 (carbohydrate-deficient transferrin)</t>
  </si>
  <si>
    <t>Carbohydrate-deficient transferrin (CDT) in serum was studied as a possible marker of heavy drinking in a sample of 187 female and 102 male 1st year university students from Finland. CDT was measured by a new radioimmunoassay (Pharmacia CDT RIA). Alcohol consumption was measured on a quantity-frequency scale. For female students CDT was 18.2 +/- 0.45 units/liter (mean +/- SEM) and for male students 13.3 +/- 0.48 units/liter. 9.6% of female students and 7.8% of male students had elevated CDT with a cut-off level of 26 units/liter for females and 20 units/liter for males. The correlation between CDT and reported alcohol consumption was 0.30 (p less than 0.001) for females and 0.25 (p = 0.014) for males. Those reporting a consumption of at least 10 kg of pure ethanol per year were considered as heavy drinkers (3.7% of females and 22.5% of males). In female students the average CDT of heavy drinkers did not differ significantly from that of social drinkers but in teetotalers CDT was significantly (p less than 0.03) lower than in female alcohol users. In male students the average CDT of heavy drinkers was higher than the average of social drinkers (p less than 0.1) and significantly higher than the average of teetotalers (p less than 0.001). In the detection of heavy drinking among male students elevated CDT had a specificity of 96.2% and a sensitivity of 21.7%.(ABSTRACT TRUNCATED AT 250 WORDS)</t>
  </si>
  <si>
    <t>J2: Alcohol Clin Exp Res; Nystrom, M Perasalo, J Salaspuro, M; ID: 662</t>
  </si>
  <si>
    <t>Nystrom,M. Finnish Student Health Service, Helsinki.</t>
  </si>
  <si>
    <t>http://ovidsp.ovid.com/ovidweb.cgi?T=JS&amp;CSC=Y&amp;NEWS=N&amp;PAGE=fulltext&amp;D=med3&amp;AN=1558308</t>
  </si>
  <si>
    <t>MEDLINE; Ovid Technologies; Carbohydrate-deficient transferrin (CDT) in serum as a possible indicator of heavy drinking in young university students</t>
  </si>
  <si>
    <t>Obarcanin,E.;Binakaj,Z.;Mehic,B.;Author,Addresses;Pharmacist Chamber,Sarajevo,Bosnia and;Herzegovina;Faculty,of Medicine;Herzegovina;Correspondence,Address;Obarcanin, Pharmacist Chamber Sarajevo Bosnia,E.;Herzegovina</t>
  </si>
  <si>
    <t>Developing pharmaceutical care in Bosnia and Hercegovina</t>
  </si>
  <si>
    <t>clinical pharmacy;pharmaceutical care;community;curriculum;documentation;education;European Union;government;health;health care;health care personnel;health service;hospital;hospital department;human;institutional care;interview;law;Montenegro (republic);patient;patient care;pharmacist;pharmacy;war;ward</t>
  </si>
  <si>
    <t>Introduction The war in Bosnia had a tremendous impact on healthcare. Initiatives implemented in European Union are still delayed, individual patient care and outcomes remain secondary focus. Awareness of clinical pharmacy has improved more recently with its introduction into pharmacy studies curriculum. There have been some government initiatives to improve pharmacy services quality, however a focus on logistics and traditional drug dispensing prevails. Materials &amp; Methods In order to assess the quality of pharmaceutical care and clinical pharmacy services we interviewed hospital and community pharmacists and asked questions related to the pharmaceutical care process and barriers to its implementation. Evaluations have shown that pharmacist in BiH have a thorough understanding of the concept however in practice the focus is still on Œì√á¬£traditional rolesŒì√á¬•. Pharmaceutical care and co-operation of pharmacists with healthcare professionals and patients need to be improved. Lack of time, a difficult political /economic situation and a shortage of initiatives at the governmental level are mentioned as major obstacles to more thorough patient care. Results Based on the interview evaluations, the pharmacist chamber initiated the creation of a Œì√á¬£working groupŒì√á¬•. A team of national experts should help integrate pharmaceutical care into health care services, and together with Ministry of Health and Government help create a legal basis for the implementation. Integration initiatives may include e.g. specific disease oriented programs, electronic documentation of drug related problems, inclusion of clinical pharmacists in ward rounds etc. A new program for pharmaceutical care education is being considered by the chamber. These initiatives from Bosnia have also been presented to the neighbouring country Montenegro with the objective to establish regional cooperation. Discussions, Conclusion Pharmaceutical care and clinical pharmacy services have been identified as areas for improvement in Bosnia. Pharmacists understand the pharmaceutical care concept, however changes to institutional practice and legislation are challenging due to an established mindset and a complex political and economic situation.</t>
  </si>
  <si>
    <t>(Obarcanin E.; Binakaj Z.) (Mehic B.) ESCP 40th International Symposium on Clinical Pharmacy. Clinical Pharmacy: Connecting Care and Outcomes Dublin, Ireland 2011-10-19 to 2011-10-21 Springer Netherlands; ID: 1200</t>
  </si>
  <si>
    <t>Ockene,J. K.;Hayes,R. B.;Churchill,L. C.;Crawford,S. L.;Jolicoeur,D. G.;Murray,D. M.;Shoben,A. B.;David,S. P.;Ferguson,K. J.;Huggett,K. N.;Adams,M.;Okuliar,C. A.;Gross,R. L.;Bass,P. F., 3;Greenberg,R. B.;Leone,F. T.;Okuyemi,K. S.;Rudy,D. W.;Waugh,J. B.;Geller,A. C.</t>
  </si>
  <si>
    <t>PMC4720645 Available on 02/01/17]; Teaching Medical Students to Help Patients Quit Smoking: Outcomes of a 10-School Randomized Controlled Trial</t>
  </si>
  <si>
    <t>BACKGROUND: Early in medical education, physicians must develop competencies needed for tobacco dependence treatment. OBJECTIVE: To assess the effect of a multi-modal tobacco dependence treatment curriculum on medical students' counseling skills. DESIGN: A group-randomized controlled trial (2010-2014) included ten U.S. medical schools that were randomized to receive either multi-modal tobacco treatment education (MME) or traditional tobacco treatment education (TE). SETTING/PARTICIPANTS: Students from the classes of 2012 and 2014 at ten medical schools participated. Students from the class of 2012 (N=1345) completed objective structured clinical examinations (OSCEs), and 50 % (N=660) were randomly selected for pre-intervention evaluation. A total of 72.9 % of eligible students (N=1096) from the class of 2014 completed an OSCE and 69.7 % (N=1047) completed pre and post surveys. INTERVENTIONS: The MME included a Web-based course, a role-play classroom demonstration, and a clerkship booster session. Clerkship preceptors in MME schools participated in an academic detailing module and were encouraged to be role models for third-year students. MEASUREMENTS: The primary outcome was student tobacco treatment skills using the 5As measured by an objective structured clinical examination (OSCE) scored on a 33-item behavior checklist. Secondary outcomes were student self-reported skills for performing 5As and pharmacotherapy counseling. RESULTS: Although the difference was not statistically significant, MME students completed more tobacco counseling behaviors on the OSCE checklist (mean 8.7 SE 0.6] vs. mean8.0 SE 0.6], p=0.52) than TE students. Several of the individual Assist and Arrange items were significantly more likely to have been completed by MME students, including suggesting behavioral strategies (11.8 % vs. 4.5 %, p&lt;0.001) and providing information regarding quitline (21.0 % vs. 3.8 %, p&lt;0.001). MME students reported higher self-efficacy for Assist, Arrange, and Pharmacotherapy counseling items (ps&lt;0.05). LIMITATIONS: Inclusion of only ten schools limits generalizability. CONCLUSIONS: Subsequent interventions should incorporate lessons learned from this first randomized controlled trial of a multi-modal longitudinal tobacco treatment curriculum in multiple U.S. medical schools. NIH Trial Registry Number: NCT01905618.</t>
  </si>
  <si>
    <t>J2: J Gen Intern Med; Ockene, Judith K Hayes, Rashelle B Churchill, Linda C Crawford, Sybil L Jolicoeur, Denise G Murray, David M Shoben, Abigail B David, Sean P Ferguson, Kristi J Huggett, Kathryn N Adams, Michael Okuliar, Catherine A Gross, Robin L Bass, Pat F 3rd Greenberg, Ruth B Leone, Frank T Okuyemi, Kola S Rudy, David W Waugh, Jonathan B Geller, Alan C; ID: 759</t>
  </si>
  <si>
    <t>Ockene,Judith K. Division of Preventive and Behavioral Medicine, Department of Medicine, University of Massachusetts Medical School, 55 Lake Avenue North, Worcester, MA, 01655, USA. Judith.Ockene@umassmed.edu. Hayes,Rashelle B. Division of Preventive and Behavioral Medicine, Department of Medicine, University of Massachusetts Medical School, 55 Lake Avenue North, Worcester, MA, 01655, USA. Churchill,Linda C. Division of Preventive and Behavioral Medicine, Department of Medicine, University of Massachusetts Medical School, 55 Lake Avenue North, Worcester, MA, 01655, USA. Crawford,Sybil L. Division of Preventive and Behavioral Medicine, Department of Medicine, University of Massachusetts Medical School, 55 Lake Avenue North, Worcester, MA, 01655, USA. Jolicoeur,Denise G. Division of Preventive and Behavioral Medicine, Department of Medicine, University of Massachusetts Medical School, 55 Lake Avenue North, Worcester, MA, 01655, USA. Murray,David M. Biostatistics and Bioinformatics Branch; Division of Intramural Population Health Research, Eunice Kennedy Shriver National Institute of Child Health and Human Development, National Institutes of Health, Bethesda, MD, USA. Shoben,Abigail B. Division of Biostatistics, College of Public Health, The Ohio State University, Columbus, OH, USA. David,Sean P. Center for Education &amp; Research in Family and Community Medicine, Division of General Medical Disciplines, Department of Medicine, Stanford University School of Medicine, Palo Alto, CA, USA. Ferguson,Kristi J. University of Iowa Carver College of Medicine, Iowa City, IA, USA. Huggett,Kathryn N. Department of Medicine, Creighton University School of Medicine, Omaha, NE, USA. Adams,Michael. Department of Medicine, Georgetown University Hospital, Washington, DC, USA. Okuliar,Catherine A. Department of Medicine, Georgetown University Hospital, Washington, DC, USA. Gross,Robin L. Department of Medicine, Georgetown University Hospital, Washington, DC, USA. Bass,Pat F 3rd.(TRUNCATED)</t>
  </si>
  <si>
    <t>http://ovidsp.ovid.com/ovidweb.cgi?T=JS&amp;CSC=Y&amp;NEWS=N&amp;PAGE=fulltext&amp;D=prem&amp;AN=26391030</t>
  </si>
  <si>
    <t>http://dx.doi.org/10.1007/s11606-015-3508-y</t>
  </si>
  <si>
    <t>MEDLINE; Ovid Technologies; Teaching Medical Students to Help Patients Quit Smoking: Outcomes of a 10-School Randomized Controlled Trial</t>
  </si>
  <si>
    <t>O'Connor,R.;Keating,J. J.;Author,Addresses;Department of Chemistry, School,of Pharmacy;University College,Cork Ireland;Correspondence,Address;O'Connor, Department of Chemistry School of Pharmacy University,R.;College,Cork Ireland</t>
  </si>
  <si>
    <t>Studies in the synthesis and impurity profiling of the precursors of the amphetamine known as bromo-dragonfly</t>
  </si>
  <si>
    <t>212s</t>
  </si>
  <si>
    <t>(MAJOR FOCUS);amphetamine;acetone;marker;propylamine;Ireland;pharmacy;precursor;school;synthesis;abuse;drug manufacture;finger dermatoglyphics;laboratory;market;quality control</t>
  </si>
  <si>
    <t>Designer alpha-methylphenethylamine drugs of abuse sold on the illicit market can contain high levels of unwanted impurities inherent from the manufacturing process employed by underground laboratories, which rarely incorporates any degree of quality control. Each particular chemical route produces a unique set of impurities known as route-specific markers. These impurities or chemical signatures are of particular interest to the forensic chemist as they can be used as a tool to determine the synthetic protocol. Impurity profiling is used to generate this chemical fingerprint, providing useful information to the drug enforcement agencies, enabling them to monitor underground drug manufacturing and detect and shutdown illegal laboratories. Impurity profiling also facilitates the identification of potentially harmful impurities in drugs. The work described in this research talk focuses on the synthetic steps leading to the Leuckart synthesis of 1-(8-bromobenzo1,2-b;4,5- b']difuran-4-yl)-2-aminopropane 1 (Bromo- DragonFLY) and the impurity profiling of its precursors. The synthesis of the key precursor 1- (2,3,6,7-tetrahydrobenzo1,2-b:4,5-b']difuran-4- yl)propan-2-one 2 was adapted from work carried out by Keating (1) and from the literature by Chambers et al.(2) and Monte et al.(3). This investigation involved a detailed analysis of the chemical route employed for potential impurities and possible synthetic deviations. (Graph Presented).</t>
  </si>
  <si>
    <t>(O'Connor R.; Keating J.J.) 33rd All-Ireland Schools of Pharmacy Research Seminar Dublin, Ireland 2011-04-18 to 2011-04-19 Canadian Society for Pharmaceutical Sciences; ID: 1288</t>
  </si>
  <si>
    <t>Ogilvie,R. I.;Author,Addresses;Correspondence,Address;Ogilvie, Email ri ogilvie utoronto ca,R.I.</t>
  </si>
  <si>
    <t>Invited lecture presented at the Canadian society of pharmacology and therapeutics annual meeting drugs and people i have known: 45 years in clinical pharmacology</t>
  </si>
  <si>
    <t>Journal of Population Therapeutics and Clinical Pharmacology</t>
  </si>
  <si>
    <t>e455</t>
  </si>
  <si>
    <t>e470</t>
  </si>
  <si>
    <t>acetazolamide (drug therapy);antiinfective agent;beta adrenergic receptor blocking agent;calcium channel blocking agent;chlortalidone (clinical trial, drug dose, pharmacology);diazoxide (parenteral drug administration, pharmacokinetics);digitalis (adverse drug reaction);dipyridamole;diuretic agent (adverse drug reaction);enprofylline (adverse drug reaction);etacrynic acid;furosemide;hydrochlorothiazide (clinical trial);indapamide;insulin (adverse drug reaction);labetalol (parenteral drug administration);mersalyl (parenteral drug administration);methyldopa (clinical trial, drug dose, drug therapy, oral drug;administration);nitroprusside sodium (parenteral drug administration);penicillin G (drug therapy);phenoxybenzamine;quinidine (adverse drug reaction);rolofylline (clinical trial, drug therapy);rosiglitazone;spironolactone (clinical trial, drug dose);sulfonylurea;thalidomide (drug therapy);theophylline (drug concentration, drug dose, parenteral drug administration);tolbutamide (drug therapy);unindexed drug;medical society;article;Canada;cider;diabetes mellitus (drug therapy);doping;dose response;drug efficacy;drug fatality (side effect);drug intoxication (side effect);drug safety;elixir;heart failure (drug therapy);hepatitis (side effect);human;hyperlactatemia (drug therapy);hypertension (drug therapy);lactic acidosis (drug therapy);leprosy (drug therapy);medical education;multiple myeloma (drug therapy);nonhuman;orange (fruit);plant root;plant seed;pneumonia (drug therapy);scurvy (prevention);travel;DRUG TRADE NAMES;avandia;acetazolamide (1424-27-7, 59-66-5);chlortalidone (77-36-1);diazoxide (364-98-7);digitalis (8031-42-3, 8053-83-6);dipyridamole (58-32-2);enprofylline (41078-02-8);etacrynic acid (58-54-8, 6500-81-8);furosemide (54-31-9);hydrochlorothiazide (58-93-5);indapamide (26807-65-8);insulin (9004-10-8);labetalol (32780-64-6, 36894-69-6);mersalyl (486-67-9, 492-18-2);methyldopa (555-29-3, 555-30-6);nitroprusside sodium (14402-89-2, 15078-28-1);penicillin G (1406-05-9, 61-33-6);phenoxybenzamine (59-96-1, 63-92-3);quinidine (56-54-2);rolofylline (136199-02-5);rosiglitazone (122320-73-4, 155141-29-0);spironolactone (52-01-7);thalidomide (50-35-1);theophylline (58-55-9, 5967-84-0, 8055-07-0, 8061-56-1, 99007-19-9);tolbutamide (473-41-6, 64-77-7);Clinical and Experimental Pharmacology (30);Drug Literature Index (37);Adverse Reactions Titles (38)</t>
  </si>
  <si>
    <t>At the Canadian Society of Pharmacology and Therapeutics Annual Meeting in Montreal on May 27, 2011 Richard Ian Ogilvie, Professor Emeritus of Medicine and Pharmacology at the University of Toronto was invited to present a lecture regarding his 45 year career in clinical pharmacology in Canada. In the lecture he identified the people and events that shaped his accomplished career. ‚î¨‚åê 2011 Canadian Society of Pharmacology and Therapeutics. All rights reserved.</t>
  </si>
  <si>
    <t>(Ogilvie R.I., ri.ogilvie@utoronto.ca) Canadian Soceity of Clinical Pharmacology, St. Joseph's Healthcare Hamilton, 105 Main Street E. Level 1. Hamilton, Ontario, Canada.; ID: 1214</t>
  </si>
  <si>
    <t>1710-6222</t>
  </si>
  <si>
    <t>Ohl,M. E.;Perencevich,E.;McInnes,D. K.;Kim,N.;Rimland,D.;Akgun,K.;Fiellin,D. A.;Skanderson,M.;Wang,K.;Justice,A.</t>
  </si>
  <si>
    <t>Antiretroviral adherence among rural compared to urban veterans with HIV infection in the United States</t>
  </si>
  <si>
    <t>AIDS &amp; Behavior</t>
  </si>
  <si>
    <t>Adult;*Anti-Retroviral Agents/tu Therapeutic Use];Confidence Intervals;Female;Follow-Up Studies;*HIV Infections/dt Drug Therapy];Humans;Logistic Models;Male;Medication Adherence/px Psychology];Medication Adherence/sn Statistics &amp; Numerical Data];Middle Aged;Odds Ratio;Residence Characteristics;Retrospective Studies;*Rural Population/sn Statistics &amp; Numerical Data];Socioeconomic Factors;United States;United States Department of Veterans Affairs;*Urban Population/sn Statistics &amp; Numerical Data];*Veterans/sn Statistics &amp; Numerical Data];0 (Anti-Retroviral Agents)</t>
  </si>
  <si>
    <t>Rural-dwelling persons with HIV infection face barriers to maintaining high levels of antiretroviral adherence. We compared adherence among 1,782 rural and 18,519 urban veterans initiating antiretroviral therapy in the Veterans Affairs (VA) healthcare system in the United States between 1998 and 2007. Residence was determined using rural urban commuting area codes and adherence using pharmacy-based refill measures. The median proportion of days covered (PDC) by combination antiretroviral therapy in the first year of treatment ranged from 0.72 among urban residents to 0.79 among rural-small town/remote residents (p &lt; 0.0001). In multivariable logistic regression, predictors of high adherence (PDC greater than 0.90) were residence in a rural-small town/remote setting (odds ratio 1.24, 95 % CI 1.09-1.56, relative to urban), increasing age, white race, absence of an alcohol or substance use disorder, and absence of hepatitis C infection. Results may differ outside VA healthcare, where there may be fewer resources to support adherence among rural-dwelling persons with HIV.</t>
  </si>
  <si>
    <t>J2: Aids Behav; Ohl, Michael E Perencevich, Eli McInnes, D Keith Kim, Nancy Rimland, David Akgun, Kathleen Fiellin, David A Skanderson, Melissa Wang, Karen Justice, Amy; ID: 169</t>
  </si>
  <si>
    <t>1573-3254</t>
  </si>
  <si>
    <t>Ohl,Michael E. VA Office of Rural Health (ORH), Veterans Rural Health Resource Center-Central Region, Iowa City VA Medical Center, Iowa City, IA, USA. michael-ohl@uiowa.edu</t>
  </si>
  <si>
    <t>http://ovidsp.ovid.com/ovidweb.cgi?T=JS&amp;CSC=Y&amp;NEWS=N&amp;PAGE=fulltext&amp;D=medl&amp;AN=23080359</t>
  </si>
  <si>
    <t>http://dx.doi.org/10.1007/s10461-012-0325-8</t>
  </si>
  <si>
    <t>MEDLINE; Ovid Technologies; Antiretroviral adherence among rural compared to urban veterans with HIV infection in the United States</t>
  </si>
  <si>
    <t>Ohman,B.;Lyrvall,H.;Tornqvist,E.;Alvan,G.;Sjoqvist,F.</t>
  </si>
  <si>
    <t>Clinical pharmacology and the provision of drug information</t>
  </si>
  <si>
    <t>Clinical Pharmacy Information Systems/ec Economics];Clinical Pharmacy Information Systems/st Standards];Clinical Pharmacy Information Systems/td Trends];*Clinical Pharmacy Information Systems;*Databases, Factual;Forecasting;Quality Control;Sweden</t>
  </si>
  <si>
    <t>Clinical pharmacologists have a service role in the provision of drug information to individuals both in hospitals and primary health care. We present here a systematic approach in answering questions in a drug information centre (DIC), and describe the working method and the documentation of the work in a question answer (Q/A) data base. Drugline is a full-text data base offering problem-oriented drug evaluation comparable to a clinical consultation. The drug information is produced in a non-commercial drug information centre sponsored by the national health care sector and the National Corporation of Swedish Pharmacies, and run jointly by clinical pharmacologists and pharmacists. A minor part of Drugline is available in English for online searching, in parallel with Medline at the database host, the Medical Information Centre at the Karolinska Institute Library and Information Centre, and the users represent mainly medical libraries, hospital pharmacies, university clinics, and the pharmaceutical industry. A network of DICs has been organized in Swedish university hospitals with access to Drugline for searching and the storage of questions and answers. This network has the potential for expansion throughout Europe. It offers the unique possibility of complementing drug product information with problem-oriented drug information emerging from cases in the real world of prescribing.</t>
  </si>
  <si>
    <t>J2: Eur J Clin Pharmacol; Ohman, B Lyrvall, H Tornqvist, E Alvan, G Sjoqvist, F; ID: 656</t>
  </si>
  <si>
    <t>Ohman,B. Department of Clinical Pharmacology, Karolinska Institute, Huddinge University Hospital, Sweden.</t>
  </si>
  <si>
    <t>http://ovidsp.ovid.com/ovidweb.cgi?T=JS&amp;CSC=Y&amp;NEWS=N&amp;PAGE=fulltext&amp;D=med3&amp;AN=1623895</t>
  </si>
  <si>
    <t>MEDLINE; Ovid Technologies; Clinical pharmacology and the provision of drug information</t>
  </si>
  <si>
    <t>Ojeh,V. B.;Naima,N.;Abah,I. O.;Falang,K. D.;Lucy,O.;London,I.;Dady,C.;Agaba,P.;Agbaji,O.</t>
  </si>
  <si>
    <t>PMC4482846; Pattern of drug therapy problems and interventions in ambulatory patients receiving antiretroviral therapy in Nigeria</t>
  </si>
  <si>
    <t>OBJECTIVES: We describe the frequency and types of drug therapy problems (DTPs), and interventions carried out to resolve them, among a cohort of HIV-infected patients on ART in Jos, Nigeria. METHODS: A prospective pharmacists' intervention study was conducted between January and August 2012 at the outpatient HIV clinic of the Jos University Teaching Hospital (JUTH). Pharmacists identified DTPs and made recommendations to resolve them. The main outcome measures were number of DTPs encountered, interventions proposed and acceptance rate of recommendations. RESULTS: A total of 42,416 prescriptions were dispensed to 9339 patients during the eight months study. A total of 420 interventions (Intervention rate of 1 per 100 prescriptions) were made to resolve DTPs in 401 (4.3%) patients with a mean age of 41 (SD=10) years, and made up of 73% females. DTPs encountered were drug omission (n=89, 21.2%), unnecessary drug (n=55, 13.1%) and wrong drug indication (n=55, 13.1%). Recommendations offered included; Addition of another drug to the therapy (n=87, 20.7%), rectification of incomplete prescriptions (n=85, 20.2%), change of drug or dosage (n=67, 16.0%), and discontinuation of the offending drug (n=59, 14.0%). A total of 389 (93%) out of 420 of the recommendations were accepted. In all, 50.4% (212) of the problematic prescriptions were changed and dispensed, 22.2% (89) were clarified and dispensed, while wrong identities were corrected in 11.7% (49). However, 7.5% (30) prescriptions were dispensed as prescribed, 5.2% (21) were not dispensed, and 3% (12) were unresolved. CONCLUSION: Our findings suggest that pharmacists-initiated interventions can ameliorate DTPs in patients receiving ART given the high intervention acceptance rate recorded. The implication of this finding is that pharmacists with requisite training in HIV pharmacotherapy are an excellent resource in detecting and minimizing the effect of antiretroviral drug-related errors.</t>
  </si>
  <si>
    <t>J2: Pharm; Ojeh, Victor B Naima, Nasir Abah, Isaac O Falang, Kakjing D Lucy, Ogwuche London, Ibrahim Dady, Christiana Agaba, Patricia Agbaji, Oche; ID: 40</t>
  </si>
  <si>
    <t>Ojeh,Victor B. APIN Centre/Pharmacy Department, Jos University Teaching Hospital. Jos ( Nigeria ). bazimojeh@gmail.com. Naima,Nasir. APIN Centre/Pharmacy Department, Jos University Teaching Hospital. Jos ( Nigeria ). sarauniyanaima@gmail.com. Abah,Isaac O. APIN Centre/Pharmacy Department, Jos University Teaching Hospital. Jos ( Nigeria ). isaacabah@gmail.com. Falang,Kakjing D. Department of Pharmacology, University of Jos . Jos ( Nigeria ). falangkakjing@gmail.com. Lucy,Ogwuche. APIN Centre/Pharmacy Department, Jos University Teaching Hospital. Jos ( Nigeria ). lucyamah4real@yahoo.com. London,Ibrahim. APIN Centre/Pharmacy Department, Jos University Teaching Hospital. Jos ( Nigeria ). Ibrahim_london@yahoo.com. Dady,Christiana. APIN Centre/Pharmacy Department, Jos University Teaching Hospital. Jos ( Nigeria ). weedady@gmail.com. Agaba,Patricia. Department of Family Medicine, University of Jos . Jos ( Nigeria ). ellagaba@yahoo.com. Agbaji,Oche. Nephrology Unit, Department of Internal Medicine, University of Jos . Jos ( Nigeria ). oagbaji@yahoo.com.</t>
  </si>
  <si>
    <t>http://ovidsp.ovid.com/ovidweb.cgi?T=JS&amp;CSC=Y&amp;NEWS=N&amp;PAGE=fulltext&amp;D=prem&amp;AN=26131046</t>
  </si>
  <si>
    <t>MEDLINE; Ovid Technologies; Pattern of drug therapy problems and interventions in ambulatory patients receiving antiretroviral therapy in Nigeria</t>
  </si>
  <si>
    <t>Ojeh,V. B.;Naima,N.;Abah,I. O.;Falang,K. D.;Lucy,O.;London,I.;Dady,C.;Agaba,P.;Agbaji,O.;Author,Addresses;Centre/Pharmacy,Apin;Department,Jos University Teaching Hospital Jos Nigeria;Department of,Pharmacology;University,of Jos;Department of,Family Medicine;Jos,Jos Nigeria;Nephrology Unit,Department,of Internal;Medicine,University of Jos Jos Nigeria</t>
  </si>
  <si>
    <t>Pattern of drug therapy problems and interventions in ambulatory patients receiving antiretroviral therapy in Nigeria ORIGINAL (NON-ENGLISH) TITLE Patr‚îú‚îÇn de problemas relacionados con medicamentos e intervenciones en pacientes ambulatorios que reciben tratamiento antirretroviral en Nigeria</t>
  </si>
  <si>
    <t>(MAJOR FOCUS);antiretrovirus agent (drug therapy);ambulatory care;drug therapy problems;Human immunodeficiency virus infection (drug therapy, drug therapy);treatment outcome;adult;article;descriptive research;drug choice;drug contraindication;drug dose;drug hypersensitivity;drug indication;drug monitoring;drug use;drug utilization;female;human;major clinical study;male;medication error;Nigeria;prescription;prospective study;Public Health, Social Medicine and Epidemiology (17);Drug Literature Index (37);Microbiology: Bacteriology, Mycology, Parasitology and Virology (4)</t>
  </si>
  <si>
    <t>Objectives: We describe the frequency and types of drug therapy problems (DTPs), and interventions carried out to resolve them, among a cohort of HIV- infected patients on ART in Jos, Nigeria. Methods: A prospective pharmacistsŒì√á√ñ intervention study was conducted between January and August 2012 at the outpatient HIV clinic of the Jos University Teaching Hospital (JUTH). Pharmacists identified DTPs and made recommendations to resolve them. The main outcome measures were number of DTPs encountered, interventions proposed and acceptance rate of recommendations. Results: A total of 42,416 prescriptions were dispensed to 9339 patients during the eight months study. A total of 420 interventions (Intervention rate of 1 per 100 prescriptions) were made to resolve DTPs in 401 (4.3%) patients with a mean age of 41 (SD=10) years, and made up of 73% females. DTPs encountered were drug omission (n=89, 21.2%), unnecessary drug (n=55, 13.1%) and wrong drug indication (n=55, 13.1%). Recommendations offered included; Addition of another drug to the therapy (n=87, 20.7%), rectification of incomplete prescriptions (n=85, 20.2%), change of drug or dosage (n=67, 16.0%), and discontinuation of the offending drug (n=59, 14.0%). A total of 389 (93%) out of 420 of the recommendations were accepted. In all, 50.4% (212) of the problematic prescriptions were changed and dispensed, 22.2% (89) were clarified and dispensed, while wrong identities were corrected in 11.7% (49). However, 7.5% (30) prescriptions were dispensed as prescribed, 5.2% (21) were not dispensed, and 3% (12) were unresolved. Conclusion: Our findings suggest that pharmacistsinitiated interventions can ameliorate DTPs in patients receiving ART given the high intervention acceptance rate recorded. The implication of this finding is that pharmacists with requisite training in HIV pharmacotherapy are an excellent resource in detecting and minimizing the effect of antiretroviral drug-related errors.</t>
  </si>
  <si>
    <t>(Ojeh V.B., bazimojeh@gmail.com; Naima N., sarauniyanaima@gmail.com; Abah I.O., isaacabah@gmail.com; Lucy O., lucyamah4real@yahoo.com; London I., Ibrahim_london@yahoo.com; Dady C., weedady@gmail.com) (Falang K.D., falangkakjing@gmail.com) (Agaba P., ellagaba@yahoo.com) (Agbaji O., oagbaji@yahoo.com) Grupo de Investigacion en Atencion Farmaceutica, catedra@farmacare.com; ID: 869</t>
  </si>
  <si>
    <t>1886-3655 (electronic)</t>
  </si>
  <si>
    <t>Pattern of drug therapy problems and interventions in ambulatory patients receiving antiretroviral therapy in Nigeria ORIGINAL (NON-ENGLISH) TITLE Patr‚îú‚îÇn de problemas relacionados con medicamentos e intervenciones en pacientes ambulatorios (TRUNCATED)</t>
  </si>
  <si>
    <t>Okasha,A.</t>
  </si>
  <si>
    <t>Young people and the struggle against drug abuse in the Arab countries</t>
  </si>
  <si>
    <t>Bulletin on narcotics</t>
  </si>
  <si>
    <t>Bull.Narc.</t>
  </si>
  <si>
    <t>Apr-Sep</t>
  </si>
  <si>
    <t>Adolescent;Adult;Alcohol Drinking;Cross-Sectional Studies;Egypt;Female;Humans;Male;Marijuana Abuse/ep Epidemiology];Psychotropic Drugs;*Substance-Related Disorders/ep Epidemiology];Substance-Related Disorders/pc Prevention &amp; Control];0 (Psychotropic Drugs)</t>
  </si>
  <si>
    <t>While cannabis consumption in Egypt has a centuries-long tradition, recent evidence on drug abuse shows new patterns and trends: young people from all socio-economic strata of society are increasingly involved with both traditional drugs, such as hashish, and the new pharmaceutical psychotropic substances that are emerging. A recent survey of the university students in Egypt, carried out by the author and others, showed that 34 per cent of the students who had succeeded in their studies and 42 per cent of those who had failed used drugs. In addition to the situation in Egypt, the article briefly reviews drug abuse among young people in some other Arab countries. To cope more effectively with the problems of drug abuse among the young, the author suggests that comprehensive community-based programmes need to be organized to improve the personal and social functioning of drug-dependent persons, to promote drug education and to increase understanding between younger and older generations. Epidemiological studies of the nature and extent of drug abuse, as well as evaluative studies of ongoing prevention and treatment programmes, need to be organized and carried out with a view to improving the effectiveness of drug abuse intervention among the young in the Arab countries.</t>
  </si>
  <si>
    <t>J2: Bull Narc; Okasha, A; ID: 701</t>
  </si>
  <si>
    <t>0007-523X</t>
  </si>
  <si>
    <t>http://ovidsp.ovid.com/ovidweb.cgi?T=JS&amp;CSC=Y&amp;NEWS=N&amp;PAGE=fulltext&amp;D=med2&amp;AN=3878175</t>
  </si>
  <si>
    <t>MEDLINE; Ovid Technologies; Young people and the struggle against drug abuse in the Arab countries</t>
  </si>
  <si>
    <t>Oke,T. O.</t>
  </si>
  <si>
    <t>PMC2607762; Primary health-care services with a functional ambulatory care clinical pharmacy in a low-income housing project clinic</t>
  </si>
  <si>
    <t>Journal of the National Medical Association</t>
  </si>
  <si>
    <t>J.Natl.Med.Assoc.</t>
  </si>
  <si>
    <t>*Community Health Centers/og Organization &amp; Administration];*Community Pharmacy Services/og Organization &amp; Administration];Humans;Louisiana;Patient Education as Topic;*Poverty;*Primary Health Care/og Organization &amp; Administration];Public Housing</t>
  </si>
  <si>
    <t>This article describes the establishment of clinical pharmacy services at a primary health-care clinic in a low-income housing area in New Orleans. The St Thomas Health Care Services Outpatient Clinic was established in 1987 by the Catholic Sisters of Charity. The clinic provides care for 4500 ambulatory patients who otherwise have inadequate health care. Xavier University College of Pharmacy established pharmacy services in the clinic as a site for its ambulatory clerkship students. The pharmacy provides training for students on the principles and practice standards of ambulatory care pharmacy services, which include taking medication history and performing drug therapy review. A computer-generated medical record was developed to provide access to patients' demographic and drug profiles. The system was designed to help the pharmacist preceptor and students detect, resolve, and prevent drug-related problems, and to aid in learning to monitor the progression of disease(s) and whether the patient is experiencing the desired therapeutic outcome. Direct contact with patients allows the pharmacist and the students to become familiar with patient compliance problems, adverse drug reaction monitoring, patient counseling techniques, and providing patient education.</t>
  </si>
  <si>
    <t>J2: J Natl Med Assoc; Oke, T O; ID: 633</t>
  </si>
  <si>
    <t>1943-4693</t>
  </si>
  <si>
    <t>Oke,T O. College of Pharmacy, Xavier University of Louisiana, New Orleans 70125.</t>
  </si>
  <si>
    <t>http://ovidsp.ovid.com/ovidweb.cgi?T=JS&amp;CSC=Y&amp;NEWS=N&amp;PAGE=fulltext&amp;D=medl&amp;AN=8078084</t>
  </si>
  <si>
    <t>MEDLINE; Ovid Technologies; Primary health-care services with a functional ambulatory care clinical pharmacy in a low-income housing project clinic</t>
  </si>
  <si>
    <t>Okumura,L.;Antunes,V.;Aguiar,K.;Farias,T.;Andrzejevski,V.;Funke,V.;Author,Addresses;Clinical Pharmacy, Hospital Pharmacy Division,Hospital De;Cl‚îú¬°nicas De Porto Alegre, Porto,Alegre Brazil;Clinical;Hospital,Federal University of Paran‚îú√≠ Curitiba Brazil;Correspondence,Address;Okumura, Clinical Pharmacy Hospital Pharmacy Division Hospital De,L.;Cl‚îú¬°nicas De Porto Alegre, Porto,Alegre Brazil</t>
  </si>
  <si>
    <t>Advancing pharmacy practice through a novel chronic myeloid leukemia ambulatory care in Brazil: Structure, process and results</t>
  </si>
  <si>
    <t>e258</t>
  </si>
  <si>
    <t>protein tyrosine kinase inhibitor;ambulatory care;American;Brazil;chronic myeloid leukemia;clinical pharmacy;college;pharmacy;adverse drug reaction;Brazilian;caregiver;clinical study;comorbidity;consultation;cross-sectional study;disease course;drug therapy;food;hematologic disease;hematology;hospital department;human;male;medical record review;medical staff;patient;pharmacist;physician;pilot study;statistics;therapy;tumor resistance;university hospital</t>
  </si>
  <si>
    <t>PURPOSE: Chronic Myeloid Leukemia (CML) has become a longstanding disease after the introduction of Tyrosine Kinase Inhibitors (TKI). Thenceforth, adherence to this drug class is one of the most important clinical endpoints, when treating such hematologic neoplasm. Pharmacists-driven ambulatory services comprise an interesting strategy to promote adherence within CML patients, but few studies have been addressing innovation on these services. This pilot study aims to characterize a novel clinical pharmacy service to CML patients. METHODS: This is a cross-sectional study conducted in a Brazilian University Hospital (Reference Hematology Centre). We retrospectively collected demographic and clinical data from CML patients on TKI therapy, who were attended by clinical pharmacists in 2014. Data were expressed as descriptive statistics. We also described the structure, process (how patients were selected to consultations) and results (number of Drug-Related Problems and interventions) from this service. RESULTS: Based on chart reviews, patients were selected to pharmacists' consultation on the day before physicians' consultations. In the aforementioned setting, there were 300 patients/year receiving TKI therapy, and clinical pharmacists provided consultations to 150 patients, which were predominantly men (55%) with 51.7 (‚î¨‚ñí15.5) years old. Most of them had 1 (IQR=2) comorbidity and were on 3 (IQR=3) medications. Regarding CML, most of them were on adequate response to therapy (105 achieved Major or Complete Molecular Response). Pharmacists identified 70 drug-related problems, of which 10 were related to incorrect TKI administration (with or without food) and 16 were due to TKI dose omission (due to unmanaged adverse reactions). CONCLUSION: Chart reviews before pharmacists consultations organized the ambulatory service by selecting relevant patients with confirmed or suspected drug therapy problems, which were solved within medical staff, patients or caregivers. Consulting patients before physicians could also address a thorough assessment on incorrect TKI use before suggesting tumor resistance or disease progression.</t>
  </si>
  <si>
    <t>(Okumura L.) (Antunes V.; Aguiar K.; Farias T.; Andrzejevski V.; Funke V.) 2015 Annual Meeting of the American College of Clinical Pharmacy, ACCP 2015 San Francisco, CA, United States 2015-10-17 to 2015-10-21 Pharmacotherapy Publications Inc.; ID: 800</t>
  </si>
  <si>
    <t>Olive,M. F.</t>
  </si>
  <si>
    <t>Pharmacotherapies for alcoholism: the old and the new</t>
  </si>
  <si>
    <t>CNS &amp; Neurological Disorders Drug Targets</t>
  </si>
  <si>
    <t>Alcohol Deterrents/pd Pharmacology];Alcohol Deterrents/tu Therapeutic Use];*Alcohol-Induced Disorders, Nervous System/dt Drug Therapy];Alcohol-Induced Disorders, Nervous System/me Metabolism];*Alcohol-Induced Disorders, Nervous System/pp Physiopathology];*Alcoholism/dt Drug Therapy];Alcoholism/me Metabolism];*Alcoholism/pp Physiopathology];Animals;Disease Models, Animal;Disulfiram/pd Pharmacology];Disulfiram/tu Therapeutic Use];Drug Design;Humans;Naltrexone/pd Pharmacology];Naltrexone/tu Therapeutic Use];Narcotic Antagonists/pd Pharmacology];Narcotic Antagonists/tu Therapeutic Use];Neuropeptides/ag Agonists];*Neuropharmacology/mt Methods];Neuropharmacology/td Trends];Neurotransmitter Agents/ag Agonists];Neurotransmitter Agents/ai Antagonists &amp; Inhibitors];Receptors, Neurotransmitter/ag Agonists];Receptors, Neurotransmitter/ai Antagonists &amp; Inhibitors];Taurine/aa Analogs &amp; Derivatives];Taurine/pd Pharmacology];Taurine/tu Therapeutic Use];0 (Alcohol Deterrents);0 (Narcotic Antagonists);0 (Neuropeptides);0 (Neurotransmitter Agents);0 (Receptors, Neurotransmitter);1EQV5MLY3D (Taurine);5S6W795CQM (Naltrexone);N4K14YGM3J (acamprosate);TR3MLJ1UAI (Disulfiram)</t>
  </si>
  <si>
    <t>Alcoholism and other alcohol use disorders are major public health problems, and the success rates of non-pharmacological treatment of these disorders such as psychotherapy, cognitive-behavioral therapy, group therapy, or residential treatment programs,remain only modest at best. High rates of recidivism (relapse) in alcoholics attempting to remain abstinent are prevalent worldwide. In recent years abundant evidence has accumulated demonstrating that alcoholism is a complex and multifaceted disease of the brain caused by numerous genetic, neurobiological, developmental, environmental, and socioeconomic factors that are still not yet fully understood.There is thus a great need to improve the success rates of all forms of treatment of alcoholism not only in preventing relapse, but curbing active alcohol consumption and craving. The development of improved pharmacotherapies that could be used as adjuncts to the aforementioned non-pharmacological treatment approaches is one avenue of great interest to the scientific community and the general public. Currently there are only three medications approved by the U.S. Food and Drug Administration (FDA) for use in the treatment of alcohol abuse and alcoholism--disulfiram, naltrexone, and acamprosate. Yet medication compliance issues and the modest efficacy of these compounds leave substantial room for improvement. This special issue is devoted to reviewing the current status of these FDA approved medications in the treatment of alcoholism. In addition, preclinical and clinical evidence suggesting that other classes of medications might also be of potential use are reviewed, including anticonvulsants, GABAB receptor agonists, cholinergic receptor partial agonists, corticotropin-releasing factor and cannabinoid CB1 receptor antagonists, nociceptin receptor ligands, and the novel antipsychotic aripiprazole.</t>
  </si>
  <si>
    <t>J2: CNS Neurol Disord Drug Targets; Olive, M Foster; ID: 300</t>
  </si>
  <si>
    <t>1996-3181</t>
  </si>
  <si>
    <t>http://ovidsp.ovid.com/ovidweb.cgi?T=JS&amp;CSC=Y&amp;NEWS=N&amp;PAGE=fulltext&amp;D=med5&amp;AN=20232494</t>
  </si>
  <si>
    <t>MEDLINE; Ovid Technologies; Pharmacotherapies for alcoholism: the old and the new</t>
  </si>
  <si>
    <t>Oliver,M.;Cates,M. E.;Hogue,M. D.;Alverson,S. P.;Woolley,T. W.</t>
  </si>
  <si>
    <t>PMC3508485; Attitudes of matriculating first-year pharmacy students toward a mandatory, random drug-screening program</t>
  </si>
  <si>
    <t>*Attitude of Health Personnel;Data Collection;Education, Pharmacy;Female;Humans;Male;Mandatory Testing/mt Methods];Schools, Pharmacy;*Students, Pharmacy/px Psychology];*Substance Abuse Detection/mt Methods];*Substance-Related Disorders/di Diagnosis]</t>
  </si>
  <si>
    <t>OBJECTIVE: To determine the attitudes of incoming pharmacy students toward a mandatory, random urine drug-screening program. METHODS: This was an anonymous, voluntary survey of students at the McWhorter School of Pharmacy (MSOP) using an instrument composed of 40 items. The instrument was administered during orientation week prior to the session during which the policies and procedures of MSOP's drug-screening program were to be discussed. RESULTS: The survey instrument was completed by all 129 (100%) students in the class. Two-thirds of the students were aware of MSOP's drug-screening program prior to applying, but only a few felt uneasy about applying to the school because of the program. The greatest concerns expressed by the students included what would happen if a student unintentionally missed a drug screen or was busy with other matters when called for screening, how much time a drug-screening would take, and the possibility of false-positive drug screen results. The vast majority of students agreed with statements regarding the potential benefits of drug testing. Students who consumed alcohol in a typical week and those with current or past use of an illegal substance held less favorable attitudes toward MSOP's mandatory drug-screening program compared with students who did not share those characteristics. CONCLUSION: Although there were definite concerns expressed regarding pragmatic issues surrounding drug screening, the first-year pharmacy students held generally favorable opinions about the school's mandatory drug-screening program.</t>
  </si>
  <si>
    <t>J2: Am J Pharm Educ; Oliver, Maggee Cates, Marshall E Hogue, Michael D Alverson, Susan P Woolley, Thomas W; ID: 160</t>
  </si>
  <si>
    <t>Oliver,Maggee. McWhorter School of Pharmacy, Samford University, 800 Lakeshore Drive, Birmingham, AL 35229, USA.</t>
  </si>
  <si>
    <t>http://ovidsp.ovid.com/ovidweb.cgi?T=JS&amp;CSC=Y&amp;NEWS=N&amp;PAGE=fulltext&amp;D=medl&amp;AN=23193335</t>
  </si>
  <si>
    <t>http://dx.doi.org/10.5688/ajpe769171</t>
  </si>
  <si>
    <t>MEDLINE; Ovid Technologies; Attitudes of matriculating first-year pharmacy students toward a mandatory, random drug-screening program</t>
  </si>
  <si>
    <t>Oliver,W.;McGuffey,G.;Westrick,S. C.;Jungnickel,P. W.;Correia,C. J.</t>
  </si>
  <si>
    <t>PMC3965138; Alcohol use behaviors among pharmacy students</t>
  </si>
  <si>
    <t>Adult;*Alcohol Drinking/ep Epidemiology];*Alcoholism/ep Epidemiology];Alcohols/ae Adverse Effects];Cross-Sectional Studies;Female;Humans;Male;*Students, Pharmacy/sn Statistics &amp; Numerical Data];Young Adult;0 (Alcohols)</t>
  </si>
  <si>
    <t>OBJECTIVE: To identify reasons for drinking, determine the patterns of alcohol abuse, and explore relationships between drinking motives and alcohol abuse patterns in pharmacy students. METHODS: A cross-sectional anonymous, voluntary, self-administered paper survey instrument was administered to first-year (P1) through third-year (P3) pharmacy students as part of a professional seminar. RESULTS: Survey instruments were completed by 349 pharmacy students (95.9% cooperation rate). Using the Alcohol Use Disorders Identification Test criteria, 23.2% of students reported hazardous or harmful use and 67.2% of students reported consuming alcohol at hazardous levels during the past year. Students who were male (37.0%), single (25.3%), and attended the main campus (26.2%) were more likely than their counterparts to report hazardous or harmful alcohol use. Pharmacy students reported social motives as the most common reason for drinking; however, coping and enhancement motives were more predictive of harmful or hazardous alcohol use. CONCLUSION: Approximately 1 in 4 pharmacy students (23%) reported hazardous or harmful alcohol use. Education about the dangers of alcohol abuse and intervention programs from colleges and schools of pharmacy are recommended to help address this issue.</t>
  </si>
  <si>
    <t>J2: Am J Pharm Educ; Oliver, Wesley McGuffey, Grant Westrick, Salisa C Jungnickel, Paul W Correia, Christopher J; ID: 69</t>
  </si>
  <si>
    <t>Oliver,Wesley. Harrison School of Pharmacy, Auburn University, Auburn, Alabama. McGuffey,Grant. Harrison School of Pharmacy, Auburn University, Auburn, Alabama. Westrick,Salisa C. Harrison School of Pharmacy, Auburn University, Auburn, Alabama. Jungnickel,Paul W. Harrison School of Pharmacy, Auburn University, Auburn, Alabama. Correia,Christopher J. Department of Psychology, Auburn University, Auburn, Alabama.</t>
  </si>
  <si>
    <t>http://ovidsp.ovid.com/ovidweb.cgi?T=JS&amp;CSC=Y&amp;NEWS=N&amp;PAGE=fulltext&amp;D=medl&amp;AN=24672063</t>
  </si>
  <si>
    <t>http://dx.doi.org/10.5688/ajpe78230</t>
  </si>
  <si>
    <t>MEDLINE; Ovid Technologies; Alcohol use behaviors among pharmacy students</t>
  </si>
  <si>
    <t>Olivier,B.;Mos,J.;van Oorschot,R.</t>
  </si>
  <si>
    <t>Maternal aggression in rats: effects of chlordiazepoxide and fluprazine</t>
  </si>
  <si>
    <t>*Aggression/de Drug Effects];Animals;*Chlordiazepoxide/pd Pharmacology];Escape Reaction/de Drug Effects];Exploratory Behavior/de Drug Effects];Female;Humans;Male;*Maternal Behavior/de Drug Effects];Models, Psychological;*Piperazines/pd Pharmacology];*Psychotropic Drugs/pd Pharmacology];Rats;Sex Factors;Social Behavior;0 (Piperazines);0 (Psychotropic Drugs);6RZ6XEZ3CR (Chlordiazepoxide);713BBL6840 (fluprazine)</t>
  </si>
  <si>
    <t>Although maternal aggression in rats is confined to a restricted post-partum period, the high and stable aggression level and the constancy of its behavioural structure make it an attractive experimental procedure for studying the behavioural effects of psychotropic drugs. Female rats were tested against naive male intruder rats for 5 or 10 min on post-partum days 3-9, during which aggression is stable. Chlordiazepoxide (CDP; 5, 10 and 20 mg/kg, orally) had a biphasic effect on aggression; it increased aggression considerably at 5 and (to a lesser extent) at 10 mg/kg. At 20 mg/kg aggression returned to control level. CDP shortened the latency to the first attack at 5 mg/kg, but not at higher dosages. CDP enhanced aggression, particularly in the first 2 min of an encounter. It did not change the structure of the aggressive behaviour, but did induce a dose-dependent increase in feeding. Fluprazine (Flu; 5, 10 and 20 mg/kg IP), a specific antiaggressive (serenic) drug, induced a dose-dependent decrease in aggression and exerted its largest effect in the first 2 min of an encounter. In accordance with the reduced aggression, latencies to the first attack increased. Maternal aggression in rats represents an extension to other (male) aggression paradigms in psychopharmacology. First, it has no male counterpart. Secondly, the hormonal mechanisms underlying this behaviour differ from those of male aggression. Thirdly, the morphology of maternal aggression is different from that shown in male models of agonistic behaviour (e.g. resident-intruder). These features make maternal aggression an attractive paradigm for pharmacological studies of female behaviour.</t>
  </si>
  <si>
    <t>J2: Psychopharmacology (Berl); Olivier, B Mos, J van Oorschot, R; ID: 703</t>
  </si>
  <si>
    <t>http://ovidsp.ovid.com/ovidweb.cgi?T=JS&amp;CSC=Y&amp;NEWS=N&amp;PAGE=fulltext&amp;D=med2&amp;AN=3927368</t>
  </si>
  <si>
    <t>MEDLINE; Ovid Technologies; Maternal aggression in rats: effects of chlordiazepoxide and fluprazine</t>
  </si>
  <si>
    <t>Olsen,Y.;Daumit,G. L.</t>
  </si>
  <si>
    <t>Opioid prescribing for chronic nonmalignant pain in primary care: challenges and solutions</t>
  </si>
  <si>
    <t>Advances in Psychosomatic Medicine</t>
  </si>
  <si>
    <t>Adv.Psychosom.Med.</t>
  </si>
  <si>
    <t>*Analgesics, Opioid/tu Therapeutic Use];Chronic Disease;Criminal Law/lj Legislation &amp; Jurisprudence];*Drug Prescriptions;Florida;Humans;*Pain/dt Drug Therapy];*Primary Health Care;United States;0 (Analgesics, Opioid)</t>
  </si>
  <si>
    <t>Evaluating and treating patients with chronic nonmalignant pain, especially with opioid medications, often causes discomfort on the part of primary care physicians. A number of patient-, physician-, and system-related issues converge to make treating chronic pain a complex matter. Patient-related issues include an inability to define a clear anatomic cause for patients' pain, comorbid psychiatric conditions, and past and current substance abuse. Physicians lack training on the appropriate evaluation and treatment of chronic nonmalignant pain, fear creating addicts, and often face intense pharmaceutical industry pressure to prescribe medications. A paucity of practical clinical practice guidelines, controversy over the effectiveness of opioids on chronic nonmalignant pain, and concern about potential legal and regulatory ramifications add to the complexity of caring for these patients. Possible multifaceted solutions exist to minimize provider discomfort and improve their ability to treat patients appropriately. Examples include comprehensive, practical multidimensional guidelines on the evaluation and treatment of chronic nonmalignant pain, Web-based teleconferenced consultations with subspecialists, reduced pharmaceutical pressure, enhanced continuing medical education and pregraduate training, multispecialty coordinated care of patients with adequate reimbursement for such care, and physician access to state-based systems to track opioid prescriptions. References: 54]</t>
  </si>
  <si>
    <t>J2: Adv Psychosom Med; Olsen, Yngvild Daumit, Gail L; ID: 474</t>
  </si>
  <si>
    <t>0065-3268</t>
  </si>
  <si>
    <t>Olsen,Yngvild. Division of General Internal Medicine, Department of Medicine, Johns Hopkins University School of Medicine, Baltimore, Md. 21287, USA. yolsen@jhsph.edu</t>
  </si>
  <si>
    <t>http://ovidsp.ovid.com/ovidweb.cgi?T=JS&amp;CSC=Y&amp;NEWS=N&amp;PAGE=fulltext&amp;D=med5&amp;AN=15248372</t>
  </si>
  <si>
    <t>MEDLINE; Ovid Technologies; Opioid prescribing for chronic nonmalignant pain in primary care: challenges and solutions</t>
  </si>
  <si>
    <t>Olson,L.;Adams,D.;Jacobs,S.;O'Connell,M.;Mendez,J.;Bowers,C.;Smith,G.;Bugdalski-Stutrud,C.;Author,Addresses;Wayne,State University;States;Correspondence,Address;Olson, Wayne State University United States Email ci wayne edu,L.</t>
  </si>
  <si>
    <t>Older adult satisfaction with third-year student pharmacists during a community introductory pharmacy practice experience at an interprofessional older adult home visit</t>
  </si>
  <si>
    <t>e57</t>
  </si>
  <si>
    <t>adult;community;human;pharmacist;pharmacy;professional practice;satisfaction;student;drug therapy;female;health;health care;hospital department;institutional review;interview;medication therapy management;patient;physician;professionalism;quality of life;scientist;statistics</t>
  </si>
  <si>
    <t>Objective: The purpose of this investigation is to determine older adult satisfaction with the medication therapy management (MTM) assignment of the Interprofessional Older Adult Home Visit, which is a component of the third-year (P3) community introductory pharmacy practice experiences (IPPE). Methods: P3 student pharmacists performed MTM reviews with older adults over two visits. During visit 1, P3s obtained a comprehensive medication history from the older adult. P3s identified and resolved drug-related problems (DRP), created medication calendars, and finalized the recommendation patient letter with a pharmacy preceptor; on visit 2, P3s explained the materials to the older adult. A satisfaction survey was created after reviewing other pharmacy service satisfaction surveys. The survey covered P3 professionalism, recommendation quality, reasons older adults could not implement the recommendations, and demographics. Student researchers gave the older adults the survey during an interview to find out the older adults' acceptance level of the students' recommendations. Institutional review board approval was granted. Descriptive statistics were used to summarize data. Results: Response rate was 56% (35/62). The older adults were 76.7 ‚î¨‚ñí 6.5 years old (range 68-94 years) with 70% women, 63% white, and 31% black. All older adults thought the student pharmacists were professional, competent, and showed genuine interest in their health and were satisfied with the MTM review. The older adults felt the MTM review improved health (91%), quality of life (80%), and medication knowledge (97%); and decreased medication costs (53%). All of the recommendations were implemented by 37% of the older adults. The main reasons for not implementing recommendations were no physician visit pending (18%) and physician did not agree for reasons unknown (18%). Seventy-seven percent of the older adults reported that they would like a student pharmacist on their health care team. Conclusion: Older adults found value and health benefits from student pharmacists' MTM recommendations.</t>
  </si>
  <si>
    <t>(Olson L., ci8846@wayne.edu; Adams D.; Jacobs S.; O'Connell M.; Mendez J.; Bowers C.; Smith G.; Bugdalski-Stutrud C.) APhA2013 Los Angeles, CA, United States 2013-03-01 to 2013-03-04 American Pharmacists Association; ID: 1071</t>
  </si>
  <si>
    <t>Olson,L.;Jacobs,S.;Adams,D.;Bugdalski-Stutrud,C.;Mendez,J.;Bowers,C.;Smith,G.;O'Connell,M.;Author,Addresses;Wayne,State University;States;Correspondence,Address;Olson, Wayne State University United States Email ci wayne edu,L.</t>
  </si>
  <si>
    <t>Implementation of medication therapy management recommendations made by third-year student pharmacists during community introductory pharmacy practice experiences post interprofessional team home visits for older adults</t>
  </si>
  <si>
    <t>e56</t>
  </si>
  <si>
    <t>non prescription drug;prescription drug;adult;community;human;medication therapy management;pharmacist;pharmacy;professional practice;student;drug therapy;health;immunization;institutional review;interview;lifestyle;medical student;medication compliance;monitoring;nonparametric test;patient;patient education;pharmaceutical care;physician;publication;social work student</t>
  </si>
  <si>
    <t>Objective: The objective of this study was to quantify implementation of medication therapy management recommendations made by third-year student pharmacists (P3s) for older adults. Methods: P3s conducted medication history reviews for older adults during interprofessional team visits; in addition to the P3, the team included a secondyear medical student and a social work student. Visits were conducted in the patients' homes or other location specified by patients. During the initial visits with patients, P3s identified drug-related problems (DRP). The DRP recommendations, medication calendar, and medication recommendation letter were finalized with a pharmacy preceptor. During a second solo visit, P3s explained the materials to the older adult. Later, student investigators contacted the older adult participants to schedule interviews. Student investigators captured implementation data for each DRP recommendation. Each DRP was assigned a pharmaceutical care category, product type, and therapeutic class (based on American Hospital Formulary Service categories). Each older adult received a $10 gift card for participating. Nonparametric statistics were used to summarize data. The institutional review board approved this research. Results: The 35 older adult participants were 65 to 94 years of age. Many of the older adults (57%) discussed the DRP recommendations with their physician. The older adults implemented 60% of the 365 recommendations (9 ‚î¨‚ñí 6.4 average number of recommendations per participant range 2-38]). Recommendation implementation rates by DRP pharmaceutical care category were 85% of medication adherence issues (49/58), 80% of lifestyle management (48/60), 67% of patient education (12/18), 58% of monitoring (42/72), 52% of cost-lowering strategies (11/21), 46% of benefit/adverse drug reactions (41/90), and 33% of immunizations (15/45). The highest rate of DRP implementation by medication type was with nutritional supplements (74%, 17/23), followed by prescription drugs (62%, 80/130), and over-the-counter drugs (55%, 12/22). Implementation of nondrug recommendations was 66% (93/141). Conclusion: Student pharmacists contributed to the health of older adults by identifying and recommending solutions to DRPs. The older adults found value in the recommendations as shown by a relatively high implementation rate (60%).</t>
  </si>
  <si>
    <t>(Olson L., ci8846@wayne.edu; Jacobs S.; Adams D.; Bugdalski-Stutrud C.; Mendez J.; Bowers C.; Smith G.; O'Connell M.) APhA2013 Los Angeles, CA, United States 2013-03-01 to 2013-03-04 American Pharmacists Association; ID: 1070</t>
  </si>
  <si>
    <t>Olson,L. M.;Desai,S.;Soto,M. L.;Namazifard,S.;Quelland,A. K.;Erstad,B. L.;Author,Addresses;University of Arizona, College of,Pharmacy E.;Street,Tucson A. Z. United States;Department of Critical Care, Advocate Christ,Medical Center;Oak Lawn,I.L.United States;United States,H.Lee Moffitt Cancer Center, Tampa F.L.;El Rio Disease State Mgmt Program, Tucson,A.Z.United States;University,Medical Center;States;Dept. of,Pharmacy;Practice/Science, College of Pharmacy University of Arizona,Tucson A.;United,States;Correspondence,Address;BL Erstad, Dept of Pharmacy Practice Science College,of Pharmacy;University of Arizona, E Mabel Street,Tucson A.;States Email, erstad pharmacy,arizona edu</t>
  </si>
  <si>
    <t>Evaluation of pharmacists' interventions at a university teaching hospital</t>
  </si>
  <si>
    <t>hospital pharmacy;pharmaceutical care;article;clinical pharmacy;cost benefit analysis;cost control;disease severity;drug dose regimen;drug information;drug overdose;drug safety;economic evaluation;health economics;hospital personnel;human;information processing;medical documentation;patient care;pilot study;retrospective study;teaching hospital;treatment planning;university hospital;Public Health, Social Medicine and Epidemiology (17);Health Policy, Economics and Management (36)</t>
  </si>
  <si>
    <t>Objectives: The primary purpose of this pilot study was to help justify the positions of clinical pharmacists by identifying and describing the interventions most likely to have the greatest impact on patient care in terms of severity of medication-related problems and associated costs. A secondary objective was to identify potential problems related to data collection and cost estimation, to allow appropriate changes in documentation procedures for future data collection. Methods: All clinical interventions by staff pharmacists reported at a university medical centre during the period September to November 2001 were analyzed retrospectively. The focus was on interventions that prevented adverse drug events (described as very serious and serious on documentation forms). The cost impact was analyzed in terms of cost savings attained by shortening a planned course of drug therapy and cost avoidance achieved by avoiding adverse drug events. Results: Five pharmacists reported a total of 47 interventions. Approximately twice as many of the avoided adverse drug events were deemed serious as were deemed very serious. A substantial proportion of the interventions (21 45%]) took approximately 15 to 30 min to perform. Order clarification and corrections and provision of drug information accounted for the most interventions (17 36%] and 15 32%], respectively). Approximately 60% of all interventions were classified as subtherapeutic dosing (10 21%]), untreated disease states (6 13%]), potential overdose (6 13%]), and failure to receive drug (5 11%]). According to published work on the cost of adverse drug events, the total cost avoidance for the 33 preventable adverse drug events reported by pharmacists in this study was US$84,631 and the cost-benefit ratio was 1.2. One of the problems noted in the economic analysis was the difficulty in assigning more specific cost figures to each of the interventions that was estimated to result in more than US$1000 in cost savings. Conclusions: Pharmacists can play an important role in preventing medication-related problems (particularly adverse drug events), and the interventions they perform are cost-beneficial.</t>
  </si>
  <si>
    <t>(Olson L.M.) (Desai S.) (Soto M.L.) (Namazifard S.; Quelland A.K.) (Erstad B.L., erstad@pharmacy.arizona.edu); ID: 1553</t>
  </si>
  <si>
    <t>Olson,P. M.;Pacheco,M. R.</t>
  </si>
  <si>
    <t>Bipolar disorder in school-age children</t>
  </si>
  <si>
    <t>*Antipsychotic Agents/tu Therapeutic Use];Bipolar Disorder/di Diagnosis];*Bipolar Disorder/dt Drug Therapy];Bipolar Disorder/ep Epidemiology];*Bipolar Disorder/nu Nursing];Bipolar Disorder/pp Physiopathology];Child;Child Behavior/px Psychology];*Child Welfare;Humans;Nursing Assessment/mt Methods];Prevalence;Psychology, Child;*School Health Services/st Standards];School Nursing/mt Methods];*School Nursing/st Standards];United States/ep Epidemiology];0 (Antipsychotic Agents)</t>
  </si>
  <si>
    <t>This article examines the individual components of bipolar disorder in children and the behaviors that can escalate as a result of misdiagnosis and treatment. The brain/behavior relationship in bipolar disorders can be affected by genetics, developmental failure, or environmental influences, which can cause an onset of dramatic mood swings and dysfunctional behavior. School is often the site where mental health disorders are observed when comparing behaviors with other children. Assessing the emotional, academic, and health needs of a student with a bipolar disorder is a critical step in designing effective interventions and school accommodations. Without appropriate medical, psychological, pharmaceutical, and academic interventions, a child is at risk for uncontrolled mania, depression, substance abuse, or suicide. The school nurse is part of the multidisciplinary team and plays a key role in facilitating case management to potentially reverse this possible negative trajectory. Successful case management provides children with bipolar disorder the opportunity to reach their academic potential. References: 26]</t>
  </si>
  <si>
    <t>J2: J Sch Nurs; Olson, Patricia M Pacheco, Mary Rae; ID: 452</t>
  </si>
  <si>
    <t>Olson,Patricia M. Nova Southeastern University, Ft. Lauderdale, FL, USA.</t>
  </si>
  <si>
    <t>http://ovidsp.ovid.com/ovidweb.cgi?T=JS&amp;CSC=Y&amp;NEWS=N&amp;PAGE=fulltext&amp;D=med5&amp;AN=15898850</t>
  </si>
  <si>
    <t>MEDLINE; Ovid Technologies; Bipolar disorder in school-age children</t>
  </si>
  <si>
    <t>Olsson,J.;Bergman,A.;Carlsten,A.;Oke,T.;Bernsten,C.;Schmidt,I. K.;Fastbom,J.</t>
  </si>
  <si>
    <t>Quality of drug prescribing in elderly people in nursing homes and special care units for dementia: a cross-sectional computerized pharmacy register analysis</t>
  </si>
  <si>
    <t>Age Factors;Aged;Aged, 80 and over;Cross-Sectional Studies;Dementia/dt Drug Therapy];Female;Humans;Male;Nursing Homes/sn Statistics &amp; Numerical Data];*Pharmaceutical Preparations/ad Administration &amp; Dosage];Physicians/st Standards];*Physicians/sn Statistics &amp; Numerical Data];*Practice Patterns, Physicians'/st Standards];Quality Indicators, Health Care;*Quality of Health Care;Registries;Sweden;0 (Pharmaceutical Preparations)</t>
  </si>
  <si>
    <t>BACKGROUND: Drug prescribing to the elderly is extensive and often inappropriate. Furthermore, the number of drugs used is the most important risk factor for adverse drug reactions. Despite this, drug prescribing in the elderly in Sweden is high and increasing. In 2003 the Swedish National Board of Health and Welfare launched a set of indicators to evaluate the quality of drug therapy in the elderly. Use of this tool in combination with the Swedish computerized national register covering all persons receiving multi-dose drug dispensing (drugs dispensed in one dose unit bag for each dose occasion) would enable detection of inappropriate drug prescribing and could help reduce the risk of drug-related problems among the elderly. OBJECTIVES: To assess the extent and quality of drug prescribing in younger and older elderly residents receiving multi-dose drug dispensing in ordinary nursing homes (NHs) and special care units for dementia (NHDs), and to evaluate the relationship between the quality of prescribing and the number of prescribers per resident, in a Swedish county. METHODS: The computerized national pharmacy drug register provided the database and a cross-sectional design was used. Selected drug-specific quality indicators proposed by the Swedish National Board of Health and Welfare in 2003 were used to assess the quality of drug prescribing. RESULTS: This study included 3705 residents. Their mean age was 85 years and 72% were women. The mean number of prescribed drugs was 10.3 per resident. The proportion of residents with prescriptions for psychotropic drugs was 80% in NHs and 85% in NHDs. The prevalence of each drug-specific quality indicator was as follows: long-acting benzodiazepines 16.4% (NHs) versus 11.7% (NHDs), anticholinergic drugs 20.7% versus 18.5%, drug duplication 14.6% versus 13.6%, three or more psychotropic drugs 25.6% versus 35.3%, class C interactions (drug combinations that may require dose adjustment) 41.9% versus 38.7% and class D interactions (drug combinations that should be avoided) 8.1% versus 5.6%. Younger elderly residents (age 65-79 years) had a lower quality of drug prescribing. An increasing number of prescribers per resident was associated with a lower quality of drug therapy. CONCLUSIONS: We found a lower quality of drug prescribing, e.g. anticholinergic drugs prescribed to approximately 20% of residents of NHs and NHDs, and a higher rate of psychotropic drug use (&gt;/=80%) compared with previous studies in NHs. Our results also demonstrated a negative correlation between quality of prescribing and number of prescribers per resident.</t>
  </si>
  <si>
    <t>J2: Clin Drug Invest; Olsson, Jonny Bergman, Asa Carlsten, Anders Oke, Thimothy Bernsten, Cecilia Schmidt, Ingrid K Fastbom, Johan; ID: 302</t>
  </si>
  <si>
    <t>1173-2563</t>
  </si>
  <si>
    <t>Olsson,Jonny. Department of Drug Safety, Medical Products Agency, Uppsala, Sweden.</t>
  </si>
  <si>
    <t>http://ovidsp.ovid.com/ovidweb.cgi?T=JS&amp;CSC=Y&amp;NEWS=N&amp;PAGE=fulltext&amp;D=med5&amp;AN=20384385</t>
  </si>
  <si>
    <t>http://dx.doi.org/10.2165/11534320-000000000-00000</t>
  </si>
  <si>
    <t>MEDLINE; Ovid Technologies; Quality of drug prescribing in elderly people in nursing homes and special care units for dementia: a cross-sectional computerized pharmacy register analysis</t>
  </si>
  <si>
    <t>O'Malley,P. A.;Author,Addresses;Center of Nursing Excellence, Miami Valley,Hospital Dayton</t>
  </si>
  <si>
    <t>23392062; Pharmacological cognitive enhancement for work, school, and play implications for life, learning, and practice</t>
  </si>
  <si>
    <t>Clinical nurse specialist CNS</t>
  </si>
  <si>
    <t>Clin.Nurse Spec.</t>
  </si>
  <si>
    <t>(MAJOR FOCUS);nootropic agent (drug administration);drug misuse;student;article;bioethics;evidence based practice;forecasting;human;learning;psychological aspect;recreation;school;work</t>
  </si>
  <si>
    <t>(O'Malley P.A.); ID: 1065</t>
  </si>
  <si>
    <t>1538-9782 (electronic)</t>
  </si>
  <si>
    <t>http://www.ncbi.nlm.nih.gov/pubmed/23392062</t>
  </si>
  <si>
    <t>Pharmacological cognitive enhancement for work, school, and play implications for life, learning, and practice</t>
  </si>
  <si>
    <t>Opdycke,R. A.;Ascione,F. J.;Shimp,L. A.;Rosen,R. I.</t>
  </si>
  <si>
    <t>A systematic approach to educating elderly patients about their medications</t>
  </si>
  <si>
    <t>*Aged;Aged, 80 and over;*Drug Therapy;Female;Humans;Male;Middle Aged;Patient Compliance;*Patient Education as Topic/mt Methods];Patient Satisfaction;Pharmacists;Self Administration</t>
  </si>
  <si>
    <t>The purpose of this study was to evaluate a pharmacist-initiated, total package, patient education program based on the concepts described in the PRECEDE model. This program was directed towards 94 therapeutically complex elderly patients and consisted of a medication history, therapeutic evaluation, patient education needs assessment, patient education session, and a patient feedback/satisfaction telephone interview. Pharmacists identified on average 5.6 medication-related problems and provided an average of 6.2 recommendations. Problems commonly identified involved inadequate drug knowledge (25.5%), noncompliance (22.7%), and inappropriate drug use (17.4%). Typical recommendations included altering drug use (35.9%), improving compliance behavior (18.1%), and improving communication with health professionals (18.1%). Patient satisfaction with the education session was overwhelmingly positive. Based on the findings of this study, it is apparent that a patient education program based on the PRECEDE model can be used successfully by pharmacists to prepare education plans that would benefit the therapeutically complex elderly patient.</t>
  </si>
  <si>
    <t>J2: Patient Educ Couns; Opdycke, R A Ascione, F J Shimp, L A Rosen, R I; ID: 647</t>
  </si>
  <si>
    <t>0738-3991</t>
  </si>
  <si>
    <t>http://ovidsp.ovid.com/ovidweb.cgi?T=JS&amp;CSC=Y&amp;NEWS=N&amp;PAGE=fulltext&amp;D=med3&amp;AN=1298948</t>
  </si>
  <si>
    <t>MEDLINE; Ovid Technologies; A systematic approach to educating elderly patients about their medications</t>
  </si>
  <si>
    <t>Oren,B.;Demirkyran,G.;Yurten,H.;Oduz,M.;Akar,Z. A.;Author,Addresses;Marmara,University;School,of Medicine;Epidemiology,Turkey;Correspondence,Address;Oren, Marmara University School of Medicine Public Health and,B.;Epidemiology,Turkey</t>
  </si>
  <si>
    <t>Prevalence of premenstrual syndrome and its relationship with menstrual status and non-menstrual stress factors in young adult females</t>
  </si>
  <si>
    <t>European journal of medical research</t>
  </si>
  <si>
    <t>Eur.J.Med.Res.</t>
  </si>
  <si>
    <t>15 SUPPL. 1</t>
  </si>
  <si>
    <t>ion;female;human;premenstrual syndrome;prevalence;scientist;student;young adult;aggressiveness;ankle;anxiety;bloating;body weight;cross-sectional study;food;health;health status;irritability;lethargy;lifestyle;logistic regression analysis;mastalgia;menstrual cycle;menstruation;mental stress;pain;pharmacy student;questionnaire;risk;school;smoking;swelling;withdrawal syndrome</t>
  </si>
  <si>
    <t>Introduction: Premenstrual syndrome (PMS) is a cluster of physical, behavioral and emotional symptoms that appear on a regular basis before the onset of menstrual bleeding. Symptoms include bloating, breast pain, ankle swelling, a sense of increase in body weight, irritability aggressiveness, depression, lethargy, and food cravings. Although the true prevalence of PMS is unknown, approximately 75% of women complain of some premenstrual symptoms. Aim: The aim of this study was to examine the relationship between menses-associated health problems of women, such as premenstrual symptoms, menstrual pain and irregular menstrual cycles, and psychosocial stress. Material and methods: A cross sectional study was conducted among school of pharmacy students who were between the age of 17 and 25, measuring psychosocial stress levels 1 week before menstrual bleeding by sums and grading of only stress part of the DASS (Depression Anxiety Stress Scala). A total of 221 female students (mean age 20.57 and plusmn;1.93 years), who were proposed to participate in the study in February 2010, completed the questionnaire, which dealt with anthropometric data, lifestyle, menstrual history, and menstrual health status. Results: Students who reported menstrual pain and students who got high stress scores had higher risk to experience of premenstrual syndrome than those who did not and who got lower stress scores respectively. Binomial logistic regression analyses were used to identify independent factors associated with having menstrual pain the experience of irregular menstrual cycles, smoking age, degree and stress score. The proportions of students who reported premenstrual symptoms, menstrual pain and the experience of irregular menstrual cycles were 72.9%, 94%, and 24%, respectively. No statistically significant relationship was determined between the presence of PMS and age, year of school, smoking status and irregular menstrual cycles. Conclus ion: Stress score and menstrual pain were significant predictors for premenstrual symptoms. The results suggest that premenstrual syndrome is independently associated with psychosocial stress and the experience of menstrual pain among school of pharmacy students implying that changes in the functional potentiality of women as a result of stress are related with changes in their menstrual function.</t>
  </si>
  <si>
    <t>(Oren B.; Demirkyran G.; Yurten H.; Oduz M.; Akar Z.A.) 21st European Students' Conference. Promising Medical Scientists Willing to Look Beyond Berlin, Germany 2010-10-13 to 2010-10-17 BioMed Central Ltd.; ID: 1328</t>
  </si>
  <si>
    <t>0949-2321</t>
  </si>
  <si>
    <t>Orme,M.;Sj‚îú‚ï¢qvist,F.;Author,Addresses;Cheltenham,United Kingdom;Stockholm,Sweden;Correspondence,Address;Orme,Cheltenham United Kingdom,M.</t>
  </si>
  <si>
    <t>European clinical pharmacology: Challenges for the future</t>
  </si>
  <si>
    <t>clinical pharmacology;therapy;adverse drug reaction;competence;developing country;drug interaction;drug utilization;health care;hospitalization;human;medical education;medicine;physician;questionnaire;teaching</t>
  </si>
  <si>
    <t>We have had the task to collect and edit the contributions to the IUPHAR position paper 'Clinical Pharmacology in Research, Teaching and Health Care' (Basic &amp; Clinical Pharmacol. &amp; Toxicol. 107, 531-559, 2010). Since July 2010 this paper is under further editorial work aiming to adapt it to the needs of developing countries. We have encouraged clinical pharmacologists worldwide to submit their opinions about the IUPHAR recommendations. During this lengthy editorial process we have encountered several obstacles that have interfered with the development of the discipline, particularly in health care. 1 In many European countries clinical pharmacology is not yet a recognized medical specialty which effectively prevents young physicians from entering the discipline. 2 As a result of this other professional groups who lack medical training are considered by themselves and by decision makers in medicine to be clinical pharmacologists. 3 We have therefore made a very clear distinction in the position paper between the interdisciplinary science of clinical pharmacology and the medical specialty of clinical pharmacology, which in contrast to the former requires medical competence of its practitioners. 4 In many countries the roles for clinical pharmacology in health care are vaguely defined. This is a paradox in view of the fact that drug related problems (therapeutic failure, adverse drug reactions, drug interactions, irrational drug utilization) are an increasing indication for hospitalization. 5 As a consequence there is an alarming shortage of positions for clinical pharmacologists in European health care. 6 The academic positions in clinical pharmacology are seldom combined with defined functions in health care as they should be. We recommend that EACPT prioritizes measures that attempt to correct these deficiencies in the infrastructure of our discipline. We intend to map out these problems through a questionnaire sent to the national representatives in EACPT.</t>
  </si>
  <si>
    <t>(Orme M.; Sj‚îú‚ï¢qvist F.) 10th Congress of the European Association for Clinical Pharmacology and Therapeutics Budapest, Hungary 2011-06-26 to 2011-06-29 Blackwell Publishing Ltd; ID: 1263</t>
  </si>
  <si>
    <t>Oruch,R.;Elderbi,M. A.;Khattab,H. A.;Pryme,I. F.;Lund,A.</t>
  </si>
  <si>
    <t>Lithium: a review of pharmacology, clinical uses, and toxicity</t>
  </si>
  <si>
    <t>European journal of pharmacology</t>
  </si>
  <si>
    <t>Eur.J.Pharmacol.</t>
  </si>
  <si>
    <t>Animals;Antimanic Agents/ae Adverse Effects];Antimanic Agents/pk Pharmacokinetics];Antimanic Agents/pd Pharmacology];Antimanic Agents/tu Therapeutic Use];*Antimanic Agents;Bipolar Disorder/dt Drug Therapy];Breast Feeding;Drug Overdose;Female;Humans;Lithium Compounds/ae Adverse Effects];Lithium Compounds/pk Pharmacokinetics];Lithium Compounds/pd Pharmacology];Lithium Compounds/tu Therapeutic Use];*Lithium Compounds;Pregnancy;0 (Antimanic Agents);0 (Lithium Compounds)</t>
  </si>
  <si>
    <t>A radical drug treatment for bipolar affective disorder (BD) is currently unavailable. This is attributed to the fact that the precise pathophysiology of this ailment is unclear though a genetic factor is an essential element in etiology. Dissimilar to other serious psychiatric categories such as psychoses and major depression the forecast of this disease is unpredictable. There is a high suicidal risk among BD affected individuals. In this review we will consider lithium, the drug of choice in treatment of this disorder with special emphasis on pharmacology and toxicity. We have also elucidated the alternatives to lithium, since it has a wide spectrum of side-effects. Lithium is known to interact with many types of drugs used to treat different ailments in humans. This could cause either augmentation or minimization of the therapeutic action, causing secondary undesired effects of the agent. This necessitates a search for other alternatives and/or different combinations to lithium in order to decrease the range of unwanted effects for which it has received discredit. These alternatives should be potent mood stabilizers as monotherapy so as to avoid polypharmacy. If not, one should find the best combination of drugs (synergistic agents) such that the lithium dose can be minimized, thereby securing a more potent drug therapy. This study also focuses on the provision of instruction to psychiatric care givers, such as junior doctors in residency, nurses in psychiatric units, psychiatric emergency personnel and, additionally, medical and pharmacy students. Copyright ‚î¨‚åê 2014 Elsevier B.V. All rights reserved.</t>
  </si>
  <si>
    <t>J2: Eur J Pharmacol; Oruch, Ramadhan Elderbi, Mahmoud A Khattab, Hassan A Pryme, Ian F Lund, Anders S0014-2999(14)00493-2; ID: 26</t>
  </si>
  <si>
    <t>1879-0712</t>
  </si>
  <si>
    <t>Oruch,Ramadhan. Department of Pharmacology and Toxicology, School of Pharmacy, Benghazi University, Postbox: 5341, Benghazi, Libya. Electronic address: oruchr@gmail.com. Elderbi,Mahmoud A. Department of Pharmacology and Toxicology, School of Pharmacy, Benghazi University, Postbox: 5341, Benghazi, Libya. Khattab,Hassan A. Department of Pharmaceutical Chemistry, School of Pharmacy, Benghazi University, Benghazi, Libya. Pryme,Ian F. Department of Biomedicine, University of Bergen, Bergen, Norway. Lund,Anders. MoodNet Research Group, Psychiatric Clinic, Haukeland University Hospital, University of Bergen, Bergen, Norway.</t>
  </si>
  <si>
    <t>http://ovidsp.ovid.com/ovidweb.cgi?T=JS&amp;CSC=Y&amp;NEWS=N&amp;PAGE=fulltext&amp;D=medl&amp;AN=24991789</t>
  </si>
  <si>
    <t>http://dx.doi.org/10.1016/j.ejphar.2014.06.042</t>
  </si>
  <si>
    <t>MEDLINE; Ovid Technologies; Lithium: a review of pharmacology, clinical uses, and toxicity</t>
  </si>
  <si>
    <t>Oshikoya,K. A.;Senbanjo,I. O.</t>
  </si>
  <si>
    <t>Providing safe medicines for children in Nigeria: The impediments and remedies</t>
  </si>
  <si>
    <t>Annals of African Medicine</t>
  </si>
  <si>
    <t>Child;*Drug Information Services;Drug-Related Side Effects and Adverse Reactions;Evidence-Based Medicine;Humans;Nigeria;*Pediatrics;Pharmaceutical Preparations/st Standards];*Pharmaceutical Preparations;*Pharmacology, Clinical/ed Education];*Practice Patterns, Physicians';0 (Pharmaceutical Preparations)</t>
  </si>
  <si>
    <t>Promoting safety of medicines for children is a global concern which has prompted the World Health Organization (WHO) to launch a campaign of "Making Medicines Child Size". Children in Nigeria were once victims of unethical clinical medicine trials and repeated victims of use of fake and adulterated medicines. Considering the magnitude of harms children had suffered in Nigeria from the use of medicines, there is a need for literature review to identify the factors preventing children from accessing safe medicines and to suggest remedies to the problems. Lack of access to up- to- date medicine information, lack of training and research in pediatric clinical pharmacology, deficiencies in undergraduate and postgraduate teaching of medicine risk management and clinical pharmacology and therapeutics, irrational medicine use due to lack of pediatric focus on essential medicine list and inappropriate home storage of medicines by parents, lack of evidence- based medicine (EBM) practice, lack of national adverse drug reaction surveillance among children, and weak national drug policies were the major problems identified. It is to be hoped that development and provision of a pediatric national drug formulary for health professionals in Nigeria, creating a comprehensive national pediatric drug research network in collaborations with developed countries, reviewing the undergraduate and postgraduate curriculum in pediatrics to include teaching of basic elements of rational prescribing, drug dose calculations, adverse drug reactions and pharmacovigilance, increasing access to essential medicines for children, postgraduate teaching of EBM, and strengthening of the national drug policies would improve children's access to safe medicines in Nigeria.</t>
  </si>
  <si>
    <t>J2: Ann Afr Med; Oshikoya, K A Senbanjo, I O; ID: 282</t>
  </si>
  <si>
    <t>0975-5764</t>
  </si>
  <si>
    <t>Oshikoya,K A. Pharmacology Department, Lagos State University College of Medicine, Lagos State University Teaching Hospital, Ikeja, Lagos, Nigeria. med_modhospital@yahoo.com</t>
  </si>
  <si>
    <t>http://ovidsp.ovid.com/ovidweb.cgi?T=JS&amp;CSC=Y&amp;NEWS=N&amp;PAGE=fulltext&amp;D=med5&amp;AN=20935418</t>
  </si>
  <si>
    <t>http://dx.doi.org/10.4103/1596-3519.70954</t>
  </si>
  <si>
    <t>MEDLINE; Ovid Technologies; Providing safe medicines for children in Nigeria: The impediments and remedies</t>
  </si>
  <si>
    <t>Ostrovskaya,O.;Asatryan,L.;Popova,M.;Li,K. X.;Alkana,R. L.;Davies,D. L.;Author,Addresses;School of Pharmacy, University of Southern California Los,Angeles United;States;Zonal Ave, P S C Los Angeles,United States;Correspondence,Address;Ostrovskaya, School of Pharmacy University of Southern California Los,O.;Angeles,United States</t>
  </si>
  <si>
    <t>Kinetic properties of ATP-gated currents modulated by ethanol in wildtype and mutant P2X4 receptors using whole-cell patch clamp</t>
  </si>
  <si>
    <t>(MAJOR FOCUS);adenosine triphosphate;alcohol;receptor;ion channel;alcoholism;mutant;patch clamp technique;society;United States;whole cell;oocyte;pharmacy;school;Xenopus</t>
  </si>
  <si>
    <t>P2X receptors (P2XRs) are ion channels gated by synaptically released ATP. Previous work demonstrates that ethanol inhibits P2X4R currents expressed in Xenopus oocytes. However, little is known regarding how ethanol causes inhibition of ATP-gated currents in P2X4Rs. We begin to address this issue by investigating the effects of ethanol in WT and mutant P2X4Rs expressed in HEK293 cells using whole-cell patch clamp. In agreement with previous oocyte studies, ethanol (100 mM) significantly inhibited ATP (3 ‚ï¨‚ïùM) gated currents in WT P2X4Rs (residual current was 67.6‚î¨‚ñí1.5% of control). Ethanol inhibition of ATP-gated currents was rapid with rates comparable to the rates of solution exchange (Œì√™‚ïù10 ms). Moreover, the action of ethanol occurred simultaneously with ATP. We found that treatment with ethanol prior to application of ethanol/ATP did not significantly affect ethanol action. Also, ethanol applied in the absence of ATP did not significantly alter baseline current. Finally, preapplication of ethanol followed by ATP alone did not significantly affect ATP-gated currents compared to control currents. These results suggest that ethanol inhibits ATP-gated currents by acting as an open channel blocker. The rapid rate of ethanol action, taken together with the characteristics of ethanol acting as an open channel blocker suggest that the site of ethanol action is located near the channel pore. This latter contention is supported by previous oocyte studies which identified specific residues in P2X4Rs (Trp46, Asp331 and Met336) at the ectodomain-transmembrane domain interfaces that when mutated significantly reduced the action of ethanol. Using patch clamp we next tested the effects of ethanol (100mM) on the mutant D331A and M336A P2X4Rs. We found that control ATP (3 ‚ï¨‚ïùM)-induced currents measured in both mutant receptors exhibited a slower rate of deactivation (tau off =977.8 ‚î¨‚ñí 126.4 and 772.1 ‚î¨‚ñí 235.6 correspondingly) compared to WT (tau off = 217.1 ‚î¨‚ñí 3.3). In addition, we found that the magnitude of ethanol inhibition of ATP-activated currents was significantly reduced in both mutants D331A and M336A (residual currents were 88.0‚î¨‚ñí3.4% and 84.5‚î¨‚ñí2.2% correspondingly). The reduction in magnitude of ethanol inhibition was similar to that reported in oocytes. Overall, the results begin to shed light on the mechanism of ethanol action of ATP-gated currents in P2X4Rs. Support: NIAAA/NIH AA013922, AA03972, AA017243 and USC School of Pharmacy.</t>
  </si>
  <si>
    <t>(Ostrovskaya O.; Asatryan L.; Popova M.; Li K.-X.; Alkana R.L.; Davies D.L.) Texas Research Society On Alcoholism - 19th Annual Scientific Meeting San Antonio, TX, United States 2009-02-20 to 2009-02-20 Blackwell Publishing Ltd; ID: 1433</t>
  </si>
  <si>
    <t>Otoom,S. A.;Sequeira,R. P.</t>
  </si>
  <si>
    <t>Health care providers' perceptions of the problems and causes of irrational use of drugs in two Middle East countries</t>
  </si>
  <si>
    <t>Anti-Bacterial Agents/ad Administration &amp; Dosage];Antidiarrheals/ad Administration &amp; Dosage];*Attitude of Health Personnel;Drug Prescriptions/st Standards];*Drug Therapy/st Standards];Drug Utilization;*Health Services Misuse;Humans;Jordan;Syria;0 (Anti-Bacterial Agents);0 (Antidiarrheals)</t>
  </si>
  <si>
    <t>It is now evident that both developed and developing countries are experiencing many aspects of inappropriate use of drugs in their health care facilities. This is the first study in the region performed to examine the most common problems of irrational use of drugs and their causes in two Middle East countries--Jordan and Syria. Ninety senior participants from Jordan (50-15 physicians and 35 pharmacists) and Syria (40-12 physicians and 28 pharmacists) were enrolled in this study. The participants were asked to fill two questionnaires that deal with the problems and causes of irrational use of drugs in their country. Additionally, the participants were asked to perform a prescription analysis using WHO prescribing indicators on 40 prescriptions taken randomly from a comprehensive health centre in their country. The main drug use problems identified in the two countries were almost the same, but they vary in the percentage of occurrence and include excessive use of antibiotics and antidiarrhoeals, overprescribing of nonsteroidal anti-inflammatory drugs, prescribing by tradename, excessive use of antibiotics to treat minor upper respiratory infections and self-medication by the public. The main causes of irrational use of drugs were poor medical records, lack of patient education about illnesses and drugs, no family doctor system, lack of standard treatment guidelines and lack of continuing medical education for doctors and pharmacists. The results of this study are important for decision-makers to utilise when putting policies and strategies to improve the use of drugs in both countries.</t>
  </si>
  <si>
    <t>J2: Int J Clin Pract; Otoom, S A Sequeira, R P; ID: 429</t>
  </si>
  <si>
    <t>1368-5031</t>
  </si>
  <si>
    <t>Otoom,S A. Department of Pharmacology and Therapeutics, Faculty of Medicine, Arabian Gulf University, Manama, Bahrain. sotoom@rcsi-mub.com</t>
  </si>
  <si>
    <t>http://ovidsp.ovid.com/ovidweb.cgi?T=JS&amp;CSC=Y&amp;NEWS=N&amp;PAGE=fulltext&amp;D=med5&amp;AN=16700856</t>
  </si>
  <si>
    <t>MEDLINE; Ovid Technologies; Health care providers' perceptions of the problems and causes of irrational use of drugs in two Middle East countries</t>
  </si>
  <si>
    <t>Otremba,S.;Turner,P.;Author,Addresses;Wayne,State University;of,Pharmacy;Health Sciences,United States;Correspondence,Address;Otremba, Wayne State University College of Pharmacy,S.;Health,Sciences;United States Email, sotremba,gmail com</t>
  </si>
  <si>
    <t>Necessary, effective, and affordable therapy (Neat): The impact of student pharmacists and preceptors on patient health outcomes</t>
  </si>
  <si>
    <t>health;human;patient;pharmacist;student;therapy;community;cost control;counseling;diabetes mellitus;diet;drug therapy;education;exercise;lifestyle;lifestyle modification;patient compliance;physician;questionnaire;recording;smoking cessation</t>
  </si>
  <si>
    <t>Objective: To assess the impact of student pharmacist interventions and recommendations on patient health outcomes, including drug-related problems (DRPs), disease state knowledge, adherence, lifestyle modifications, and medication affordability. Methods: This study is a retrospective analysis of MTM-like sessions conducted by P4 student pharmacists and preceptors with patients that had multiple disease states and used multiple medications. From 2007 to 2009, P4 students, as part of a course requirement, conducted medication review sessions with patients at their community experiential sites. Sessions included the recording of medication histories and the providing of counseling and education. One goal was to increase comfort with student pharmacists among patients. Students received orientation at the beginning of the general community rotation and were given standardized documents to use during sessions with patients. Students identified patients' medication compliance through the use of a questionnaire. Medication affordability and knowledge, lifestyle attitudes, and disease state knowledge were assessed. The P4 student pharmacists identified DRPs through the medication history-gathering session and made written recommendations to the patient for presentation to the physician. Patient-specific data and the results of the counseling sessions were recorded and compiled. Results: The student pharmacists obtained a total of 97 medication histories from patients, 46 of whom had type 2 diabetes. The students identified 141 DRPs; provided lifestyle modification counseling in 139 cases, which included counseling on smoking cessation, diet, and exercise; and provided cumulative potential costsavings to the patients of $11,339.99. Conclusion: The intervention of student pharmacists and their preceptors in MTM-like sessions increased patient knowledge with regard to medications, disease states, and the importance of compliance. Student pharmacists helped to improve patient health outcomes by identifying and eliminating DRPs and they identified significant potential cost-savings for the patient.</t>
  </si>
  <si>
    <t>(Otremba S., sotremba@gmail.com; Turner P.) APhA2010 Washington, DC, United States 2010-03-12 to 2010-03-15 American Pharmacists Association; ID: 1390</t>
  </si>
  <si>
    <t>Paice,J. A.</t>
  </si>
  <si>
    <t>Pharmacokinetics, pharmacodynamics, and pharmacogenomics of opioids</t>
  </si>
  <si>
    <t>Pain Management Nursing</t>
  </si>
  <si>
    <t>5 1p</t>
  </si>
  <si>
    <t>Analgesics, Opioid -- Pharmacodynamics;Analgesics, Opioid -- Pharmacokinetics</t>
  </si>
  <si>
    <t>Of late, the realization that unrelieved pain continues to be a prevalent problem despite the availability of effective analgesic agents has encouraged a movement toward establishing a balance between the prevention of drug misuse, abuse, and diversion, and the provision of adequate pain control. In this and other publications, opioids have been acknowledged as essential medications that are necessary for the relief of chronic, pain-inducing conditions. Yet, it is still important to integrate risk management into programs of care and for clinicians to develop skills to minimize risks of misuse, abuse, and diversion of medications. Despite opioids' historical longevity and established place in the armamentarium of analgesics for control of both acute and chronic pain, recent advancements in the field war-rant reconsideration of the available data on opioids. For example, developments in pharmacogenomics research have demonstrated that the intrinsic analgesic mechanisms, pharmacokinetics, and metabolism of opioids are dictated by an individual's genetics. This has important clinical ramifications. Because each patient has a unique genetic background, analgesic regimens need to be individualized for each patient to maximize analgesic opioid effects and minimize side effects. Moreover, opioid rotation should be considered when analgesia to a particular pharmacotherapy is inadequate or induces significant adverse effects. ‚î¨‚åê 2007 by the American Society for Pain Management Nursing</t>
  </si>
  <si>
    <t>Entry Date: 20071130. Revision Date: 20150820. Publication Type: Journal Article; tables/charts. Supplement Title: Sep2007 Supplement 1. Journal Subset: Blind Peer Reviewed; Core Nursing; Editorial Board Reviewed; Expert Peer Reviewed; Nursing; Peer Reviewed; USA. Special Interest: Pain and Pain Management. NLM UID: 100890606.; ID: 1984</t>
  </si>
  <si>
    <t>1524-9042</t>
  </si>
  <si>
    <t>Cancer Pain Program, Division of Hematology-Oncology, Feinberg School of Medicine, Northwestern University, 676 North St. Clair Street, Suite 850, Chicago, IL 60611; j-paice@northwestern.edu</t>
  </si>
  <si>
    <t>http://proxy.lib.umich.edu/login?url=http://search.ebscohost.com/login.aspx?direct=true&amp;db=ccm&amp;AN=106198401&amp;site=ehost-live&amp;scope=site</t>
  </si>
  <si>
    <t>ccm; EBSCOhost; Pharmacokinetics, pharmacodynamics, and pharmacogenomics of opioids</t>
  </si>
  <si>
    <t>Palmer,R. F.</t>
  </si>
  <si>
    <t>Drug misuse and physician education</t>
  </si>
  <si>
    <t>Education, Medical;*Education, Medical, Continuing;Education, Pharmacy;Education, Pharmacy, Continuing;Humans;*Pharmacology/ed Education];*Substance-Related Disorders;*Toxicology/ed Education]</t>
  </si>
  <si>
    <t>J2: Clin Pharmacol Ther; Palmer, R F; ID: 746</t>
  </si>
  <si>
    <t>http://ovidsp.ovid.com/ovidweb.cgi?T=JS&amp;CSC=Y&amp;NEWS=N&amp;PAGE=fulltext&amp;D=med1&amp;AN=5812738</t>
  </si>
  <si>
    <t>MEDLINE; Ovid Technologies; Drug misuse and physician education</t>
  </si>
  <si>
    <t>Panos,N. G.;Tesoro,E. P.;Kim,K. S.;Mucksavage,J. J.</t>
  </si>
  <si>
    <t>Outcomes associated with transdermal nicotine replacement therapy in a neurosurgery intensive care unit</t>
  </si>
  <si>
    <t>1361 5p</t>
  </si>
  <si>
    <t>Administration, Topical;Neurosurgery;Nicotine -- Administration and Dosage;Adult;Chi Square Test;Clinical Trials;Descriptive Statistics;Female;Hemorrhage;Human;Intensive Care Units;Length of Stay;Male;Middle Age;Mortality;Pearson's Correlation Coefficient;Post Hoc Analysis;Record Review;Retrospective Design;Smoking;Stroke;T-Tests;Treatment Outcomes</t>
  </si>
  <si>
    <t>PURPOSE: The outcomes associated with transdermal nicotine replacement therapy (NRT) in a neurosurgery intensive care unit (ICU) were studied. METHODS: Data from pharmacy records, neurosurgery ICU admission logs, and computerized patient charts at the University of Illinois Medical Center at Chicago from January 2001 through August 2008 were reviewed for patients older than 18 years who were admitted to the neurosurgery ICU for neurologic insults. Patients were categorized into three groups: smokers who received transdermal NRT (n = 114), smokers who did not receive transdermal NRT (n = 113), and nonsmokers (n = 113). The primary outcome of this study was unfavorable disposition at discharge from the hospital. Secondary outcomes measured included overall mortality; lengths of hospital and neurosurgery ICU stays; and rates of subarachnoid hemorrhage (SAH) rebleeding, angiographic vasospasm, intracerebral hemorrhage rebleeding, and ischemic stroke. RESULTS: Overall, there was no difference in unfavorable discharge disposition among the three groups (p = 0.17). However, the group who received NRT had higher admission rates of SAH, smoked more cigarettes for a longer period of time, and had longer stays in the neurosurgery ICU and hospital compared with the other groups. All patients who received NRT had prolonged hospital (p = 0.014) and neurosurgery ICU (p = 0.006) stays compared with those who did not receive NRT. There were no differences in other secondary outcomes among the groups. CONCLUSION: There was no significant difference in unfavorable discharge disposition among neurosurgery ICU patients who were smokers treated with NRT, smokers not treated with NRT, and nonsmokers not treated with NRT.</t>
  </si>
  <si>
    <t>Entry Date: 20100903. Revision Date: 20150711. Publication Type: Journal Article; clinical trial; research; tables/charts. Journal Subset: Biomedical; Blind Peer Reviewed; Peer Reviewed; USA. NLM UID: 9503023. PMID: 20689126.; ID: 1961</t>
  </si>
  <si>
    <t>Department of Pharmacy Services, Loyola University Medical Center, 2160 South First Avenue, Maywood, IL 60153, USA. npanos@lumc.edu</t>
  </si>
  <si>
    <t>http://proxy.lib.umich.edu/login?url=http://search.ebscohost.com/login.aspx?direct=true&amp;db=ccm&amp;AN=105080840&amp;site=ehost-live&amp;scope=site</t>
  </si>
  <si>
    <t>10.2146/ajhp090402</t>
  </si>
  <si>
    <t>ccm; EBSCOhost; Outcomes associated with transdermal nicotine replacement therapy in a neurosurgery intensive care unit</t>
  </si>
  <si>
    <t>Panthee,S.;Panthee,B.;Shakya,S. R.;Panthee,N.;Bhandari,D. R.;Bell,J. S.</t>
  </si>
  <si>
    <t>PMC2907854; Nepalese pharmacy students' perceptions regarding mental disorders and pharmacy education</t>
  </si>
  <si>
    <t>Achievement;Adolescent;Adult;*Attitude of Health Personnel;*Education, Pharmacy;Female;Humans;Male;*Mental Disorders/px Psychology];Nepal;*Students, Pharmacy/px Psychology];Students, Pharmacy/sn Statistics &amp; Numerical Data]</t>
  </si>
  <si>
    <t>OBJECTIVE: To determine Nepalese pharmacy students' perceptions of whether mental disorders impact performance in pharmacy school. METHOD: All first- and third-year undergraduate pharmacy students (n=226) in Nepal were invited to complete a modified version of the Mental Illness Performance Scale. RESULTS: Among the 200 respondents (response rate 88.5%), 14% reported that they had a mental disorder. The majority (92%) of third-year students agreed or strongly agreed that depression would interfere with a student's academic performance. Almost half of first-year students agreed or strongly agreed that alcohol or drug abuse would be grounds for both rejecting an applicant from pharmacy school (49%) and dismissal of a student from pharmacy school (46%). CONCLUSIONS: Students perceived a high level of academic impairment associated with mental disorders, but the majority did not perceive that mental disorders were grounds for dismissal from or rejection of entry to pharmacy school. Students' attitudes may discourage them from seeking help or providing mental health support to others.</t>
  </si>
  <si>
    <t>J2: Am J Pharm Educ; Panthee, Suresh Panthee, Bimala Shakya, Sabin Raj Panthee, Nirmal Bhandari, Dhaka Ram Bell, J Simon Using Smart Source Parsing Jun 89; ID: 276</t>
  </si>
  <si>
    <t>Panthee,Suresh. Department of Pharmacy, Kathmandu University, Nepal.</t>
  </si>
  <si>
    <t>http://ovidsp.ovid.com/ovidweb.cgi?T=JS&amp;CSC=Y&amp;NEWS=N&amp;PAGE=fulltext&amp;D=med5&amp;AN=20798796</t>
  </si>
  <si>
    <t>MEDLINE; Ovid Technologies; Nepalese pharmacy students' perceptions regarding mental disorders and pharmacy education</t>
  </si>
  <si>
    <t>Parekh,B. B.;Jogiya,B. V.;Vyas,P. M.;Raut,A. A.;Vaidya,A. B.;Joshi,M. J.;Author,Addresses;School of Petroleum Technology, Pandit,Deendayal Petroleum;University,Gandhinagar India;Crystal,Growth Laboratory;of Physics, Saurashtra University,Rajkot India;Pharmacology,Icmr Advanced Centre of Reverse;Medical Research Centre, Kasturba Health Society Vile,Parle Mumbai;India</t>
  </si>
  <si>
    <t>In vitro growth inhibition study of hydroxyapatite crystals in the presence of selected herbal extract solutions</t>
  </si>
  <si>
    <t>Der Pharma Chemica</t>
  </si>
  <si>
    <t>(MAJOR FOCUS);Boerhaavia diffusa extract (drug analysis, drug comparison);Boswellia serrata extract (drug analysis, drug comparison);Commiphora wightii extract (drug analysis, drug comparison);hydroxyapatite;plant extract (drug analysis, drug comparison);Rotula aquatica extract (drug analysis, drug comparison);Tribulus terrestris extract (drug analysis, drug comparison);calcium chloride (drug comparison);plant resin;silica gel;unclassified drug;growth inhibition;article;Ayurveda;Borago;Burseraceae;Commiphora wightii;controlled study;crystal structure;drug determination;drug screening;fruit;in vitro study;particle size;plant root;Rotula aquatica;X ray diffraction;calcium chloride (10043-52-4);hydroxyapatite (1306-06-5, 51198-94-8);silica gel (63231-67-4);Clinical and Experimental Biochemistry (29);Drug Literature Index (37)</t>
  </si>
  <si>
    <t>Hydroxyapatite, is the most stable mineral found in body. Hydroxyapatite crystals were grown by the gel technique in the form of periodic Liesegang ring patterns. The size of fine crystalline hydroxyapatite was found in order of microns. The harvested crystals were characterized by Powder X- Ray Diffraction (XRD). Aqueous, alcoholic, hydro-alcoholic extracts of five herbs selected based on Reverse Pharmacology (RP) experiential data of Ayurveda were used for the growth inhibition study of hydroxyapatite crystallites. These extracts were compared with CaCl(2) (control) solution to study their effects in terms of the particle size of crystallites, the total diffusion length in the gel column, the number of rings and the spacing between two rings. The inhibition in hydroxyapatite crystal growth by the herbal extracts is reported.</t>
  </si>
  <si>
    <t>(Parekh B.B.) (Jogiya B.V.; Vyas P.M.; Joshi M.J.) (Raut A.A.; Vaidya A.B.) (West) Scholars Research Library, info@derpharmachemica.com; ID: 943</t>
  </si>
  <si>
    <t>0975-413X (electronic)</t>
  </si>
  <si>
    <t>Parimi,N.;Pinto Pereira,L. M.;Prabhakar,P.</t>
  </si>
  <si>
    <t>The general public's perceptions and use of antimicrobials in Trinidad and Tobago</t>
  </si>
  <si>
    <t>Pan American Journal of Public Health</t>
  </si>
  <si>
    <t>Adolescent;Adult;*Anti-Bacterial Agents/ad Administration &amp; Dosage];*Attitude to Health;Female;*Health Behavior;Health Education;Humans;Male;Middle Aged;Prospective Studies;*Self Medication/sn Statistics &amp; Numerical Data];Surveys and Questionnaires;Trinidad and Tobago/ep Epidemiology];0 (Anti-Bacterial Agents)</t>
  </si>
  <si>
    <t>OBJECTIVE: To determine the general public's perceptions and use of antibiotics in Trinidad and Tobago, a two-island republic in the Caribbean. METHODS: This prospective study surveyed 824 randomly selected households listed in the telephone directory, from November 1998 to January 1999. Through telephone interviews we determined knowledge about antibiotics and beliefs concerning their safety and efficacy. We studied the influence of age, gender, education, and having private health insurance on knowledge, self-medication, storing medication at home for emergency use ("hoarding"), and asking a private doctor to prescribe antibiotics ("demand prescribing"). RESULTS: For the 824 telephone calls that the interviewers completed, 753 of the households agreed to participate (91.4% response rate). Of those 753 participants, 699 of them (93%) knew the term "antibiotic," 29% (206/699) said it was a drug for bacterial infections, and 25% (170/690) had asked a doctor for an antibiotic prescription. Penicillin was correctly identified as an antibiotic across age, gender, and education categories, but 36% of respondents incorrectly said Benadryl (diphenhydramine), a common over-the-counter cough and cold formulation, was an antibiotic. Gender was not significantly associated with knowledge of antibiotic safety, with self-medication, or with hoarding antibiotics. On the other hand, completion of tertiary (university) education was significantly associated with correct knowledge of the safety of antibiotics and whether or not they could cure all infections. Of the various antimicrobials, beta-lactams were the ones that survey respondents had used most frequently in the preceding year, and 20% of antibiotics users had used multiple antibiotics in that period. In comparison to persons with private health insurance, more individuals without private health insurance said that antibiotics are safe and do not have side effects, and more of them also incorrectly called aspirin and Benadryl antibiotics. CONCLUSIONS: In Trinidad and Tobago, inappropriate use of antimicrobials results from self-medication, over-the-counter availability at the community pharmacy, prescribing on demand, and lack of regulatory control. In order to contain antibiotic abuse, both the Drug Inspectorate of the Ministry of Health and the Pharmacy Board should exert stricter control on the dispensing of antibiotics at private pharmacies. Further, education of the general public and of health care professionals on antibiotic misuse and appropriate use must be instituted, along with community-based surveillance of antimicrobial resistance trends.</t>
  </si>
  <si>
    <t>J2: Rev Panam Salud Publica; Parimi, Neeta Pinto Pereira, Lexley M Prabhakar, Parimi; ID: 518</t>
  </si>
  <si>
    <t>1020-4989</t>
  </si>
  <si>
    <t>Parimi,Neeta. Bishop Anstey High School, Port-of-Spain, Trinidad and Tobago.</t>
  </si>
  <si>
    <t>http://ovidsp.ovid.com/ovidweb.cgi?T=JS&amp;CSC=Y&amp;NEWS=N&amp;PAGE=fulltext&amp;D=med4&amp;AN=12202020</t>
  </si>
  <si>
    <t>MEDLINE; Ovid Technologies; The general public's perceptions and use of antimicrobials in Trinidad and Tobago</t>
  </si>
  <si>
    <t>Park,D.;DiPaula,B. A.;Author,Addresses;School of Pharmacy, University of,Maryland United;States;Correspondence,Address;Park, School of Pharmacy University of Maryland United States,D.</t>
  </si>
  <si>
    <t>Survey of experiential clerkship opportunity in substance dependence</t>
  </si>
  <si>
    <t>college;human;pharmacist;substance abuse;clinical pharmacy;community;drug therapy;education;hope;information processing;institutional review;learning;organization;pharmacy;pharmacy student;responsibility;school;student;United States;university</t>
  </si>
  <si>
    <t>Background: Pharmacists' knowledge and expertise in the area of substance dependence continues to be emphasized by organizations such as American Association of Clinical Pharmacy (AACP). Though community pharmacists share responsibility in cases of drug diversion, studies suggest that the majority of pharmacists lack education and training in substance use disorders, recognition of drug diversion, and drug treatment options. Objective: (1) Assess the availability of substancedependence experiential rotations offered through accredited colleges of pharmacy, (2) analyze barriers to employing such opportunity in experiential clerkship, and (3) utilize the information to augment education reform in substance dependence. Method: A 15- question, on-line survey will be e-mailed to the representatives of advanced pharmacy practice experience (APPE) programs at all currently ACPE-accredited schools of pharmacy in the United States. The data collection will focus on: school demographics, academic type of the experiential clerkship, types of clerkship sites, positions of preceptors, student learning activities, barriers to clerkship development, and methods for mitigating barriers. The data will be gathered electronically and analyzed using descriptive statistical tools. The study was reviewed and an exemption was granted by the University of Maryland Institutional Review Board. Outcome: By assessing the availability and potential barriers for development of substancedependence experiential clerkships, the authors hope to increase awareness and improve pharmacy student training in substance dependence.</t>
  </si>
  <si>
    <t>(Park D.; DiPaula B.A.) 14th Annual Meeting of the College of Psychiatric and Neurologic Pharmacists, CPNP 2011 Phoenix, AZ, United States 2011-05-01 to 2011-05-04 Sage Publications; ID: 1273</t>
  </si>
  <si>
    <t>Park,E. R.;Kleimann,S.;Pelan,J. A.;Shields,A. E.</t>
  </si>
  <si>
    <t>Anticipating clinical integration of genetically tailored tobacco dependence treatment: perspectives of primary care physicians</t>
  </si>
  <si>
    <t>Adult;Alleles;Counseling;Designer Drugs/tu Therapeutic Use];Education, Continuing;Humans;Male;*Nicotine/tu Therapeutic Use];*Physicians, Family;Primary Health Care;Tobacco Use Disorder/ge Genetics];*Tobacco Use Disorder/th Therapy];0 (Designer Drugs);6M3C89ZY6R (Nicotine)</t>
  </si>
  <si>
    <t>Emerging research will likely make it possible to tailor pharmacological treatment for individuals with tobacco dependence by genotype. This study explored primary care physicians' attitudes about the strengths of and barriers to using genetic testing to match patients to optimal nicotine replacement therapy. Four focus groups (n=27) were conducted, and data were analyzed using thematic content analysis. Physicians reported how likely they would be to offer patients a genetic test to tailor smoking treatment in response to three different scenarios that described characteristics of the genetic test based on published research. Respondents were on average 36 years of age; 59% were male and 67% were white. Physicians believed genetically tailored treatment may offer new hope to smokers trying to quit, yet they also noted several potential barriers to clinical integration. Barriers included erroneous assumptions by patients regarding the meaning of genetic test results, possible misinterpretation of information regarding racial differences in the prevalence of certain risk alleles, and potential discrimination against patients undergoing testing. Concerns increased dramatically when physicians were told that the same genotypes that would be identified to tailor smoking treatment also have been associated with increased risk of becoming addicted to nicotine, as well as other addictions and psychiatric disorders. Physicians were interested in the possibility of realizing improved smoking cessation outcomes through pharmacogenetic developments, but they also raised many concerns. Primary care physicians will need additional educational inputs and system support prior to integrating genetic testing for a common trait into their routine clinical practice.</t>
  </si>
  <si>
    <t>J2: Nicotine Tob Res; Park, Elyse R Kleimann, Susan Pelan, Julie A Shields, Alexandra E; ID: 403</t>
  </si>
  <si>
    <t>Park,Elyse R. Institute for Health Policy, Massachusetts General Hospital/Harvard Medical School, Boston, MA 02114, USA. epark@partners.org</t>
  </si>
  <si>
    <t>http://ovidsp.ovid.com/ovidweb.cgi?T=JS&amp;CSC=Y&amp;NEWS=N&amp;PAGE=fulltext&amp;D=med5&amp;AN=17365758</t>
  </si>
  <si>
    <t>MEDLINE; Ovid Technologies; Anticipating clinical integration of genetically tailored tobacco dependence treatment: perspectives of primary care physicians</t>
  </si>
  <si>
    <t>Park,M. S.;Author,Addresses;Department of,Pediatrics;Department,of;Clinical Pharmacology, Severance Hospital Yonsei University,College of;Medicine,Seoul South Korea;Correspondence,Address;MS Park, Department of Pediatrics Department of,Clinical Pharmacology;Severance Hospital, Yonsei University College of Medicine,Seoul South;Korea</t>
  </si>
  <si>
    <t>Off-label use and designation of age groupspecific contraindications for pharmacotherapy in children in Korea</t>
  </si>
  <si>
    <t>Translational and Clinical Pharmacology</t>
  </si>
  <si>
    <t>atropine;benzyl alcohol;ciprofloxacin;fentanyl;levofloxacin;lorazepam;new drug;pancuronium;phenobarbital;phenytoin;prescription drug;terbutaline;venlafaxine;drug contraindication;drug indication;off label drug use;pediatrics;article;Australia;child;drug information;drug labeling;drug safety;drug use;drug utilization;human;Netherlands;practice guideline;United States;DRUG TRADE NAMES;effexor xr;atropine (51-55-8, 55-48-1);benzyl alcohol (100-51-6);ciprofloxacin (85721-33-1);fentanyl (437-38-7);levofloxacin (100986-85-4, 138199-71-0);lorazepam (846-49-1);phenobarbital (50-06-6, 57-30-7, 8028-68-0);phenytoin (57-41-0, 630-93-3);terbutaline (23031-25-6);venlafaxine (93413-69-5);Drug Literature Index (37);Pediatrics and Pediatric Surgery (7)</t>
  </si>
  <si>
    <t>Children should be treated with medicines that have been tested for efficacy and safety in the given age groups. In reality the majority of drugs being used in children lack such information, inevitably leading to the Œì√á¬£off-label use.Œì√á¬• Over decades there have been concerns regarding risk of adverse effects with such off-label uses. However, in most countries rational application of off-label uses have not been prohibited, since it may be the only available and perhaps the best possible treatment option. In contrast, in an effort to minimize such use and per se Œì√á√øprotectŒì√á√ñ children from possible harm associated with it, Korea has launched Œì√á¬£Drug Utilization ReviewŒì√á¬• system, which included age group-specific contraindications, based on the labeling information approved by Ministry of Food and Drug Safety. The problem lies in the definition and scope of Œì√á√øcontraindication.Œì√á√ñ Lack of evidence for safety and concern for risk of serious adverse drug reactions are the basis for contraindication. This leads to branding of off-label uses as contraindications in certain age groups. This policy is restricting the already scarce treatment options and suffocating the initiative for developing better pharmacotherapy for children. We should learn from other countries that have travailed more to provide better medicines to children. Clinical trials of new drugs as well as existing drugs in pediatric populations are strongly encouraged. Simple prohibition of off-label use is not the answer, but rather systematized management of off-label use as well as conduct of clinical trials in pediatric age groups must be encouraged and supported.</t>
  </si>
  <si>
    <t>(Park M.S., minspark@yuhs.ac) Korean Society Clinical Pharmacology and Therapeutics; ID: 964</t>
  </si>
  <si>
    <t>2289-0882</t>
  </si>
  <si>
    <t>2015425366 FULL TEXT LINK http://dx.doi.org/10.12793/tcp.2014.22.2.58</t>
  </si>
  <si>
    <t>Park,S.;Author,Addresses;Department of,Applied Chemistry;Women's University, Wolgok-dong Sungbukku Seoul,South Korea;Correspondence,Address;Park, Department of Applied Chemistry Dongduk Women's University,S.;Wolgok-dong,Sungbukku;sypark21@dongduk.ac.kr</t>
  </si>
  <si>
    <t>Evaluation of glial cell line-derived neurotrophic factors as therapeutics: Pharmacogenomic and pharmacoproteomic studies</t>
  </si>
  <si>
    <t>Current Pharmacogenomics and Personalized Medicine</t>
  </si>
  <si>
    <t>(MAJOR FOCUS);glial cell line derived neurotrophic factor (clinical trial, drug;combination, drug therapy, intracerebroventricular drug administration);artemin (endogenous compound);biglycan (endogenous compound);brain derived neurotrophic factor (drug combination);cofilin (endogenous compound);collagen type 1 (endogenous compound);drebrin (endogenous compound);dynamin I (endogenous compound);dynamin II (endogenous compound);khellin (endogenous compound);nestin (endogenous compound);neurturin (endogenous compound);persephin (endogenous compound);placebo;plectin (endogenous compound);pharmacogenomics;proteomics;article;behavior;cell differentiation;cell survival;continuous infusion;dopaminergic nerve cell;down regulation;drug abuse;drug efficacy;human;microarray analysis;neuropathic pain;nonhuman;nucleotide sequence;Parkinson disease (drug therapy);protein expression;randomized controlled trial (topic);signal transduction;upregulation;artemin (22149-38-8);biglycan (123939-84-4);brain derived neurotrophic factor (218441-99-7);khellin (82-02-0);nestin (146315-66-4);neurturin (185830-44-8, 185857-51-6);persephin (205537-90-2);MOLECULAR SEQUENCE NUMBERS;GENBANK (AA818145, AA818273, AA818977, AA858883, AA860061, AA866262,;AA874904, AA874911, AA875142, AA875155, AA875474, AA899076, AA899750,;AA900375, AA900574, AA900667, AA924607, AA924944, AA925096, AA925200,;AA925275, AA925388, AA925391, AA925635, AA955881, AA956175, AA997380,;AI044995, AI060107, AI144995);Clinical and Experimental Pharmacology (30);Drug Literature Index (37)</t>
  </si>
  <si>
    <t>The glial cell line-derived neurotrophic factor (GDNF) family, which includes GDNF, artemin, persephin, and neurturin, rests within the transforming growth factor-beta superfamily. GDNF family members play a crucial role in the development of peripheral autonomic and sensory neurons. Recent studies on the impact of GDNF on posttraumatic nerve regeneration and the treatment of neuropathic pain found that GDNF reversed the posttraumatic changes. This paper focuses on different pharmacological effects of GDNFs that are currently under examination enabled by pharmacogenomic and pharmacoproteomic studies. From these lessons learned, it seems clear that GDNF is involved in the mechanism of action of drugs that improve neurodegenerative diseases and drug abuse, including alcohol. Although it is difficult to postulate precisely GDNF pathway-specific drugs at this time, identification of genes or proteins that are specifically regulated by GDNF in certain cellular phenotypes might improve the efficacy of neurodegenerative disease therapies. Additionally, the possibility of fine-tuning GDNF expression in specific brain sites suffering from neurotrophic factor malfunction might allow refinement of the personalized strategies used to fight neuronal disorders. ‚î¨‚åê 2013 Bentham Science Publishers.</t>
  </si>
  <si>
    <t>(Park S., sypark21@dongduk.ac.kr) Bentham Science Publishers B.V., P.O. Box 294, Bussum, Netherlands.; ID: 1049</t>
  </si>
  <si>
    <t>1875-6921 1875-6913 (electronic)</t>
  </si>
  <si>
    <t>2013266624 FULL TEXT LINK http://dx.doi.org/10.2174/1875692111311010010</t>
  </si>
  <si>
    <t>Parthasarathi,G.;Ramesh,M.;Kumar,J. K.;Madaki,S.;Author,Addresses;Department of Pharmacy Practice, J S S College of Pharmacy,Mysore India;Department of,Clinical Pharmacy;Medical,College Hospital;Correspondence,Address;Medical College,G.Parthasarathi, Department of Clinical Pharmacy J.S.S.;Hospital,Mysore India Email parthal eth net</t>
  </si>
  <si>
    <t>Assessment of Drug-Related Problems and Clinical Pharmacists' Interventions in an Indian Teaching Hospital</t>
  </si>
  <si>
    <t>clinical pharmacy;India;medication error;teaching hospital;article;decision making;developing country;dose calculation;drug choice;drug cost;drug dependence;drug misuse;drug safety;prospective study;Public Health, Social Medicine and Epidemiology (17)</t>
  </si>
  <si>
    <t>Aim: To identify drug-related problems (DRPs) at a major Indian teaching hospital, to assess the acceptance of recommendations made by clinical pharmacists and evaluate the level of involvement of pharmacists in drug therapy decisions. Method: A prospective study was conducted over a six-month period in the medical wards of the Jagadguru Shri Shivarathreeshwara (JSS) Medical College Hospital, Mysore, India. A decision-making model proposed by Campagna (and modified by Wood) was applied to evaluate pharmacists' involvement in drug therapy decisions. Results: Of the 245 DRPs identified, 237 involved active clinical pharmacist interventions. The most common DRPs were inappropriate dosage (31%), inappropriate drug selection (17%) and adverse drug reactions (13%). Ninety per cent of the pharmacists' recommendations were accepted and led to change in therapy in 79% of cases. Most of the interventions were classified (according to the decision-making model) as corrective (78%) or proactive (19%). Conclusion: The incidence of DRPs identified in this study is higher than reported in some studies in developed countries. But the acceptance rate of clinical pharmacists' interventions was comparable to studies conducted in countries where clinical pharmacy is well-developed and indicate the acceptance and recognition of clinical pharmacists as active members of the healthcare team at JSS Medical College Hospital.</t>
  </si>
  <si>
    <t>(Parthasarathi G., parthal8@eth.net; Ramesh M.; Kumar J.K.; Madaki S.) (Parthasarathi G., parthal8@eth.net); ID: 1580</t>
  </si>
  <si>
    <t>Pasquali,M.;Uccelli,L.;Boschi,A.;Ossato,A.;Martini,P.;Giganti,M.;Di Domenico,G.;Pupillo,G.;Marti,M.;Author,Addresses;Department,of Life;Biotechnology;University,of Ferrara;Morphology,Surgery and;Experimental Medicine Department, University of,Ferrara Italy;Morphology,Surgery;Experimental Medicine,Department;University of Ferrara;Nuclear Medicine Unit, S Anna,Hospital Ferrara;Italy;Physics;Hearth Science,Department;University,of Ferrara;Correspondence,Address;Pasquali,Morphology Surgery,M.;Experimental Medicine,Department;University,of Ferrara</t>
  </si>
  <si>
    <t>Molecular imaging for the evaluation of drug-receptor interactions in psycoactive substances of abuse</t>
  </si>
  <si>
    <t>Clinical and Translational Imaging</t>
  </si>
  <si>
    <t>3 SUPPL. 1</t>
  </si>
  <si>
    <t>S137</t>
  </si>
  <si>
    <t>S138</t>
  </si>
  <si>
    <t>amphetamine;cocaine;dopamine transporter;iodine 123;ioflupane i 123;ketamine;receptor;sodium chloride;tracer;abuse;drug receptor binding;molecular imaging;nuclear medicine;algorithm;animal experiment;animal model;brain;CD-1 mouse;chronic drug administration;clinical research;collimator;corpus striatum;hospital;imaging;imaging system;intramuscular drug administration;intraperitoneal drug administration;law enforcement;male;mouse;PET scanner;pharmacology;radiography;retrobulbar drug administration;rodent;single photon emission computer tomography;university</t>
  </si>
  <si>
    <t>Background-Aim: The objective of this work is to apply molecular imaging techniques, based on the administration of radioactive tracers in small animal models as a method to investigate the mechanisms of receptor interactions of drugs of abuse. A further objective of the study was to establish, in collaboration with the pharmacology unit of the University of Ferrara, a Œì√á¬£pre-clinical research networkŒì√á¬• able to rapidly investigate the neurobiological mechanisms and the pharmacological effects induced by acute and chronic administration of Novel Psychoactive Substances (NPS) seized by law enforcement agencies. Methods: 123I-Ioflupane (DaTscan) was supplied by the Nuclear Medicine of S. Anna Hospital of Ferrara. Animal experiments were carried out in compliance with the relevant national laws relating to the conduct of animal experimentation and EU Directive 2010/63/EU. SPECT studies have been performed using a YAP(S)PET scanner. CD-1 mice (male, 35-40 g), divided into three different group, were anesthetized with an intramuscular injection of a mixture of ketamine (100 mg/kg) and xilazine (20 mg/kg) and submitted to a pretreatment by intraperitoneal injection of vehicle (saline 0.9 %), cocaine (20 mg/ kg) or amphetamine (10 mg/kg). Thirty minutes after drug or vehicle administration, mice were submitted to a retrobulbar injection with a solution of 123I-DaTscan (450-500 lCi). Imaging analysis (128 views/360‚î¨‚ñë) of the head of the animal were performed 2 and 3 h after the administration of 123I-DaTscan and lasted 60 min each one. Images were reconstructed by using the iterative EM-ML algorithm including the collimator response. CT images have been acquired using the digital X-ray imaging system integrated into the YAP(- S)PET scanner. To evaluate the brain distribution of 123I-DaTscan were selected ROI on SPECT images and the total activities, normalized to the injected ones, have been calculated. Results: The results showed that the binding of 123I-DaTscan at DAT transporters was decreased in the striatum of mice submitted to a pretreatment with cocaine or amphetamine in comparison with the vehicleinjected animals. In particular, a significantly decreased in the binding of 123I-Ioflupane was observed in animals pretreated with cocaine. Conclusion: As expected cocaine and amphetamine bind and block the dopamine transporter (DAT) in the mouse brain with particular respect to the striatum. This study confirms and strengthens the possibility of employing the technique of SPECT analysis in small rodents to provide quickly information about the structure/activity of Novel Psychoactive Substances.</t>
  </si>
  <si>
    <t>(Ossato A.; Marti M.) (SVeB) (Pasquali M.; Boschi A.; Martini P.; Giganti M.) (Uccelli L.) (Di Domenico G.; Pupillo G.) 12th National Congress of the Italian Association of Nuclear Medicine and Molecular Imaging, AIMN 2015 Rimini, Italy 2015-04-16 to 2015-04-19 Springer-Verlag Italia s.r.l.; ID: 830</t>
  </si>
  <si>
    <t>2281-5872</t>
  </si>
  <si>
    <t>Passarella,S.;Duong,M. T.</t>
  </si>
  <si>
    <t>Diagnosis and treatment of insomnia</t>
  </si>
  <si>
    <t>Benzodiazepines/tu Therapeutic Use];Cognitive Therapy;GABA-A Receptor Agonists;Humans;Hypnotics and Sedatives/tu Therapeutic Use];Psychotropic Drugs/tu Therapeutic Use];Receptors, Melatonin/ag Agonists];*Sleep Initiation and Maintenance Disorders/di Diagnosis];Sleep Initiation and Maintenance Disorders/dt Drug Therapy];*Sleep Initiation and Maintenance Disorders/th Therapy];0 (GABA-A Receptor Agonists);0 (Hypnotics and Sedatives);0 (Psychotropic Drugs);0 (Receptors, Melatonin);12794-10-4 (Benzodiazepines)</t>
  </si>
  <si>
    <t>PURPOSE: The diagnostic criteria and treatment of insomnia are reviewed. SUMMARY: Insomnia is most often described as a subjective complaint of poor sleep quality or quantity despite adequate time for sleep, resulting in daytime fatigue, irritability, and decreased concentration. Insomnia is classified as idiopathic or comorbid. Comorbid insomnias are associated with psychiatric disorders, medical disorders, substance abuse, and specific sleep disorders. Idiopathic insomnia is essentially a diagnosis of exclusion. A wide array of terminology exists for defining the duration of insomnia symptoms, which may add to the confusion regarding insomnia classification. Acute insomnia refers to sleep problems lasting from one night to a few weeks, whereas chronic insomnia refers to sleep problems lasting at least three nights weekly for at least one month. Diagnostic tools for identifying insomnia are multifactorial. Nonpharmacologic interventions for insomnia include sleep-hygiene education, stimulus-control therapy, relaxation therapy, and sleep-restriction therapy. The most effective pharmacologic therapies for insomnia are benzodiazepines, benzodiazepine-receptor agonists, melatonin-receptor agonists, and antidepressants. Choice of a specific agent should be based on patient-specific factors, including age, proposed length of treatment, primary sleep complaint, history of drug or alcohol abuse, and cost. CONCLUSION: Many treatment options are available for patients with insomnia. Behavioral therapies should be initiated as first-line treatment in most patients. For patients who require the addition of pharmacologic therapy, the drugs with the most evidence for benefit include benzodiazepines, benzodiazepine-receptor agonists, melatonin-receptor agonists, and antidepressants. Selection of a specific agent must take into account numerous patient-specific factors. References: 58]</t>
  </si>
  <si>
    <t>J2: Am J Health-Syst Pharm; Passarella, Stacy Duong, Minh-Tri; ID: 363</t>
  </si>
  <si>
    <t>Passarella,Stacy. Pharmacy Department, Tampa General Hospital, Tampa, FL 33601, USA. spassarella@tgh.org</t>
  </si>
  <si>
    <t>http://ovidsp.ovid.com/ovidweb.cgi?T=JS&amp;CSC=Y&amp;NEWS=N&amp;PAGE=fulltext&amp;D=med5&amp;AN=18463341</t>
  </si>
  <si>
    <t>http://dx.doi.org/10.2146/ajhp060640</t>
  </si>
  <si>
    <t>MEDLINE; Ovid Technologies; Diagnosis and treatment of insomnia</t>
  </si>
  <si>
    <t>Passmore,P. R.;Kailis,S. G.</t>
  </si>
  <si>
    <t>In pursuit of rational drug use and effective drug management: clinical and public health pharmacy viewpoint</t>
  </si>
  <si>
    <t>Asia-Pacific Journal of Public Health</t>
  </si>
  <si>
    <t>Attitude of Health Personnel;*Community Pharmacy Services/td Trends];Developing Countries;*Drug Utilization/td Trends];*Education, Pharmacy/td Trends];Humans;Public Health</t>
  </si>
  <si>
    <t>Drugs are major technology in preventing and combating disease both at the individual and community levels. Managing this valuable resource for optimum public health benefit is paramount. Pharmacists have been recognized by the World Health Organisation and others as having a key role to play in promoting rational drug use and strengthening effective drug management. However, the profession needs to answer some critical questions relating to effective communication of their clinical role. Factors associated with the primary care role of pharmacists are discussed and include education, social and political pressures and professional attitudes. There is evidence of an expanding role for pharmacy in the health sector and a number of new challenges for pharmacy's role in strengthening public health are emerging. These include the profession's involvement in overcoming chronic shortages of essential drugs, strategies to combat the fake and inferior quality drug problems, and increased efforts to educate the public in optimal drug therapy and compliance with recognized drug dosages. Pharmacists are urged to assist governments develop effective policies and legislations for the pharmaceutical sector, based on research findings of pharmaceutical issues affecting public health.</t>
  </si>
  <si>
    <t>J2: Asia Pac J Public Health; Passmore, P R Kailis, S G; ID: 625</t>
  </si>
  <si>
    <t>1010-5395</t>
  </si>
  <si>
    <t>Passmore,P R. Clinical Pharmacy Teaching Unit, School of Pharmacy, Curtin University of Technology, Perth, Western Australia.</t>
  </si>
  <si>
    <t>http://ovidsp.ovid.com/ovidweb.cgi?T=JS&amp;CSC=Y&amp;NEWS=N&amp;PAGE=fulltext&amp;D=med3&amp;AN=7605700</t>
  </si>
  <si>
    <t>MEDLINE; Ovid Technologies; In pursuit of rational drug use and effective drug management: clinical and public health pharmacy viewpoint</t>
  </si>
  <si>
    <t>Pastrana,Tania;Centeno,Carlos;De Lima,Liliana</t>
  </si>
  <si>
    <t>Palliative Care in Latin America from the Professional Perspective: A SWOT Analysis</t>
  </si>
  <si>
    <t>437 9p</t>
  </si>
  <si>
    <t>Palliative Care -- Statistics and Numerical Data -- Latin America;Attitude of Health Personnel -- Evaluation;Latin America;Human;Content Analysis;Expert Clinicians;Survey Research;Descriptive Statistics;Data Analysis Software;Correlational Studies;Semi-Structured Interview;Funding Source</t>
  </si>
  <si>
    <t>Background: The development of palliative care (PC) in Latin America (LA) has been slow compared to other regions. A Strengths, Weaknesses, Opportunities, and Threats (SWOT) analysis may contribute to the identification of barriers and successful strategies. Objective: The study's objective was to conduct a SWOT analysis of the development of PC in LA from the PC professional perspective. Methods: Experts from 19 countries of the region were selected in collaboration with national associations. Specific questions were included in the Latin American Association for Palliative Care (ALCP) Atlas of Palliative Care cross-survey 2012. Content analysis was conducted categorizing responses in a SWOT framework. Descriptive and correlation analyses were performed. Results: A total of 577 statements were provided. Among the Strengths were integration into health systems and increasing number of professionals with PC training. Among weaknesses were lack of national PC programs, limited connection between policymakers and professionals, and barriers in the availability of opioids. Opportunities were increased awareness of policymakers and higher interest of students and professionals. Threats were competing funding for other services and medications, limited interest of the pharmaceutical industry in producing affordable opioid medications, and emphasis by the media on opioid diversion and abuse. Comments were categorized under (1) health policy, (2) education and research, (3) service provision, (4) opioid availability, and (5) advocacy. A moderately positive correlation was found (R=0.4 in both) between the ALCP development index7 and the number of positive/negative factors mentioned by country. Conclusions: A SWOT framework is applicable in a situational analysis and helps to identify common aspects among the countries and key elements in the development of PC in Latin America.</t>
  </si>
  <si>
    <t>Entry Date: 20150430. Revision Date: 20150710. Publication Type: Journal Article; research; tables/charts. Journal Subset: Biomedical; Peer Reviewed; USA. Special Interest: Palliative Care/Hospice. Grant Information: This work was funded by the Open Society Foundations and in cooperation with the International Association for Hospice and Palliative Care (IAHPC), the European Association for Palliative Care (EAPC), the Sociedad Espanola de Cuidados Paliativos (SECPAL), and the ATLANTES Research Program of the Institute for Culture and Society (ICS) at the Universidad de Navarra.. NLM UID: 9808462. PMID: 25658701.; ID: 1965</t>
  </si>
  <si>
    <t>1096-6218</t>
  </si>
  <si>
    <t>Department of Palliative Medicine, RWTH Aachen University, Aachen, Germany. ATLANTES Research Program, Institute for Culture and Society, University of Navarra, Pamplona (Navarra), Spain. International Association for Hospice and Palliative Care, Houston, Texas.</t>
  </si>
  <si>
    <t>http://proxy.lib.umich.edu/login?url=http://search.ebscohost.com/login.aspx?direct=true&amp;db=ccm&amp;AN=103794070&amp;site=ehost-live&amp;scope=site</t>
  </si>
  <si>
    <t>10.1089/jpm.2014.0120</t>
  </si>
  <si>
    <t>ccm; EBSCOhost; Palliative Care in Latin America from the Professional Perspective: A SWOT Analysis</t>
  </si>
  <si>
    <t>Patel,Pragna;Prajapati,Arpit;Ganguly,Barna;Gajjar,Bharat</t>
  </si>
  <si>
    <t>STUDY ON IMPACT OF PHARMACOLOGY TEACHING ON KNOWLEDGE, ATTITUDE AND PRACTICE ON SELF-MEDICATION AMONG MEDICAL STUDENTS</t>
  </si>
  <si>
    <t>International Journal of Medical Science &amp; Public Health</t>
  </si>
  <si>
    <t>186 6p</t>
  </si>
  <si>
    <t>Self Medication;Students, Medical;Pharmacy and Pharmacology -- Education;Student Attitudes;Health Knowledge;Health Behavior;Human;Substance Abuse;Drugs, Non-Prescription -- Adverse Effects;Male;Female;Questionnaires;Pilot Studies;India</t>
  </si>
  <si>
    <t>Entry Date: 20140121. Revision Date: 20150710. Publication Type: Journal Article; research; tables/charts. Journal Subset: Asia; Biomedical; Public Health. Special Interest: Public Health.; ID: 2037</t>
  </si>
  <si>
    <t>2277-338X</t>
  </si>
  <si>
    <t>Cadila Pharmaceuticals Limited, Ahmedabad, Gujarat, India Lambda Clinical Research, Ahmedabad, Gujarat, India Department of Pharmacology, Pramukh Swami Medical College, Karamsad, Anand, Gujarat, India</t>
  </si>
  <si>
    <t>http://proxy.lib.umich.edu/login?url=http://search.ebscohost.com/login.aspx?direct=true&amp;db=ccm&amp;AN=104137623&amp;site=ehost-live&amp;scope=site</t>
  </si>
  <si>
    <t>10.5455/ijmsph.2013.2.173-178</t>
  </si>
  <si>
    <t>ccm; EBSCOhost; STUDY ON IMPACT OF PHARMACOLOGY TEACHING ON KNOWLEDGE, ATTITUDE AND PRACTICE ON SELF-MEDICATION AMONG MEDICAL STUDENTS</t>
  </si>
  <si>
    <t>Patil,K.;Imtiaz,S. M.;Singh,A.;Bagewadi,V.;Gazi,S.;Author,Addresses;Department of,Pharmacognosy;Phytochemistry,KLES';Belguam,Karnataka India;Department of Pharmaceutical Chemistry, K T Patil,College of;Pharmacy,Osmanabad Maharashtra India;Correspondence,Address;Imtiaz,Department of Pharmacognosy,S.M.;Phytochemistry,KLES';of Pharmacy, Belguam Karnataka India Email imtiyaz msi,reddifmail com</t>
  </si>
  <si>
    <t>Hepatoprotective activity of cucumis trigonus Roxb. fruit against CCl(4) inducesd hepatic damage in rats</t>
  </si>
  <si>
    <t>(MAJOR FOCUS);cucumis trigonus extract (drug therapy, oral drug administration,;pharmacology);liver protective agent (drug therapy, oral drug administration,;plant extract (drug therapy, oral drug administration, pharmacology);alanine aminotransferase (endogenous compound);alcohol;alkaline phosphatase (endogenous compound);aspartate aminotransferase (endogenous compound);bilirubin (endogenous compound);carbon tetrachloride;chloroform;liv 52 (drug therapy, oral drug administration);unclassified drug;cucumis trigonus;liver toxicity (drug therapy, drug therapy);muskmelon;analytical parameters;animal experiment;animal model;animal tissue;article;bilirubin blood level;blood sampling;controlled study;enzyme activity;enzyme blood level;female;histopathology;liver protection;nonhuman;rat;alanine aminotransferase (9000-86-6, 9014-30-6);alcohol (64-17-5);alkaline phosphatase (9001-78-9);aspartate aminotransferase (9000-97-9);bilirubin (18422-02-1, 635-65-4);carbon tetrachloride (56-23-5);chloroform (67-66-3);liv 52 (54847-94-8);General Pathology and Pathological Anatomy (5);Clinical and Experimental Biochemistry (29);Clinical and Experimental Pharmacology (30);Drug Literature Index (37);Gastroenterology (48)</t>
  </si>
  <si>
    <t>In India, a number of medicinal plants and their formulations are used to cure hepatic disorders in traditional systems of medicine. No systemic study has been done on protective effect of Cucumis trigonus Roxb. (Cucurbitaceae) to treat hepatic diseases. Protective action of C. trigonus fruit extracts was evaluated in this study in animal model of hepatotoxicity, which was induced by carbon tetrachloride. Forty two healthy female albino Wistar rats weighing between 180 and 200 g were divided in to seven groups of 6. Group 1 was normal control group; Group 2, the hepatotoxic group was given CCl(4); Group 3 was administered standard drug (Liv-52); Groups 4-7 received pet. ether, chloroform, alcohol and aqueous fruit extract (300 mg/kg) with CCl(4). The parameters studied were alanine transaminase, aspartate transaminase, alkaline phosphatase and serum bilirubin activities. The hepatoprotective activity was also supported by histopathological studies of liver tissue. Results of the biochemical studies of blood samples of CCl(4) treated animals showed significant increase in the levels of serum enzyme activities, reflecting the liver injury caused by CC1(4). Whereas blood samples from the animals treated with chloroform and aqueous fruit extracts showed significant and alcohol extract showed highly significant decrease in the levels of serum markers, indicating the protection of hepatic cells. The results revealed that alcoholic fruit extract of Cucumis trigonus could afford highly significant protection against CC1(4) induced hepatocellular injury. ‚î¨‚åê 2011 by School of Pharmacy Shaheed Beheshti University of Medical Sciences and Health Services.</t>
  </si>
  <si>
    <t>(Patil K., imtiyaz_msi@reddifmail.com; Imtiaz S.M.; Singh A.; Bagewadi V.) (Gazi S.) Iranian Journal of Pharmaceutical Research, P.O. Box 14155-6153, Vali-e-Asr Avenue, Niayesh Junction, Tehran, Iran.; ID: 1259</t>
  </si>
  <si>
    <t>Patra,A.;Jha,S.;Murthy,P. N.;Aher Vaibhav,D.;Chattopadhyay,P.;Panigrahi,G.;Roy,D.;Author,Addresses;College,of Pharmacy;Department of Pharmaceutical Sciences, Birla,Institute of;Technology,Mesra-Ranchi Jharkhanda India;Royal,College of;Health,Sciences;Berhampur,Orissa India;Research Biomedical Sciences, Department of,Immunology University;of Strathclyde,Glasgow,United Kingdom;Correspondence,Address;India Email,A.Patra, College of Pharmacy Iftm Moradabad- U.P.;arjun.patra@rediffmail.com</t>
  </si>
  <si>
    <t>Anti-inflammatory and antipyretic activities of Hygrophila spinosa T. Anders leaves (Acanthaceae)</t>
  </si>
  <si>
    <t>(MAJOR FOCUS);Hygrophila spinosa alcoholic extract (drug development, pharmacology);Hygrophila spinosa aqueous extract (drug development, pharmacology);Hygrophila spinosa chloroform extract (drug development, pharmacology);Hygrophila spinosa petroleum ether extract (drug development, pharmacology);plant extract (drug development, pharmacology);alkaloid derivative;carbohydrate derivative;carboxylic acid;carrageenan;fat;flavonoid;oil;protein derivative;saponin derivative;steroid;tannin derivative;unclassified drug;Acanthaceae;antiinflammatory activity;antipyretic activity;hygrophila spinosa;animal experiment;animal model;article;controlled study;female;fever;male;mucilage;nonhuman;paw edema;phytochemistry;plant leaf;rat;Saccharomyces cerevisiae;carrageenan (9000-07-1, 9049-05-2, 9061-82-9, 9064-57-7);Neurology and Neurosurgery (8);Clinical and Experimental Pharmacology (30);Drug Literature Index (37)</t>
  </si>
  <si>
    <t>Purpose: Hygrophila spinosa T. Anders (Acanthaceae) is commonly used in the traditional system of medicine for the treatment of inflammation, pain, jaundice, rheumatism, arthritis, anaemia, etc. In the present study, we investigated the anti-inflammatory and antipyretic activities of the petroleum ether, chloroform, alcoholic and aqueous extracts of the leaf of this plant. Methods: The anti-inflammatory activity of the various extracts was studied based on their effects on carrageenan-induced paw oedema in rats while antipyretic activity was evaluated on the basis of their effect on Brewer's yeast-induced pyrexia in rats. The extracts were screened for alkaloids, steroids, proteins, flavonoids, saponins, mucilage, carbohydrates, organic acids, fats and oils. Results: Preliminary phytochemical screening revealed the presence of alkaloids, steroids, proteins, flavonoids, fats and oils, tannins, mucilage and organic acids in the leaves of H. spinosa. Chloroform and alcoholic extracts of leaves of H. spinosa produced significant (p &lt; 0.05 and p &lt; 0.01) anti-inflammatory and antipyretic activities in a dose-dependent manner. On the other hand, petroleum ether and aqueous extracts did not show significant anti-inflammatory and antipyretic activities. The maximum anti-inflammatory activities produced by chloroform and alcoholic extracts (400 mg/kg) were 33.7% and 47.5%, respectively. These two extracts also reduced elevated body temperature in rats at 200 and 400 mg/kg body weight doses throughout the observation period of 6 h. Conclusions: Chloroform and alcoholic extracts of H. spinosa leaves have anti-inflammatory and antipyretic activities. ‚î¨‚åê Pharmacotherapy Group, Faculty of Pharmacy, University of Benin. All rights reserved.</t>
  </si>
  <si>
    <t>(Patra A., arjun.patra@rediffmail.com; Aher Vaibhav D.; Chattopadhyay P.) (Jha S.) (Murthy P.N.; Panigrahi G.) (Roy D.) PHARMACOTHERAPY GROUP, FACULTY PHARMACY, BENIN CITY, Nigeria.; ID: 1439</t>
  </si>
  <si>
    <t>Patrick,Dee-Dee</t>
  </si>
  <si>
    <t>Pharmacologic Abuse: A National Epidemic...Reprinted with permission from the Illinois Nurses Association</t>
  </si>
  <si>
    <t>Nursing news</t>
  </si>
  <si>
    <t>Nurs.News</t>
  </si>
  <si>
    <t>15 2p</t>
  </si>
  <si>
    <t>Substance Abuse;Substance Abuse -- Education;Substance Abuse -- Epidemiology;Substance Abuse -- Etiology;Substance Abuse -- Prevention and Control</t>
  </si>
  <si>
    <t>Entry Date: 20130711. Revision Date: 20151015. Publication Type: Journal Article. Note: Reprint from Illinois Nurses Association ft omitted due to copyright. Journal Subset: Nursing; Peer Reviewed; USA. NLM UID: 0061156.; ID: 1985</t>
  </si>
  <si>
    <t>0029-6538</t>
  </si>
  <si>
    <t>http://proxy.lib.umich.edu/login?url=http://search.ebscohost.com/login.aspx?direct=true&amp;db=ccm&amp;AN=107956194&amp;site=ehost-live&amp;scope=site</t>
  </si>
  <si>
    <t>ccm; EBSCOhost; Pharmacologic Abuse: A National Epidemic...Reprinted with permission from the Illinois Nurses Association</t>
  </si>
  <si>
    <t>Patten,S. B.;Neutel,C. I.</t>
  </si>
  <si>
    <t>Corticosteroid-induced adverse psychiatric effects: incidence, diagnosis and management</t>
  </si>
  <si>
    <t>Adrenal Cortex Hormones/ad Administration &amp; Dosage];*Adrenal Cortex Hormones/ae Adverse Effects];Humans;Psychoses, Substance-Induced/di Diagnosis];Psychoses, Substance-Induced/ep Epidemiology];*Psychoses, Substance-Induced/et Etiology];Psychoses, Substance-Induced/th Therapy];*Substance Withdrawal Syndrome/et Etiology];0 (Adrenal Cortex Hormones)</t>
  </si>
  <si>
    <t>Reports of corticosteroid-induced adverse psychiatric effects began to appear in the literature soon after the introduction of these medications in the 1950s. Unfortunately, early studies relied on informal classification and measurement procedures and tended to utilise nonspecific descriptive terminology (such as steroid psychosis'). A growing number of contemporary investigations have begun to address these problems. However, the literature remains surprisingly undeveloped from a pharmacoepidemiological perspective, consisting largely of case reports and case series. The objective of this review is to summarise published data concerning corticosteroid-induced adverse psychiatric effects. A clinical perspective will be adopted since opportunities to minimise the impact of corticosteroid-induced adverse effects tend to present themselves most readily within the sphere of clinical management. Some of the psychiatric adverse effects of corticosteroids are mild, and not necessarily clinically significant. However, several serious psychiatric syndromes can be caused by corticosteroids: substance-induced mood disorders (with depressive, manic and mixed features), substance-induced psychotic disorders and delirium. While certain clinical groups may be at greater risk of corticosteroid-induced adverse psychiatric effects, corticosteroid-induced psychiatric toxicity is remarkably unpredictable. The literature regarding prevention and treatment of corticosteroid-induced adverse psychiatric effects is poorly developed. As a result, the emphasis of this review is on clinical and epidemiological evidence linking specific adverse effects to corticosteroid medications. However, clinical reports do provide some practical guidance for prevention and treatment, and these are summarised as well. A variety of pharmacological strategies for treatment and prevention have been proposed. Education and support also appear to be important, and perhaps neglected. References: 96]</t>
  </si>
  <si>
    <t>J2: Drug Saf; Patten, S B Neutel, C I; ID: 558</t>
  </si>
  <si>
    <t>Patten,S B. Department of Community Health Sciences, Faculty of Medicine, The University of Calgary, Alberta, Canada. patten@ucalgary.ca</t>
  </si>
  <si>
    <t>http://ovidsp.ovid.com/ovidweb.cgi?T=JS&amp;CSC=Y&amp;NEWS=N&amp;PAGE=fulltext&amp;D=med4&amp;AN=10672894</t>
  </si>
  <si>
    <t>MEDLINE; Ovid Technologies; Corticosteroid-induced adverse psychiatric effects: incidence, diagnosis and management</t>
  </si>
  <si>
    <t>Paulino,E. I.;Bouvy,M. L.;Gastelurrutia,M. A.;Guerreiro,M.;Buurma,H.;Group,Escp-Sir Rejkjavik Community Pharmacy Research</t>
  </si>
  <si>
    <t>Drug related problems identified by European community pharmacists in patients discharged from hospital</t>
  </si>
  <si>
    <t>Aged;*Community Pharmacy Services/sn Statistics &amp; Numerical Data];*Drug-Related Side Effects and Adverse Reactions;Europe;Female;Humans;Logistic Models;Male;Medication Errors/sn Statistics &amp; Numerical Data];Middle Aged;*Patient Discharge/sn Statistics &amp; Numerical Data];Patients/sn Statistics &amp; Numerical Data];Pharmaceutical Preparations/ad Administration &amp; Dosage];*Pharmacists/sn Statistics &amp; Numerical Data];Surveys and Questionnaires;0 (Pharmaceutical Preparations)</t>
  </si>
  <si>
    <t>INTRODUCTION: Drug related problems (DRPs) are perceived to occur frequently when patients are discharged from the hospital. Community pharmacists' interventions to detect, prevent and solve DRPs in this population are scarcely studied. OBJECTIVE: To examine the nature and frequency of DRPs in community pharmacies among patients discharged from hospitals in several countries, and to examine several variables related to these drug related problems. METHOD: The study was performed in 112 community pharmacies in Europe: Austria, Denmark, Germany, The Netherlands, Portugal and Spain. Community pharmacists asked patients with a prescription after discharge from hospital between February and April 2001 to participate in the study. A patient questionnaire was used to identify drug related problems. Pharmacists documented drug related problems, pharmacy interventions, type of prescriber and patient and pharmacy variables. RESULTS: 435 patients were included in the study. Drug related problems were identified in 277 patients (63.7%). Uncertainty or lack of knowledge about the aim or function of the drug (133; 29.5%) and side effects (105; 23.3%) were the most common DRPs. Practical problems were reported 56 times (12.4%) by patients. Pharmacists revealed 108 problems (24.0%) concerning dosage, drug duplication, drug interactions and prescribing errors. Patients with more changes in their drug regimens (drugs being stopped, new drugs started or dosage modifications) and using more drugs were more likely to develop DRPs. Community pharmacists recorded 305 interventions in 205 patients with DRPs. Pharmacists intervened mostly by patient medication counselling (39.0%) and practical instruction to the patient (17.7%). In 26.2% the intervention was directed towards the prescriber. In 28 cases (9.2%) the pharmacists' intervention led to a change of the drug regimen. CONCLUSION: This study shows that a systematic intervention by community pharmacists in discharged patients, or their proxies, is able to reveal a high number of DRPs that might be relevant for patient health outcomes. There should be more initiatives to insure continuity of care, since DRPs after discharge from hospital seem to be very common.</t>
  </si>
  <si>
    <t>J2: Pharm World Sci; Paulino, Ema I Bouvy, Marcel L Gastelurrutia, Miguel A Guerreiro, Mara Buurma, Henk ESCP-SIR Rejkjavik Community Pharmacy Research Group; ID: 458</t>
  </si>
  <si>
    <t>Paulino,Ema I. SIR Institute for Pharmacy Practice Research, Theda Mansholtstraat 5B, 2331 JE Leiden, The Netherlands.</t>
  </si>
  <si>
    <t>http://ovidsp.ovid.com/ovidweb.cgi?T=JS&amp;CSC=Y&amp;NEWS=N&amp;PAGE=fulltext&amp;D=med5&amp;AN=15683106</t>
  </si>
  <si>
    <t>MEDLINE; Ovid Technologies; Drug related problems identified by European community pharmacists in patients discharged from hospital</t>
  </si>
  <si>
    <t>Paulos,C. P.;Nygren,C. E.;Celedon,C.;Carcamo,C. A.</t>
  </si>
  <si>
    <t>Impact of a pharmaceutical care program in a community pharmacy on patients with dyslipidemia</t>
  </si>
  <si>
    <t>Aged;Atorvastatin Calcium;Chile;*Community Pharmacy Services/og Organization &amp; Administration];Drug-Related Side Effects and Adverse Reactions;Female;*Heptanoic Acids/tu Therapeutic Use];Humans;*Hydroxymethylglutaryl-CoA Reductase Inhibitors/tu Therapeutic Use];Hyperlipidemias/co Complications];*Hyperlipidemias/dt Drug Therapy];Hypertension/co Complications];Male;Middle Aged;Patient Compliance;Patient Education as Topic;Patient Satisfaction;*Pyrroles/tu Therapeutic Use];Quality of Life;0 (Heptanoic Acids);0 (Hydroxymethylglutaryl-CoA Reductase Inhibitors);0 (Pyrroles);48A5M73Z4Q (Atorvastatin Calcium)</t>
  </si>
  <si>
    <t>BACKGROUND: Inappropriate use of medications is a significant problem in health care today. A possible solution to this problem may be achieved through better control of patients' drug therapy. OBJECTIVE: To design a pharmaceutical care program for dyslipidemic patients within a community pharmacy setting that provides education in the areas of medication compliance and lifestyle modifications, while emphasizing the importance of achieving cholesterol goals to ensure improvement in quality of life. METHODS: Patients at an outpatient pharmacy volunteered to be surveyed for 16 weeks. Although both the intervention and control groups were surveyed, the randomly selected intervention group was interviewed more frequently and more comprehensively. Cholesterol, triglycerides, glucose, weight, risk factors, drug-related problems (DRPs), and quality of life were measured via a survey at the onset of the study and continually measured until the study's conclusion. RESULTS: In the intervention group, 26 DRPs were detected, of which 24 were resolved; in the control group, 26 DRPs were detected, of which 5 were resolved. When comparing initial and final blood cholesterol levels in the intervention group, the mean decrease was 27.0 +/- 41.1 mg/dL (p = 0.0266); in the control group, the average blood cholesterol level decreased by a mean of 1.4 +/- 37.2 mg/dL (p = 0.6624). In the intervention group, the triglyceride level decreased an average of 50.5 +/- 80.3 mg/dL (p = 0.0169), while the control group experienced a mean triglyceride level increase of 29.6 +/- 118.5 mg/dL (p = 0.1435). As a result of the intervention, the quality of life in the intervention group was improved. CONCLUSIONS: Short-term pharmaceutical care plans developed in a retail pharmacy within the proper setting may contribute to improved blood lipid values, cardiovascular disease risk factors, and patients' quality of life.</t>
  </si>
  <si>
    <t>J2: Ann Pharmacother; Paulos, Claudio P Nygren, Carin E Akesson Celedon, Consuelo Carcamo, Carina A; ID: 445</t>
  </si>
  <si>
    <t>Paulos,Claudio P. Facultad de Ciencias Quimicas y Farmaceuticas, Universidad de Chile, Santiago, Chile. cpaulos@fasa.cl</t>
  </si>
  <si>
    <t>http://ovidsp.ovid.com/ovidweb.cgi?T=JS&amp;CSC=Y&amp;NEWS=N&amp;PAGE=fulltext&amp;D=med5&amp;AN=15827075</t>
  </si>
  <si>
    <t>MEDLINE; Ovid Technologies; Impact of a pharmaceutical care program in a community pharmacy on patients with dyslipidemia</t>
  </si>
  <si>
    <t>Peadon,E.;Rhys-Jones,B.;Bower,C.;Elliott,E. J.</t>
  </si>
  <si>
    <t>PMC2698825; Systematic review of interventions for children with Fetal Alcohol Spectrum Disorders</t>
  </si>
  <si>
    <t>BMC Pediatrics</t>
  </si>
  <si>
    <t>Alcohol-Induced Disorders, Nervous System/dt Drug Therapy];Alcohol-Induced Disorders, Nervous System/rh Rehabilitation];*Alcohol-Induced Disorders, Nervous System/th Therapy];Antipsychotic Agents/tu Therapeutic Use];Attention Deficit Disorder with Hyperactivity/dt Drug Therapy];Attention Deficit Disorder with Hyperactivity/et Etiology];Attention Deficit Disorder with Hyperactivity/th Therapy];Behavior Therapy/sn Statistics &amp; Numerical Data];Central Nervous System Stimulants/tu Therapeutic Use];Child;Child, Preschool;Communication Disorders/et Etiology];Communication Disorders/rh Rehabilitation];Communication Disorders/th Therapy];Early Intervention (Education)/sn Statistics &amp; Numerical Data];Exercise Therapy/sn Statistics &amp; Numerical Data];Female;Fetal Alcohol Spectrum Disorders/dt Drug Therapy];Fetal Alcohol Spectrum Disorders/rh Rehabilitation];*Fetal Alcohol Spectrum Disorders/th Therapy];Humans;Infant;Learning Disorders/dt Drug Therapy];Learning Disorders/et Etiology];Learning Disorders/th Therapy];Male;Methylphenidate/tu Therapeutic Use];Occupational Therapy/sn Statistics &amp; Numerical Data];Physical Therapy Modalities/sn Statistics &amp; Numerical Data];Pregnancy;Randomized Controlled Trials as Topic/sn Statistics &amp; Numerical Data];Social Support;Speech Therapy/sn Statistics &amp; Numerical Data];0 (Antipsychotic Agents);0 (Central Nervous System Stimulants);207ZZ9QZ49 (Methylphenidate)</t>
  </si>
  <si>
    <t>BACKGROUND: Children with Fetal Alcohol Spectrum Disorders (FASD) may have significant neurobehavioural problems persisting into adulthood. Early diagnosis may decrease the risk of adverse life outcomes. However, little is known about effective interventions for children with FASD. Our aim is to conduct a systematic review of the literature to identify and evaluate the evidence for pharmacological and non-pharmacological interventions for children with FASD. METHODS: We did an electronic search of the Cochrane Library, MEDLINE, EMBASE, PsychINFO, CINAHL and ERIC for clinical studies (Randomized controlled trials (RCT), quasi RCT, controlled trials and pre- and post-intervention studies) which evaluated pharmacological, behavioural, speech therapy, occupational therapy, physiotherapy, psychosocial and educational interventions and early intervention programs. Participants were aged under 18 years with a diagnosis of a FASD. Selection of studies for inclusion and assessment of study quality was undertaken independently by two reviewers. Meta-analysis was not possible due to diversity in the interventions and outcome measures. RESULTS: Twelve studies met the inclusion criteria. Methodological weaknesses were common, including small sample sizes; inadequate study design and short term follow up. Pharmacological interventions, evaluated in two studies (both RCT) showed some benefit from stimulant medications. Educational and learning strategies (three RCT) were evaluated in seven studies. There was some evidence to suggest that virtual reality training, cognitive control therapy, language and literacy therapy, mathematics intervention and rehearsal training for memory may be beneficial strategies. Three studies evaluating social communication and behavioural strategies (two RCT) suggested that social skills training may improve social skills and behaviour at home and Attention Process Training may improve attention. CONCLUSION: There is limited good quality evidence for specific interventions for managing FASD, however seven randomized controlled trials that address specific functional deficits of children with FASD are underway or recently completed. References: 39]</t>
  </si>
  <si>
    <t>J2: BMC Pediatr; Peadon, Elizabeth Rhys-Jones, Biarta Bower, Carol Elliott, Elizabeth J; ID: 322</t>
  </si>
  <si>
    <t>1471-2431</t>
  </si>
  <si>
    <t>Peadon,Elizabeth. Discipline of Paediatrics and Child Health, University of Sydney, Australia. elizabp5@chw.edu.au</t>
  </si>
  <si>
    <t>http://ovidsp.ovid.com/ovidweb.cgi?T=JS&amp;CSC=Y&amp;NEWS=N&amp;PAGE=fulltext&amp;D=med5&amp;AN=19463198</t>
  </si>
  <si>
    <t>http://dx.doi.org/10.1186/1471-2431-9-35</t>
  </si>
  <si>
    <t>MEDLINE; Ovid Technologies; Systematic review of interventions for children with Fetal Alcohol Spectrum Disorders</t>
  </si>
  <si>
    <t>Pechlivanoglou,P.;Wieringa,J. E.;De Jager,T.;Postma,M. J.;Author,Addresses;Unit of,PharmacoEpidemiology;PharmacoEconomics,Department;of Pharmacy, University of Groningen,Groningen Netherlands;Toronto,Health;Economics;Technology Assessment Collaborative, Department,of Pharmacy;University,of Toronto;Department of Marketing, Faculty,of Economics;Business;University,of Groningen;Correspondence,Address;Pechlivanoglou,Toronto Health Economics,P.;Technology,Assessment;Collaborative,Department of Pharmacy University of Toronto Toronto;Canada</t>
  </si>
  <si>
    <t>24519732; The Effect of Financial and Educational Incentives on Rational Prescribing. A State-Space Approach</t>
  </si>
  <si>
    <t>Health Economics</t>
  </si>
  <si>
    <t>Health Econ.</t>
  </si>
  <si>
    <t>(2015) 24</t>
  </si>
  <si>
    <t>illicit drug;alcohol consumption;drug abuse;adolescent;adult;age;article;female;human;male;National Longitudinal Study of Adolescent Health;priority journal;regression analysis;Public Health, Social Medicine and Epidemiology (17);Pediatrics and Pediatric Surgery (7)</t>
  </si>
  <si>
    <t>In 2005, a Dutch health insurer introduced a financial incentive directed to general practitioners to promote rational prescribing of statins and proton pump inhibitors (PPIs). Concomitantly, a regional institution that develops pharmacotherapeutic guidelines implemented two educational interventions also aiming at promoting rational statin and PPI prescribing. Utilizing a prescription database, we estimated the effect of the interventions on drug utilization and cost of statins and PPIs over time. We measured the effect of the interventions within an implementation and a control region. The implementation region included prescriptions from the province of Groningen where the educational intervention was implemented and where the health insurer is most active. The control region comprised all other provinces covered by the database. We modelled the effect of the intervention using a state-space approach. Significant differences in prescribing and cost patterns between regions were observed for statins and PPIs. These differences however were mostly related to the concurrent interventions of Proeftuin Farmacie Groningen. We found no evidence indicating a significant effect of the rational prescribing intervention on the prescription patterns of statins and PPIs. Our estimates on the economic impact of the Proeftuin Farmacie Groningen interventions indicate that educational activities as such can achieve significant cost savings.</t>
  </si>
  <si>
    <t>(Pechlivanoglou P., petros.pechlivanoglou@theta.utoronto.ca; De Jager T.; Postma M.J.) (Pechlivanoglou P., petros.pechlivanoglou@theta.utoronto.ca) (Wieringa J.E.) John Wiley and Sons Ltd, Southern Gate, Chichester, West Sussex, United Kingdom.; ID: 863</t>
  </si>
  <si>
    <t>1099-1050 (electronic) 1057-9230</t>
  </si>
  <si>
    <t>http://www.ncbi.nlm.nih.gov/pubmed/24519732</t>
  </si>
  <si>
    <t>The Effect of Financial and Educational Incentives on Rational Prescribing. A State-Space Approach</t>
  </si>
  <si>
    <t>Penenberg,D.;Chung,M.;Walmsley,P.;Vashi,V.;Author,Addresses;Department of,Clinical;Research,Central Research Division Pfizer Inc Eastern Point Road;Groton,C. T. U.;Correspondence,Address;Vashi, Department of Clinical Research Central Research Division,V.;Pfizer,Inc Eastern Point Road Groton C.T.United States</t>
  </si>
  <si>
    <t>10631624; The effects of hepatic impairment on the pharmacokinetics of doxazosin</t>
  </si>
  <si>
    <t>(MAJOR FOCUS);doxazosin (drug concentration, drug dose, oral drug administration,;pharmacokinetics, pharmacology);alcohol liver cirrhosis;dose liver function relation;adult;article;diet restriction;dose response;dose time effect relation;drug clearance;drug effect;drug half life;drug safety;drug transformation;electrocardiogram;human;human experiment;human tissue;male;volunteer;DRUG TRADE NAMES;cardura , United StatesPfizer;DRUG MANUFACTURERS;(United States)Pfizer;doxazosin (74191-85-8);Clinical and Experimental Pharmacology (30);Drug Literature Index (37)</t>
  </si>
  <si>
    <t>The pharmacokinetics of doxazosin was determined in an open-label study of 12 male volunteers with hepatic impairment (stable alcoholic cirrhosis) and 12 healthy male volunteers. Participants (fasting) received a single 2 mg doxazosin tablet, and blood samples were collected over a 120-hour period. Safety assessments included laboratory and vital sign (blood pressure, pulse rate, and ECGs) measurements and recording of all reported adverse events. The mean peak plasma concentrations were 10.8 ng/mL and 12.3 ng/mL for the subjects with hepatic impairment and healthy subjects, respectively. The corresponding mean area under the plasma concentration-time curve values were 246 and 172 ng‚î¨‚ïñh/mL, a 43% increase in exposure in the subjects with hepatic impairment (p = 0.02). Although the apparent oral clearance was reduced by 30% in men with hepatic impairment compared with healthy subjects (p = 0.02), the elimination halflife was not significantly changed (24 vs. 22 hours, respectively). Laboratory test results, vital signs, and the incidence of adverse events were similar for the two treatment groups. These findings indicate that the recommended dosing regimen for doxazosin is appropriate for patients with clinically mild to moderate hepatic impairment. (C) 2000 the American College of Clinical Pharmacology.</t>
  </si>
  <si>
    <t>(Penenberg D.; Chung M.; Walmsley P.; Vashi V.) SAGE Publications Inc., 2455 Teller Road, Thousand Oaks, United States.; ID: 1629</t>
  </si>
  <si>
    <t>http://www.ncbi.nlm.nih.gov/pubmed/10631624</t>
  </si>
  <si>
    <t>The effects of hepatic impairment on the pharmacokinetics of doxazosin</t>
  </si>
  <si>
    <t>Penna,R. P.</t>
  </si>
  <si>
    <t>Pharmaceutical care: pharmacy's mission for the 1990s</t>
  </si>
  <si>
    <t>Clinical Competence;*Drug Therapy/st Standards];Institutional Practice;Outcome and Process Assessment (Health Care);Patient Advocacy;Pharmacists;*Pharmacy/td Trends];Pharmacy Service, Hospital/td Trends];Social Responsibility;United States</t>
  </si>
  <si>
    <t>The case for pharmaceutical care as pharmacy's mission for the 1990s is presented. The emergence of pharmacy as a clinical profession has given pharmacists the skills and knowledge to improve the outcomes of drug therapy. It also presents them with the responsibility for those results. Practitioners of pharmaceutical care are concerned with the effect of their services on patients' quality of life and not merely with the act of providing services. They work with other health-care professionals as equals to ensure that therapeutic goals are achieved and that drug-related illness does not occur or is quickly detected and resolved. To be accepted and implemented, pharmaceutical care must first overcome pharmacy's product- and service-oriented focus, opposition from other health-care professions and drug manufacturers, financial and logistical problems, and ignorance and inertia among pharmacists themselves. Through a united effort, pharmacy organizations, schools, and individual pharmacists can translate the need for pharmaceutical care into demands for it by patients, insurance companies, health maintenance organizations, and the government. Pharmaceutical skills and knowledge have developed to the point where pharmacists must share in responsibility for the outcomes of drug therapy.</t>
  </si>
  <si>
    <t>J2: Am J Hosp Pharm; Penna, R P; ID: 680</t>
  </si>
  <si>
    <t>Penna,R P. American Association of Colleges of Pharmacy, Alexandria, VA 22314.</t>
  </si>
  <si>
    <t>http://ovidsp.ovid.com/ovidweb.cgi?T=JS&amp;CSC=Y&amp;NEWS=N&amp;PAGE=fulltext&amp;D=med3&amp;AN=2316539</t>
  </si>
  <si>
    <t>MEDLINE; Ovid Technologies; Pharmaceutical care: pharmacy's mission for the 1990s</t>
  </si>
  <si>
    <t>Penning-van Beest,F. J.;Overbeek,J. A.;Smulders,M.;van Spiegel,P. I.;Meerding,W. J.;Herings,R. M.</t>
  </si>
  <si>
    <t>Evaluation of smoking cessation drug use and outcomes in the Netherlands</t>
  </si>
  <si>
    <t>Journal of Medical Economics</t>
  </si>
  <si>
    <t>Adult;Female;Humans;Male;Middle Aged;Netherlands;Nicotinic Agonists/pd Pharmacology];*Nicotinic Agonists/tu Therapeutic Use];*Outcome Assessment (Health Care);*Smoking Cessation/mt Methods];Surveys and Questionnaires;*Tobacco Use Disorder/dt Drug Therapy];0 (Nicotinic Agonists)</t>
  </si>
  <si>
    <t>OBJECTIVE: Several pharmacological therapies are available to help smokers quit. The aim was to investigate the utilisation and effectiveness of smoking cessation drugs in daily practice in the Netherlands. METHODS: Subjects aged &gt;18 years with a pharmacy prescription of varenicline, bupropion, nicotine replacement therapy (NRT) or nortriptyline between March 2007 and September 2008 were identified from the PHARMO data warehouse, which includes drug dispensing, hospitalisation and other data from approximately 2.5 million residents in the Netherlands. Using an encrypted methodology, corresponding non-person-identifiable dispensing IDs were linked to a web-based system for patient-reported data collection. Corresponding pharmacists asked the subjects to participate in the study and complete a web-based questionnaire on smoking history and cessation, including utilisation of (pharmaco) therapies. RESULTS: Of 2,684 invited subjects, 698 responded (26%), of whom 612 were included in the analyses. Bupropion was the most frequently used smoking cessation drug (35% of patients), followed by varenicline (28%), bupropion+NRT (12%) and varenicline+NRT (9%). Overall, 51% of patients also reported behavioural therapy. A total of 53% of bupropion users, 51% of varenicline users, 42% of NRT users and 20-40% of patients using multiple drugs reported to not smoke at the time of questionnaire. Median (interquartile range) number of days between time of questionnaire and start date of last quit attempt ranged from 271 (104-432) for varenicline+bupropion to 356 (205-518) for bupropion. Mean duration of drug use ranged from 42 to 53 days among quitters and from 19 to 42 days among relapsers. CONCLUSION: In this study up to 50% of patients who obtained smoking cessation drugs at the pharmacy stopped smoking. Better access to smoking cessation drugs as recommended in guidelines will help to further decrease smoking prevalence.</t>
  </si>
  <si>
    <t>J2: J Med Econ; Penning-van Beest, Fernie J A Overbeek, Jetty A Smulders, Maartje van Spiegel, Paul I Meerding, Willem Jan Herings, Ron M C; ID: 261</t>
  </si>
  <si>
    <t>1941-837X</t>
  </si>
  <si>
    <t>Penning-van Beest,Fernie J A. PHARMO Institute, Utrecht, The Netherlands. fernie.penning@pharmo.nl</t>
  </si>
  <si>
    <t>http://ovidsp.ovid.com/ovidweb.cgi?T=JS&amp;CSC=Y&amp;NEWS=N&amp;PAGE=fulltext&amp;D=med5&amp;AN=21241162</t>
  </si>
  <si>
    <t>http://dx.doi.org/10.3111/13696998.2010.551165</t>
  </si>
  <si>
    <t>MEDLINE; Ovid Technologies; Evaluation of smoking cessation drug use and outcomes in the Netherlands</t>
  </si>
  <si>
    <t>Peppin,J. F.;Coleman,J. J.;Kirsh,K. L.</t>
  </si>
  <si>
    <t>Considerations for the upcoming FDA REMS proposal</t>
  </si>
  <si>
    <t>Journal of Opioid Management</t>
  </si>
  <si>
    <t>176 4p</t>
  </si>
  <si>
    <t>Analgesics, Opioid;Prescriptions, Drug -- Standards;Substance Use Disorders -- Epidemiology;Risk Assessment -- Legislation and Jurisprudence;Risk Assessment -- Standards;United States Food and Drug Administration;Delayed-Action Preparations;Witness, Legal;Substance Use Disorders -- Prevention and Control;Pain -- Drug Therapy;Palliative Care;Patient Education;Pharmacy and Pharmacology -- Education;Nomenclature;United States</t>
  </si>
  <si>
    <t>Entry Date: 20110902. Revision Date: 20150712. Publication Type: Journal Article; editorial. Journal Subset: Biomedical; Double Blind Peer Reviewed; Editorial Board Reviewed; Expert Peer Reviewed; Peer Reviewed; USA. NLM UID: 101234523. PMID: 21823548.; ID: 1857</t>
  </si>
  <si>
    <t>1551-7489</t>
  </si>
  <si>
    <t>http://proxy.lib.umich.edu/login?url=http://search.ebscohost.com/login.aspx?direct=true&amp;db=ccm&amp;AN=108249204&amp;site=ehost-live&amp;scope=site</t>
  </si>
  <si>
    <t>10.5055/jom.2011.0060</t>
  </si>
  <si>
    <t>ccm; EBSCOhost; Considerations for the upcoming FDA REMS proposal</t>
  </si>
  <si>
    <t>Peppin,J. F.;Kirsh,K.;Porada,S.;Cole,B. E.;Author,Addresses;Pain Treatment,Center of;Bluegrass,Lexington United States;Aventine HealthSciences,Montclair,United States;Correspondence,Address;JF Peppin, Pain Treatment Center of the Bluegrass,Lexington United;States Email,johnpeppin,msn com</t>
  </si>
  <si>
    <t>Stakeholders views on abuse and diversion in kentucky</t>
  </si>
  <si>
    <t>abuse;pain;United States;addiction;Delphi study;drug therapy;education;emergency ward;general practice;health care personnel;hospital;information processing;internal medicine;Internet;law enforcement;nursing;offender;palliative therapy;patient;pharmacy;physician;policy;prescription;psychology;responsibility</t>
  </si>
  <si>
    <t>Scheduled medication abuse and diversion of is a serious problem nationally and particularly challenging in Kentucky. To date, few solutions for this multifaceted problem have emerged. Stakeholders were gathered into a committee comprised of law enforcement, regulatory, pharmacy, nursing, physicians (addiction, internal medicine, pain medicine, family practice, and palliative medicine), psychology, teen addiction, and education. A focus group and partial Delphi method rank ordered multiple issues. These issues were collated and initial questions were developed for an internet survey. While ongoing, the first 50 responses to the survey were analyzed. When asked to rank nine potential barriers to reducing diversion in Kentucky, respondents rated lack of patient responsibility for their prescription medications (average rank, AR = 2.81) and lack of appropriate pain management education for prescribers and dispensers (AR = 3.09) as the two most significant barriers. When asked to rank six sources of information, which would help reduce diversion but were currently lacking, data on the number of emergency room and hospital visits for controlled substances (AR = 2.81) and ways to identify the number of criminal activities ties to controlled substances (AR = 3.05) were the top issues. Of existing information, KASPER was reported as the single most important source of data. Future recommendations included better training for healthcare professionals and adoption of a requirement to show ID to pick up controlled substance prescriptions. This survey is ongoing and will be reformatted for a second iteration to help guide policy directions and targets for research in this area.</t>
  </si>
  <si>
    <t>(Peppin J.F., johnpeppin@msn.com; Cole B.E.) (Kirsh K.; Porada S.) 26th Annual Meeting of the American Academy of Pain Medicine, AAPM San Antonio, TX, United States 2010-02-03 to 2010-02-06 Blackwell Publishing Inc.; ID: 1397</t>
  </si>
  <si>
    <t>Perreault,M. L.;Hasbi,A.;O'Dowd B,F.;George,S. R.;Author,Addresses;Centre for,Addiction;Mental Health, University of Toronto,Toronto O.;Canada;Department of Pharmacology, University of Toronto,Toronto O.;Department,of Medicine;Toronto,Toronto O. N. Canada;Correspondence,Address;SR George,Centre,for Addiction;Mental Health,University,of Toronto;Toronto,O. N. C.</t>
  </si>
  <si>
    <t>23774533; Heteromeric dopamine receptor signaling complexes: Emerging neurobiology and disease relevance</t>
  </si>
  <si>
    <t>(MAJOR FOCUS);dopamine 1 receptor (endogenous compound);dopamine 2 receptor (endogenous compound);dopamine 3 receptor (endogenous compound);dopamine 5 receptor (endogenous compound);4 aminobutyric acid B receptor (endogenous compound);G protein coupled receptor (endogenous compound);histamine H3 receptor (endogenous compound);ligand;n methyl dextro aspartic acid receptor;neurobiology;addiction;allosterism;attention deficit disorder;cognitive defect;dopaminergic system;dopaminergic transmission;nonhuman;oligomerization;priority journal;protein protein interaction;review;schizophrenia;signal transduction;upregulation;Clinical and Experimental Biochemistry (29);Psychiatry (32);Neurology and Neurosurgery (8)</t>
  </si>
  <si>
    <t>The pharmacological modification of dopamine transmission has long been employed as a therapeutic tool in the treatment of many mental health disorders. However, as many of the pharmacotherapies today are not without significant side effects, or they alleviate only a particular subset of symptoms, the identification of novel therapeutic targets is imperative. In light of these challenges, the recognition that dopamine receptors can form heteromers has significantly expanded the range of physiologically relevant signaling complexes as well as potential drug targets. Furthermore, as the physiology and disease relevance of these receptor heteromers is further understood, their ability to exhibit pharmacological and functional properties distinct from their constituent receptors, or modulate the function of endogenous homomeric receptor complexes, may allow for the development of alternate therapeutic strategies and provide new avenues for drug design. In this review, we describe the emerging neurobiology of the known dopamine receptor heteromers, their physiological relevance in brain, and discuss the potential role of these receptor complexes in neuropsychiatric disease. We highlight their value as targets for future drug development and discuss innovative research strategies designed to selectively target these dopamine receptor heteromers in the search for novel and clinically efficacious pharmacotherapies. ‚î¨‚åê 2014 American College of Neuropsychopharmacology.</t>
  </si>
  <si>
    <t>(Perreault M.L.; Hasbi A.; O'dowd B.F.; George S.R., s.george@utoronto.ca) (George S.R., s.george@utoronto.ca) Nature Publishing Group, Houndmills, Basingstoke, Hampshire, United Kingdom.; ID: 954</t>
  </si>
  <si>
    <t>1740-634X (electronic) 0893-133X</t>
  </si>
  <si>
    <t>http://www.ncbi.nlm.nih.gov/pubmed/23774533</t>
  </si>
  <si>
    <t>Heteromeric dopamine receptor signaling complexes: Emerging neurobiology and disease relevance</t>
  </si>
  <si>
    <t>Perry,R.;Author,Addresses;Arnold;Marie Schwartz,College of;Health;Sciences,Long Island University United States;Correspondence,Address;Perry,Arnold,R.;Marie Schwartz,College of;Health,Sciences;Long,Island University</t>
  </si>
  <si>
    <t>Methadone-induced bowel perforation and fecal peritonitis: A case report</t>
  </si>
  <si>
    <t>(MAJOR FOCUS);methadone;antibiotic agent;diamorphine;opiate;case report;college;human;intestine perforation;peritonitis;pharmacist;abdominal pain;abuse;acute respiratory failure;adverse drug reaction;anus sphincter;artery occlusion;Caucasian;computer assisted tomography;constipation;decreased appetite;detoxification;emergency ward;emphysema;feces impaction;gastrointestinal secretion;gastrointestinal transit;maintenance therapy;male;medical history;methadone treatment;nausea;operating room;pain;patient;perforation;risk;sedation;small intestine;stent;swallowing;therapy;total colon resection;ventilator;vomiting;weaning</t>
  </si>
  <si>
    <t>Background: Methadone, a synthetic opiate, is one of the mainstays of therapy for detoxification in opioid dependency. Similar to other opiates, constipation is one of the common adverse effects observed during treatment with methadone. Constipation results from delayed gastrointestinal transit, reduced propulsion, increased anal sphincter tone, reduced gastrointestinal secretions and contraction strength. Perforation of the colon can result from pressure of an impacted fecal mass, due to severe constipation. Unlike other adverse effects of methadone, such as nausea and sedation, tolerance to the constipating effects rarely develops. Patient-History: The patient is a 71 year old Caucasian male with a past medical history significant for IV heroin abuse, emphysema and right iliac arterial occlusion with stents, was brought into the emergency department with a chief complaint of abdominal pain and multiple episodes of emesis over the past 24 hours. The patient was being managed on Methadone 50 mg daily for the past 20 years. Presenting symptoms included decreased appetite, pain upon swallowing, abdominal pain and nausea for 3 days and admitted for generalized abdominal pain. A CT scan showed that the patient had a dilated colon, with distended loops of both the large and small bowel, and severe fecal impaction. The patient was taken to the operating room and received a sub-total colectomy. The patient was treated with broad-spectrum antibiotics for management of fecal peritonitis. Two weeks later, the patient developed acute respiratory failure and was placed on a ventilator. Several attempts to wean the patient for the ventilator had failed. Thirty-three days after admission, the patient expired due to complications of bowel perforation. Review of Literature: A MEDLINE search revealed few cases of methadone induced bowel perforation and fecal peritonitis. This has rarely been reported to be fatal. Conclusion: In this patient case, bowel perforation developed secondary to maintenance treatment with methadone, which proved to be fatal. When managing a patient on methadone maintenance therapy, it is important to complete a thorough evaluation and monitor the patient for constipation. Clinicians should implement effective regimens preventative strategies and treatment plans in patients at risk.</t>
  </si>
  <si>
    <t>(Perry R.) 15th Annual Meeting of the College of Psychiatric and Neurologic Pharmacists, CPNP 2012 Tampa, FL, United States 2012-04-29 to 2012-05-02 SAGE Publications Inc.; ID: 1169</t>
  </si>
  <si>
    <t>Pervanas,H. C.;Chhay,S.;Kelleher,J. A.;Author,Addresses;Pharmacy Practice Department, Mcphs,University Manchester;United,States;McPhs University,Norcross,United States;McPhs University,Manchester,United States;Correspondence,Address;HC Pervanas, Pharmacy Practice Department Mcphs,University Manchester;United,States</t>
  </si>
  <si>
    <t>Use of an interactive role-play activity to educate teens about substance abuse</t>
  </si>
  <si>
    <t>alcohol;prescription drug;American;clinical pharmacy;college;role playing;substance abuse;abuse;adolescent;alcohol abuse;boy;death;drug abuse;female;girl;human;institutional review;intoxication;male;pharmacist;population;prescription;student;teaching;university;videorecording</t>
  </si>
  <si>
    <t>PURPOSE: Substance abuse among teens and adolescents is a major concern. Educating teens about the associated dangers is necessary to avoid the potential for misuse or abuse. Interactive activities may be an effective teaching approach in educating this population. METHODS: Student pharmacists created an interactive activity to educate teens and adolescents about substance abuse at a local Boys and Girls Club. Student pharmacists' video recorded a role play skit depicting a scenario that involved prescription and alcohol abuse leading to an overdose. This video recording was played for the participants and was followed by a discussion and similar role play activities in which the participants were involved. Participants were asked to complete an 8 question pre and post survey. Qualitative coding and analysis was performed on the data. This project was approved by the MCPHS University Institutional Review Board. RESULTS: A total of 24 students participated in the activity. A majority of the participants were female (54%) and between the ages of 11-12 (52%). Younger participants ages 11-13 reported that alcohol (56%) was most abused by teens versus the 14- 17 years olds that reported prescription drug were most abused (66%). When asked about whether it was safe to take prescription drugs that were not prescribed, teens disagreed (18%) or strongly disagreed (73%) with the statement prior to the activity versus (96%) that strongly disagreed following the activity. When asked about the dangers associated with prescription drugs participants reported death (56%) and getting sick (42%). CONCLUSION: The use of an interactive role play skit activity allowed for teens to recognize the dangers associated with prescription drug abuse. Teens were able to identify that non prescribed prescription drugs if taken can lead to serious consequences. Older teens had a greater knowledge of prescription drugs versus younger adolescents.</t>
  </si>
  <si>
    <t>(Pervanas H.C.) (Chhay S.) (Kelleher J.A.) 2014 Annual Meeting of the American College of Clinical Pharmacy, ACCP 2014 Austin, TX, United States 2014-10-12 to 2014-10-15 Pharmacotherapy Publications Inc.; ID: 880</t>
  </si>
  <si>
    <t>Peters,R., J.;Yacoubian,G. S., J.;Rhodes,W.;Forsythe,K. J.;Bowers,K. S.;Eulian,V. M.;Mangum,C. A.;O'Neal,J. D.;Martin,Q.;Essien,E. J.</t>
  </si>
  <si>
    <t>Beliefs and social norms about codeine and promethazine hydrochloride cough syrup (CPHCS) use and addiction among multi-ethnic college students</t>
  </si>
  <si>
    <t>African Continental Ancestry Group;Antitussive Agents/ae Adverse Effects];*Antitussive Agents/tu Therapeutic Use];Codeine/ae Adverse Effects];*Codeine/tu Therapeutic Use];*Cough/dt Drug Therapy];Drug Combinations;Female;Humans;Male;Promethazine/ae Adverse Effects];*Promethazine/tu Therapeutic Use];*Public Opinion;Qualitative Research;Students;Substance-Related Disorders/eh Ethnology];*Substance-Related Disorders/px Psychology];Surveys and Questionnaires;United States/ep Epidemiology];Universities;0 (Antitussive Agents);0 (Drug Combinations);FF28EJQ494 (Promethazine);Q830PW7520 (Codeine)</t>
  </si>
  <si>
    <t>In this study a qualitative approach is used to investigate relevant beliefs and norms concerning the consumption, initiation, and perceived addiction of codeine and promethazine hydrochloride cough syrup (CPHCS) among 61 college-age students who identified themselves as current CPHCS users. In general, a majority of students stated that doctors and pharmacists were the greatest facilitators of CPHCS acquisition. A majority of students believed that their friends felt codeine promethazine use was "normal" and "cool" among college students their age, and that reinforcing factors, such as peer pressure and curiosity, contributed to initial CPHCS use.</t>
  </si>
  <si>
    <t>J2: J Psychoactive Drugs; Peters, Ronald Jr Yacoubian, George S Jr Rhodes, Warren Forsythe, Karry J Bowers, Kameko S Eulian, Valencia M Mangum, Clemmie A O'Neal, Jamie D Martin, Queen Essien, E James; ID: 370</t>
  </si>
  <si>
    <t>Peters,Ronald Jr. University of Texas School of Public Health, 7000 Fannin Suite 2618, Houston, TX 77030, USA. Ronald.J.Peters@uth.tmc.edu</t>
  </si>
  <si>
    <t>http://ovidsp.ovid.com/ovidweb.cgi?T=JS&amp;CSC=Y&amp;NEWS=N&amp;PAGE=fulltext&amp;D=med5&amp;AN=18159781</t>
  </si>
  <si>
    <t>MEDLINE; Ovid Technologies; Beliefs and social norms about codeine and promethazine hydrochloride cough syrup (CPHCS) use and addiction among multi-ethnic college students</t>
  </si>
  <si>
    <t>Peters,R. J., J.;Meshack,A. F.;Kelder,S. H.;Webb,P.;Smith,D.;Garner,K.</t>
  </si>
  <si>
    <t>Alprazolam (Xanax) use among southern youth: beliefs and social norms concerning dangerous rides on "handlebars"</t>
  </si>
  <si>
    <t>Adolescent;Adolescent Behavior;*Alprazolam;*Attitude to Health;Female;Humans;Male;Pilot Projects;Qualitative Research;*Social Environment;*Substance-Related Disorders/ep Epidemiology];Substance-Related Disorders/px Psychology];United States/ep Epidemiology];YU55MQ3IZY (Alprazolam)</t>
  </si>
  <si>
    <t>While the epidemiologic trends concerning alprazolam (Xanax) are unknown, the use of benzodiazepines, in general, has increased in popularity among youth within recent years. To shed light on the drug problem, the current pilot study used a qualitative approach to investigate relevant beliefs, norms, and perceived addiction associated with alprazolam initiation among 46 youth who were attending an inpatient drug treatment program during the spring of 2004. Overwhelmingly, most participants stated that addiction to alprazolam occurs as early as initial consumption. Most youth in the study stated that their friends felt it was normal to use alprazolam. In addition, their control beliefs revealed that if someone wanted to stop it would be difficult because of the widespread use in their communities and family social reinforcement involved with its use. In this study, a majority of students stated that medical professionals such as doctors and pharmacists were the greatest facilitator of alprazolam acquisition. Implications for these results are discussed.</t>
  </si>
  <si>
    <t>J2: J Drug Educ; Peters, Ronald J Jr Meshack, Angela F Kelder, Steven H Webb, Patrick Smith, Dexter Garner, Kevin; ID: 369</t>
  </si>
  <si>
    <t>Peters,Ronald J Jr. The University of Texas Health Science Center at Houston, 77030, USA. Ronald.J.Peters@uth.tmc.edu</t>
  </si>
  <si>
    <t>http://ovidsp.ovid.com/ovidweb.cgi?T=JS&amp;CSC=Y&amp;NEWS=N&amp;PAGE=fulltext&amp;D=med5&amp;AN=18351180</t>
  </si>
  <si>
    <t>MEDLINE; Ovid Technologies; Alprazolam (Xanax) use among southern youth: beliefs and social norms concerning dangerous rides on "handlebars"</t>
  </si>
  <si>
    <t>Peterson,G. M.;Fitzmaurice,K. D.;Naunton,M.;Vial,J. H.;Stewart,K.;Krum,H.</t>
  </si>
  <si>
    <t>Impact of pharmacist-conducted home visits on the outcomes of lipid-lowering drug therapy</t>
  </si>
  <si>
    <t>Aged;*Cardiovascular Diseases/dt Drug Therapy];Cholesterol/bl Blood];Female;Health Behavior;*House Calls;Humans;*Hydroxymethylglutaryl-CoA Reductase Inhibitors/tu Therapeutic Use];Male;Middle Aged;Patient Compliance;Patient Education as Topic/mt Methods];*Pharmacists;Prospective Studies;Treatment Outcome;0 (Hydroxymethylglutaryl-CoA Reductase Inhibitors);97C5T2UQ7J (Cholesterol)</t>
  </si>
  <si>
    <t>OBJECTIVE: To evaluate a pharmacist-conducted educational and monitoring programme, designed to promote dietary and lifestyle modification and compliance with lipid-lowering drug therapy, for patients with dyslipidaemia. METHODS: This was a prospective, randomized, controlled study. The participants were 94 adults, with 81 completing the study (intervention group: 39; control group: 42), with a cardiovascular-related diagnosis and discharged from hospital, between April and October 2001, on lipid-lowering drug therapy. Patients in the intervention group were visited at home monthly by a pharmacist, who educated the patients on the goals of lipid-lowering treatment and the importance of lifestyle issues in dyslipidaemia and compliance with therapy, assessed patients for drug-related problems, and measured total blood cholesterol levels using point-of-care testing. Patients in the control group received standard medical care. The main outcome measure was total blood cholesterol levels after 6 months, and an evaluation of patient and general practitioner satisfaction with the programme. RESULTS: There was no significant difference in baseline total blood cholesterol levels between the two groups. The reduction over the course of the study in cholesterol levels within the intervention group was statistically significant (4.9 +/- 0.7 to 4.4 +/- 0.6, P&lt;0.005), whereas there was no change within the control group (P=0.26). At follow-up, 44% of the intervention group patients and 24% of the control group patients had cholesterol levels below 4.0 mmol/L (P=0.06). The reduction in total cholesterol in the intervention group should translate to an expected 21% reduction in cardiovascular mortality risk and a 16% reduction in total mortality risk--more than twice the risk reduction achieved in the control group. In addition, the programme was very well received by the patients and their general practitioners, by satisfaction questionnaire. CONCLUSION: A pharmacist-conducted educational and monitoring intervention improved the outcomes of lipid-lowering drug therapy.</t>
  </si>
  <si>
    <t>J2: J Clin Pharm Ther; Peterson, G M Fitzmaurice, K D Naunton, M Vial, J H Stewart, K Krum, H; ID: 487</t>
  </si>
  <si>
    <t>Peterson,G M. School of Pharmacy, University of Tasmania, Hobart, Tasmania, Australia. g.peterson@utas.edu.au</t>
  </si>
  <si>
    <t>http://ovidsp.ovid.com/ovidweb.cgi?T=JS&amp;CSC=Y&amp;NEWS=N&amp;PAGE=fulltext&amp;D=med5&amp;AN=14748894</t>
  </si>
  <si>
    <t>MEDLINE; Ovid Technologies; Impact of pharmacist-conducted home visits on the outcomes of lipid-lowering drug therapy</t>
  </si>
  <si>
    <t>Peterson,J.;Dress,J.;Thomas,C.;Author,Addresses;Chillicothe,Veterans Affairs;Center,United States;Correspondence,Address;Peterson, Chillicothe Veterans Affairs Medical Center United States,J.</t>
  </si>
  <si>
    <t>The efficacy of melatonin for the treatment of sleep disturbances on a psychosocial care unit</t>
  </si>
  <si>
    <t>(MAJOR FOCUS);melatonin;college;human;pharmacist;psychosocial care;sleep disorder;addiction;clinical indicator;cohort analysis;control group;electronic medical record;excretion;follow up;mental disease;metabolite;patient;Pittsburgh Sleep Quality Index;population;posttraumatic stress disorder;rehabilitation;study design;veteran</t>
  </si>
  <si>
    <t>Background: Sleep disturbances are prevalent in patients with mental illness, including patients with posttraumatic stress disorder (PTSD). However, there is limited research that explores the physiological cause of sleep disturbances in PTSD patients. One recent study found a significant negative correlation between excretion of 6-sulphatoxy melatonin, a urinary melatonin metabolite, and clinical indicators of PTSD. These findings suggest that there is a potential deficiency of melatonin in PTSD patients, which could help account for comorbid sleep disturbances. The present study explores whether there is a melatonin deficiency in PTSD patients that could be alleviated by treatment with a melatonin supplement. Objective: To study the efficacy of melatonin in PTSD patients with sleep disturbances on a psychosocial care unit. Methods: The study design is a retrospective cohort analysis of patients on a psychosocial care unit, the Psychosocial Residential Rehabilitation Treatment Program (PRRTP) at the Chillicothe Veterans Affairs Medical Center. This study is one part of a combined research project that evaluates the efficacy of melatonin in patients with sleep disturbances in 2 psychiatric populations, patients with PTSD and patients with substance-related disorders. Patients admitted to PRRTP will be reviewed to identify those who have completed a baseline and follow-up Pittsburgh Sleep Quality Index (PSQI) survey. For patients who meet this criterion, electronic medical records will then be reviewed to identify patients who have a history of PTSD and/or melatonin use. The treatment group will consist of patients with PTSD who received melatonin, and the control group will consist of patients who did not receive melatonin during admission to PRRTP. The primary outcome will be change in PSQI score from baseline to follow-up time points. In order to determine if melatonin is efficacious in the treatment of sleep disturbances, the primary outcome will be compared in the treatment and control groups using the Mann-Whitney U statistical test. Outcomes: We will report baseline characteristics of the participants, including any differences between the treatment and control groups. We will also report whether change in PSQI score from baseline to follow-up time points are statistically different between PTSD patients who received melatonin and control patients.</t>
  </si>
  <si>
    <t>(Peterson J.; Dress J.; Thomas C.) 14th Annual Meeting of the College of Psychiatric and Neurologic Pharmacists, CPNP 2011 Phoenix, AZ, United States 2011-05-01 to 2011-05-04 Sage Publications; ID: 1281</t>
  </si>
  <si>
    <t>Petkov,V. D.;Konstantinova,E. R.;Petkov,V. V.;Vaglenova,J. V.</t>
  </si>
  <si>
    <t>Learning and memory in rats exposed pre- and postnatally to alcohol. An attempt at pharmacological control</t>
  </si>
  <si>
    <t>Methods &amp; Findings in Experimental &amp; Clinical Pharmacology</t>
  </si>
  <si>
    <t>Animals;Animals, Suckling;Disease Models, Animal;*Ethanol/pd Pharmacology];Female;Fetal Alcohol Spectrum Disorders/dt Drug Therapy];*Fetal Alcohol Spectrum Disorders/px Psychology];*Learning/de Drug Effects];Male;*Memory/de Drug Effects];Pregnancy;*Psychotropic Drugs/pd Pharmacology];Psychotropic Drugs/tu Therapeutic Use];Rats;Rats, Inbred Strains;0 (Psychotropic Drugs);3K9958V90M (Ethanol)</t>
  </si>
  <si>
    <t>Using conditioned-reflex methods for active and passive avoidance with punishment reinforcement, we found pronounced memory deficits in 12-week old rats exposed perinatally to alcohol (FAS rats). Impairment of memory was observed not only with the high dose of 9 g ethanol/kg body weight (ingested with tap water in a 6% solution) to which dams were exposed during pregnancy and lactation, but also with the ten-fold lower dose of 1 g ethanol/kg body weight (0.6% ethanol). The nootropic drugs citicholine, piracetam and meclofenoxate administered orally for five days before the training session were effective in decreasing memory deficits; particularly pronounced was the effect of piracetam and meclofenoxate. The benzodiazepine tranquilizer diazepam additionally impaired learning and memory in FAS rats. It is suggested that nootropics could be used to decrease the cognitive disturbances in some humans born to alcoholic mothers.</t>
  </si>
  <si>
    <t>J2: Methods Find Exp Clin Pharmacol; Petkov, V D Konstantinova, E R Petkov, V V Vaglenova, J V; ID: 669</t>
  </si>
  <si>
    <t>0379-0355</t>
  </si>
  <si>
    <t>Petkov,V D. Institute of Physiology, Bulgarian Academy of Sciences, Sofia.</t>
  </si>
  <si>
    <t>http://ovidsp.ovid.com/ovidweb.cgi?T=JS&amp;CSC=Y&amp;NEWS=N&amp;PAGE=fulltext&amp;D=med3&amp;AN=1870356</t>
  </si>
  <si>
    <t>MEDLINE; Ovid Technologies; Learning and memory in rats exposed pre- and postnatally to alcohol. An attempt at pharmacological control</t>
  </si>
  <si>
    <t>Petrie,J. L.</t>
  </si>
  <si>
    <t>PMC3175676; Integration of pharmacy students within a level II trauma center</t>
  </si>
  <si>
    <t>*Clinical Competence;Communication;Counseling/mt Methods];*Curriculum;Drug Information Services;*Education, Pharmacy/mt Methods];Educational Measurement/mt Methods];Faculty;Humans;Patient Care;*Problem-Based Learning;Self-Assessment;*Students, Pharmacy;Trauma Centers;*Wounds and Injuries/dt Drug Therapy]</t>
  </si>
  <si>
    <t>OBJECTIVE: To integrate fourth-year doctor of pharmacy (PharmD) students within a level II trauma center team to improve their patient care and professional communication skills. DESIGN: PharmD students completed 2 consecutive 4-week internal medicine APPEs during the course of their fourth year, which included approximately 5 weeks working on an interprofessional trauma team. During patient rounds with the interprofessional trauma team, students provided patient care in a stepwise approach, drug information responses, patient counseling, and other services requested by team members. ASSESSMENT: Ability-based outcomes (ABOs) assessment, faculty evaluations, and student self-assessment were conducted in the following areas: effective communication, drug therapy assessment and decision making, critical thinking and problem solving, and drug information retrieval. Students' mean score in these areas was 3.8 on a 5-point scale. Areas in which students needed improvement included: providing recommendations in a timely manner, self-confidence, identifying opportunity to verbally communicate with other team members, and addressing insecurities when answering drug information questions posed by the team. CONCLUSION: Integrating fourth-year PharmD students within a trauma and acute surgery team and use of ABO assessment allowed for identification of areas of the curriculum in which improvements were needed, resulting in a more targeted approach earlier in the curriculum to improve students' abilities to provide appropriate and effective patient care in an interprofessional setting.</t>
  </si>
  <si>
    <t>J2: Am J Pharm Educ; Petrie, Jennifer L; ID: 224</t>
  </si>
  <si>
    <t>Petrie,Jennifer L. School of Pharmacy, University of Wyoming, Laramie, 82071, USA. jpetrie@uwyo.edu</t>
  </si>
  <si>
    <t>http://ovidsp.ovid.com/ovidweb.cgi?T=JS&amp;CSC=Y&amp;NEWS=N&amp;PAGE=fulltext&amp;D=med5&amp;AN=21931459</t>
  </si>
  <si>
    <t>http://dx.doi.org/10.5688/ajpe756121</t>
  </si>
  <si>
    <t>MEDLINE; Ovid Technologies; Integration of pharmacy students within a level II trauma center</t>
  </si>
  <si>
    <t>Petrovic,M.;Somers,A.;Onder,G.</t>
  </si>
  <si>
    <t>Optimization of Geriatric Pharmacotherapy: Role of Multifaceted Cooperation in the Hospital Setting</t>
  </si>
  <si>
    <t>Because older patients are more vulnerable to adverse drug-related events, there is a need to ensure appropriate pharmacotherapy in these patients. This narrative review describes approaches to improve pharmacotherapy in older people in the hospital setting. Screening to identify older patients at risk of drug-related problems and adverse drug reactions (ADRs) is the first critical step within a multistep approach to geriatric pharmacotherapy. Two methods that have been developed are the GerontoNet ADR risk score and the Brighton Adverse Drug Reactions Risk (BADRI) model, which take into account a number of factors, the most important of which is the number of medicines. In order to reduce potentially inappropriate prescribing in older patients, different types of interventions exist, such as pharmacist-led medication reviews, educational interventions, computerized decision support systems, and comprehensive geriatric assessment. The effects of these interventions have been studied, sometimes in a multifaceted approach, by combining different techniques. None of the existing interventions shows a clear beneficial effect on patients' health outcomes if applied in isolation; however, when these interventions are combined within the context of a multidisciplinary team, positive effects on patients' health outcomes can be expected. Appropriate geriatric pharmacotherapy, global assessment of patients' clinical and functional parameters, and integration of skills from different healthcare professionals are needed to address medical complexity of older adults.</t>
  </si>
  <si>
    <t>J2: Drugs Aging; Petrovic, Mirko Somers, Annemie Onder, Graziano; ID: 751</t>
  </si>
  <si>
    <t>Petrovic,Mirko. Department of Geriatrics, Ghent University Hospital, De Pintelaan 185, Ghent, Belgium. mirko.petrovic@ugent.be. Somers,Annemie. Department of Pharmacy, Ghent University Hospital, Ghent, Belgium. Onder,Graziano. Centro Medicina dell'Invecchiamento, Department of Geriatrics, Policlinico A. Gemeli, Catholic University of the Sacred Heart, Rome, Italy.</t>
  </si>
  <si>
    <t>http://ovidsp.ovid.com/ovidweb.cgi?T=JS&amp;CSC=Y&amp;NEWS=N&amp;PAGE=fulltext&amp;D=prem&amp;AN=26884392</t>
  </si>
  <si>
    <t>http://dx.doi.org/10.1007/s40266-016-0352-7</t>
  </si>
  <si>
    <t>MEDLINE; Ovid Technologies; Optimization of Geriatric Pharmacotherapy: Role of Multifaceted Cooperation in the Hospital Setting</t>
  </si>
  <si>
    <t>Peveler,R.</t>
  </si>
  <si>
    <t>A depression management programme reduced depression in frequent users of healthcare but did not reduce healthcare visits</t>
  </si>
  <si>
    <t>Evidence Based Mental Health</t>
  </si>
  <si>
    <t>79 2p</t>
  </si>
  <si>
    <t>Depression -- Rehabilitation;Cost Benefit Analysis;Treatment Outcomes;Health Maintenance Organizations</t>
  </si>
  <si>
    <t>QUESTION: Does a programme to identify and treat depression in frequent users of medical care improve clinical outcomes and reduce total healthcare use?DesignCluster randomised {allocation concealment*}** blinded (telephone assessment)*, controlled trial with 1 year of follow up.SettingPrimary care clinics of 3 health management organisations (HMOs) in the US (Wisconsin, Washington, and Massachusetts).Patients407 patients who were 25-63 years of age (mean age 45 y, 77% women) with continuous health plan enrolment for &gt;/=2 years, were frequent healthcare users (ambulatory visits per year above the 85th percentile for previous 2 years), and screened positive for current major depression or major depression in partial remission with a score &gt;/= 15 on the Hamilton Depression Rating Scale (HDRS). 47% had &gt;/= 1 chronic medical disorder. Exclusion criteria included recent treatment for substance abuse, previous treatment for schizophrenia or bipolar disorder, life threatening medical illness, or active mental health specialty treatment for depression. 93% of patients completed the blinded telephone assessment at 12 months.Intervention82 physician practices were allocated to the depression management programme (DMP) (n = 218), and 81 were allocated to usual care (n=189). DMP consisted of physician education (2 hour training session and provision of psychiatrists as consultants at each HMO), patient education (a booklet entitled Depression isn't just a medical problem and videotaped educational materials), antidepressant treatment (pharmacotherapy algorithm adjusted for individual clinical need), and treatment coordination.Main outcome measuresChange in HDRS scores and number of healthcare visits.Main resultsAnalysis was by intention to treat Patients in the DMP group had greater improvements in depression score at 6 weeks (p=0.04), 3 months (p=0.02), 6 months (p &lt; 0.001), and 12 months (p &lt; 0.001) than patients in the usual care group (table). Patients in the DMP group had more healthcare visits (mean increase 1.6 visits) during 12 months of follow up relative to the previous year whereas patients in the usual care group had a decrease in healthcare visits (mean decrease 2.0 visits) (p = 0.02 for the difference between groups).ConclusionIn depressed patients who are frequent users of general medical care, a depression management programme led to greater clinical improvement but did not decrease healthcare visits.*See glossary.**Information provided by author.</t>
  </si>
  <si>
    <t>Entry Date: 20030103. Revision Date: 20150711. Publication Type: Journal Article; abstract; commentary; tables/charts. Original Study: Katzelnick DJ, Simon GE, Pearson SD, et al. Randomized trial of a depression management program in high utilizers of medical care. Arch Fam Med 2000 Apr; 9: 345-51. Journal Subset: Biomedical; Europe; UK &amp; Ireland. NLM UID: 100883413.; ID: 1793</t>
  </si>
  <si>
    <t>1362-0347</t>
  </si>
  <si>
    <t>University of Southampton and Royal South Hants Hospital, Southampton,UK</t>
  </si>
  <si>
    <t>http://proxy.lib.umich.edu/login?url=http://search.ebscohost.com/login.aspx?direct=true&amp;db=ccm&amp;AN=106793769&amp;site=ehost-live&amp;scope=site</t>
  </si>
  <si>
    <t>ccm; EBSCOhost; A depression management programme reduced depression in frequent users of healthcare but did not reduce healthcare visits</t>
  </si>
  <si>
    <t>Pfalzgraf,A.;Schwab,M.;Author,Addresses;Duquesne University's Mylan, School,of Pharmacy;United,States;Correspondence,Address;Pfalzgraf, Duquesne University's Mylan School of Pharmacy United,A.;States</t>
  </si>
  <si>
    <t>Pediatricians' self-reported treatment and pharmacotherapy monitoring of children and adolescents with major depressive disorder</t>
  </si>
  <si>
    <t>antidepressant agent;adolescent;child;college;drug therapy;major depression;monitoring;pediatrician;pharmacist;child psychiatry;data base;drug abuse;food and drug administration;habit;methodology;patient;physician;pilot study;public health problem;random sample;risk;sample size;school;suicide;therapy</t>
  </si>
  <si>
    <t>Abstract Type: Work in Progress. Background: Major depressive disorder (MDD) in children and adolescents is a serious public health problem in the US There are risks associated with untreated MDD. Children and adolescents with MDD have a greater risk for drug abuse, difficulties in school, impaired functioning, and even suicide. Given there are serious consequences associated with this disorder, treatment of children and adolescents with this MDD, becomes crucial. Unfortunately, there is a shortage of child psychiatrists in the US to treat these patients. Many children and adolescents with MDD receive treatment from pediatricians. Pediatricians, however, do not obtain the extensive training child psychiatrists receive to treat children and adolescents with MDD. Since this is the case this study will determine how pediatricians in OH, PA, and WV treat and monitor children and/or adolescents with MDD and compare the findings with current</t>
  </si>
  <si>
    <t>(Pfalzgraf A.; Schwab M.) 13th Annual Meeting of the College of Psychiatric and Neurologic Pharmacists, CPNP 2010 San Antonio, TX, United States 2010-04-18 to 2010-04-21 SAGE Publications Inc.; ID: 1367</t>
  </si>
  <si>
    <t>Pfalzgraf,A.;Scott,V.;Makela,G.;Author,Addresses;Duquesne University, School of Pharmacy,United States;West Virginia University, School of Pharmacy,United States;Medical,Asheville Va;Correspondence,Address;Pfalzgraf, Duquesne University School of Pharmacy United States,A.</t>
  </si>
  <si>
    <t>Pediatricians' treatment of children and adolescents with major depressive disorder</t>
  </si>
  <si>
    <t>antidepressant agent;adolescent;child;college;human;major depression;pediatrician;pharmacist;alcohol abuse;diseases;drug therapy;food and drug administration;health care personnel;only child;patient;physician;psychiatrist;random sample;risk factor;statistics;suicide;United States</t>
  </si>
  <si>
    <t>Purpose: Major depressive disorder (MDD) in children and adolescents is a serious psychiatric problem and is often treated with antidepressants. MDD impacts approximately 2% of children and 4%-8% of the adolescents in the United States. MDD is associated with serious risk factors including drug and alcohol abuse, impairment in overall functioning, and suicide. Given there are serious consequences associated with MDD, treatment of children and adolescents with this disorder becomes crucial. Unfortunately, there is a shortage of child and adolescent psychiatrists to treat these patients. This study investigated pediatricians' role in treating children and adolescents with MDD after the 2004 US FDA Œì√á¬£black boxŒì√á¬• warning on antidepressants. Methods: A survey was mailed to a national random sample of pediatricians (n = 2000). Descriptive statistics were utilized to analyze the data. Results: A usable response rate of 408 (22.9%) was received. A majority of pediatricians (245, 60.0%) do not treat either children or adolescents with MDD. Forty-eight (11.8%) pediatricians treat only adolescents with MDD, while no pediatricians treat only children with MDD. The decisions to treat or refer were not mutually exclusive, indicating that some pediatricians attempt to treat before referring patients to another health care provider. The majority of pediatricians (341, 84.6%) indicated they refer both children and adolescents to another health care provider for the treatment of MDD. The most commonly cited health care provider to which pediatricians refer these patients are psychiatrists. Conclusions and Future Directions: Pediatricians reported an unwillingness to treat children and adolescents with MDD, indicating a majority of pediatricians do not treat these patients. This hesitation on the part of pediatricians to treat may be due to the 2004 black box warning. This may be problematic in light of the shortage of child and adolescent psychiatrists and suggests a lack of qualified physicians to prescribe antidepressants to children and adolescents with MDD. This, however, presents an opportunity for psychiatric pharmacists to educate pediatricians on drug therapy recommendations for MDD in children and adolescents. The rationale for pediatricians' hesitation to treat these patients was not explored in the current study and may be investigated in future research.</t>
  </si>
  <si>
    <t>(Pfalzgraf A.) (Scott V.) (Makela G.) 14th Annual Meeting of the College of Psychiatric and Neurologic Pharmacists, CPNP 2011 Phoenix, AZ, United States 2011-05-01 to 2011-05-04 Sage Publications; ID: 1285</t>
  </si>
  <si>
    <t>Phelps,N.;Author,Addresses;Affiliated with Duke University Hospital, Durham,United States;Correspondence,Address;Phelps, Affiliated with Duke University Hospital Durham United States,N.</t>
  </si>
  <si>
    <t>Dronabinol for emotion-induced reflex epilepsy</t>
  </si>
  <si>
    <t>(MAJOR FOCUS);dronabinol;anticonvulsive agent;cannabidiol;cannabinoid;cannabinol;cannabis;endocannabinoid;college;emotion;human;pharmacist;reflex epilepsy;animal experiment;cannabis addiction;case report;cognition;diseases;drug megadose;drug therapy;exercise;hearing;intractable epilepsy;male;medical history;music;patient;police;population;posttraumatic stress disorder;seizure;sensory stimulation;stimulus;tic;writing</t>
  </si>
  <si>
    <t>Type: Therapeutic Case Report. Background: Reflex epilepsy is a syndrome in which seizures occur in response to specific sensory stimuli such as visual or auditory triggers, or cognitive tasks performed by the patient. Common seizure-producing stimuli include flashing lights, music, or tasks such as writing or calculation. Patient History: The patient is a 28 year old male with new onset of medically intractable seizures. He experiences two types of seizures: one type which consists of right facial twitching and another which presents as violent and aggressive outbursts lasting 5-30 minutes. His past medical history is significant for history of PTSD and heavy marijuana abuse. In spite of high doses of multiple antiepileptic medications, the patient continued to have daily seizures requiring constant physical restraint due to the violent nature of his episodes. Eventually he discovered his seizures could be reliably triggered by strong emotions. Though calm at baseline, emotional responses to seeing a police officer or hearing certain music could consistently precipitate a sudden violent episode. In an attempt to mitigate some of the aggressive episodes related to emotional triggers, the patient was prescribed dronabinol and titrated to a total of 25 mg daily. This regimen decreased the aggressive type seizures to the point that the patient could be discharged. Review of Literature: While marijuana has shown some anticonvulsant effects, results are mixed and it is not well studied in humans. The main cannabinoids in marijuana are delta-9- tetrahydrocannabinol (THC), cannabidiol, and cannabinol. Dronabinol is a synthetic formulation of THC. Some animal studies suggest that cannabidiol may more effective than THC for seizures, though further studies in humans are needed. Discussion: Though not typically considered an anticonvulsant, dronabinol reduced the frequency of aggressive seizure episodes in this patient. It is not clear if dronabinol was acting as an anticonvulsant or simply blunting the patient's emotional triggers which caused his seizures. Another possibility is that his heavy marijuana use at baseline disrupted his endogenous cannabinoid system enough to initiate his seizure disorder. Emotion-induced reflex epilepsy is rare, but dronabinol may be a reasonable treatment option in this challenging patient population.</t>
  </si>
  <si>
    <t>(Phelps N.) 16th Annual Meeting of the College of Psychiatric and Neurologic Pharmacists, CPNP 2013 Colorado Springs, CO, United States 2013-04-21 to 2013-04-24 SAGE Publications Inc.; ID: 1036</t>
  </si>
  <si>
    <t>Philbrick,A. M.;Harris,I. M.;Author,Addresses;Department,of Pharmaceutical;Health,Systems;University of Minnesota, College of Pharmacy Minneapolis,United States;Department,of Family;Community Health,University;of Minnesota Medical School, Minneapolis,United States;Correspondence,Address;AM Philbrick, Department of,Pharmaceutical Care;Health,Systems;University of Minnesota, College of Pharmacy Minneapolis,United States</t>
  </si>
  <si>
    <t>The pharmacist's role in readmission rates in transitional care management in a family medicine clinic</t>
  </si>
  <si>
    <t>e219</t>
  </si>
  <si>
    <t>American;clinical pharmacy;college;family medicine;hospital;hospital readmission;human;pharmacist;commercial phenomena;drug therapy;electronic medical record;follow up;medication therapy management;patient;pharmacy;sample size;therapy</t>
  </si>
  <si>
    <t>PURPOSE: To describe and assess the outcomes of a six month pilot of a Transitional Care Management (TCM) program at a family medicine clinic. METHODS: Patients discharged from the clinic's affiliated hospital were contacted within two business days of discharge and asked to make an appointment for hospital follow up within seven business days. If a clinical pharmacist was available, patients were scheduled for a joint 40 minute appointment with the clinical pharmacist and medical provider. During these visits, the pharmacist reconciled the patient's medications, updated the medication list in the electronic health record (EHR), provided comprehensive medication management (CMM), and faxed the updated medication list to the patient's pharmacy with instructions to discontinue all medications not listed. If the clinical pharmacist was not present, patients were scheduled for a 40 minute appointment with the medical provider, who was responsible for ensuring the EHR medication list was up to date. RESULTS: Thirty-five patients were seen for TCM during the first two months of the program, of which 21 (60%) were seen by a clinical pharmacist. Thirty-day readmission rates are available for 24 patients (16 pharmacist patients and 8 non-pharmacist patients), with one patient in each group readmitting at 30 days (p = 0.6). However the sample size is too small currently to detect a difference. Patient seen by the pharmacist had an average of 6.9 medication discrepancies and 2.86 drug-related problems (DRPs) identified. The most common DRP identified was indication - needs additional therapy (33.3% of all DRPs). Eighty percent of DRPs were resolved; the remaining were to be implemented at the next visit. The study is ongoing and six month data will be reported. CONCLUSION: A clinical pharmacist provides a valuable role in the TCM process by not only identifying and resolving medication discrepancies, but also by identifying and resolving drugrelated problems.</t>
  </si>
  <si>
    <t>(Philbrick A.M.) (Harris I.M.) 2015 Annual Meeting of the American College of Clinical Pharmacy, ACCP 2015 San Francisco, CA, United States 2015-10-17 to 2015-10-21 Pharmacotherapy Publications Inc.; ID: 796</t>
  </si>
  <si>
    <t>Philibin,S. D.;Hernandez,A.;Self,D. W.;Bibb,J. A.</t>
  </si>
  <si>
    <t>PMC3176395; Striatal signal transduction and drug addiction</t>
  </si>
  <si>
    <t>Frontiers in Neuroanatomy</t>
  </si>
  <si>
    <t>Drug addiction is a severe neuropsychiatric disorder characterized by loss of control over motivated behavior. The need for effective treatments mandates a greater understanding of the causes and identification of new therapeutic targets for drug development. Drugs of abuse subjugate normal reward-related behavior to uncontrollable drug-seeking and -taking. Contributions of brain reward circuitry are being mapped with increasing precision. The role of synaptic plasticity in addiction and underlying molecular mechanisms contributing to the formation of the addicted state are being delineated. Thus we may now consider the role of striatal signal transduction in addiction from a more integrative neurobiological perspective. Drugs of abuse alter dopaminergic and glutamatergic neurotransmission in medium spiny neurons of the striatum. Dopamine receptors important for reward serve as principle targets of drugs abuse, which interact with glutamate receptor signaling critical for reward learning. Complex networks of intracellular signal transduction mechanisms underlying these receptors are strongly stimulated by addictive drugs. Through these mechanisms, repeated drug exposure alters functional and structural neuroplasticity, resulting in transition to the addicted biological state and behavioral outcomes that typify addiction. Ca(2+) and cAMP represent key second messengers that initiate signaling cascades, which regulate synaptic strength and neuronal excitability. Protein phosphorylation and dephosphorylation are fundamental mechanisms underlying synaptic plasticity that are dysregulated by drugs of abuse. Increased understanding of the regulatory mechanisms by which protein kinases and phosphatases exert their effects during normal reward learning and the addiction process may lead to novel targets and pharmacotherapeutics with increased efficacy in promoting abstinence and decreased side effects, such as interference with natural reward, for drug addiction.</t>
  </si>
  <si>
    <t>J2: Front Neuroanat; Philibin, Scott D Hernandez, Adan Self, David W Bibb, James A; ID: 242</t>
  </si>
  <si>
    <t>1662-5129</t>
  </si>
  <si>
    <t>Philibin,Scott D. Department of Psychiatry, University of Texas Southwestern Medical Center Dallas, TX, USA.</t>
  </si>
  <si>
    <t>http://ovidsp.ovid.com/ovidweb.cgi?T=JS&amp;CSC=Y&amp;NEWS=N&amp;PAGE=fulltext&amp;D=prem&amp;AN=21960960</t>
  </si>
  <si>
    <t>http://dx.doi.org/10.3389/fnana.2011.00060</t>
  </si>
  <si>
    <t>MEDLINE; Ovid Technologies; Striatal signal transduction and drug addiction</t>
  </si>
  <si>
    <t>Piergies,A. A.;Sainati,S.;Roth-Schechter,B.;Author,Addresses;Evanston Hospital,Clinical,Pharmacology Unit;Evanston,I. L. U.;Lorex Pharmaceuticals,Skokie,I.L.United States;Boston,Research;Science Consulting, Dover M. A.;United,States;Evanston Hospital, Clinical Pharmacology,Unit Ridge;Ave,Evanston I. L. United States;Correspondence,Address;AA Piergies, Clinical Pharmacology Unit Evanston,Hospital Ridge;Ave,Evanston I. L. United States</t>
  </si>
  <si>
    <t>9140309; Lack of cross-reactivity of Ambien (zolpidem) with drugs in standard urine drug screens</t>
  </si>
  <si>
    <t>Archives of Pathology and Laboratory Medicine</t>
  </si>
  <si>
    <t>(MAJOR FOCUS);zolpidem tartrate (adverse drug reaction, clinical trial, drug;concentration, drug dose, drug therapy, pharmacokinetics);amphetamine derivative;barbituric acid derivative;benzodiazepine derivative;cannabinoid derivative;cocaine;drug metabolite;opiate derivative;temazepam;drug abuse;insomnia (drug therapy);adult;article;clinical trial;controlled clinical trial;controlled study;dose response;drowsiness (side effect);drug blood level;drug cross reactivity;drug half life;drug screening;drug urine level;female;headache (side effect);human;human experiment;inflammation (side effect);male;normal human;rhinitis (side effect);salpingitis (side effect);taste disorder (side effect);DRUG TRADE NAMES;ambien;restoril;cocaine (50-36-2, 53-21-4, 5937-29-1);temazepam (846-50-4);zolpidem tartrate (99294-93-6);Drug Literature Index (37);Adverse Reactions Titles (38);Drug Dependence, Alcohol Abuse and Alcoholism (40)</t>
  </si>
  <si>
    <t>Objective. To determine in healthy volunteers (men and women; 18 to 40 years old) the potential cross-reactivity of Ambien (zolpidem) and/or its metabolites with drugs that are screened by the Syva EMIT II and the Abbott AD(x) urine drug screens assays. Design. Open-label, fixed-treatment sequence of 1 night each of treatment with zolpidem (10 mg) and temazepam (15 mg). Setting. Clinical Pharmacology Unit within a teaching hospital. Main Outcome Measures. Over a 24-hour period, presence or absence of positive results on the Syva EMIT II or the Abbott AD(x) urine drug assay system, each performed at two different laboratory assay sites. Results. Following ingestion of zolpidem, no subject had any positive response in either laboratory to the Syva EMIT II or the Abbott AD(x) urine drug screen assays at 0, 4, 8, 12, and 24 hours postdose. During the same time period, all subjects had measurable zolpidem plasma concentrations at 1.5 and 8 hours postdose, with mean concentrations of 115.2 ng/mL and 30.1 ng/mL, respectively (in agreement with its half-life of 2.5 hours). The positive response rate at 10 hours after ingestion of Restoril (temazepam) among the four laboratory/assay combinations ranged from 36.8% to 73.7%, a range that is within the reported response rates for these tests. Conclusions. These data indicate that zolpidem will not cross-react in standard urine drug screens with benzodiazepines, opiates, barbiturates, cocaine, cannabinoids, or amphetamines.</t>
  </si>
  <si>
    <t>(Piergies A.A.) (III) (Sainati S.) (Roth-Schechter B.) College of American Pathologists, 325 Waukegan Road, Northfield, United States.; ID: 1677</t>
  </si>
  <si>
    <t>http://www.ncbi.nlm.nih.gov/pubmed/9140309</t>
  </si>
  <si>
    <t>Lack of cross-reactivity of Ambien (zolpidem) with drugs in standard urine drug screens</t>
  </si>
  <si>
    <t>Piko,B. F.</t>
  </si>
  <si>
    <t>Does knowledge count? Attitudes toward smoking among medical, nursing, and pharmacy students in Hungary</t>
  </si>
  <si>
    <t>276 8p</t>
  </si>
  <si>
    <t>Smoking -- Psychosocial Factors;Student Attitudes;Students, Medical;Students, Nursing;Students, Pharmacy;Adolescence;Adult;Chi Square Test;Data Analysis Software;Health Beliefs;Hungary;Kappa Statistic;Questionnaires;Test-Retest Reliability;Human</t>
  </si>
  <si>
    <t>Despite the fact that cigarette smoking in East Europe is a major health problem, no effective health policy responses have been developed thus far. Health care professionals represent a valuable resource for tobacco control. Therefore, we wanted to obtain information about the acceptance of smoking among medical, nursing and pharmacy students (n = 270) in Szeged, Hungary. The self-administered questionnaire contained items on smoking behavior, beliefs and attitudes related to smoking. Chi2-test were used to determine differences in the attitudes among students. Smoking was the most frequent among nursing students, followed by medical students. Pharmacy students not only reported smoking the least but they also showed the most acceptable attitudes toward smoking. The high frequency of smoking among students suggests that they themselves are unable to cope with avoiding the dangers of smoking. Moreover, responses reflect a generally poor appreciation of responsibility that health care professionals have in prevention. There is a need for an increasing emphasis on smoking-related attitude formation among medical and nursing students.</t>
  </si>
  <si>
    <t>Entry Date: 20031107. Revision Date: 20150711. Publication Type: Journal Article; research; tables/charts. Journal Subset: Biomedical; Editorial Board Reviewed; Expert Peer Reviewed; Peer Reviewed; Public Health; USA. NLM UID: 7600747. PMID: 12190055.; ID: 1875</t>
  </si>
  <si>
    <t>Associate Professor of Medical Sociology and Community Medicine, Department of Psychiatry, Group of Behavioral Sciences, University of Szeged, 5 Szenth‚îú√≠roms‚îú√≠g Street, Szeged, Hungary 6722; pikobettina@yahoo.com</t>
  </si>
  <si>
    <t>http://proxy.lib.umich.edu/login?url=http://search.ebscohost.com/login.aspx?direct=true&amp;db=ccm&amp;AN=106883221&amp;site=ehost-live&amp;scope=site</t>
  </si>
  <si>
    <t>ccm; EBSCOhost; Does knowledge count? Attitudes toward smoking among medical, nursing, and pharmacy students in Hungary</t>
  </si>
  <si>
    <t>Pilkington,A. A. G.;Carter,O. B. J.;Cameron,A. S.;Thompson,S. C.;Author,Addresses;Office of,Aboriginal Health;of Health Western Australia, East,Perth W.;Centre for,International Health;University,G. P. O. B.;National Centre,for Epidemiology;Population Health, Australian National University,Canberra A.;Australia;Centre for,Behavioural Research;Cancer Control, Curtin University of Technology G P O Box,U.Perth W.;Australia;Department of Public Health, University,of Adelaide;Adelaide,S. A. A.;Correspondence,Address;Carter, Centre for Behavioural Research in Cancer Control Curtin,O.B.J.;University of Technology, G P O Box U Perth,W.A.Australia Email;o.carter@curtin.edu.au</t>
  </si>
  <si>
    <t>Tobacco control practices among Aboriginal health professionals in Western Australia</t>
  </si>
  <si>
    <t>Australian Journal of Primary Health</t>
  </si>
  <si>
    <t>smoking cessation;adult;alcohol consumption;article;attitude to health;Australia;controlled study;diabetes mellitus;female;health behavior;health hazard;health practitioner;heart disease;human;indigenous people;male;structured interview;tobacco dependence;Public Health, Social Medicine and Epidemiology (17)</t>
  </si>
  <si>
    <t>Smoking among Aboriginal people is extremely widespread (50 v. 17% of the general population). Aboriginal Health Workers (AHW) are at the vanguard of tackling this problem but many themselves smoke and little is known of their knowledge, attitudes and practices regarding smoking cessation. Structured telephone interviews were conducted with 36 AHW, including 31% current smokers, 31% ex-smokers and 38% non-smokers, to assess their current smoking cessation practices and knowledge of health risks, nicotine dependence, cessation strategies and pharmacotherapies. AHW considered diabetes, alcohol use and heart disease more problematic than smoking among Aboriginal people. Fear of appearing hypocritical stopped many who smoke from discussing smoking cessation with clients but also stopped some non-smoking AHW whose colleagues or family smoked. Cultural concerns about telling others 'what to do' was also a major impediment. Knowledge of the health effects of smoking was good, but knowledge of appropriate advice around cessation pharmacotherapies was suboptimal. AHW trained in smoking cessation were more knowledgeable and active in smoking cessation, but most AHW had received no training, despite being keen to do so. Specific smoking cessation training is sought and appears needed by AHW, particularly in the areas of brief interventions, motivational interviewing, dependence assessment and pharmacotherapies. ‚î¨‚åê La Trobe University 2009.</t>
  </si>
  <si>
    <t>(Pilkington A.A.G.; Thompson S.C.) (Pilkington A.A.G.; Cameron A.S.) (Carter O.B.J., o.carter@curtin.edu.au) (Cameron A.S.) CSIRO, P.O. Box 1139, Collingwood, Australia.; ID: 1402</t>
  </si>
  <si>
    <t>1448-7527</t>
  </si>
  <si>
    <t>2009628251 FULL TEXT LINK http://dx.doi.org/10.1071/PY08066</t>
  </si>
  <si>
    <t>Pinto,S.;Bechtol,R.;Omerza,K.;Author,Addresses;University,of;Toledo,College of Pharmacy;Pharmaceutical Sciences,United States;Correspondence,Address;Pinto, University of Toledo College of Pharmacy,S.;Pharmaceutical;Sciences,United States</t>
  </si>
  <si>
    <t>A qualitative analysis assessing patients' perceptions of services offered in an adherence pharmacy program</t>
  </si>
  <si>
    <t>e84</t>
  </si>
  <si>
    <t>human;patient;pharmacy;qualitative analysis;blister pack;caregiver;community;counseling;drug abuse;drug therapy;education;environment;follow up;health care need;hospital department;information processing;medication compliance;model;pharmacist;physician;side effect;therapy;videorecording</t>
  </si>
  <si>
    <t>Objective: The objectives of this study are to: (1) describe an adherence pharmacy model; and (2) assess patients' perceptions of the services offered. Methods: Three focus group sessions were conducted over a 1-week period using a previously developed structured guide. Participants were patients and caregivers receiving products and services at a community adherence pharmacy for Œì√´√ë6 months. Experiences with pharmacy services, pharmacists, and staff were evaluated. Responses were noted, and video- and audio-recorded. Dialogue was transcribed and analysis was conducted using ATLAS 7.0. Themes and findings were identified and summarized. Results: A new community pharmacy with a goal to impact medication adherence was established in August 2011. Patients learned about the pharmacy via flyers, billboard signs, televised ads, and/or physician referrals. At enrollment, a medication list was created, medications synchronized, patients counseled, and medications dispensed in blister packs. Counseling sessions with patients and caregivers included education on their conditions, medications, and side effects. Follow-up phone calls were made monthly or quarterly corresponding with their refill dates. These calls monitored changes to medications, addressed patient questions, and assessed the need to schedule a follow- up face-to-face session. Blister packs were picked up or delivered to patient homes. Regarding patient perceptions, participants felt pharmacists and staff helped resolve pharmaceutical concerns and genuinely cared about them. Service benefits included receiving health care needs in a stress-free environment, keeping track of patient refills, and receiving medications timely. Adherence was impacted through patients better understanding their medications, having pharmacists identify drug problems and interactions, and assisting patients with their therapy by making recommendations. Conclusion: With emphasis placed on medication adherence as a performance indicator, new practice models impacting medication adherence are needed. This newly developed adherence pharmacy seems to provide a platform for this service. Services provided at the adherence pharmacy were positively received and were successful in positively effecting medication adherence and changing medication-taking behavior.</t>
  </si>
  <si>
    <t>(Pinto S.; Bechtol R., robert.bechtol@utoledo.edu; Omerza K.) APhA2014 Orlando, FL, United States 2014-03-28 to 2014-03-31 American Pharmacists Association; ID: 912</t>
  </si>
  <si>
    <t>Pipelzadeh,M. H.;Amin,M.;Khozani,A. S.;Radmanesh,M.;Author,Addresses;Department of,Pharmacology;Toxicology Research,Centre;Ahvaz Jundishapur University of,Medical Sciences;Department of,Microbiology;Infection;Tropical Diseases Research Center, School of,Medicine Ahvaz;Jundishapur University of,Medical Sciences;Department of Dermatology, Laser Research,Center Ahvaz;Jundishapur University of,Medical Sciences;Correspondence,Address;Amin, Department of Microbiology Infection,M.;Tropical,Diseases;Research Center, School of Medicine Ahvaz Jundishapur University,of Medical;Sciences,Ahvaz Iran Email mnsamin yahoo com</t>
  </si>
  <si>
    <t>Shallominthe active antimicrobial constituent of persian shallot in treatment of oral herpes: A double-blind randomized clinical trial</t>
  </si>
  <si>
    <t>9:3 Article Number: e17372.</t>
  </si>
  <si>
    <t>(MAJOR FOCUS);antivirus agent (clinical trial, drug therapy, topical drug administration);shallomin (clinical trial, drug therapy, topical drug administration);placebo;unclassified drug;herpes labialis (drug therapy, drug therapy);Allium;Allium hirtifolium;antiviral activity;article;controlled study;double blind procedure;drug efficacy;female;human;major clinical study;male;randomized controlled trial;treatment duration;Obstetrics and Gynecology (10);Drug Literature Index (37);Microbiology: Bacteriology, Mycology, Parasitology and Virology (4)</t>
  </si>
  <si>
    <t>Background: Previous studies showed that shallomin, the active antimicrobial constituent of Persian shallot, has a wide range of antibacterial and antifungal properties. Objectives: The objective of this randomized clinical trial was to evaluate the effectiveness of topical shallomin alcoholic solution in treatment of cold sore. Patients and Methods: A total of 60 volunteers who met the inclusion criteria were randomly allocated to two equal groups to hourly apply topical of either 0.5% shallomin alcoholic solution or placebo within the first 24 hours of developing cold sores. All the cases were reassessed at six-hour intervals. Results: The cold sores were cleared within six hours among 30% of cases who received shallomin solution and the remaining of the cases in this group were cleared between 6six to 24 hours of application. In the placebo group, clearance of the sores occurred in four cases between 48 to 72 hours and the remaining of cases were cleared after 72 hours. Conclusions: The results of this study demonstrated that shallomin is a useful natural remedy in preventing the progression and treatment of cold sores and can significantly reduce the duration of ulceration. ‚î¨‚åê 2014, School of Pharmacy, Ahvaz Jundishapur University of Medical Sciences.</t>
  </si>
  <si>
    <t>(Pipelzadeh M.H.) (Amin M., mnsamin@yahoo.com; Khozani A.S.) (Radmanesh M.) Ahvaz Jundishapur University of Medical Sciences, PO Box 61357-33184, Ahvaz, Tehran, Iran.; ID: 939</t>
  </si>
  <si>
    <t>Pirmohamed,M.;Martin,U.</t>
  </si>
  <si>
    <t>Therapeutics 1995</t>
  </si>
  <si>
    <t>Journal of the Royal College of Physicians of London</t>
  </si>
  <si>
    <t>J.R.Coll.Physicians Lond.</t>
  </si>
  <si>
    <t>Bone Diseases, Metabolic/dt Drug Therapy];*Drug Therapy/td Trends];Great Britain;Humans;Myocardial Infarction/dt Drug Therapy];Peptic Ulcer/dt Drug Therapy];Poisoning/dt Drug Therapy];*Societies, Medical;Street Drugs/po Poisoning];Substance-Related Disorders/dt Drug Therapy];0 (Street Drugs)</t>
  </si>
  <si>
    <t>A joint conference on therapeutics with the Faculty of Pharmaceutical Medicine was held at the Royal College of Physicians on 28 June 1995, organised by Professor M C L'E Orme. A wide variety of topics was covered ranging from management of acute poisoning to the treatment of myocardial infarction, as well as the teaching of therapeutics in the new undergraduate medical curriculum. The aim of the conference was to provide an overview of the most recent therapeutic developments and controversies in the specific subject areas covered.</t>
  </si>
  <si>
    <t>J2: J R Coll Physicians Lond; Pirmohamed, M Martin, U; ID: 617</t>
  </si>
  <si>
    <t>0035-8819</t>
  </si>
  <si>
    <t>Pirmohamed,M. University of Liverpool.</t>
  </si>
  <si>
    <t>http://ovidsp.ovid.com/ovidweb.cgi?T=JS&amp;CSC=Y&amp;NEWS=N&amp;PAGE=fulltext&amp;D=med3&amp;AN=8748111</t>
  </si>
  <si>
    <t>MEDLINE; Ovid Technologies; Therapeutics 1995</t>
  </si>
  <si>
    <t>Pisano,C.;Grandi,D.;Morini,G.;Coppelli,G.;Vesci,L.;Lo Giudice,P.;Pace,S.;Pacifici,L.;Longo,A.;Coruzzi,G.;Carminati,P.</t>
  </si>
  <si>
    <t>Gastrosparing effect of new antiinflammatory drug amtolmetin guacyl in the rat: involvement of nitric oxide</t>
  </si>
  <si>
    <t>Digestive Diseases &amp; Sciences</t>
  </si>
  <si>
    <t>Animals;Anti-Inflammatory Agents, Non-Steroidal/pk Pharmacokinetics];*Anti-Inflammatory Agents, Non-Steroidal/pd Pharmacology];Dose-Response Relationship, Drug;*Gastric Mucosa/de Drug Effects];Gastric Mucosa/me Metabolism];Gastric Mucosa/ul Ultrastructure];*Glycine/aa Analogs &amp; Derivatives];Glycine/pk Pharmacokinetics];Glycine/pd Pharmacology];Male;*Nitric Oxide/me Metabolism];*Nitric Oxide Synthase/me Metabolism];Nitric Oxide Synthase Type I;Nitric Oxide Synthase Type II;Nitric Oxide Synthase Type III;Pyrroles/pk Pharmacokinetics];*Pyrroles/pd Pharmacology];Rats;Rats, Wistar;Tolmetin/pd Pharmacology];0 (Anti-Inflammatory Agents, Non-Steroidal);0 (Pyrroles);104076-16-6 (st 679);31C4KY9ESH (Nitric Oxide);D8K2JPN18B (Tolmetin);EC 1-14-13-39 (Nitric Oxide Synthase);EC 1-14-13-39 (Nitric Oxide Synthase Type I);EC 1-14-13-39 (Nitric Oxide Synthase Type II);EC 1-14-13-39 (Nitric Oxide Synthase Type III);EC 1-14-13-39 (Nos1 protein, rat);EC 1-14-13-39 (Nos2 protein, rat);EC 1-14-13-39 (Nos3 protein, rat);TE7660XO1C (Glycine)</t>
  </si>
  <si>
    <t>The effect of the nonsteroidal antiinflammatory drug (NSAID) amtolmetin guacyl (AMG) on the gastric mucosa was studied in the rat by means of histological and functional techniques. AMG administered at 50-300 mg/kg intragastrically was virtually devoid of gastrolesive properties after either acute or repeated treatment. By contrast, its metabolite, tolmetin (TOL, 15-60 mg/kg, intragastrically) caused dose-dependent gastric damage after both treatments. Light and electron microscopy revealed that AMG induced minimal changes in the surface epithelium layer, without signs of vasocongestion or leukocytes adherence. AMG (50 mg/kg intragastrically) did not change basal gastric potential difference (PD), whereas acetylsalicylic acid and ibuprofen induced falls in PD of 22 and 27 mV, respectively. AMG (50 mg/kg intragastrically) reduced by 60% the fall in PD induced by 50% ethanol; this inhibition was dependent on the incubation time, and was maximal when AMG was given 4 hr before ethanol. AMG (100 mg/kg intragastrically) induced an increase in NO synthase type 2 (NOS2) activity, which was significantly different from control values, when AMG was administered 4 hr before the test. The metabolites of AMG, tolmetin, MED 5, and guaiacol were ineffective. Pharmacokinetic analysis of the residence time of AMG in the different areas of the gastrointestinal tract, revealed that AMG remains in the gastrointestinal tract at least for 4 hr, the time necessary for a maximal induction of NOS2 and for maximal protection against ethanol-induced damage. In conclusion, these data indicate that the nonsteroidal antiinflammatory drug amtolmetin guacyl is devoid of gastrolesive properties; this gastro-sparing effect seems to involve the production of nitric oxide, which can counteract the damaging effects due to prostaglandin inhibition. The presence in the stomach of the native molecule of amtolmetin guacyl seems to be necessary for the protective effect observed.</t>
  </si>
  <si>
    <t>J2: Dig Dis Sci; Pisano, C Grandi, D Morini, G Coppelli, G Vesci, L Lo Giudice, P Pace, S Pacifici, L Longo, A Coruzzi, G Carminati, P; ID: 567</t>
  </si>
  <si>
    <t>0163-2116</t>
  </si>
  <si>
    <t>Pisano,C. Research and Development, Sigma-Tau, Pomezia, Roma, Italy.</t>
  </si>
  <si>
    <t>http://ovidsp.ovid.com/ovidweb.cgi?T=JS&amp;CSC=Y&amp;NEWS=N&amp;PAGE=fulltext&amp;D=med4&amp;AN=10219827</t>
  </si>
  <si>
    <t>MEDLINE; Ovid Technologies; Gastrosparing effect of new antiinflammatory drug amtolmetin guacyl in the rat: involvement of nitric oxide</t>
  </si>
  <si>
    <t>Pitsillides,B.;Author,Addresses;Cyprus Association,of Cancer;Friends,Cyprus;Correspondence,Address;Pitsillides, Cyprus Association of Cancer Patients,B.;Friends,Cyprus</t>
  </si>
  <si>
    <t>Challenges and obstacles facing the oncology nurse in his/her attempts to manage pains in Cyprus</t>
  </si>
  <si>
    <t>fentanyl;methadone;morphine;narcotic agent;opiate;oxycodone;Cyprus;neoplasm;nurse;oncology;pain;palliative therapy;addiction;cross tolerance;dysphasia;education;general hospital;government;health practitioner;home care;hospital;language;law;literature;monitoring;nausea;neuropathic pain;pain clinic;patient;pharmacist;pharmacy;physician;prescription;psychiatrist;sedation;side effect;suppository</t>
  </si>
  <si>
    <t>Over the past 15 years Cyprus has come a long way to improving pain management. Legislation for narcotics has no negative language in its document, such as the word Œì√á¬£addictive.Œì√á¬• Prescription is 30 days. Any doctor can write the prescription and we can now in the past 3 years get Oxycontin from the private pharmacy. Earlier all strong opioids were held in Government hospitals or the Oncology centre and private doctors were reluctant to prescribe opioids. Thus access and prescription have not been made difficult by the Cypriot government. The question is why is Cyprus 45th on the list for using narcotics per capita by The International Narcotics Control Board? The answer and main challenge in Cyprus I believe remains education. Education is required for health professionals including pharmacists, who can in turn educate their patients and this will flow on to the general public. Pain clinics are required and the first will begin in Nicosia general hospital in 2010 run by anaesthetists but without a multidisciplinary team. Different drugs and routes are required to be imported into the country. Some examples would be a morphine suppository as many patients die at home and this would be the easiest and most effective way to manage any breakthrough pain when patients have dysphasia. Methadone is another drug we would like to have access to. It is currently in the country for use by psychiatrists for those with addiction. Anecdotally we have heard centres such as NCI and Calvary hospital use this drug as a first line opioid when patients have neuropathic pain. One of our main obstacles when managing difficult pain problems is the neuropathic component. Another argument for methadone is there which is incomplete cross tolerance between opiates and sometimes patients side effects from one opioid such as nausea or sedation may not be the case with another opiate. Morphine and Oxycodone are the same class penanthrene, Fentanyl is a phenylpiperdine and Methadone is a diphenleptane thus Mehtadone would give us another opioid for rotation. There have been some problems with distribution, hospitals running out of opioids and our recent shortage for example of Fentanyl patches 25 mg. There needs to be close monitoring of opioid use so that measures are in place to import narcotics before there is no stock left in the country. Myths, stigmas, and misinformation about opioids still exist in Cyprus although this has improved remarkably over the past 5 years, further improvement will improve with education. Health professionals have to believe their patients pain, regular assessment, and evaluation of their intervention as a total pain and finally working closely with the whole team, including the home care team. Oncology nurses are the patients advocate and we want patients to have the control of their pain management by using pain diaries ensuring that they feel safe, listened to, and pain free.</t>
  </si>
  <si>
    <t>(Pitsillides B.) Middle Eastern Cancer Consortium, MECC Palliative Care Steering Committee Meeting Larnaca, Cyprus 2010-01-08 to 2010-01-10 Lippincott Williams and Wilkins; ID: 1338</t>
  </si>
  <si>
    <t>Pittman,J. T.;Lott,C. S.</t>
  </si>
  <si>
    <t>Startle response memory and hippocampal changes in adult zebrafish pharmacologically-induced to exhibit anxiety/depression-like behaviors</t>
  </si>
  <si>
    <t>Physiology &amp; Behavior</t>
  </si>
  <si>
    <t>Physiol.Behav.</t>
  </si>
  <si>
    <t>Analysis of Variance;Animals;Antidepressive Agents, Second-Generation/tu Therapeutic Use];*Anxiety/ci Chemically Induced];Anxiety/dt Drug Therapy];*Anxiety/pa Pathology];*Central Nervous System Depressants/ae Adverse Effects];Disease Models, Animal;*Ethanol/ae Adverse Effects];Female;Fluoxetine/tu Therapeutic Use];Hippocampus/de Drug Effects];*Hippocampus/me Metabolism];Male;*Reflex, Startle/de Drug Effects];Serotonin/me Metabolism];Substance Withdrawal Syndrome/co Complications];Zebrafish;0 (Antidepressive Agents, Second-Generation);0 (Central Nervous System Depressants);01K63SUP8D (Fluoxetine);333DO1RDJY (Serotonin);3K9958V90M (Ethanol)</t>
  </si>
  <si>
    <t>Zebrafish (Danio rerio) are rapidly becoming a popular animal model for neurobehavioral and psychopharmacological research. While startle testing is a well-established assay to investigate anxiety-like behaviors in different species, screening of the startle response and its habituation in zebrafish is a new direction of translational biomedical research. This study focuses on a novel behavioral protocol to assess a tapping-induced startle response and its habituation in adult zebrafish that have been pharmacologically-induced to exhibit anxiety/depression-like behaviors. We demonstrated that zebrafish exhibit robust learning performance in a task adapted from the mammalian literature, a modified plus maze, and showed that ethanol and fluoxetine impair memory performance in this maze when administered after training at a dose that does not impair motor function, however, leads to significant upregulation of hippocampal serotoninergic neurons. These results suggest that the maze associative learning paradigm has face and construct validity and that zebrafish may become a translationally relevant study species for the analysis of the mechanisms of learning and memory changes associated with psychopharmacological treatment of anxiety/depression. Copyright ‚î¨‚åê 2013.</t>
  </si>
  <si>
    <t>J2: Physiol Behav; Pittman, Julian T Lott, Chad S S0031-9384(13)00351-X; ID: 92</t>
  </si>
  <si>
    <t>1873-507X</t>
  </si>
  <si>
    <t>Pittman,Julian T. Department of Biological and Environmental Sciences, Troy University, Troy, AL 36083, USA. Electronic address: jtpittman@troy.edu.</t>
  </si>
  <si>
    <t>http://ovidsp.ovid.com/ovidweb.cgi?T=JS&amp;CSC=Y&amp;NEWS=N&amp;PAGE=fulltext&amp;D=medl&amp;AN=24184510</t>
  </si>
  <si>
    <t>http://dx.doi.org/10.1016/j.physbeh.2013.10.023</t>
  </si>
  <si>
    <t>MEDLINE; Ovid Technologies; Startle response memory and hippocampal changes in adult zebrafish pharmacologically-induced to exhibit anxiety/depression-like behaviors</t>
  </si>
  <si>
    <t>Poffenberger,N.;Weickum,R.;Author,Addresses;Madigan,Army;Medical Center,United States;Correspondence,Address;Poffenberger, Madigan Army Medical Center United States,N.</t>
  </si>
  <si>
    <t>Implementing an interdisciplinary pain management center for patients with chronic pain</t>
  </si>
  <si>
    <t>opiate;analgesia;chronic pain;human;patient;pharmacy;addiction;alternative medicine;army;case manager;drug screening;drug therapy;education;health;medical specialist;medication therapy management;monitoring;nurse;occupational therapist;pain;pain assessment;pharmacist;physical medicine;physician;planning;psychologic assessment;psychologist;responsibility;risk assessment;risk factor;self care;substance abuse;surgeon;therapy</t>
  </si>
  <si>
    <t>Objective: Describe the development of an interdisciplinary pain management center designed to improve care of patients with chronic pain. Discuss the role of clinical pharmacists supporting this center. Methods: Managing patients with acute and chronic pain is a medical and political imperative. The 2010 Army Surgeon General's Comprehensive Pain Management Campaign Plan provided guidelines, tools, and initiatives for military treatment facilities (MTFs) to implement improvements in the management of acute and chronic pain. At this medical center, we created the Interdisciplinary Pain Management Center (IMPC), a referral center comprising providers from multiple disciplines dedicated to the care of patients with chronic pain. Assigned providers included physicians with expertise in pain management, health psychologists, a physiatrist, physical and occupational therapists, acupuncturists, nurse clinicians, a case manager, a pain educator, an addiction specialist, and clinical pharmacists. Patients receive a comprehensive pain assessment that includes a health history, physical and psychological evaluation, medication history review/reconciliation, and risk assessment for potential comorbid conditions and substance abuse risk factors. Patients are enrolled in opioid treatment and sole prescriber agreements. Multimodal therapy, including alternative medicine and self-management education, is offered at the center. Clinical pharmacists are involved in all aspects of care, including pharmacotherapy planning, risk assessment, medication reconciliation, adherence monitoring, dose tapering/withdrawal, drug screening, and medication education. This poster describes the pharmacists' roles and responsibilities.</t>
  </si>
  <si>
    <t>(Poffenberger N.; Weickum R., ricke.weickum@us.army.mil) Joint Forces Pharmacy Seminar, JFPS 2011 Dallas, TX, United States 2011-10-30 to 2011-11-03 American Pharmacists Association; ID: 1239</t>
  </si>
  <si>
    <t>Polack,J.;Jorgenson,D.;Robertson,P.;Author,Addresses;Department of Pharmaceutical Services, Saskatoon,Health Region;Saskatoon,S. K. C.;Correspondence,Address;Polack, Department of Pharmaceutical Services Saskatoon Health Region,J.;Saskatoon,S. K. C.</t>
  </si>
  <si>
    <t>Evaluation of different methods of providing medication-related education to patients following myocardial infarction</t>
  </si>
  <si>
    <t>Canadian Pharmacists Journal</t>
  </si>
  <si>
    <t>July/August</t>
  </si>
  <si>
    <t>antithrombocytic agent (drug therapy);beta adrenergic receptor blocking agent (drug therapy);dipeptidyl carboxypeptidase inhibitor (drug therapy);hydroxymethylglutaryl coenzyme A reductase inhibitor (drug therapy);drug information;heart infarction (drug therapy, therapy);patient education;pharmaceutical care;adult;aged;clinical article;clinical trial;community care;controlled clinical trial;controlled study;drug safety;female;health education;human;intermethod comparison;male;nursing care;patient attitude;patient care;pharmacist attitude;randomized controlled trial;recall;review;treatment response;Public Health, Social Medicine and Epidemiology (17);Cardiovascular Diseases and Cardiovascular Surgery (18);Drug Literature Index (37)</t>
  </si>
  <si>
    <t>Background: Patient education is one method used to improve the utilization of post-myocardial infarction (MI) medications, but there is limited evidence on how best to provide this education. Objective: To determine if an education session provided by a pharmacist in the community to post-MI patients soon after hospital discharge is more effective than a pre-discharge education session provided by a pharmacist or a nurse. Methods: This was a randomized, controlled trial. Patients hospitalized with an MI were randomized to receive usual care (nurse-led pre-discharge education), hospital pharmacist pre-discharge medication education, or medication education from a pharmacist 1 to 2 weeks after discharge. A survey was conducted to assess the primary endpoints of medication adherence and knowledge retention. As a secondary endpoint, drug-related problems were identified in the post-discharge pharmacist education group. Results: A total of 14 patients were included in the final analyses. Although there was no difference in medication adherence between groups as measured using the Beliefs about Medicines Questionnaire or the Morisky Self-Reported Medication-Taking Scale, the post-discharge pharmacist education group scored significantly better on 2 out of 3 measures of knowledge retention (p &lt; 0.001). A mean of 2.75 drug-related problems per patient were identified by the pharmacist during the education session provided in the post-discharge group. Conclusion: Despite a limited sample size, our results suggest that providing pharmacist-led post-MI medication education in a community setting after hospital discharge may improve medication knowledge and adherence while providing an opportunity to identify a number of drug-related problems. Additional research is necessary to confirm these results in a larger sample before practice change is warranted.</t>
  </si>
  <si>
    <t>(Polack J., Jolene.Polack@saskatoonhealthregion.ca; Jorgenson D.; Robertson P.) Canadian Pharmacists Association, 1785 Alta Vista Drive, Ottawa, Canada.; ID: 1462</t>
  </si>
  <si>
    <t>2008517350 FULL TEXT LINK http://dx.doi.org/10.3821/1913-701X(2008)141[241:EODMOP]2.0.CO;2</t>
  </si>
  <si>
    <t>Pollack,A. E.</t>
  </si>
  <si>
    <t>PMC4640481; Non-Fiction Memoirs in the Neuroscience Classroom: A Window into the Minds of Those Affected by Addiction</t>
  </si>
  <si>
    <t>Journal of Undergraduate Neuroscience Education : JUNE : A Publication of FUN, Faculty for Undergraduate Neuroscience</t>
  </si>
  <si>
    <t>A39</t>
  </si>
  <si>
    <t>When I first developed an Addiction course for the Honors College at UMass-Boston in 2006, it focused exclusively on the acute and long-term effects of psychoactive substances on the brain. However, I soon realized that a strictly biological perspective failed to capture how this complex disorder affected the whole person. Students had no insight into addicts' thoughts, feelings, behaviors or how their addiction affected others. To remedy this, students read two non-fiction memoirs: Tweak (Nic Sheff, young adult addict) and Beautiful Boy (David Sheff, Nic's father) along with learning underlying neurobiology and pharmacology. Reading memoirs students saw firsthand the impact of addiction on individuals. Inspired by the diary structure of Tweak, one assignment asked students to collect data about themselves in order to determine their daily patterns/rituals and to contemplate the impact of removing these activities - like the addict after rehabilitation. Other assignments asked students to do close reading by selecting passages from Tweak and explaining how they related to different facets of addiction (biological, environmental, effect on individual), and to perform a comparative analysis between Beautiful Boy and Tweak to find points of intersection and divergence. Most recently, students used the text of Tweak to create interactive performances for a visiting high school class. Memoirs provided students with detailed, honest accounts of lives affected by addiction. The assignments and class discussions facilitated students understanding of the impact of addiction on individuals and their families, which was a powerful adjunct to learning about its underlying neurobiology and pharmacology.</t>
  </si>
  <si>
    <t>J2: J Undergrad Neurosci Educ; Pollack, Alexia E; ID: 23</t>
  </si>
  <si>
    <t>1544-2896</t>
  </si>
  <si>
    <t>Pollack,Alexia E. Biology Department, University of Massachusetts-Boston, Boston, MA 02125.</t>
  </si>
  <si>
    <t>http://ovidsp.ovid.com/ovidweb.cgi?T=JS&amp;CSC=Y&amp;NEWS=N&amp;PAGE=fulltext&amp;D=prem&amp;AN=26557794</t>
  </si>
  <si>
    <t>MEDLINE; Ovid Technologies; Non-Fiction Memoirs in the Neuroscience Classroom: A Window into the Minds of Those Affected by Addiction</t>
  </si>
  <si>
    <t>Pollack,M.</t>
  </si>
  <si>
    <t>Utah school offers new insights into chemical dependency</t>
  </si>
  <si>
    <t>Alcoholism/px Psychology];*Education, Pharmacy, Continuing;*Substance-Related Disorders/px Psychology];Utah</t>
  </si>
  <si>
    <t>J2: J Am Pharm Assoc (Wash); Pollack, M; ID: 564</t>
  </si>
  <si>
    <t>http://ovidsp.ovid.com/ovidweb.cgi?T=JS&amp;CSC=Y&amp;NEWS=N&amp;PAGE=fulltext&amp;D=med4&amp;AN=10533337</t>
  </si>
  <si>
    <t>MEDLINE; Ovid Technologies; Utah school offers new insights into chemical dependency</t>
  </si>
  <si>
    <t>Pollack,T.;Diep Tuan,T.;Hoai Phong,N.;Tuyet Nhung,V.;Nhat Vinh,D.;Quoc Dat,N.;Thu Van,T.;Duong,D.;Libman,H.;Cosimi,L.;Author,Addresses;Partnership for Health,Advancement in;Nam,Hanoi Viet;University,of Medicine;Pharmacy,Ho Chi Minh City Viet Nam;Partnership for Health,Advancement in;Nam,Ho Chi Minh City Viet;Ho Chi Minh City Provincial Aids Committee, Ho Chi,Minh City;Viet,Nam;Partnership for Health,Advancement in;States,Boston United;Correspondence,Address;Pollack, Partnership for Health Advancement in Vietnam Hanoi,T.;Viet,Nam</t>
  </si>
  <si>
    <t>Using HIV clinics to improve quality of community-based medical education</t>
  </si>
  <si>
    <t>community;health;hospital;Human immunodeficiency virus;medical education;university;chronic disease;city;curriculum;education;fear;human;internal medicine;job satisfaction;medical history;medical student;model;outpatient;patient;pharmacy;physical examination;physician;satisfaction;skill;student;substance abuse;teacher;teaching;Viet Nam</t>
  </si>
  <si>
    <t>Program/Project Purpose: The Ho Chi Minh City University of Medicine and Pharmacy is reforming its 6-year undergraduate medical curriculum with a goal of improving training of doctors. Amajor focus of the reform is to introduce early community-based clinical experiences for students. However, medical education in Vietnam is primarily hospitalbased and models of community-based education are lacking. We piloted a community-based medical student elective utilizing the city's network of outpatient HIV clinics with the aims of improving the capacity of community-based clinical staff to mentor students, improving student history and physical examination skills, and exposing medical students to HIV patients in order to reduce stigma and to promote HIV medicine as a potential field for graduating doctors. Structure/Method/Design: The longitudinal clinical experience was designed as an eight week rotation integrated into the 3rd year internal medicine clerkship. Community HIV doctors were trained in teaching and mentoring skills and were mentored by university or project staff. Participating students spent one morning per week in one of 6 participating HIV clinics in the city. During each session students took histories and performed physical examinations, and presented cases to their clinical mentors who also provided a short didactic session on HIV. We assessed student and mentor knowledge, satisfaction and confidence. Outcomes &amp; Evaluation: Twenty students and nine HIV providers participated in the pilot from March - July 2014. Prior to the pilot, less than half of the students reported previous experience in an outpatient setting and less than half reported previous contact with a person living with HIV. During the eight half day sessions, students examined a mean of 3.4 patients (range 1-8 patients) and took a detailed medical history from at least 5 patients (range 5 to &gt;20). After the eight weeks, all students demonstrated improved knowledge, 85% agreed or strongly agreed that the experience increased their confidence in taking a sexual history, 75% had increased confidence in taking a substance abuse history, 75% reported increased confidence in the ability to present a clinical case, and 100% reported they were less afraid of caring for patients with HIV. Ninety percent reported the rotation was useful for their education. All nine mentors reported increased confidence in their mentoring skills and improved job satisfaction. Going Forward: A pilot of early longitudinal clinical training in community-based HIV clinics improved student confidence in history and physical examination skills, reduced fear of HIV patients, improved the mentoring skills of community based clinicians and served as a model for introducing students to the outpatient management of chronic disease. The lessons learned from this pilot will inform the university's planned expansion of community-based clinical training opportunities.</t>
  </si>
  <si>
    <t>(Pollack T.; Duong D.) (HAIVN) (Diep Tuan T.; Hoai Phong N.; Quoc Dat N.) (Tuyet Nhung V.; Nhat Vinh D.) (Thu Van T.) (Libman H.; Cosimi L.) 6th Annual CUGH Conference, Consortium of Universities for Global Health: Mobilizing Resesarch for Global Health Boston, MA, United States 2015-03-26 to 2015-03-28 Elsevier USA; ID: 858</t>
  </si>
  <si>
    <t>Pollak,P. T.;Shafer,S. L.</t>
  </si>
  <si>
    <t>Teaching application of clinical pharmacology skills using unusual observations from clozapine overdoses</t>
  </si>
  <si>
    <t>Adult;Aged;*Clozapine/aa Analogs &amp; Derivatives];Clozapine/bl Blood];*Clozapine/pk Pharmacokinetics];Clozapine/po Poisoning];Drug Overdose;Female;Half-Life;Humans;Male;Metabolic Clearance Rate;Pharmacology, Clinical/ed Education];*Problem-Based Learning;Serotonin Antagonists/bl Blood];*Serotonin Antagonists/pk Pharmacokinetics];Serotonin Antagonists/po Poisoning];Teaching/mt Methods];0 (Serotonin Antagonists);6104-71-8 (norclozapine);J60AR2IKIC (Clozapine)</t>
  </si>
  <si>
    <t>Massive drug overdoses provide a unique opportunity to observe human pharmacokinetic data not otherwise ethically available. They can also provide practical examples for teaching thoughtful application of the principles of clinical pharmacology. Following a case of clozapine overdose in which onset of toxicity was delayed by 72 hours, a probable explanation was found in an exploration of three cases with unusual concentration-time profiles and revealed unexpected implications for the management of clozapine overdoses. The authors systematically addressed the possible mechanisms proposed in the literature for an unusual plateau in concentrations observed in three clozapine overdoses. The effects that the most commonly suggested explanations (i.e., delayed absorption and saturated or impaired metabolism) would have on both clozapine and norclozapine concentrations were then modeled using the data available from those three cases to provide an objective illustration for comparison. This exercise was then used as a teaching seminar, leading students through the steps required to reach a logical explanation for the observed delayed toxicity and to consider the implications for therapy. Delayed absorption best predicted the sustained serum clozapine and norclozapine concentrations observed in three cases, and modeling suggests that much of the drug remains in the gut, available for absorption for days following an overdose. As a seminar, the exercise provides students with a practical example of the value of systematically ruling out possible explanations by considering what effects various pharmacokinetic alterations would have on observed data. Absorption following massive clozapine overdose appears fundamentally different from that with conventional dosing. This suggests a potential for delayed or prolonged toxicity, extending well beyond the time frame predicted by its half-life, unless aggressive and sustained efforts are applied to remove clozapine from the gut. Data from drug overdoses provide opportunities to explore unusual aspects of pharmacokinetics, better understand future overdoses of the same agent, and present excellent material for teaching. A seminar illustrating the role that thoughtful application of pharmacologic principles had in addressing this case is now used to introduce the clinical aspects of pharmacology to students at our institutions.</t>
  </si>
  <si>
    <t>J2: J Clin Pharmacol; Pollak, P Timothy Shafer, Steven L; ID: 479</t>
  </si>
  <si>
    <t>Pollak,P Timothy. Department of Medicine, Suite 406 Bethune Building, Queen Elizabeth II HSC, Dalhousie University, Victoria General Site, 1278 Tower Road, Halifax, Nova Scotia, Canada B3H 2Y9.</t>
  </si>
  <si>
    <t>http://ovidsp.ovid.com/ovidweb.cgi?T=JS&amp;CSC=Y&amp;NEWS=N&amp;PAGE=fulltext&amp;D=med5&amp;AN=14747422</t>
  </si>
  <si>
    <t>MEDLINE; Ovid Technologies; Teaching application of clinical pharmacology skills using unusual observations from clozapine overdoses</t>
  </si>
  <si>
    <t>Pollini,R. A.;Rudolph,A. E.;Case,P.</t>
  </si>
  <si>
    <t>NIHMS643417 PMC4293079; Nonprescription syringe sales: a missed opportunity for HIV prevention in California</t>
  </si>
  <si>
    <t>Attitude of Health Personnel;California/ep Epidemiology];Clinical Competence;*Commerce/ec Economics];Commerce/lj Legislation &amp; Jurisprudence];*Community Pharmacy Services/ec Economics];Community Pharmacy Services/lj Legislation &amp; Jurisprudence];Female;HIV Infections/ec Economics];HIV Infections/ep Epidemiology];*HIV Infections/pc Prevention &amp; Control];HIV Infections/tm Transmission];Health Knowledge, Attitudes, Practice;Health Services Accessibility/ec Economics];Humans;Male;*Pharmacists/ec Economics];Pharmacists/px Psychology];Professional Role;Substance Abuse, Intravenous/ec Economics];*Substance Abuse, Intravenous/ep Epidemiology];*Syringes/ec Economics]</t>
  </si>
  <si>
    <t>OBJECTIVE: To assess implementation of California Senate Bill SB41 in two inland California counties where prevalence of injection drug use is among the highest in the nation. DESIGN: Syringe purchase trial. SETTING: Fresno and Kern counties, California. PARTICIPANTS: All 248 community pharmacies in the counties. MAIN OUTCOME MEASURE: Successful or unsuccessful syringe purchase attempt. RESULTS: Only 52 (21.0%) syringe purchase attempts were successful. The proportion of successful attempts did not vary by county or by data collector ethnicity. The most common reasons for unsuccessful syringe purchase attempts were prescription requirements (45.7%), the requested syringe size was not available (10.7%), and the pharmacy did not sell syringes (9.7%). In addition, some syringe purchase attempts (4.1%) were unsuccessful because the data collector was asked to purchase more syringes than allowed by law. Although 80% and 78% of Fresno and Kern residents, respectively, live within a 5-minute drive of a community pharmacy, less than one-half live within a 5-minute drive of a community pharmacy that sold syringes. CONCLUSION: SB41 has not resulted in broad pharmacy-based syringe access in California's inland counties, where a disproportionate number of cases of human immunodeficiency virus (HIV) infections are associated with injection drug use. Additional steps by legislative bodies, regulatory agencies, and professional organizations are needed to actively engage pharmacies in expanding nonprescription syringe sales to reduce HIV transmission among injection drug users.</t>
  </si>
  <si>
    <t>J2: J Am Pharm Assoc (2003); Pollini, Robin A Rudolph, Abby E Case, Patricia K01 DA033879 (United States NIDA NIH HHS) K01DA033879 (United States NIDA NIH HHS) R01 DA035098 (United States NIDA NIH HHS) R01DA035098 (United States NIDA NIH HHS); ID: 17</t>
  </si>
  <si>
    <t>http://ovidsp.ovid.com/ovidweb.cgi?T=JS&amp;CSC=Y&amp;NEWS=N&amp;PAGE=fulltext&amp;D=medc&amp;AN=25575149</t>
  </si>
  <si>
    <t>http://dx.doi.org/10.1331/JAPhA.2015.14148</t>
  </si>
  <si>
    <t>MEDLINE; Ovid Technologies; Nonprescription syringe sales: a missed opportunity for HIV prevention in California</t>
  </si>
  <si>
    <t>Pollock,S. H.;Author,Addresses;Div Drug Alcohol Abuse, Dept Pharmacol Univ,Texas Hlth;Sci Cent,San,Antonio Tex;Correspondence,Address;Div Drug Alcohol Abuse, Dept Pharmacol Univ Texas Hlth Sci,Cent San;Antonio,Tex</t>
  </si>
  <si>
    <t>1035156; Liberty Caps: recreational hallucinogenic mushrooms</t>
  </si>
  <si>
    <t>(MAJOR FOCUS);lysergide;mescaline;psilocin;psilocybine;psychedelic agent;drug dependence;mushroom;Psilocybe;psychotherapy;major clinical study;plant;lysergide (50-37-3);mescaline (11006-96-5, 54-04-6, 832-92-8);psilocin (26159-83-1, 520-53-6);psilocybine (520-52-5);Drug Literature Index (37);Psychiatry (32);Public Health, Social Medicine and Epidemiology (17);Forensic Science Abstracts (49);Clinical and Experimental Pharmacology (30)</t>
  </si>
  <si>
    <t>Since recreational use of psychoactive mushrooms has become a worldwide transcultural phenomenon, it is of great interest to learn more about fungal pharmacology. Clinical studies with psilocybin in both Europe and the United States strongly suggest that it is more efficacious than LSD or mescaline for psychotherapeutic purposes. The potential usefulness of psilocybin or a short acting congener in the psychiatric management of patients with alcohol and other drug dependencies certainly warrants investigation.</t>
  </si>
  <si>
    <t>(Pollock S.H.); ID: 1785</t>
  </si>
  <si>
    <t>http://www.ncbi.nlm.nih.gov/pubmed/1035156</t>
  </si>
  <si>
    <t>Liberty Caps: recreational hallucinogenic mushrooms</t>
  </si>
  <si>
    <t>Pompili,M.;Serafini,G.;Innamorati,M.;Biondi,M.;Siracusano,A.;Di Giannantonio,M.;Giupponi,G.;Amore,M.;Lester,D.;Girardi,P.;M‚îú‚ï¢ller-Leimk‚îú‚ïùhler,A. M.;Author,Addresses;Department,of;Neurosciences,Sant'Andrea Hospital Sapienza University of Rome Rome;Italy;McLean,Hospital;Harvard Medical School, Belmont,M.A.United States;Department,of;Neuroscience,Mental Health;Sensory Organs-Sant'Andrea,Hospital;Sapienza University of Rome, Via di,Grottarossa Rome;Italy;Department of,Psychiatry;Psychological Medicine,Sapienza;Universita,di Roma;Department of Neuroscience, Division,of Psychiatry;University of Rome,Tor Vergata;Neuroscience;Imaging Department,University of;Chieti,Chieti Italy;Department,of Psychiatry;Department of Neurosciences, Division of,Psychiatry University;of Parma,Parma Italy;Richard Stockton College of,New Jersey;States;Department of,Psychiatry;Ludwig-Maximilians-University,of Munich;Correspondence,Address;Pompili, Department of Neurosciences Sant'Andrea Hospital Sapienza,M.;University of Rome, Rome Italy Email maurizio pompili,uniroma it</t>
  </si>
  <si>
    <t>23304731; Substance abuse and suicide risk among adolescents</t>
  </si>
  <si>
    <t>European archives of psychiatry and clinical neuroscience</t>
  </si>
  <si>
    <t>Eur.Arch.Psychiatry Clin.Neurosci.</t>
  </si>
  <si>
    <t>drug dependence (disease management, prevention);substance abuse;suicide (disease management, prevention);article;child behavior;disease association;health program;human;interpersonal stress;mood disorder;peer group;priority journal;risk factor;social support;stress;Pediatrics and Pediatric Surgery (7);Psychiatry (32);Health Policy, Economics and Management (36);Drug Dependence, Alcohol Abuse and Alcoholism (40)</t>
  </si>
  <si>
    <t>The aim of this paper was to review the literature concerning the relationship between suicide and substance abuse behaviours among adolescents, focusing on epidemiology, comorbidity and preventive programmes. We performed a Pubmed/Medline, Scopus, PsycLit and PsycInfo search to identify all papers and book chapters during the period between 1980 and 2011. Adolescents with substance abuse disorder who attempt or complete suicide can be characterized as having mood disorders, stressful life events, interpersonal problems, poor social support, lonely lives and feelings of hopelessness. The research supports the existence of a strong relationship between suicide and substance abuse. Preventive programmes should be based on the detection of risk factors associated with both suicide and substance abuse disorder. Management programmes should combine different therapeutic strategies such as peer-to-peer education, school-based programmes, psychotherapy and pharmacological treatment. Evidence suggests that targeted suicide prevention programmes can be delivered which reduce the burden associated with substance abuse and suicide in youths. ‚î¨‚åê 2012 Springer-Verlag.</t>
  </si>
  <si>
    <t>(Pompili M., maurizio.pompili@uniroma1.it; Girardi P.) (Pompili M., maurizio.pompili@uniroma1.it; Serafini G.) (Pompili M., maurizio.pompili@uniroma1.it; Innamorati M.) (Biondi M.) (Siracusano A.) (Di Giannantonio M.) (Giupponi G.) (Amore M.) (Lester D.) (M‚îú‚ï¢ller-Leimk‚îú‚ïùhler A.M.) D. Steinkopff-Verlag, P.O. Box 100462, Darmstadt, Germany.; ID: 1117</t>
  </si>
  <si>
    <t>0940-1334 1433-8491 (electronic)</t>
  </si>
  <si>
    <t>http://www.ncbi.nlm.nih.gov/pubmed/23304731</t>
  </si>
  <si>
    <t>Substance abuse and suicide risk among adolescents</t>
  </si>
  <si>
    <t>Ponte,C. D.;Author,Addresses;Dept,of Clin;Fam Med, Schools of,Pharmacy and;Medicine,West Virginia University Health Sciences N.Morgantown W.V.;States,United;Correspondence,Address;CD Ponte, Clinical Pharmacy Family Medicine Schools of,Pharmacy and;Medicine,West Virginia University Health Sciences N.Morgantown W.V.;States,United</t>
  </si>
  <si>
    <t>Women's health issues and counseling behaviors: A pilot survey of West Virginia pharmacists</t>
  </si>
  <si>
    <t>patient counseling;pharmacist;adult;article;estrogen therapy;female;health education;human;male;normal human;pharmacy;reimbursement;social work;substance abuse;vaginitis;Pharmacy (39)</t>
  </si>
  <si>
    <t>Objective: To assess the counseling behaviors of pharmacists concerning women's health issues. Design: A 14-item survey was mailed to 1,050 pharmacists. Data were analyzed using descriptive statistics (frequency and cross-tabulation). An IBM-compatible microcomputer program, Epi Info Version 5, was used for data analysis. Stratified analysis of the data was conducted using chi-square testing. Correlation between selected variables was determined using statistical analysis software. Setting: West Virginia. Participants: Two hundred seven practicing West Virginia pharmacists who completed or partially completed the questionnaire. Outcome Measures: The degree and nature of counseling by West Virginia pharmacists pertaining to women's health issues. Results: Almost 77% of the pharmacists were engaged in community practice. Seventy-four percent (151/203) of pharmacists counsel women about healthcare issues at least sometimes during a typical week. Women most often initiate the interaction. Sixty-nine percent were somewhat comfortable counseling women. The most common topics discussed were vaginal infections and estrogen replacement therapy. The most common barriers to effective counseling were time constraints and lack of patient requests. Almost 33% of the pharmacists (n = 68) agreed that academic curricula inadequately prepared them to counsel women. If reimbursement mechanisms were available, 36% of pharmacists (n = 70) would charge up to $5 per session. Sixteen percent (n = 32) would charge no fee. Conclusions: The small sample size and design of the survey could affect interpretation of the study results. Future research should address the specific types of counseling performed and the methods used, the practice setting and its influence on counseling, curricular influences on counseling, and pharmacist reimbursement philosophy.</t>
  </si>
  <si>
    <t>(Ponte C.D.); ID: 1683</t>
  </si>
  <si>
    <t>Powell,M. F.;Solomon,D. K.;Cavette,S. M.;Author,Addresses;Detroit Receiv. Hosp, Detroit M. I.;Correspondence,Address;Detroit Receiv. Hosp, Detroit M. I.</t>
  </si>
  <si>
    <t>7081265; Pharmacist participation in a multidisciplinary, community health-education project</t>
  </si>
  <si>
    <t>community;education;health;pharmacist;prevention;psychological aspect;Health Policy, Economics and Management (36)</t>
  </si>
  <si>
    <t>Before its merger with the Detroit Receiving Hospital and University Health Center, the Wayne State University Health Care Institute (HCI) provided multidisciplinary health-care services to ambulatory patients of the Detroit Medical Center. One of these services was a health-education program called the Consumer Health Education Project (CHAP). The CHAP program promoted health and disease prevention through the dissemination of health information. The program offered health information to consumers in four general subject areas: nutrition, hypertension, drug use and misuse, and alcohol and substance abuse.</t>
  </si>
  <si>
    <t>(Powell M.F.; Solomon D.K.; Cavette S.M.); ID: 1762</t>
  </si>
  <si>
    <t>http://www.ncbi.nlm.nih.gov/pubmed/7081265</t>
  </si>
  <si>
    <t>Pharmacist participation in a multidisciplinary, community health-education project</t>
  </si>
  <si>
    <t>Pozniak,B.;Grabowski,T.;Motykiewicz-Pers,K.;Bobrek,K.;Rak,L.;Bobusia,K.;Gawel,A.;Switala,M.</t>
  </si>
  <si>
    <t>PMC4403852; Pharmacokinetics of repeated sodium salicylate administration to laying hens: evidence for time dependent increase in drug elimination from plasma and eggs</t>
  </si>
  <si>
    <t>e0123526</t>
  </si>
  <si>
    <t>Animals;Chickens;Dose-Response Relationship, Drug;Egg White;Egg Yolk/de Drug Effects];Egg Yolk/me Metabolism];Female;*Oviposition/de Drug Effects];*Ovum/me Metabolism];Sodium Salicylate/ad Administration &amp; Dosage];*Sodium Salicylate/bl Blood];*Sodium Salicylate/pk Pharmacokinetics];Sodium Salicylate/pd Pharmacology];Time Factors;WIQ1H85SYP (Sodium Salicylate)</t>
  </si>
  <si>
    <t>Salicylates were the first non-steroid anti-inflammatory drugs (NSAIDs) to be used in any species and are still widely used in humans and livestock. However, the data on their pharmacokinetics in animals is limited, especially after repeated administration. Evidence exist that in chickens (Gallus gallus) salicylate (SA) may induce its own elimination. The aim of this study was to investigate salicylate pharmacokinetics and egg residues during repeated administration of sodium salicylate (SS) to laying hens. Pharmacokinetics of SA was assessed during 14 d oral administration of SS at daily doses of 50 mg/kg and 200 mg/kg body weight to laying hens. On the 1st, 7th and 14th d a 24 h-long pharmacokinetic study was carried out, whereas eggs were collected daily. Salicylate concentrations in plasma and eggs were determined using high-performance liquid chromatography with ultraviolet detection and pharmacokinetic variables were calculated using a non-compartmental model. Mean residence time (MRT), minimal plasma concentration (Cmin, C16h) and elimination half-life (T1/2el) of SA showed gradual decrease in layers administered with a lower dose. Total body clearance (ClB) increased. Layers administered with the higher dose showed a decrease only in the T1/2el. In the low dose group, SA was found only in the egg white and was low throughout the experiment. Egg whites from the higher dose group showed initially high SA levels which significantly decreased during the experiment. Yolk SA levels were lower and showed longer periods of accumulation and elimination. Repeated administration of SS induces SA elimination, although this effect may differ depending on the dose and production type of a chicken. Decreased plasma drug concentration may have clinical implications during prolonged SS treatment.</t>
  </si>
  <si>
    <t>J2: PLoS ONE; Pozniak, Blazej Grabowski, Tomasz Motykiewicz-Pers, Karolina Bobrek, Kamila Rak, Lech Bobusia, Katarzyna Gawel, Andrzej Switala, Marcin; ID: 12</t>
  </si>
  <si>
    <t>Pozniak,Blazej. Department of Biochemistry, Pharmacology and Toxicology, Faculty of Veterinary Medicine, Wroclaw University of Environmental and Life Sciences, Wroclaw, Poland. Grabowski,Tomasz. Polpharma Biologics, Gdansk, Poland. Motykiewicz-Pers,Karolina. Department of Biochemistry, Pharmacology and Toxicology, Faculty of Veterinary Medicine, Wroclaw University of Environmental and Life Sciences, Wroclaw, Poland. Bobrek,Kamila. Department of Epizootiology and Clinic of Birds and Exotic Animals, Faculty of Veterinary Medicine, Wroclaw University of Environmental and Life Sciences, Wroclaw, Poland. Rak,Lech. Department of Food Hygiene and Consumer Health Protection, Faculty of Veterinary Medicine, Wroclaw University of Environmental and Life Sciences, Wroclaw, Poland. Bobusia,Katarzyna. Department of Epizootiology and Clinic of Birds and Exotic Animals, Faculty of Veterinary Medicine, Wroclaw University of Environmental and Life Sciences, Wroclaw, Poland. Gawel,Andrzej. Department of Epizootiology and Clinic of Birds and Exotic Animals, Faculty of Veterinary Medicine, Wroclaw University of Environmental and Life Sciences, Wroclaw, Poland. Switala,Marcin. Department of Biochemistry, Pharmacology and Toxicology, Faculty of Veterinary Medicine, Wroclaw University of Environmental and Life Sciences, Wroclaw, Poland.</t>
  </si>
  <si>
    <t>http://ovidsp.ovid.com/ovidweb.cgi?T=JS&amp;CSC=Y&amp;NEWS=N&amp;PAGE=fulltext&amp;D=medl&amp;AN=25893240</t>
  </si>
  <si>
    <t>http://dx.doi.org/10.1371/journal.pone.0123526</t>
  </si>
  <si>
    <t>MEDLINE; Ovid Technologies; Pharmacokinetics of repeated sodium salicylate administration to laying hens: evidence for time dependent increase in drug elimination from plasma and eggs</t>
  </si>
  <si>
    <t>Price,C.;Ryan,M.;Benjamin,B.;Eatmon,C.;Author,Addresses;Lexington Veterans,Affairs;Medical Center,United States;University of Kentucky, College of Pharmacy,United States;Correspondence,Address;Price, Lexington Veterans Affairs Medical Center United States,C.</t>
  </si>
  <si>
    <t>Awareness, knowledge, and use of electronic nicotine delivery systems in a veteran population</t>
  </si>
  <si>
    <t>(MAJOR FOCUS);nicotine;electronic cigarette;glycerol;propylene glycol;college;human;pharmacist;population;veteran;devices;education;food and drug administration;health;hospital;informed consent;Internet;mental disease;outpatient department;pharmacy;regression analysis;safety;smoking;statistics;Student t test;substance abuse</t>
  </si>
  <si>
    <t>Type: Work in Progress. None. Background: Electronic nicotine delivery systems (e-cigarettes) are devices that use a rechargeable battery to vaporize a nicotine-containing solution of glycerin or propylene glycol. They are designed to look like cigarettes and marketed as a smoking alternative. Once only sold on the internet, they are now available in grocery stores, convenience stores, some pharmacies, and other retail outlets. Their safety and efficacy has not been established by FDA review, but an unknown number of veterans are using them. Objectives: To assess the awareness, knowledge, and use of e-cigarettes among veterans and to identify trends in e-cigarette use, what benefit or harm was experienced from use, any health or demographic variables that may be predictive of e-cigarette use, and clinics in which targeted education may be useful. Methods: A four-part survey was created to assess awareness, knowledge, and use of e-cigarettes among veterans at the Lexington VA Medical Center. Willingness to complete the survey and presentation to one of the outpatient clinics are the only inclusion criteria. Veterans who are unwilling or unable to participate will be excluded. Veterans will self-administer the survey, with an investigator available for questions. Informed consent and HIPAA acknowledgement will be obtained from all participants. Data will be pooled and groups will be compared to determine if there is any difference in awareness, knowledge, or use of electronic cigarettes. Group comparisons will examine differences between smokers and non-smokers, different clinic populations, participants with and without a history of substance abuse, and those with and without a history of mental illness. Using a 2-tailed alpha of 0.05, 260 survey responses will be required to detect a 5% difference between groups. Results and Conclusions: Descriptive statistics will be reported for all survey items and used to compare awareness and use of e-cigarettes to national surveys already in the literature. T-tests will be used for group comparisons and multivariate regression analysis will be used to determine if demographic variables are predictive of e-cigarette use. Full results and conclusions will be presented at the 2013 CPNP Annual Meeting.</t>
  </si>
  <si>
    <t>(Price C.; Ryan M.; Benjamin B.; Eatmon C.) (Ryan M.) 16th Annual Meeting of the College of Psychiatric and Neurologic Pharmacists, CPNP 2013 Colorado Springs, CO, United States 2013-04-21 to 2013-04-24 SAGE Publications Inc.; ID: 1029</t>
  </si>
  <si>
    <t>Price,K. O.;Huff,P. S.;Isetts,B. J.;Goldwire,M. A.</t>
  </si>
  <si>
    <t>University-based sports pharmacy program</t>
  </si>
  <si>
    <t>Athletic Injuries/th Therapy];Doping in Sports;Equipment and Supplies, Hospital;Formularies as Topic;Health Education;Humans;Interprofessional Relations;Pharmacists/ut Utilization];*Pharmacists;Professional Practice;Sports Medicine/og Organization &amp; Administration];*Sports Medicine;Student Health Services/og Organization &amp; Administration];*Student Health Services;Substance Abuse Detection</t>
  </si>
  <si>
    <t>Ways for pharmacists to become involved in sports pharmacy are discussed, and a university-based sports pharmacy program is described. Sports pharmacy encompasses treating athletic injuries, distributing drugs and sports-related supplies, counseling patients, and monitoring therapeutic outcomes, along with educating athletes, trainers, and others about drug use and abuse. Pharmacists can contribute their expertise by presenting information at schools, health clubs, and other exercise-related organizations. They can serve on drug-testing crews at collegiate athletic events. Pharmacists can also provide supplies and services to schools or athletic facilities; ideally, this could be a contractual arrangement to provide comprehensive pharmaceutical care. A sports pharmacy program was implemented at the University of North Carolina at Chapel Hill in 1980. Pharmacists provide drug therapy monitoring and patient education to all patients at the school; patients' level of athletic activity is taken into consideration. Pharmacists also ensure proper use, storage, and distribution of drugs kept in clinics, training rooms, and sports medicine travel bags, as well as identifying and providing drugs and supplies that might be needed at an off-campus event. They provide inservice education to athletic trainers and physicians. The program has improved patient outcomes and helped to ensure adequate drug supplies and minimum waste. There are numerous opportunities for practitioners to become involved in sports pharmacy. A university-based sports pharmacy program improved the care of student athletes and helped contain drug costs.</t>
  </si>
  <si>
    <t>J2: Am J Health-Syst Pharm; Price, K O Huff, P S Isetts, B J Goldwire, M A; ID: 627</t>
  </si>
  <si>
    <t>Price,K O. Meniscus Educational Institute, Philadelphia, PA 19103, USA.</t>
  </si>
  <si>
    <t>http://ovidsp.ovid.com/ovidweb.cgi?T=JS&amp;CSC=Y&amp;NEWS=N&amp;PAGE=fulltext&amp;D=med3&amp;AN=7749959</t>
  </si>
  <si>
    <t>MEDLINE; Ovid Technologies; University-based sports pharmacy program</t>
  </si>
  <si>
    <t>Price,P. L.;Fagan,N. L.;Malesker,M. A.;Hsieh,H. T.;Author,Addresses;Creighton,University;School of,Pharmacy;Health Professions,Omaha,United States;Alegent Health,Immanuel Medical;Center,Omaha United States;Correspondence,Address;PL Price, Creighton University School,of Pharmacy;Health,Professions;Omaha,United States</t>
  </si>
  <si>
    <t>Potential modafinil abuse in a 46-year-old male</t>
  </si>
  <si>
    <t>(MAJOR FOCUS);modafinil;acetylsalicylic acid;alcohol;alprazolam;amfebutamone;aripiprazole;cannabis;clopidogrel;cocaine;diazepam;docusate sodium;dopamine;dopamine transporter;escitalopram;fenofibrate;lorazepam;lysergide;methamphetamine;paliperidone;pantoprazole;simvastatin;topiramate;valproate semisodium;abuse;college;male;pharmacist;bipolar disorder;brain;case report;diagnosis;drug therapy;exposure;health care personnel;hospitalization;human;laboratory;nucleus accumbens;outpatient department;patient;pilot study;productivity;psychosis;sleep;substance abuse;velocity</t>
  </si>
  <si>
    <t>Abstract Type: Therapeutic Case Report. Background: Medications that increase dopamine in the accumbens area of the brain are known to have the potential for abuse, and with this understanding, the dependence and abuse of the product needs to be brought to the attention of healthcare practitioners. Case Report: A 46-year-old male patient admitted from an outpatient clinic presented with grandiose and delusional thinking that he possessed the explanation of time. He discontinued his antipsychotic medication earlier in the week since it caused his crazy thinking. He reported not sleeping for three days prior to admission, and that he had increased productivity. His diagnosis was bipolar affective disorder with psychotic features. Laboratory values were within normal limits. Home medications upon admission included aspirin, paliperidone, escitalopram, pantoprazole, topiramate, diazepam, bupropion, and simvastatin. He had an extensive prior history of substance abuse including alcohol, lorazepam, speed, marijuana, LSD, methamphetamines, cocaine, and most recently modafinil. He reported that he used as much modafinil that he could get his hands on in a day. He reported being very productive when on this medication and feeling euphoric. He also reported during this hospitalization that when discharged if he could get modafinil he would take it. His original exposure to the modafinil is unknown. It was unclear during this admission as to how recently he had been abusing modafinil or if it contributed to this admission, but apparently he had used it within the last few weeks. He was discharged after a 15-day stay on the following medications; pantoprazole, simvastatin, aspirin, topiramate, alprazolam, aripiprazole, clopidogrel, divalproex sodium extended release, docusate sodium, and fenofibrate. Review of Literature: A recent report by Volkow and colleagues of the effects of modafinil on dopamine and dopamine transporters in the human brain has been published. This pilot study found that modafinil increased dopamine in the nucleus accumbens area of the brain. Drugs that increase dopamine in this area may have the potential for abuse. Conclusion: This case supports the potential for modafinil's dependence and abuse. Prescribers need to be aware of this potential when considering modafinil as a treatment option for various disease states.</t>
  </si>
  <si>
    <t>(Price P.L.; Fagan N.L.; Malesker M.A.; Hsieh H.T.) (Price P.L.; Fagan N.L.; Hsieh H.T.) 13th Annual Meeting of the College of Psychiatric and Neurologic Pharmacists, CPNP 2010 San Antonio, TX, United States 2010-04-18 to 2010-04-21 SAGE Publications Inc.; ID: 1363</t>
  </si>
  <si>
    <t>Price,S. A.;Brahm,N. C.;Yeager,L. L.;Puls,C. M.;Author,Addresses;Department of,Clinical;Administrative,Sciences;University of Oklahoma, College of Pharmacy Tulsa,United States;School of Community Medicine, University of,Oklahoma College;of Medicine,Tulsa,United States;Psychiatrist,Private Practice Tulsa United States;Correspondence,Address;SA Price,Department,of Clinical;Administrative Sciences,University;of Oklahoma, College of Pharmacy Tulsa,United States</t>
  </si>
  <si>
    <t>Disaster impact on the psychiatric patient: A preparedness toolkit</t>
  </si>
  <si>
    <t>college;human;mental patient;pharmacist;counseling;drug monitoring;drug therapy;emergency health service;health care personnel;health practitioner;hospital department;hurricane;mental disease;mental health;mental health care;model;patient;patient care;patient information;physician;planning;population;screening;substance abuse;survivor</t>
  </si>
  <si>
    <t>Background: In the aftermath of a disaster, health care workers may find access to usual resources, including medications and patient information, are no longer available. Based on one practitioner's experience with a Hurricane Katrina triage center, a disaster preparedness toolkit to address the needs of persons with mental illnesses was developed for use as a component of disaster preparedness by mental health professionals to address the needs of this special population following activation of disaster plan. Description of Innovative Service: Research on disaster preparedness for chronically mentally ill disaster survivors offers limited models for guidance on intervention strategies for this patient population. This toolkit was developed to provide a model for integrating pharmacy services into disaster preparedness. As a component of preparedness, the clinical pharmacist can help identify rates and types of mental illness in the affected area and secure appropriate medications for adequate care of these patients, develop plans for rapid importation of medications from outside the disaster area, and/or access medications stockpiled for such an event, develop protocols to prevent diversion, and ensure expired medications are replaced regularly and not included in the active inventory. Impact on Patient Care: The psychiatric pharmacist is trained to meet the needs of this patient with mental health concerns in a wide variety of settings. Interdisciplinary collaboration may include the pharmacist screening and counseling people with mental illnesses or substance abuse problems. Depending on the setting, the psychiatric pharmacist may work collaboratively with the physician to prescribe, monitor, and adjust pharmacotherapy regimens. They are also able to provide support with medication monitoring and distribution functions. Conclusion: The importance of advanced planning cannot be overestimated. Following a disaster, the availability of and access to mental health care may be limited. It is, therefore, important for institutions to have a response plan and protocols for addressing the needs of the mental health patient population both during and after a disaster. This model may serve as the starting point for clinicians in the development of a disaster preparedness plan to help meet the needs of this population.</t>
  </si>
  <si>
    <t>(Price S.A.; Brahm N.C.) (Yeager L.L.) (Puls C.M.) 14th Annual Meeting of the College of Psychiatric and Neurologic Pharmacists, CPNP 2011 Phoenix, AZ, United States 2011-05-01 to 2011-05-04 Sage Publications; ID: 1279</t>
  </si>
  <si>
    <t>Primeaux,B.;Chelette,C.;Smith,C.;Author,Addresses;University;of Louisiana at Monroe, College of Pharmacy,United States;Correspondence,Address;Primeaux, University of Louisiana at Monroe College of Pharmacy United,B.;States Email, primeabc warhawks,ulm edu</t>
  </si>
  <si>
    <t>Pharmacists' involvement in the use of a prescription monitoring program</t>
  </si>
  <si>
    <t>controlled substance;human;monitoring;pharmacist;prescription;community;drug therapy;multiple choice test;patient;pharmacy;prescription drug diversion;statistics;student</t>
  </si>
  <si>
    <t>Objective: Due to the increasing incidence of prescription drug diversion, 30 of the 50 states have begun implementing a Prescription Monitoring Program (PMP). This controlled drug data tracking system can be an effective tool in combating this growing problem. Since 2008, our Board of Pharmacy has been evaluating the total number of dispensers and providers using the PMP; however, data detailing feelings and/or use of the program have not been studied. The objective of this study was to assess pharmacists' knowledge, opinions, and usage of the PMP and reasons for not using the program. Methods: All registered pharmacists in the state were invited to participate in an online survey. This 16-question IRBapproved survey allowed for multiple choice answers and open-ended comments. The data collected was divided by geographic region and pharmacy practice setting. Descriptive statistics were used to measure a difference between community and chain pharmacists utilization of the PMP. Results: Approximately 46% of the 659 pharmacists surveyed have dispensing access to the PMP and 25.9% access it daily. Of those that do not have access to the PMP, 14.4% stated, Œì√á¬£There is already a pharmacist that I work with that has access,Œì√á¬• and 13.3% stated it was Œì√á¬£Too time consumingŒì√á¬• as their reason for not acquiring access. Results determined that the southwest region of the state has the most pharmacists with access to the PMP (53.49%), while the northeast has the lowest (37.65%). A significant difference (P = 0.004) was found when comparing percentage access of independent vs. chain pharmacists. Conclusion: Educating pharmacists and student pharmacists about the use of the PMP prior to dispensing controlled substance prescriptions may prevent more patients from obtaining frequently abused medications. The data collected has been shared with the Board of Pharmacy and educational programs are underway to address concerns.</t>
  </si>
  <si>
    <t>(Primeaux B., primeabc@warhawks.ulm.edu; Chelette C.; Smith C.) APhA2012 New Orleans, LA, United States 2012-03-09 to 2012-03-12 American Pharmacists Association; ID: 1179</t>
  </si>
  <si>
    <t>Primejdie,D. P.;Mallet,L.;Popa,A.;Bojita,M. T.</t>
  </si>
  <si>
    <t>PMC4462424; Description of a systematic pharmaceutical care approach intended to increase the appropriateness of medication use by elderly patients</t>
  </si>
  <si>
    <t>Clujul Medical</t>
  </si>
  <si>
    <t>BACKGROUND &amp; AIMS: The pharmaceutical care practice represents a model of responsible pharmacist involvement in the pharmacotherapy optimization of various population groups, including the elderly, known to be at risk for drug-related problems. Romanian pharmacists could use validated pharmaceutical care experiences to confirm their role as health-care professionals. This descriptive research presents the application in two real and different environments of practice of a structured pharmaceutical care approach conceived as the basis for a medication review activity and aiming at the identification and resolution of the drug related problems in the elderly. PATIENTS AND METHODS: Two patients with similar degree of disease-burden complexity, receiving care in different health-care environments (The Geriatric Ward of the Royal Victoria Hospital from the McGill University Health Centre in Montreal, Quebec, Canada, in November 2010, and an urban nursing-home facility in Cluj-Napoca, Romania, in March 2011), were chosen for the analysis. One clinical pharmacist suggested solutions for the management of each of the active drug-related problems identified, using the systematic pharmaceutical care approach and specific published geriatric pharmacotherapy recommendations. The number of the drug-related problems identified and the degree of the care-team acceptance of the pharmacists' solutions were noted for each patient. RESULTS: The pharmacist found 6 active drug-related problems for the hospitalized patient (72 year-old, Chronic Disease Score 9) and 7 potential ones for the nursing-home resident (79 year-old, Chronic Disease Score 8), involving misuse, underuse and overuse of medications. Each patient had 3 geriatric syndromes at baseline. The therapy changes suggested by the pharmacist were implemented for the hospitalized patient, through collaboration with the health-care team. For the nursing home resident, the pharmacist identified the need for additional 6 medications and safety and efficacy arguments to cease 7 initial therapies, simplifying the therapeutic daily schedule (from 24 daily doses to 15). CONCLUSION: The pharmacist's potential contribution to the optimization of the Romanian elderly patients' pharmacotherapy needs further exploration, as potential drug related problems reported as characteristic for this population were easily identified. The presented structured and validated model of pharmaceutical care approach could be used to this end. Its dissemination and use could be encouraged along with the enhancement of pharmacotherapy information and care team collaboration skills.</t>
  </si>
  <si>
    <t>J2: Clujul med; Primejdie, Daniela Petruta Mallet, Louise Popa, Adina Bojita, Marius Traian; ID: 25</t>
  </si>
  <si>
    <t>1222-2119</t>
  </si>
  <si>
    <t>Primejdie,Daniela Petruta. Department of Clinical Pharmacy, Iuliu Hatieganu University of Medicine and Pharmacy, Faculty of Pharmacy, Cluj-Napoca, Romania. Mallet,Louise. Faculty of Pharmacy, University of Montreal, Montreal, Quebec, Canada; Division of Geriatric Medicine, Department of pharmacy, McGill University Health Center, Montreal, Quebec, Canada. Popa,Adina. Department of Clinical Pharmacy, Iuliu Hatieganu University of Medicine and Pharmacy, Faculty of Pharmacy, Cluj-Napoca, Romania. Bojita,Marius Traian. Department of Pharmaceutical Analysis, Iuliu Hatieganu University of Medicine and Pharmacy, Faculty of Pharmacy, Cluj-Napoca, Romania.</t>
  </si>
  <si>
    <t>http://ovidsp.ovid.com/ovidweb.cgi?T=JS&amp;CSC=Y&amp;NEWS=N&amp;PAGE=fulltext&amp;D=prem&amp;AN=26528011</t>
  </si>
  <si>
    <t>http://dx.doi.org/10.15386/cjmed-276</t>
  </si>
  <si>
    <t>MEDLINE; Ovid Technologies; Description of a systematic pharmaceutical care approach intended to increase the appropriateness of medication use by elderly patients</t>
  </si>
  <si>
    <t>Prot-Labarthe,S.;Therrien,R.;Demanche,C.;Larocque,D.;Bussieres,J. F.</t>
  </si>
  <si>
    <t>Pharmaceutical care in an inpatient pediatric hematopoietic stem cell transplant service</t>
  </si>
  <si>
    <t>Adolescent;Child;Drug Therapy;Female;Hematopoietic Stem Cell Transplantation/ae Adverse Effects];*Hematopoietic Stem Cell Transplantation;Humans;Inpatients;Male;Patient Care Planning;*Pharmaceutical Services;Pharmacists;Pharmacy Service, Hospital</t>
  </si>
  <si>
    <t>INTRODUCTION: Hematopoietic stem cell transplant patients represent a population at high risk for drug-related problems. Our objective is to describe pharmacist interventions in a hematopoietic stem cell transplant pediatric unit. METHODS AND PATIENTS. The Hematopoietic Stem Cell Transplant Unit of the Centre Hospitalier Universitaire Sainte-Justine performs around 50 hematopoietic stem cell transplants per year. During a pharmaceutical care specialized residency program, a French pharmacist participated in certain clinical activities. Drug-related problems and clinical interventions were compiled over 31 nonconsecutive days using a tool developed by the Societe Francaise de Pharmacie Clinique. Data concerning patients, drugs, intervention, documentation, approval (if needed), and estimated impact were compiled. RESULTS: During the 31-day period, 525 interventions were collected (16.9 +/- 3.7 per day), targeting 29 patients. The main drug-related problems were adverse drug reactions (N = 125, 23.8%), untreated indication (N = 92, 17.5%) and failure to receive drug (N = 89, 17.0%). The pharmacist's interventions concerned mainly dose adjustment (N = 174, 33.1%) and drug monitoring (N = 132, 25.1%). Among the 324 (61.7%) interventions requiring a physician's approval, 302 (93.2%) were accepted without any change. CONCLUSION: A pharmacist is able to perform clinically relevant interventions in a hematopoietic stem cell transplant unit, given the complexity of the pharmacotherapy. Our description of drug-related problems and interventions may help other pharmacists already working or developing pharmaceutical care in a hematopoietic stem cell transplant unit to compare their practice and it is one of the few reported in the literature.</t>
  </si>
  <si>
    <t>J2: J Oncol Pharm Pract; Prot-Labarthe, Sonia Therrien, Roxane Demanche, Colette Larocque, Diane Bussieres, Jean-Francois; ID: 349</t>
  </si>
  <si>
    <t>Prot-Labarthe,Sonia. Unite de Recherche en Pratique Pharmaceutique, Pharmacy Department, Centre Hospitalier Universitaire (CHU) Sainte Justine, Montreal, Quebec, Canada.</t>
  </si>
  <si>
    <t>http://ovidsp.ovid.com/ovidweb.cgi?T=JS&amp;CSC=Y&amp;NEWS=N&amp;PAGE=fulltext&amp;D=med5&amp;AN=18719069</t>
  </si>
  <si>
    <t>http://dx.doi.org/10.1177/1078155208093929</t>
  </si>
  <si>
    <t>MEDLINE; Ovid Technologies; Pharmaceutical care in an inpatient pediatric hematopoietic stem cell transplant service</t>
  </si>
  <si>
    <t>Proto,P. L.;Tognoli,E.;Piccioni,F.;Bartoli,A.;Morelli,D.;Langer,M.;Author,Addresses;Irccs Istituto Nazionale dei Tumori di Milano, Uinversity,of Milan;Department of,Anaesthesiology;Intensive Care,Milan Italy;Correspondence,Address;PL Proto, Irccs Istituto Nazionale dei Tumori di Milano,Uinversity of;Milan,Department of Anaesthesiology;Intensive Care,Milan Italy</t>
  </si>
  <si>
    <t>Postoperative opioids consumption: A pharmacokinetic analysis</t>
  </si>
  <si>
    <t>European journal of anaesthesiology</t>
  </si>
  <si>
    <t>Eur.J.Anaesthesiol.</t>
  </si>
  <si>
    <t>28 SUPPL. 48</t>
  </si>
  <si>
    <t>analgesic agent;methadone;anesthesiology;pharmacokinetics;abdominal surgery;analgesic activity;blood level;blood sampling;clinical pharmacology;concentration (parameters);high performance liquid chromatography;human;model;parameters;patient;patient controlled analgesia;therapy;university</t>
  </si>
  <si>
    <t>Background and Goal of Study: As the analgesic effect of opioids is concentration dependent, we found it interesting to analyse the postoperative opioids consumption from a pharmacokinetics point of view. The Aim of the study was to verif y the performance of a PK model in a Patient-Controlled analgesia context. Materials and Methods: We studied 5 pts. who underwent abdominal surgery. Analgesic therapy: Methadone administered by a PCA system (dose 2 mg, lock-out 12min.). To predict Methadone concentration, we used data recorded from PCA systems and the following equation: Cp = dose - K(10)A(1) - K(12)A(1) + K(21)A(2)/V(1) entering the pharmacokinetic parameters proposed by De Vos(1). For each patient we performed two blood samples at different times in the first 48 postoperative hours. The measurement of Methadone plasma concentration was carried out at the Institute of Clinical Pharmacology, University of Pavia, with the HPLC method. The difference between predicted plasma concentration (Cp) and measured plasma concentration (Cm) was expressed as percentage error (PE) = (Cp-Cm) / Cm] Œì√™√π ‚î¨¬∫ 100. Results: Are summarized in Table 1. Our calculation systems underestimated the measured concentrations with an error that varied from a low of -5% to a maximum of -45%. Only at two points, the calculated value overestimated the measured value (+7,9, +112). Conclusions: Our intention is to describe Postoperative opioids requirement in terms of concentration rather than dose consumption. The results show wide ranges of error variability, Therefore, we are looking for a way to analyse the performance of a PK model in a Patient-Controlled analgesia context, which we have not found in other literature so far. (Table presented) .</t>
  </si>
  <si>
    <t>(Proto P.L.; Tognoli E.; Piccioni F.; Bartoli A.; Morelli D.; Langer M.) European Anaesthesiology Congress, EUROANAESTHESIA 2011 Amsterdam, Netherlands 2011-06-11 to 2011-06-14 Lippincott Williams and Wilkins; ID: 1264</t>
  </si>
  <si>
    <t>0265-0215</t>
  </si>
  <si>
    <t>Prydderch,C.;Khideja,N.;Berry,J.;Author,Addresses;School,of;Pharmacy,Keele University United Kingdom;Correspondence,Address;Berry, School of Pharmacy Keele University United Kingdom Email,J.;j.d.berry@mema.keele.ac,uk</t>
  </si>
  <si>
    <t>London 2012: A prompt for pharmacists to learn about managing athletes' health</t>
  </si>
  <si>
    <t>athlete;occupational health;pharmacist;doping;human;postgraduate education;questionnaire;short survey;sport;United Kingdom;Physiology (2);Public Health, Social Medicine and Epidemiology (17);Occupational Health and Industrial Medicine (35);Pharmacy (39)</t>
  </si>
  <si>
    <t>(Prydderch C.; Khideja N.; Berry J., j.d.berry@mema.keele.ac-uk) Pharmaceutical Press, 1 Lambeth High Street, London, United Kingdom.; ID: 1129</t>
  </si>
  <si>
    <t>Puech,R.;Rioz,C. L.;Pont,E.;Voutier,M. B.;Author,Addresses;Department,of Pharmacy;Hospitalier,Pierre Oudot;Correspondence,Address;Puech, Department of Pharmacy Centre Hospitalier Pierre Oudot,R.;Bourgoin-Jallieu,France</t>
  </si>
  <si>
    <t>Role of pharmacy technicians in analysis of prescriptions in hospital</t>
  </si>
  <si>
    <t>clinical pharmacy;hospital;pharmacy technician;prescription;data base;devices;drug interaction;electronics;France;hospital pharmacy;patient safety;pharmacist;pharmacology;responsibility;technology</t>
  </si>
  <si>
    <t>Introduction: The role of pharmacy technicians has undergone substantial change over the years with increased use of electronics prescriptions, practice innovation and new technologies. Their responsibilities are expanding based on their qualifications, experience and training. In France, pharmacy technicians attend a specific training to work in various activities in a hospital. Clinical pharmacy is commonly activity to develop and promote the rational and appropriate use of drugs. Pharmacy technicians and pharmacists in collaboration can perform in clinical pharmacy and pharmaceutical analysis. So, we developed a specific form, with different essential points to validate a prescription, to facilitate the first analysis by pharmacy technicians. The aim of this study was to test the process enabling pharmacy technicians to identify drug-related problems (DRPs) and interventions. Materials &amp; Methods: A pharmacist, a resident pharmacist and 3 pharmacy technicians analysed 10 prescriptions. One pharmacy technician received a specific training to become a hospital pharmacy technician; another one did not receive specific training but used the form and the last one was free of training and form. They had access to all databases. Results: Pharmacist and resident identified 19 interventions associated with DRPs. Pharmacy technician who used the form identified 17 interventions and other pharmacy technicians 15 interventions. The agreement concerned 15 of interventions by resident, 8 of interventions by training pharmacy technician, 7 of interventions by other pharmacy technicians. The most commonly identified DRPs were drug interaction (between 42% by pharmacist and 70% by pharmacy technician free of training and form). The most commonly identified interventions were optimization of administration (between 42% by pharmacist and 53% by pharmacy technician free of training and form). The average analysis time was different between users: 18 ‚î¨‚ñí 6 min for pharmacy technician without the form, 10 ‚î¨‚ñí 4 min for resident and other pharmacy technicians, and 10 ‚î¨‚ñí 3 min a prescription for pharmacist. Discussion &amp; Conclusion: These results showed that pharmacy technician can participate to clinical pharmacy. A specific training associated with a specific form can become help tools to pre analysis of prescriptions and reduce analysis time for pharmacy technicians. Pharmacy technicians detect fewer interventions than pharmacist but they could identify some interventions. In the future, we would develop a monthly formation about pharmacology and rational use of drugs. Pharmacy technician have to assist hospital pharmacist in clinical pharmacy activities to promote the correct and appropriate use of medicinal products and devices, particularly to improve patient safety.</t>
  </si>
  <si>
    <t>(Puech R.; Rioz C.L.; Pont E.; Voutier M.B.) 39th ESCP European Symposium on Clinical Pharmacy and 13th SFPC Congress: Clinical Pharmacy at the Front Line of Innovations Lyon, France 2010-10-21 to 2010-10-23 Springer Netherlands; ID: 1292</t>
  </si>
  <si>
    <t>Pugh,A.;Murphy,B.;Author,Addresses;Union University,United States;Correspondence,Address;Pugh, Union University United States Email ashley pugh my uu edu,A.</t>
  </si>
  <si>
    <t>Knowledge and beliefs regarding prescription drug abuse among male, undergraduate college students</t>
  </si>
  <si>
    <t>e109</t>
  </si>
  <si>
    <t>(MAJOR FOCUS);prescription drug;cannabis;illicit drug;college student;drug abuse;human;male;abuse;college;drug therapy;institutional review;organization;pharmacist;population;prescription;prevalence;student;Student t test;study design;United States;university;young adult</t>
  </si>
  <si>
    <t>Objective: The objective of this study is to describe the effect of an educational intervention on knowledge and beliefs regarding prescription drug abuse among a group of male, undergraduate college students. Methods: Prescription drug abuse is a growing problem in the United States, and college-aged individuals are particularly affected by this problem. Among young adults aged 18 to 25 years old, abuse of prescription drugs ranks ahead of all illicit drugs except marijuana. Because of the prevalence of drug abuse among college-aged individuals, a student pharmacist collaborated with two undergraduate fraternal organizations on the campus of a small, private, religiously affiliated university. Both of the social fraternities were visited during their regular meeting times and were provided with a 30-minute presentation focused specifically on misuse and abuse of prescription medications among college-aged students. The two presentations took place consecutively on the same evening for the purpose of not influencing pre-test results. To assess the effect of this educational intervention on awareness of prescription drug abuse, a survey was developed with five questions assessing beliefs, seven questions assessing knowledge about prescription drug abuse, and three questions collecting demographic information. This survey was administered in paper format to each participant immediately prior to the educational intervention, and an identical survey was administered immediately following the presentation. Pre-post surveys were matched using numerical codes. Differences in knowledge and beliefs before and after the presentation, as assessed by the pre-test and post-test, will be evaluated using the paired t test, with an alpha of 0.05. Results of this study will be used to develop future student pharmacist-directed interventions regarding prescription drug abuse that will effectively impact this important population. The study design was granted approval by the university's institutional review board.</t>
  </si>
  <si>
    <t>(Pugh A., ashley.pugh@my.uu.edu; Murphy B.) APhA2013 Los Angeles, CA, United States 2013-03-01 to 2013-03-04 American Pharmacists Association; ID: 1066</t>
  </si>
  <si>
    <t>Pultz,K.;Rossing,C.;Beier,P. P.;Herborg,H.;S‚îú‚ïïndergaard,B.;Author,Addresses;Pharmakon,Danish College of Pharmacy;Practice,Hilleroed Denmark;Association of,Danish Pharmacies;Denmark;Correspondence,Address;Pultz, Pharmakon Danish College of Pharmacy Practice Hilleroed,K.;Denmark</t>
  </si>
  <si>
    <t>Patient safety in the medication of disabled persons in residential facilities</t>
  </si>
  <si>
    <t>clinical pharmacy;disabled person;drug therapy;human;patient safety;residential home;adverse drug reaction;community;follow up;health care personnel;mental deficiency;pharmacist;pharmacy;quality control;registration;storage</t>
  </si>
  <si>
    <t>Introduction Persons with physical and mental disabilities in residential facilities often use many medicines and often experience a number of patient safety challenges related to their medication. It is a challenge that in many cases no health care professional is permanently present in the facilities. The aim of the project was to increase patient safety for people having a physical or mental disability and living in residential facilities. This was done by developing, testing, and evaluating an individual medication review and, when necessary, a multidisciplinary medical dialogue was suggested. A quality assurance service was also developed and evaluated. Materials &amp; Methods Four residential facilities and four pharmacies were included and followed by community pharmacists for 6 months. The residents' GPs were informed about the project. The evaluation design was formative and focused on process measures to evaluate the feasibility of the interventions. The process measures were: Number and type of quality issues identified, number and type of quality improving recommendations, number of medication reviews, number of dialogues with the team of healthcare professionals, identified drug-related problems, suggested interventions, and implemented changes by GP. Results Four quality assurance services were delivered. The identified quality issues concerned: Ordering of medicines, receiving of medicines, dispensing of medicines, medicines administration, storage, discarding, registration of adverse drug events, and observation of residents and follow up on effect of change of medication. 16 quality improving actions were suggested for the identified issues. In the project period 5 of the suggested actions were implemented. 47 medication reviews were conducted, 66 drug-related problems identified and 36 interventions suggested. 52.8 % of the interventions were accepted by the GP, 8.3 % were rejected. In the rest of the cases the GP did not answer the approach. Discussions, Conclusion An individual medication review service and a quality assurance service were shown to be feasible in residential facilities for people with physical or mental disabilities. Both services were able to identify patient safety and quality issues respectively, and to recommend interventions to remedy the identified issues.</t>
  </si>
  <si>
    <t>(Pultz K.; Rossing C.; Herborg H.) (Beier P.P.; S‚îú‚ïïndergaard B.) ESCP 40th International Symposium on Clinical Pharmacy. Clinical Pharmacy: Connecting Care and Outcomes Dublin, Ireland 2011-10-19 to 2011-10-21 Springer Netherlands; ID: 1196</t>
  </si>
  <si>
    <t>Puttonen,J.;Kantele,S.;Ruck,A.;Ramela,M.;H‚îú√±kkinen,S.;Kivikko,M.;Pentik‚îú√±inen,P. J.;Author,Addresses;Orion Pharma,Clinical R.;D;Kuopio,Finland;Orion Pharma,Nonclinical R.;D,Espoo Finland;Helsinki University,Central Hospital;Medicine,Helsinki Finland;Quintiles Oy,Espoo Finland;Quintiles Oy,Mets‚îú√±nneidonkuja;Finland,Espoo;Correspondence,Address;Espoo Finland Email,J.Puttonen, Quintiles O.Y.;jaakko.puttonen@quintiles.com</t>
  </si>
  <si>
    <t>18303124; Pharmacokinetics of intravenous levosimendan and its metabolites in subjects with hepatic impairment</t>
  </si>
  <si>
    <t>(MAJOR FOCUS);levosimendan (clinical trial, drug concentration, drug dose, drug therapy,;intravenous drug administration, pharmacokinetics);drug metabolite (drug concentration, pharmacokinetics);n 4 (1,4,5,6 tetrahydro 4 methyl 6 oxo 3 pyridazinyl)phenyl]acetamide;or 1855;unclassified drug;liver injury (drug therapy);alcohol liver cirrhosis;area under the curve;article;clinical article;clinical trial;controlled study;dose response;drug blood level;drug effect;drug elimination;drug half life;drug protein binding;drug safety;drug tolerability;heart failure;human;phase 1 clinical trial;DRUG TRADE NAMES;or 1896;levosimendan (141505-33-1);Internal Medicine (6);Clinical and Experimental Pharmacology (30);Drug Literature Index (37);Gastroenterology (48)</t>
  </si>
  <si>
    <t>Levosimendan is a vasodilator used in the treatment of acute heart failure. In the present study, the effect of hepatic impairment on the pharmacokinetics of levosimendan and its 2 metabolites, OR-1855 and OR-1896 (pharmacologically active), was investigated in 12 healthy subjects and 12 subjects with moderate hepatic impairment due to alcoholic cirrhosis of the liver but with no heart failure. In addition, the effect of acetylator status on the pharmacokinetics of levosimendan, OR-1855, and OR-1896 was evaluated. Safety and tolerability of levosimendan were also assessed. Levosimendan was given as an intravenous infusion of 0.1 ‚ï¨‚ïùg/kg/min for 24 hours. Levosimendan showed similar C (max), AUC, and elimination half-life (t(1/2)), with a mean (‚î¨‚ñíSEM) t(1/2) of 0.9 ‚î¨‚ñí 0.0 hours in healthy subjects and 0.8 ‚î¨‚ñí 0.1 hours in hepatically impaired subjects, respectively (not significant). The t(1/2) of OR-1855 was 61 ‚î¨‚ñí 5 hours in healthy subjects and 82 ‚î¨‚ñí 3 hours (P &lt;.01) in subjects with hepatic impairment. The t(1/2) of</t>
  </si>
  <si>
    <t>(Puttonen J., jaakko.puttonen@quintiles.com) (Kantele S.; Kivikko M.) (Ruck A.) (Ramela M.; H‚îú√±kkinen S.) (Pentik‚îú√±inen P.J.) SAGE Publications Inc., 2455 Teller Road, Thousand Oaks, United States.; ID: 1471</t>
  </si>
  <si>
    <t>http://www.ncbi.nlm.nih.gov/pubmed/18303124</t>
  </si>
  <si>
    <t>Pharmacokinetics of intravenous levosimendan and its metabolites in subjects with hepatic impairment</t>
  </si>
  <si>
    <t>Quintero,G.</t>
  </si>
  <si>
    <t>NIHMS299976 PMC3121101; Rx for a party: a qualitative analysis of recreational pharmaceutical use in a collegiate setting</t>
  </si>
  <si>
    <t>Adolescent;Adult;Female;Humans;Male;Montana;*Prescription Drugs;Qualitative Research;Risk Assessment;Social Perception;*Street Drugs;*Students;*Substance-Related Disorders;*Universities;Young Adult;0 (Prescription Drugs);0 (Street Drugs)</t>
  </si>
  <si>
    <t>OBJECTIVE: Using a qualitative methodology, the author examined the sociorecreational use of pharmaceuticals in a collegiate setting. PARTICIPANTS: In all, 91 college students from a public, 4-year institution for higher learning in the Southwest participated in this study. METHODS: The author conducted semistructured interviews between May 2004 and December 2005; they then audio recorded, transcribed, and examined the interviews for themes related to the sociorecreational use of prescription drugs. RESULTS: A variety of prescription drugs are used for a number of purposes, including to experience pleasure, manage the duration or intensity of another drug's effects, party or socialize with friends and peers in leisure settings, facilitate sociorecreational activities, and help structure free time. CONCLUSIONS: Pharmaceuticals appear to be well integrated into the recreational drug use practices of college students, and prescription drug misuse presents a significant prevention challenge.</t>
  </si>
  <si>
    <t>J2: J Am Coll Health; Quintero, Gilbert R21 DA016329-01A1 (United States NIDA NIH HHS); ID: 288</t>
  </si>
  <si>
    <t>Quintero,Gilbert. Department of Anthropology, University of Montana, Missoula, USA.</t>
  </si>
  <si>
    <t>http://ovidsp.ovid.com/ovidweb.cgi?T=JS&amp;CSC=Y&amp;NEWS=N&amp;PAGE=fulltext&amp;D=med5&amp;AN=19592355</t>
  </si>
  <si>
    <t>http://dx.doi.org/10.3200/JACH.58.1.64-72</t>
  </si>
  <si>
    <t>MEDLINE; Ovid Technologies; Rx for a party: a qualitative analysis of recreational pharmaceutical use in a collegiate setting</t>
  </si>
  <si>
    <t>Quintero,G.;Peterson,J.;Young,B.;Author,Addresses;Department of Anthropology, University of,Montana United;States;Murrow,Edward R.;University,United States;Departments of,Anthropology;Public Health,University,of New;Mexico,United States;Correspondence,Address;Quintero, Department of Anthropology University of Montana United,G.;States</t>
  </si>
  <si>
    <t>An exploratory study of socio-cultural factors contributing to prescription drug misuse among college students</t>
  </si>
  <si>
    <t>alprazolam (adverse drug reaction, drug therapy);amfebutamone (drug toxicity);amitriptyline (drug toxicity);amphetamine (drug toxicity);antidepressant agent (drug toxicity);caffeine (drug toxicity);carisoprodol (drug toxicity);clonazepam (drug toxicity);dextropropoxyphene (drug toxicity);diazepam (drug toxicity);fexofenadine (drug toxicity);fluoxetine (drug toxicity);gabapentin (drug toxicity);hydrocodone (adverse drug reaction, drug therapy);hydrocodone bitartrate plus paracetamol (drug toxicity);ketamine (drug toxicity);lorazepam (drug toxicity);methylphenidate (drug toxicity);neuroleptic agent (drug toxicity);opiate (drug toxicity);oxycodone (drug toxicity);oxycodone plus paracetamol (adverse drug reaction, drug therapy);pethidine (drug toxicity);phenobarbital (drug toxicity);phentermine (adverse drug reaction, drug therapy);sildenafil (drug toxicity);tramadol (drug toxicity);trazodone (drug toxicity);unindexed drug;zolpidem tartrate (drug toxicity);drug misuse;academic achievement;adult;article;college student;controlled study;cultural factor;drug dependence (side effect);female;human;interview;male;morphine addiction (side effect);narcotic dependence (side effect);obesity (drug therapy);pain (drug therapy);prescription;recreation;self medication;sleep disorder (drug therapy);social aspect;substance abuse;DRUG TRADE NAMES;percocet;xanax;alprazolam (28981-97-7);amfebutamone (31677-93-7, 34911-55-2);amitriptyline (50-48-6, 549-18-8);amphetamine (1200-47-1, 139-10-6, 156-34-3, 2706-50-5, 300-62-9, 51-62-7,;60-13-9, 60-15-1);caffeine (58-08-2);carisoprodol (78-44-4);clonazepam (1622-61-3);dextropropoxyphene (1639-60-7, 469-62-5);diazepam (439-14-5);fexofenadine (138452-21-8);fluoxetine (54910-89-3, 56296-78-7, 59333-67-4);gabapentin (60142-96-3);hydrocodone (125-29-1, 25968-91-6, 34366-67-1);ketamine (1867-66-9, 6740-88-1, 81771-21-3);lorazepam (846-49-1);methylphenidate (113-45-1, 298-59-9);opiate (53663-61-9, 8002-76-4, 8008-60-4);oxycodone (124-90-3, 76-42-6);pethidine (28097-96-3, 50-13-5, 57-42-1);phenobarbital (50-06-6, 57-30-7, 8028-68-0);phentermine (1197-21-3, 122-09-8);sildenafil (139755-83-2);tramadol (27203-92-5, 36282-47-0);trazodone (19794-93-5, 25332-39-2);zolpidem tartrate (99294-93-6);Public Health, Social Medicine and Epidemiology (17);Drug Literature Index (37);Adverse Reactions Titles (38);Drug Dependence, Alcohol Abuse and Alcoholism (40);Toxicology (52)</t>
  </si>
  <si>
    <t>Although recent increases in collegiate prescription drug misuse have generated a great deal of concern, there are few analyses available that examine the socio-cultural factors influencing these trends. This article attempts to address this gap in knowledge by providing an analysis of several socio-cultural factors influencing pharmaceutical misuse by college students. Prescription drugs are put to a number of different purposes in the collegiate setting, including self-medication, socio-recreation, and academic functioning. Such misuse is acceptable in a social context where individuals deliberately attempt to experiment with drugs. Widespread knowledge regarding effects, dosages, and compatibilities with other drugs, coupled with the extensive availability of pharmaceuticals in collegiate social circles, makes this class of drugs an attractive alternative to other psychoactive substances. These factors underscore several implications for substance abuse prevention efforts on college campuses and suggest a number of important issues for further research. ‚î¨‚åê 2006 by the Journal of Drug Issues.</t>
  </si>
  <si>
    <t>(Quintero G.) (Peterson J.) (Young B.) Journal of Drug Issues Inc., Hecht House, 634 W. Call Street, Tallahassee, United States.; ID: 1516</t>
  </si>
  <si>
    <t>Rabba,A. K.;Ain,M. R.;Author,Addresses;Department,of Clinical;College of Pharmacy, Prince Sattam Bin Abdulaziz University,Alkharj Saudi;Arabia;Correspondence,Address;AK Rabba, Department of Clinical Pharmacy College of,Pharmacy Prince;Sattam Bin Abdulaziz University, Alkharj,Saudi Arabia</t>
  </si>
  <si>
    <t>Pharmacovigilance study: Exploring the role of community pharmacists in adverse drug reactions reporting in Alkharj city, Saudi Arabia</t>
  </si>
  <si>
    <t>Latin American Journal of Pharmacy</t>
  </si>
  <si>
    <t>drug induced disease;drug surveillance program;pharmacist;adult;article;cross-sectional study;drug safety;human;interview;knowledge;middle aged;pharmaceutical care;pharmacist attitude;pharmacy;prescription;questionnaire;Saudi Arabia;Public Health, Social Medicine and Epidemiology (17);Health Policy, Economics and Management (36)</t>
  </si>
  <si>
    <t>Pharmacovigilance is the science and activities relating to the detection, assessment, understanding and prevention of adverse effects or any other drug related problems. Spontaneous adverse drug reaction (ADR) reporting is the foundation stone of pharmacovigilance activity. A cross sectional survey was carried out from September 2013 to January 2014 to evaluate the role of community pharmacists in ADRs reporting, by using a pre-assessed questionnaire with structured face-to-face interviews with community pharmacists from randomly selected private community pharmacies in Alkharj, Kingdom of Saudi Arabia. A total of 53 community pharmacists participated in the study, Results of this study reflected lack of adequate knowledge regarding ADRs reporting among community pharmacists. Regulatory authorities and professional pharmaceutical organizations in Saudi Arabia need to raise concern and educate pharmacists on the system of pharmacovigilance.</t>
  </si>
  <si>
    <t>(Rabba A.K., a.rabba@sau.edu.sa; Ain M.R.) Colegio de Farmaceuticos de la Provincia de Buenos Aires; ID: 872</t>
  </si>
  <si>
    <t>0326-2383</t>
  </si>
  <si>
    <t>Raffoul,P. R.;Cooper,J. K.;Love,D. W.;Author,Addresses;Coll. Soc. Work, Univ Kentucky;Lexington,K. Y.;Correspondence,Address;Coll Soc Work, Univ Kentucky,Lexington K.</t>
  </si>
  <si>
    <t>7215888; Drug misuse in older people</t>
  </si>
  <si>
    <t>Gerontologist</t>
  </si>
  <si>
    <t>drug misuse;aged;classification;diagnosis;normal human;therapy;Gerontology and Geriatrics (20)</t>
  </si>
  <si>
    <t>Drug misuse of prescription and OTC drugs was studied among 67 subjects aged 60+ to determine the frequency of misuse and its relationship to various psychosocial, medical and pharmacological factors. Home interviews were conducted by interdisciplinary teams of Social Work graduate students and Doctor of Pharmacy students. Drug misuse was found among 43% of subjects with number of prescribing physicians and number of pharmacies directly related to misuse. Hypotheses derived from these findings suggest the need for educational intervention not only for older drug consumers but also for practicing physicians and pharmacists.</t>
  </si>
  <si>
    <t>(Raffoul P.R.; Cooper J.K.; Love D.W.); ID: 1769</t>
  </si>
  <si>
    <t>0016-9013</t>
  </si>
  <si>
    <t>http://www.ncbi.nlm.nih.gov/pubmed/7215888</t>
  </si>
  <si>
    <t>Drug misuse in older people</t>
  </si>
  <si>
    <t>Rafful,C.;Zule,W.;Gonzalez-Z‚ïê√≠niga,P. E.;Medina-Mora,M.;Magis-Rodriguez,C.;Strathdee,S.;Author,Addresses;Global Health,University of;California San Diego, San Diego,United States;San Diego State University, San Diego,United States;Rti International, Research Triangle Park,United States;Mexican National Institute,of Psychiatry;Mexico;Censida,Mexico Mexico City Mexico;Correspondence,Address;Rafful, Global Health University of California San Diego San Diego,C.;United,States</t>
  </si>
  <si>
    <t>High dead-space syringe use among people who inject drugs in Tijuana, Mexico</t>
  </si>
  <si>
    <t>e75</t>
  </si>
  <si>
    <t>cocaine;college;drug dependence;human;Mexico;syringe;blood;education;HIV test;Human immunodeficiency virus;infection;injection;logistic regression analysis;pharmacy;police;prevalence;risk;virus hepatitis</t>
  </si>
  <si>
    <t>Aims: High dead-space syringes (HDSS) are believed to confer an elevated risk of acquiring HIV and other blood-borne infections. We identified prevalence and correlates of high dead-space syringe use among people who inject drugs (PWID) in Tijuana. Methods: Beginning in 2011,PWID who reported being 18 years or older who injected drugs within the last month were recruited. At baseline and semi-annually, PWID underwent HIV testing and interviewer-administered surveys. Logistic regression was used to identify correlates of using HDSS. Results: Of 557 PWID, 40% had used HDSS. Most (72%) had done so because no other syringe type was available or because they were easier to get (20%). Controlling for sex and age at first injection (AOR: 0.97 per year; 95%CI: 0.94-1.00), use of HDSS was associated with cocaine as first drug injected (AOR: 2.68; 95%CI: 1.15-6.22), having been stopped or arrested by police (AOR: 1.84; 95% CI: 1.11-3.07), being deported from the US (AOR = 1.64; 95%CI: 1.06-2.53), and believing it is illegal to carry syringes (AOR = 1.78; 95%CI: 1.01-3.15). Conclusions: Use of HDSS by PWID is surprisingly common in Tijuana, which could increase transmission of HIV and viral hepatitis. Efforts are needed to expand coverage of low-dead space syringes at syringe exchange programs and pharmacies. Education is required to increase awareness of the harms associated with HDSS, and to reassure PWID that syringe possession is legal across Mexico.</t>
  </si>
  <si>
    <t>(Rafful C.; Gonzalez-Z‚ïê√≠niga P.E.; Strathdee S.) (Rafful C.) (Zule W.) (Medina-Mora M.E.) (Magis-Rodriguez C.) 2014 Annual Meeting of the College on Problems of Drug Dependence San Juan, Puerto Rico 2014-06-14 to 2014-06-19 Elsevier Ireland Ltd; ID: 864</t>
  </si>
  <si>
    <t>Raimbault,M.;Moal,F.;Clerc,M. A.;Beauchet,O.;Spiesser-Robelet,L.;Author,Addresses;Pharmacy;University,Hospital Angers;Geriatric Unit,University,Hospital Angers;Angers,France;Correspondence,Address;Raimbault, Pharmacy University Hospital Angers Angers France,M.</t>
  </si>
  <si>
    <t>Pharmacist interventions in geriatric unit in the context of an electronic prescribing</t>
  </si>
  <si>
    <t>vitamin;vitamin D;clinical pharmacy;electronic prescribing;human;pharmacist;computerized provider order entry;drug administration;drug interaction;drug therapy;drug use;health care personnel;medication error;patient;pharmacy;physician;prescription;tablet;therapy;university hospital</t>
  </si>
  <si>
    <t>Introduction: Background Pharmacist can have an essential role in improving drug use and preventing prescribing errors, especially when electronic prescribing seems to create new kinds of error. Objectives The aim of this study is to describe and evaluate drugs related problems (DRPs) in a first way and pharmacist interventions in the context of recent implementation of electronic prescribing in a second way. Materials &amp; Methods: Design 3-month descriptive study between November 22, 2010 and February 22, 2011. Setting In a 26-bed geriatric unit of a 1300-bed university hospital. Pharmacy resident is present in the medical unit 5 half days a week. Main outcome measures Drug-related problems, patient's characteristics, number and type of pharmacist interventions, number of medication per patient, doctor's acceptance of the interventions, medicines concerned. Results Pharmacy resident identified 128 drug related problems for 79 different patients. A mean of 1.6 pharmaceutical interventions were made per patient. Patients were on average 87 years old 74-98] and had 11.1 different prescriptions when pharmaceutical intervention occurred. Most frequent drug-related problems underlying interventions were: untreated indication (20.3%), over dosage (17.2%), nonconformity to guidelines and contra-indication (11.7%), inappropriate drug administration such as tablets should not be crushed or intravenous to oral therapy (11.7%). Drug-drug interactions represented 7.8% of interventions. The 3 medicines most frequently concerned by DRPs were vitamin D, bis-phosphonates and anti vitamin K. Physician acceptance rate was 93.8%. Problems related to computerized physicians order entry (14%) appeared as a worrying phenomenon (error in selecting dosage or unit, duplication therapy for example). Discussions, Conclusion DRPs are common after implementation computerized physician order entry system. Health care professionals should be aware about electronic prescribing that can lead to new types of medication errors. The participation of clinical pharmacists in medical rounds may facilitate identification of DRPs.</t>
  </si>
  <si>
    <t>(Raimbault M.; Moal F.; Clerc M.A.; Spiesser-Robelet L.) (Raimbault M.; Beauchet O.) ESCP 40th International Symposium on Clinical Pharmacy. Clinical Pharmacy: Connecting Care and Outcomes Dublin, Ireland 2011-10-19 to 2011-10-21 Springer Netherlands; ID: 1195</t>
  </si>
  <si>
    <t>Raimbault-Chupin,M.;Spiesser-Robelet,L.;Guir,V.;Annweiler,C.;Beauchet,O.;Clerc,M. A.;Moal,F.</t>
  </si>
  <si>
    <t>Drug related problems and pharmacist interventions in a geriatric unit employing electronic prescribing</t>
  </si>
  <si>
    <t>Aged;Aged, 80 and over;*Aging;Attitude of Health Personnel;Drug-Related Side Effects and Adverse Reactions/ep Epidemiology];*Drug-Related Side Effects and Adverse Reactions/pc Prevention &amp; Control];*Electronic Prescribing;Female;Frail Elderly;France/ep Epidemiology];Health Services for the Aged/ma Manpower];*Health Services for the Aged;Hospitals, Teaching;Humans;Iatrogenic Disease/ep Epidemiology];*Iatrogenic Disease/pc Prevention &amp; Control];Incidence;Male;Medical Staff, Hospital;Pharmacology, Clinical/ma Manpower];Pharmacology, Clinical/mt Methods];Pharmacy Service, Hospital/ma Manpower];*Pharmacy Service, Hospital/mt Methods];Physicians;Practice Patterns, Physicians';*Precision Medicine;Referral and Consultation</t>
  </si>
  <si>
    <t>BACKGROUND: Computerised physician order entry (CPOE) and the integration of a pharmacist in clinical wards have been shown to prevent drug related problems (DRPs). OBJECTIVES: The primary objective was to make an inventory of the DRPs and resident pharmacist on-ward interventions (PIs) identified in a geriatric acute care unit using CPOE system. The secondary objective was to evaluate the physicians' acceptance of the proposed interventions. SETTING: A 26-bed geriatric ward of a 1,300-bed teaching hospital. METHOD: A 6-month descriptive study with prescription analysis and recommendations to physicians by a resident pharmacist during five half days a week. MAIN OUTCOME MEASURES: Patients' characteristics, number of prescribed drugs per patient, nature and frequency of DRPs and PIs, physicians' acceptance and drugs questioned. RESULTS: Resident pharmacist reviewed 311 patients and identified 241 DRPs. One hundred and fifty-two patients (49 %) had at least one DRP (mean +/- SD age 87 +/- 6 years, mean +/- SD number of prescribed drugs 10.7 +/- 3.4). Most frequent DRPs were: untreated indication (n = 58, 24.1 %), dose too high (n = 46, 19.1 %), improper administration (n = 31, 12.9 %) and drug interactions (n = 23, 9.5 %). The rate of physicians' acceptance was 90.0 % (7.5 % refusals, 2.5 % not assessable). DRPs related to CPOE system misuse (n = 35, 14.5 %) appeared as a worrying phenomenon (e.g., errors in selecting dosage or unit, or duplication of therapy). CONCLUSION: A resident pharmacist detected various DRPs. Most PIs were accepted. DRPs related to the misuse of the CPOE system appeared potentially dangerous and need particular attention by healthcare professionals. The description of the DRPs is an essential step for implementation of targeted clinical pharmacy services in order to optimize pharmacists' job time.</t>
  </si>
  <si>
    <t>J2: Int J Clin Pharm; Raimbault-Chupin, Melina Spiesser-Robelet, Laurence Guir, Veronique Annweiler, Cedric Beauchet, Olivier Clerc, Marie-Anne Moal, Frederic; ID: 100</t>
  </si>
  <si>
    <t>Raimbault-Chupin,Melina. Department of Pharmacy, Angers University Hospital, 4 rue Larrey, 49933, Angers cedex 09, France, melina.raimbault@chu-angers.fr.</t>
  </si>
  <si>
    <t>http://ovidsp.ovid.com/ovidweb.cgi?T=JS&amp;CSC=Y&amp;NEWS=N&amp;PAGE=fulltext&amp;D=medl&amp;AN=23857430</t>
  </si>
  <si>
    <t>http://dx.doi.org/10.1007/s11096-013-9821-9</t>
  </si>
  <si>
    <t>MEDLINE; Ovid Technologies; Drug related problems and pharmacist interventions in a geriatric unit employing electronic prescribing</t>
  </si>
  <si>
    <t>Ramseier,C. A.;Warnakulasuriya,S.;Needleman,I. G.;Gallagher,J. E.;Lahtinen,A.;Ainamo,A.;Alajbeg,I.;Albert,D.;Al-Hazmi,N.;Antohe,M. E.;Beck-Mannagetta,J.;Benzian,H.;Bergstrom,J.;Binnie,V.;Bornstein,M.;Buchler,S.;Carr,A.;Carrassi,A.;Casals Peidro,E.;Chapple,I.;Compton,S.;Crail,J.;Crews,K.;Davis,J. M.;Dietrich,T.;Enmark,B.;Fine,J.;Gallagher,J.;Jenner,T.;Forna,D.;Fundak,A.;Gyenes,M.;Hovius,M.;Jacobs,A.;Kinnunen,T.;Knevel,R.;Koerber,A.;Labella,R.;Lulic,M.;Mattheos,N.;McEwen,A.;Ohrn,K.;Polychronopoulou,A.;Preshaw,P.;Radley,N.;Rosseel,J.;Schoonheim-Klein,M.;Suvan,J.;Ulbricht,S.;Verstappen,P.;Walter,C.;Warnakulasuriya,S.;Wennstrom,J.;Wickholm,S.;Zoitopoulos,L.</t>
  </si>
  <si>
    <t>Consensus Report: 2nd European Workshop on Tobacco Use Prevention and Cessation for Oral Health Professionals</t>
  </si>
  <si>
    <t>International dental journal</t>
  </si>
  <si>
    <t>Int.Dent.J.</t>
  </si>
  <si>
    <t>Consensus;Counseling;Dental Staff;Europe;Health Policy;Humans;Insurance, Dental;Mouth Neoplasms/et Etiology];Patient Education as Topic;Periodontal Diseases/et Etiology];Tobacco Use Cessation/ec Economics];Tobacco Use Cessation/mt Methods];*Tobacco Use Cessation;Tobacco Use Disorder/co Complications]</t>
  </si>
  <si>
    <t>Tobacco use has been identified as a major risk factor for oral disorders such as cancer and periodontal disease. Tobacco use cessation (TUC) is associated with the potential for reversal of precancer, enhanced outcomes following periodontal treatment, and better periodontal status compared to patients who continue to smoke. Consequently, helping tobacco users to quit has become a part of both the responsibility of oral health professionals and the general practice of dentistry. TUC should consist of behavioural support, and if accompanied by pharmacotherapy, is more likely to be successful. It is widely accepted that appropriate compensation of TUC counselling would give oral health professionals greater incentives to provide these measures. Therefore, TUC-related compensation should be made accessible to all dental professionals and be in appropriate relation to other therapeutic interventions. International and national associations for oral health professionals are urged to act as advocates to promote population, community and individual initiatives in support of tobacco use prevention and cessation (TUPAC) counselling, including integration in undergraduate and graduate dental curricula. In order to facilitate the adoption of TUPAC strategies by oral health professionals, we propose a level of care model which includes 1) basic care: brief interventions for all patients in the dental practice to identify tobacco users, assess readiness to quit, and request permission to re-address at a subsequent visit, 2) intermediate care: interventions consisting of (brief) motivational interviewing sessions to build on readiness to quit, enlist resources to support change, and to include cessation medications, and 3) advanced care: intensive interventions to develop a detailed quit plan including the use of suitable pharmacotherapy. To ensure that the delivery of effective TUC becomes part of standard care, continuing education courses and updates should be implemented and offered to all oral health professionals on a regular basis.</t>
  </si>
  <si>
    <t>J2: Int Dent J; Ramseier, Christoph A Warnakulasuriya, Saman Needleman, Ian G Gallagher, Jennifer E Lahtinen, Aira Ainamo, Anja Alajbeg, Ivan Albert, David Al-Hazmi, Nadia Antohe, Magda Ecaterina Beck-Mannagetta, Johann Benzian, Habib Bergstrom, Jan Binnie, Viv Bornstein, Michael Buchler, Silvia Carr, Alan Carrassi, Antonio Casals Peidro, Elias Chapple, Ian Compton, Sharon Crail, Jon Crews, Karen Davis, Joan Mary Dietrich, Thomas Enmark, Birgitta Fine, Jared Gallagher, Jennifer Jenner, Tony Forna, Doriana Fundak, Angela Gyenes, Monika Hovius, Marjolijn Jacobs, Annelies Kinnunen, Taru Knevel, Ron Koerber, Anne Labella, Roberto Lulic, Martina Mattheos, Nikos McEwen, Andy Ohrn, Kerstin Polychronopoulou, Argy Preshaw, Philip Radley, Nicki Rosseel, Josine Schoonheim-Klein, Meta Suvan, Jean Ulbricht, Sabina Verstappen, Petra Walter, Clemens Wennstrom, Jan Wickholm, Seppo Zoitopoulos, Liana; ID: 308</t>
  </si>
  <si>
    <t>0020-6539</t>
  </si>
  <si>
    <t>Ramseier,Christoph A. Department of Periodontology, School of Dental Medicine, University of Berne, Berne, Switzerland. christoph.ramseier@zmk.unibe.ch</t>
  </si>
  <si>
    <t>http://ovidsp.ovid.com/ovidweb.cgi?T=JS&amp;CSC=Y&amp;NEWS=N&amp;PAGE=fulltext&amp;D=med5&amp;AN=20361571</t>
  </si>
  <si>
    <t>MEDLINE; Ovid Technologies; Consensus Report: 2nd European Workshop on Tobacco Use Prevention and Cessation for Oral Health Professionals</t>
  </si>
  <si>
    <t>Ramstrom,L. M.;Masironi,R.</t>
  </si>
  <si>
    <t>Implications of the tobacco dependence syndrome for smoking control programmes</t>
  </si>
  <si>
    <t>*Health Education;Humans;*Plants, Toxic;Smoking/pp Physiopathology];*Smoking/pc Prevention &amp; Control];*Tobacco;*Tobacco Use Disorder/pp Physiopathology];Tobacco Use Disorder/pc Prevention &amp; Control]</t>
  </si>
  <si>
    <t>Motivational and psychosocial treatments for tobacco dependence, while valuable, are not sufficient to solve nicotine-related problems, which usually require a pharmacological approach. There is also a need for training programmes for health workers and major educational campaigns on the nature of tobacco dependence to be directed at opinion leaders, teachers and the public at large.</t>
  </si>
  <si>
    <t>J2: World Health Forum; Ramstrom, L M Masironi, R; ID: 670</t>
  </si>
  <si>
    <t>Ramstrom,L M. Institute for Tobacco Studies, Stockholm, Sweden.</t>
  </si>
  <si>
    <t>http://ovidsp.ovid.com/ovidweb.cgi?T=JS&amp;CSC=Y&amp;NEWS=N&amp;PAGE=fulltext&amp;D=med3&amp;AN=1859602</t>
  </si>
  <si>
    <t>MEDLINE; Ovid Technologies; Implications of the tobacco dependence syndrome for smoking control programmes</t>
  </si>
  <si>
    <t>Rangachari,P. K.</t>
  </si>
  <si>
    <t>Exploring the context of drug use: a problem-based learning course in pharmacoepidemiology for undergraduate science students</t>
  </si>
  <si>
    <t>Biology/ed Education];Curriculum;Education, Professional/mt Methods];Educational Measurement;Humans;*Pharmacoepidemiology/ed Education];Pharmacology/ed Education];*Problem-Based Learning/mt Methods];Program Evaluation;Students;Teaching/mt Methods]</t>
  </si>
  <si>
    <t>The teaching of pharmacoepidemiology has been largely confined to health care professionals and graduate students. This paper reports an attempt to use problem-based learning (PBL) to teach the elements of that discipline to undergraduate science students. Carefully sequenced problems led students to consider the following issues: the terms used in epidemiology, merits and demerits of different epidemiological study designs, pharmacovigilance, the nature of evidence in law and science, economic evaluation of drugs and the use of drugs in different cultures. The 12-week course was taken by students in their final term prior to graduation. Multiple evaluation procedures were used: specific forms for assessing tutorial participation, individual explorations assessed usually by written essays and problem-solving exercises. The course has received high ratings from the students. The observations over a 10-year period suggest that PBL is a feasible approach to teach the social dimensions of drug use.</t>
  </si>
  <si>
    <t>J2: Naunyn Schmiedebergs Arch Pharmacol; Rangachari, P K; ID: 466</t>
  </si>
  <si>
    <t>Rangachari,P K. Intestinal Diseases Research Programme, McMaster University, Room HSC 3N5C, 1200 Main Street West, Hamilton, Ontario, L8 N 3Z5, Canada. chari@mcmaster.ca</t>
  </si>
  <si>
    <t>http://ovidsp.ovid.com/ovidweb.cgi?T=JS&amp;CSC=Y&amp;NEWS=N&amp;PAGE=fulltext&amp;D=med5&amp;AN=14722623</t>
  </si>
  <si>
    <t>MEDLINE; Ovid Technologies; Exploring the context of drug use: a problem-based learning course in pharmacoepidemiology for undergraduate science students</t>
  </si>
  <si>
    <t>Rashed,A. N.;Neubert,A.;Tomlin,S.;Jackman,J.;Alhamdan,H.;AlShaikh,A.;Attar,A.;Aseeri,M.;Wilton,L.;Wong,I. C.</t>
  </si>
  <si>
    <t>Epidemiology and potential associated risk factors of drug-related problems in hospitalised children in the United Kingdom and Saudi Arabia</t>
  </si>
  <si>
    <t>Child;Child, Preschool;Drug Utilization Review/sn Statistics &amp; Numerical Data];*Drug-Related Side Effects and Adverse Reactions/ep Epidemiology];Female;Great Britain/ep Epidemiology];*Hospitalization/sn Statistics &amp; Numerical Data];*Hospitals, Teaching/sn Statistics &amp; Numerical Data];Humans;Infant;Male;Polypharmacy;Risk Factors;Saudi Arabia/ep Epidemiology]</t>
  </si>
  <si>
    <t>AIM: Drug-related problems (DRP) are "an event or circumstance involving drug therapy that actually or potentially interferes with the desired health outcome". The extent and characteristics of DRPs in children in the UK and the Kingdom of Saudi Arabia (KSA) are unknown. Our aim was to determine the epidemiology of and identify risk factors for DRPs in hospitalised children. METHODS: A prospective cohort study was carried out in children aged 0-18 years, admitted to the medical ward, paediatric intensive care unit (PICU) and neonatal intensive care unit (NICU) during a 3-month period in two hospitals. Patients' charts, medical records and laboratory data were reviewed daily to identify DRPs; their preventability and severity were assessed. Logistic regression was used to analyse the potential risk factors associated with DRP incidence. RESULTS: Seven hundred and thirty-seven children (median age 2.3 years, interquartile range 6 months to 8 years, 58.1% male) were included. Three hundred and thirty-three patients suffered from 478 DRPs. Overall DRP incidence was 45.2% (95% CI, 41.5-48.8); KSA (51.1%; 95% CI, 45.8-56.3), UK (39.4%; 95% CI, 34.4-44.6). Incidence was highest in the PICU (59.7%; 95% CI, 47.0-71.5). Dosing problems were the most frequently reported DRPs (n=258, 54%). 80.3% of DRP (n=384) cases were preventable; 72.2% (n=345) of DRPs were assessed as minor; 27% (n=129) as moderate. Number of prescriptions and type of admission (transferred) were potential risk factors for DRP occurrence in children. CONCLUSIONS: Drug-related problems were common in the hospitalised children in this study; the most frequent were dosing problems and drug choice problems; the majority of them were preventable. Polypharmacy and transferred admission (another hospital or ward) were potential risk factors. To improve prescribing practices and minimise the risk of DRPs in hospitalised children, paediatric pharmacology and pharmacotherapy are important in medical education.</t>
  </si>
  <si>
    <t>J2: Eur J Clin Pharmacol; Rashed, Asia N Neubert, Antje Tomlin, Stephen Jackman, John Alhamdan, Hani AlShaikh, Adnan Attar, Ahmed Aseeri, Mohammed Wilton, Lynda Wong, Ian C K; ID: 164</t>
  </si>
  <si>
    <t>Rashed,Asia N. Centre for Paediatric Pharmacy Research, UCL School of Pharmacy, 29-39 Brunswick Square, London, WC1N 1AX, UK.</t>
  </si>
  <si>
    <t>http://ovidsp.ovid.com/ovidweb.cgi?T=JS&amp;CSC=Y&amp;NEWS=N&amp;PAGE=fulltext&amp;D=medl&amp;AN=22644343</t>
  </si>
  <si>
    <t>http://dx.doi.org/10.1007/s00228-012-1302-x</t>
  </si>
  <si>
    <t>MEDLINE; Ovid Technologies; Epidemiology and potential associated risk factors of drug-related problems in hospitalised children in the United Kingdom and Saudi Arabia</t>
  </si>
  <si>
    <t>Rassool,G. H.</t>
  </si>
  <si>
    <t>Prescription for change: perspectives on prescribing authority for addiction nurses in the United Kingdom</t>
  </si>
  <si>
    <t>Journal of Addictions Nursing (Taylor &amp; Francis Ltd)</t>
  </si>
  <si>
    <t>197 5p</t>
  </si>
  <si>
    <t>Addictions Nursing;Clinical Competence;Nursing Role;Prescriptive Authority;Psychopharmacology -- Education;Addictions Nursing -- Education;Clinical Supervision;Education, Nursing, Continuing;Nursing Knowledge;Professional Development;Psychotropic Drugs -- Administration and Dosage;Scope of Nursing Practice;United Kingdom</t>
  </si>
  <si>
    <t>Nurses, pharmacists or other health professionals in England are now able to prescribe 'prescription only medicines' (POMs). This prescribing initiative has been extended to controlled drugs. Nurse prescribing has advantages for nurses and patients, including enhanced career development opportunities, nurse led-services and better quality of patient care. Future prescribing directions for addiction nurses would include prescribing for minor injuries, pain, nutritional supplements, antibiotics, emergency contraceptives, medications for detoxifications and psychotropic substances. Nurse prescribing, such as methadone for opiate dependence would significantly reduce the waiting time for service-users to gain access to appropriate services. However, there are issues of concerns such as the relationship between nurse prescribers and non-prescribers, and the relationship between nurse prescribers and medical supervisors, clinical supervision and ongoing professional support for nurse prescribers. This paper examines some perspectives on aspects of nurse prescribing with reference to addiction nursing in the UK, with selected literature reviews on nurse prescribing.</t>
  </si>
  <si>
    <t>Entry Date: 20050425. Revision Date: 20150820. Publication Type: Journal Article. Journal Subset: Core Nursing; Editorial Board Reviewed; Expert Peer Reviewed; Nursing; Peer Reviewed; USA. NLM UID: 9616159.; ID: 2001</t>
  </si>
  <si>
    <t>1088-4602</t>
  </si>
  <si>
    <t>http://proxy.lib.umich.edu/login?url=http://search.ebscohost.com/login.aspx?direct=true&amp;db=ccm&amp;AN=106624996&amp;site=ehost-live&amp;scope=site</t>
  </si>
  <si>
    <t>ccm; EBSCOhost; Prescription for change: perspectives on prescribing authority for addiction nurses in the United Kingdom</t>
  </si>
  <si>
    <t>Rausch,T.;Hellwig,T.;Jones,B.;Author,Addresses;South Dakota State University, College of Pharmacy,Center for;Family Medicine,United States;South Dakota State University, College of Pharmacy,Sanford U.;Medical Center,United States;Sanford Usd Medical Center, Sioux Falls,S.D.United States;Correspondence,Address;Rausch, South Dakota State University College of Pharmacy Center for,T.;Family Medicine,United States</t>
  </si>
  <si>
    <t>Opiate education: Key points for the pharmacist</t>
  </si>
  <si>
    <t>buprenorphine (adverse drug reaction, drug therapy, pharmacology, sublingual;drug administration);buprenorphine plus naloxone (adverse drug reaction, drug therapy,;pharmacology, sublingual drug administration);butorphanol (pharmacology);clonidine (adverse drug reaction, drug therapy, intravenous drug;administration, pharmacology);fentanyl (pharmacology);hydrocodone (pharmacology);levacetylmethadol (adverse drug reaction);methadone (adverse drug reaction, drug therapy, pharmacology);morphine (pharmacology);nalbuphine (pharmacology);naloxone (adverse drug reaction, drug therapy, intravenous drug;naltrexone (adverse drug reaction, drug therapy, intramuscular drug;opiate (adverse drug reaction, drug therapy, pharmacology);oxycodone (pharmacology);pentazocine (pharmacology);opiate addiction (drug therapy, drug therapy, etiology);substance abuse;abdominal pain (side effect);analgesia;anxiety;anxiety disorder;arthralgia (side effect);article;attention deficit disorder;bradycardia (side effect);confusion (side effect);constipation (side effect);depression;diaphoresis;drowsiness (side effect);drug approval;drug dependence treatment;drug exposure;drug fatality (side effect);drug legislation;drug overdose;DSM-IV-TR;family functioning;heart ventricle arrhythmia (side effect);high risk population;human;hypotension (side effect);monotherapy;myalgia (side effect);nausea (side effect);pain (drug therapy);peer pressure;pharmacist;posttraumatic stress disorder;respiration depression (side effect);sedation;sex difference;side effect (side effect);slurred speech (side effect);United Kingdom;withdrawal syndrome;DRUG TRADE NAMES;dolophine;suboxone;vivitrol;buprenorphine (52485-79-7, 53152-21-9);butorphanol (42408-82-2);clonidine (4205-90-7, 4205-91-8, 57066-25-8);fentanyl (437-38-7);hydrocodone (125-29-1, 25968-91-6, 34366-67-1);levacetylmethadol (34433-66-4);methadone (1095-90-5, 125-56-4, 23142-53-2, 297-88-1, 76-99-3);morphine (52-26-6, 57-27-2);nalbuphine (20594-83-6, 23277-43-2);naloxone (357-08-4, 465-65-6);naltrexone (16590-41-3, 16676-29-2);opiate (53663-61-9, 8002-76-4, 8008-60-4);oxycodone (124-90-3, 76-42-6);pentazocine (359-83-1, 64024-15-3);Drug Literature Index (37);Adverse Reactions Titles (38);Drug Dependence, Alcohol Abuse and Alcoholism (40)</t>
  </si>
  <si>
    <t>The last several decades have seen a significant rise in the use of opioid medications. A recent study demonstrated an equally significant increase in the number of drug overdose deaths, with opioid medications suspected in 14,800 deaths in 2008 and representing approximately 73% of all prescription drug overdose deaths. There is also a likely increase in the number of patients developing opioid dependence.</t>
  </si>
  <si>
    <t>(Rausch T.) (Hellwig T.) (Jones B.) Jobson Publishing Corporation, 100 Avenue of the Americas, New York, United States.; ID: 1144</t>
  </si>
  <si>
    <t>Ray,L. A.;Bujarski,S.;Chin,P. F.;Miotto,K.;Author,Addresses;Department,of;Psychology,University of California Los Angeles Los Angeles Franz;Hall,Los Angeles C. A. United States;Department,of Psychiatry;Biobehavioral Sciences, University of California Los Angeles,Los Angeles;Ca,United States;Brain,Research Institute;Ca,United States;Correspondence,Address;LA Ray, Department of Psychology University of California,Los Angeles;Los Angeles, Franz Hall Los Angeles,C.A.United States;Email,lararay psych ucla edu</t>
  </si>
  <si>
    <t>21900886; Pharmacogenetics of naltrexone in Asian Americans: A randomized placebo-controlled laboratory study</t>
  </si>
  <si>
    <t>(MAJOR FOCUS);mu opiate receptor (endogenous compound);naltrexone (adverse drug reaction, clinical trial, drug therapy,;pharmacology);alcohol;alcohol dehydrogenase (endogenous compound);alcohol dehydrogenase 1B (endogenous compound);aldehyde dehydrogenase isoenzyme 2 (endogenous compound);asparagine (endogenous compound);aspartic acid (endogenous compound);corticotropin (endogenous compound);hydrocortisone (endogenous compound);placebo;riboflavin;unclassified drug;alcoholism (drug therapy, drug therapy);Asian American;single nucleotide polymorphism;adult;alcohol intoxication;alcohol withdrawal;article;clinical article;controlled study;corticotropin blood level;double blind procedure;drug efficacy;female;gene dosage;gene frequency;genotype;help seeking behavior;homozygote;human;hydrocortisone blood level;male;patient compliance;pharmacogenetics;priority journal;randomized controlled trial;sedation;sleep disorder (side effect);unspecified side effect (side effect);withdrawal syndrome;alcohol (64-17-5);alcohol dehydrogenase (9031-72-5);asparagine (70-47-3, 7006-34-0);aspartic acid (56-84-8, 6899-03-2);corticotropin (11136-52-0, 9002-60-2, 9061-27-2);hydrocortisone (50-23-7);naltrexone (16590-41-3, 16676-29-2);riboflavin (83-88-5);Human Genetics (22);Clinical and Experimental Pharmacology (30);Drug Literature Index (37);Adverse Reactions Titles (38);Drug Dependence, Alcohol Abuse and Alcoholism (40)</t>
  </si>
  <si>
    <t>Recent clinical and laboratory studies have shown that the effects of naltrexone for alcoholism may be moderated by the Asn40Asp single-nucleotide polymorphism (SNP) of the-opioid receptor gene (OPRM1). Allele frequencies for this polymorphism, however, have been shown to vary substantially as a function of ethnic background, such that individuals of Asian descent are more likely to carry the minor (Asp40) allele. The objective of this study is to test the naltrexone pharmacogenetic effects of the Asn40Asp SNP in a sample of Asian Americans. This study consists of a double-blinded, randomized, placebo-controlled laboratory trial of naltrexone. Participants (n35, 10 females; 13 Asn40Asn and 22 Asp40 carriers) were non-treatment-seeking heavy drinkers recruited from the community. After taking naltrexone or placebo, participants completed an intravenous alcohol administration session. The primary outcome measures were subjective intoxication and alcohol craving. Results suggested that Asp40 carriers experienced greater alcohol-induced sedation, subjective intoxication, and lower alcohol craving on naltrexone, as compared to placebo, and to Asn40 homozygotes. There results were maintained when controlling for ALDH2 (rs671) and ADH1B (rs1229984) markers and when examining the three levels of OPRM1 genotype, thereby supporting an OPRM1 gene dose response. These findings provide a much-needed extension of previous studies of naltrexone pharmacogenetics to individuals of Asian descent, an ethnic group more likely to express the minor allele putatively associated with improved biobehavioral and clinical response to this medication. These findings help further delineate the biobehavioral mechanisms of naltrexone and its pharmacogenetics. ‚î¨‚åê 2012 American College of Neuropsychopharmacology. All rights reserved.</t>
  </si>
  <si>
    <t>(Ray L.A., lararay@psych.ucla.edu; Bujarski S.; Chin P.F.) (Ray L.A., lararay@psych.ucla.edu; Miotto K.) (Ray L.A., lararay@psych.ucla.edu) Nature Publishing Group, Houndmills, Basingstoke, Hampshire, United Kingdom.; ID: 1205</t>
  </si>
  <si>
    <t>0893-133X 1740-634X (electronic)</t>
  </si>
  <si>
    <t>http://www.ncbi.nlm.nih.gov/pubmed/21900886</t>
  </si>
  <si>
    <t>Pharmacogenetics of naltrexone in Asian Americans: A randomized placebo-controlled laboratory study</t>
  </si>
  <si>
    <t>Ray,S. M.;Wylie,D. R.;Shaun Rowe,A.;Heidel,E.;Franks,A. S.;Author,Addresses;University of Tennessee Health Science,Center College;Pharmacy,Knoxville U. S. A.;Correspondence,Address;SM Ray, University of Tennessee Health Science Center College,of Pharmacy;Knoxville,U. S. A. E.</t>
  </si>
  <si>
    <t>22761527; Pharmacy student knowledge retention after completing either a simulated or written patient case</t>
  </si>
  <si>
    <t>narcotic analgesic agent (drug toxicity);paracetamol (drug toxicity);attitude to health;audiovisual equipment;education;pharmacy student;article;clinical competence;clinical trial;comparative study;computer program;controlled clinical trial;controlled study;curriculum;drug misuse;human;long term memory;methodology;patient care;randomized controlled trial;teaching;time;paracetamol (103-90-2)</t>
  </si>
  <si>
    <t>To determine pharmacy students' knowledge retention from and comfort level with a patient-case simulation compared with a written patient case. Pharmacy students were randomly assigned to participate in either a written patient case or a simulated patient case in which a high-fidelity mannequin was used to portray a patient experiencing a narcotic and acetaminophen overdose. Participants' responses on a multiple-choice test and a survey instrument administered before the case, immediately after the case, and 25 days later indicated that participation in the simulated patient case did not result in greater knowledge retention or comfort level than participation in the written patient case. Students' knowledge improved post-intervention regardless of which teaching method was used. Although further research is needed to determine whether the use of simulation in the PharmD curriculum is equivalent or superior to other teaching methods, students' enthusiasm for learning in a simulated environment where they can safely apply patient care skills make this technology worth exploring.</t>
  </si>
  <si>
    <t>(Ray S.M.) (Wylie D.R.; Shaun Rowe A.; Heidel E.; Franks A.S.); ID: 1137</t>
  </si>
  <si>
    <t>http://www.ncbi.nlm.nih.gov/pubmed/22761527</t>
  </si>
  <si>
    <t>Pharmacy student knowledge retention after completing either a simulated or written patient case</t>
  </si>
  <si>
    <t>Re,M.;Valentini,G.</t>
  </si>
  <si>
    <t>Network-based drug ranking and repositioning with respect to DrugBank therapeutic categories</t>
  </si>
  <si>
    <t>Ieee/acm Transactions on Computational Biology &amp; Bioinformatics</t>
  </si>
  <si>
    <t>Algorithms;Area Under Curve;*Computational Biology/mt Methods];Databases, Factual;Drug Approval;*Drug Repositioning/mt Methods];Ligands;*Pharmaceutical Preparations/cl Classification];Software;Systems Biology;United States;United States Food and Drug Administration;0 (Ligands);0 (Pharmaceutical Preparations)</t>
  </si>
  <si>
    <t>Drug repositioning is a challenging computational problem involving the integration of heterogeneous sources of biomolecular data and the design of label ranking algorithms able to exploit the overall topology of the underlying pharmacological network. In this context, we propose a novel semisupervised drug ranking problem: prioritizing drugs in integrated biochemical networks according to specific DrugBank therapeutic categories. Algorithms for drug repositioning usually perform the inference step into an inhomogeneous similarity space induced by the relationships existing between drugs and a second type of entity (e.g., disease, target, ligand set), thus making unfeasible a drug ranking within a homogeneous pharmacological space. To deal with this problem, we designed a general framework based on bipartite network projections by which homogeneous pharmacological networks can be constructed and integrated from heterogeneous and complementary sources of chemical, biomolecular and clinical information. Moreover, we present a novel algorithmic scheme based on kernelized score functions that adopts both local and global learning strategies to effectively rank drugs in the integrated pharmacological space using different network combination methods. Detailed experiments with more than 80 DrugBank therapeutic categories involving about 1,300 FDA-approved drugs show the effectiveness of the proposed approach.</t>
  </si>
  <si>
    <t>J2: IEEE/ACM trans; Re, Matteo Valentini, Giorgio; ID: 83</t>
  </si>
  <si>
    <t>1557-9964</t>
  </si>
  <si>
    <t>Re,Matteo. Universita degli Studi di Milano, Milano. Valentini,Giorgio. Universita degli Studi di Milano, Milano.</t>
  </si>
  <si>
    <t>http://ovidsp.ovid.com/ovidweb.cgi?T=JS&amp;CSC=Y&amp;NEWS=N&amp;PAGE=fulltext&amp;D=medl&amp;AN=24407295</t>
  </si>
  <si>
    <t>http://dx.doi.org/10.1109/TCBB.2013.62</t>
  </si>
  <si>
    <t>MEDLINE; Ovid Technologies; Network-based drug ranking and repositioning with respect to DrugBank therapeutic categories</t>
  </si>
  <si>
    <t>Reardon,C. L.;Creado,S.</t>
  </si>
  <si>
    <t>PMC4140700; Drug abuse in athletes</t>
  </si>
  <si>
    <t>Substance Abuse &amp; Rehabilitation</t>
  </si>
  <si>
    <t>Drug abuse occurs in all sports and at most levels of competition. Athletic life may lead to drug abuse for a number of reasons, including for performance enhancement, to self-treat otherwise untreated mental illness, and to deal with stressors, such as pressure to perform, injuries, physical pain, and retirement from sport. This review examines the history of doping in athletes, the effects of different classes of substances used for doping, side effects of doping, the role of anti-doping organizations, and treatment of affected athletes. Doping goes back to ancient times, prior to the development of organized sports. Performance-enhancing drugs have continued to evolve, with "advances" in doping strategies driven by improved drug testing detection methods and advances in scientific research that can lead to the discovery and use of substances that may later be banned. Many sports organizations have come to ban the use of performance-enhancing drugs and have very strict consequences for people caught using them. There is variable evidence for the performance-enhancing effects and side effects of the various substances that are used for doping. Drug abuse in athletes should be addressed with preventive measures, education, motivational interviewing, and, when indicated, pharmacologic interventions.</t>
  </si>
  <si>
    <t>J2: Subst; Reardon, Claudia L Creado, Shane; ID: 88</t>
  </si>
  <si>
    <t>1179-8467</t>
  </si>
  <si>
    <t>Reardon,Claudia L. Department of Psychiatry, University of Wisconsin School of Medicine and Public Health, Madison, WI, USA. Creado,Shane. Department of Psychiatry, University of Wisconsin School of Medicine and Public Health, Madison, WI, USA.</t>
  </si>
  <si>
    <t>http://ovidsp.ovid.com/ovidweb.cgi?T=JS&amp;CSC=Y&amp;NEWS=N&amp;PAGE=fulltext&amp;D=prem&amp;AN=25187752</t>
  </si>
  <si>
    <t>http://dx.doi.org/10.2147/SAR.S53784</t>
  </si>
  <si>
    <t>MEDLINE; Ovid Technologies; Drug abuse in athletes</t>
  </si>
  <si>
    <t>Reddy,A. S.;Cruz,De La;Rodriguez,E. M.;Thames,J.;Wu,J.;Chisholm,G. B.;Liu,D.;Frisbee-Hume,S.;Cantu,H.;Marin,A.;Gayle,V.;Shinn,N.;Xu,A.;Williams,J. L.;Yennurajalingam,S.;Hui,D.;Bruera,E.;Author,Addresses;University,of;Texas,M. D. A.;Correspondence,Address;AS Reddy, University of Texas M D Anderson Cancer Center,Houston United;States</t>
  </si>
  <si>
    <t>Storage, disposal, and utilization of opioids among cancer outpatients</t>
  </si>
  <si>
    <t>Journal of Clinical Oncology</t>
  </si>
  <si>
    <t>31:31 SUPPL. 1.</t>
  </si>
  <si>
    <t>illicit drug;opiate;human;neoplasm;outpatient;storage;abuse;adult child;advanced cancer;alcoholism;divorced person;drug therapy;drug use;epidemic;eye;female;friend;lung cancer;married person;pain;patient;patient education;prescription;questionnaire;smoking</t>
  </si>
  <si>
    <t>Background: Prescription opioid abuse is an epidemic in the US. Of the abusers, 75% obtain the opioid from a friend or relative, which may be related to improper opioid storage and disposal practices. Our aim was to determine patients' practices of opioid use, storage, and disposal. Methods: We surveyed 300 cancer outpatients presenting to our Supportive Care Center who were receiving opioids for at least 1 month and collected information regarding opioid use, storage, and disposal along with patient characteristics and scores on Cut-down, Annoyed, Guilty, Eye-opener (CAGE) questionnaire for alcoholism. Sharing or losing their opioids was defined as an unsafe use. Results: The median age of the patients was 57 years; 53% were female, 72% were white, and 63% were married. Most (89%) had advanced cancer, and lung cancer was the most common (22%). CAGE was positive in 19%, 9% had history of illicit drug use, and 36% lived with adult/young adult children. Of the 300 respondents, 19% stored opioids in the open, 69% kept opioids hidden but unlocked, and 9% locked their opioids. Patients with history of CAGE positivity (P=.007), illicit drug use (.0002), smoking (P=.03), and those living with adult children (P=.004) were more likely to keep their opioids locked. 66% were unaware of proper opioid disposal methods. 46% had unused opioids at home. 53% did not routinely dispose opioids, of whom 44% saved them for future use. 26% indulged in unsafe use by sharing (9%) or losing (17%) their opioids, and 44% informed their family and friends that they were on pain medications. 39% were unaware that their opioid could be fatal when taken by others. Compared with married patients, those who were never married OR=2.92; 95% CI 1.48-5.77], separated OR=11.38; 1.52-112.5], or divorced OR=1.27; 0.55-2.91] had higher odds of unsafe use (P=.006). CAGE positivity (40% vs. 21%, P=.003) and illicit drug use (42% vs. 23%, P=.031) were also significant predictors of unsafe use. Conclusions: An alarming proportion of patients improperly and unsafely use, store, and dispose of opioids. Patient education by physicians/pharmacists and creation of more drug take back programs may reduce availability of prescription opioids for potential abuse. More research is needed in this area.</t>
  </si>
  <si>
    <t>(Reddy A.S.; De La Cruz M.G.J.; Rodriguez E.M.; Thames J.; Wu J.; Chisholm G.B.; Liu D.; Frisbee-Hume S.; Cantu H.; Marin A.; Gayle V.; Shinn N.; Xu A.; Williams J.L.; Yennurajalingam S.; Hui D.; Bruera E.) ASCO's Quality Care Symposium 2013 San Diego, CA, United States 2013-11-01 to 2013-11-02 American Society of Clinical Oncology; ID: 974</t>
  </si>
  <si>
    <t>0732-183X</t>
  </si>
  <si>
    <t>Reder,A.</t>
  </si>
  <si>
    <t>The other youth drug problem</t>
  </si>
  <si>
    <t>Alternative Medicine Magazine (1081-4000)</t>
  </si>
  <si>
    <t>90 6p</t>
  </si>
  <si>
    <t>Drug Utilization;Mental Disorders -- Drug Therapy -- In Infancy and Childhood;Psychotropic Drugs -- Therapeutic Use -- In Infancy and Childhood;Adolescence;Child;Information Resources;Marketing;Pharmaceutical Companies</t>
  </si>
  <si>
    <t>Teaching our kids to 'just say no' may keep them off street drugs, but what do we do when the schools, government, and pharmaceutical companies partner to push another kind of dangerous drug?</t>
  </si>
  <si>
    <t>Entry Date: 20070119. Revision Date: 20150711. Publication Type: Journal Article; pictorial. Journal Subset: Alternative/Complementary Therapies; Consumer Health; Editorial Board Reviewed; Expert Peer Reviewed; Peer Reviewed; USA. Special Interest: Consumer Health; Pediatric Care; Psychiatry/Psychology. NLM UID: 9424597.; ID: 2052</t>
  </si>
  <si>
    <t>1081-4000</t>
  </si>
  <si>
    <t>http://proxy.lib.umich.edu/login?url=http://search.ebscohost.com/login.aspx?direct=true&amp;db=ccm&amp;AN=106216145&amp;site=ehost-live&amp;scope=site</t>
  </si>
  <si>
    <t>ccm; EBSCOhost; The other youth drug problem</t>
  </si>
  <si>
    <t>Redwanski,J.;Seamon,M. J.</t>
  </si>
  <si>
    <t>Impact of counterfeit drugs on the formulary decision-making process</t>
  </si>
  <si>
    <t>Formulary</t>
  </si>
  <si>
    <t>583 4p</t>
  </si>
  <si>
    <t>Counterfeit Drugs;Decision Making;Formularies -- Standards;Safety -- Standards;Formularies -- Legislation and Jurisprudence;Professional Role;Safety -- Legislation and Jurisprudence;United States Food and Drug Administration</t>
  </si>
  <si>
    <t>As initiatives to legalize the importation of prescription drugs draw more attention, the concern over counterfeit drugs is growing. The possibility of receiving counterfeit drugs has created an emerging dilemma for health-care professionals. FDA is relying on pharmacists to help ensure the integrity of drug products before they reach health-care consumers. Pharmacy and therapeutics committees can play a key role in achieving this goal by reviewing policies for medication acquisition and ensuring that necessary controls are in place to help prevent the acquisition of counterfeit drugs. FDA is also taking steps to help alleviate counterfeiting by mandating bar codes on all hospital drug packaging and implementing electronic pedigree papers to track distribution. FDA leaders project that by 2007, all prescription drugs will be tracked electronically to help ensure their authenticity. Formulary decision-makers, pharmacy directors, and clinicians must continue to be educated about the problem to help pre-vent counterfeit drugs from polluting the drug supply.</t>
  </si>
  <si>
    <t>Entry Date: 20051104. Revision Date: 20150711. Publication Type: Journal Article; tables/charts. Journal Subset: Biomedical; Peer Reviewed; USA. NLM UID: 9513311.; ID: 1909</t>
  </si>
  <si>
    <t>1082-801X</t>
  </si>
  <si>
    <t>Drug Information Specialist, Drug Information Center, Hampton University, Hampton, VA; john.redwanski2@hamptonu.edu</t>
  </si>
  <si>
    <t>http://proxy.lib.umich.edu/login?url=http://search.ebscohost.com/login.aspx?direct=true&amp;db=ccm&amp;AN=106535846&amp;site=ehost-live&amp;scope=site</t>
  </si>
  <si>
    <t>ccm; EBSCOhost; Impact of counterfeit drugs on the formulary decision-making process</t>
  </si>
  <si>
    <t>Reesal,R. T.;Bajramovic,H.</t>
  </si>
  <si>
    <t>PMC2280357; Social phobias: behavioural and pharmacotherapy</t>
  </si>
  <si>
    <t>Five to 10% of the general population suffers from symptoms of an anxiety disorder. Social phobias, while less common than panic disorder, agoraphobia or simple phobias, are just as debilitating. Patients present with somatic, behavioural, mood and cognitive disturbances, of which unrecognized social isolation, depression, loss of employment, and drug and alcohol abuse can be the result. A symptomatic approach can be implemented through the use of education, insight, support, behaviour therapy, cognitive therapy, and pharmacological intervention.</t>
  </si>
  <si>
    <t>J2: Can Fam Physician; Reesal, R T Bajramovic, H; ID: 197</t>
  </si>
  <si>
    <t>http://ovidsp.ovid.com/ovidweb.cgi?T=JS&amp;CSC=Y&amp;NEWS=N&amp;PAGE=fulltext&amp;D=prem&amp;AN=21248950</t>
  </si>
  <si>
    <t>MEDLINE; Ovid Technologies; Social phobias: behavioural and pharmacotherapy</t>
  </si>
  <si>
    <t>Regunath,H.;Cochran,K.;Cornell,K.;Shortridge,J.;Kim,D.;Akbar,S.;Boshard,B.;Chitima-Matsiga,R.;Reddy,J.;Keithahn,S.;Koller,J. P.</t>
  </si>
  <si>
    <t>Is It Painful to Manage Chronic Pain? A Cross-Sectional Study of Physicians In-Training in a University Program</t>
  </si>
  <si>
    <t>Missouri medicine</t>
  </si>
  <si>
    <t>Mo.Med.</t>
  </si>
  <si>
    <t>BACKGROUND: Prescribing opioids for chronic non-cancer pain (CNCP) is a challenge due to associated risks from abuse, addiction and adverse effects. We surveyed resident physicians on their knowledge, attitude and practices in opioid prescription practices in the ambulatory setting and conducted an educational module to address their knowledge gaps. METHODS: A phase 1 survey assessed knowledge, attitudes and practices of residents in the out-patient management of CNCP with opioids. Demographics, numbers of patients seen, those with concerns for risky behaviors, adverse effects and the reasons for concern were also recorded. In Phase 2, an educational module in the form of didactics and case based discussions addressed the perceived deficiencies noted from results of phase 1 survey. Pre and post module surveys assessed the effectiveness of the educational module. RESULTS: In the phase 1 study (45/49, 92% response rate, M:F = 30:15) 33.3% (15/45) were in Post-Graduate Year (PGY) 1, 35.6% (16/45) PGY2s and 31.1% (14/45) PGY3s; 80% (36/45) saw more than one patient with CNCP in the previous 3 months; 62.2% (28/45) had at least one patient with concerns for misuse and addiction; 77.8% (35/45) and 86.7% (39/45) reported a lack of training and consistent documentation respectively, and 82.2% (37/45) were uncomfortable to refill for other provider's patients. All (100%, 45/45) consulted the clinical pharmacist; 86.7% (39/45) believed that either focused education would be beneficial. In the phase 2 study (44/49, 89.7% response rate, M: F = 29: 15), the pre- and post-module responses showed that &gt; 90% of the residents perceived improvement in knowledge and confidence in management of CNCP with opioids after the educational module. CONCLUSIONS: Internal medicine residents perceived deficits in their ability to manage CNCP. Following a focused educational training, residents' knowledge and confidence in prescription of opioids improved, demonstrating the need to include management of CNCP with opioids into their curriculum.</t>
  </si>
  <si>
    <t>J2: Mo Med; Regunath, Hariharan Cochran, Kelly Cornell, Kasey Shortridge, James Kim, Daniel Akbar, Syed Boshard, Barbara Chitima-Matsiga, Rebecca Reddy, Jyotsna Keithahn, Steven Koller, James P; ID: 752</t>
  </si>
  <si>
    <t>0026-6620</t>
  </si>
  <si>
    <t>http://ovidsp.ovid.com/ovidweb.cgi?T=JS&amp;CSC=Y&amp;NEWS=N&amp;PAGE=fulltext&amp;D=prem&amp;AN=27039496</t>
  </si>
  <si>
    <t>MEDLINE; Ovid Technologies; Is It Painful to Manage Chronic Pain? A Cross-Sectional Study of Physicians In-Training in a University Program</t>
  </si>
  <si>
    <t>Rehder,T. L.</t>
  </si>
  <si>
    <t>Improving patient-oriented pharmacy services: what the individual pharmacist can do</t>
  </si>
  <si>
    <t>Humans;Interprofessional Relations;Nurses;*Pharmacy Service, Hospital/og Organization &amp; Administration];Pharmacy Service, Hospital/st Standards];Physicians;*Professional-Patient Relations</t>
  </si>
  <si>
    <t>How individual pharmacists can improve patient-oriented services is described. Pharmacists practicing on patient-care units should assess how they can, by meeting the needs of other health-care providers, contribute to better drug therapy. They should examine how changes in the drug distribution system can allow more flexibility for providing services on the patient-care unit. They should promote appropriate drug use by identifying problems and bringing these to the attention of the providers involved. Individual pharmacists can be assigned to patient-care units to coordinate drug therapy and patient education. They should document their activities. Individual pharmacists can take responsibility not only for their own actions but also for the actions of other health-care professionals associated with drug therapy.</t>
  </si>
  <si>
    <t>J2: Am J Hosp Pharm; Rehder, T L; ID: 702</t>
  </si>
  <si>
    <t>http://ovidsp.ovid.com/ovidweb.cgi?T=JS&amp;CSC=Y&amp;NEWS=N&amp;PAGE=fulltext&amp;D=med2&amp;AN=4050811</t>
  </si>
  <si>
    <t>MEDLINE; Ovid Technologies; Improving patient-oriented pharmacy services: what the individual pharmacist can do</t>
  </si>
  <si>
    <t>Reich,W.;Compton,W. M.;Horton,J. C.;Cottler,L. B.;Cunningham-Williams,R.;Booth,R.;Singer,M.;Leukefeld,C.;Fink,J.;Stopka,T.;Corsi,K. F.;Tindall,M. S.</t>
  </si>
  <si>
    <t>Pharmacist ambivalence about sale of syringes to injection drug users</t>
  </si>
  <si>
    <t>S52</t>
  </si>
  <si>
    <t>Attitude of Health Personnel;Focus Groups;Humans;Legislation, Medical;*Pharmacists;Rural Population;*Substance Abuse, Intravenous;*Syringes/sd Supply &amp; Distribution];Urban Population</t>
  </si>
  <si>
    <t>OBJECTIVE: To examine pharmacists' attitudes and practices surrounding human immunodeficiency virus (HIV) prevention among injection drug users. DESIGN: Focus groups. SETTING: Urban and rural sites in Colorado, Connecticut, Kentucky, and Missouri. PATIENTS OR OTHER PARTICIPANTS: Eight focus groups, with 4 to 11 pharmacists participating in each group. INTERVENTIONS: Transcripts of focus group discussions were evaluated for common themes by the authors and through the use of NUD*IST. MAIN OUTCOME MEASURES: Willingness to sell syringes to all customers, views on syringe exchange programs (SEPs), knowledge of laws governing syringe sales and racial, ethnic, or gender biases in syringe selling practices. RESULTS: Two pharmacists established their own policies of selling syringes to everyone, and three expressed a willingness to have their pharmacies serve as SEPs. A total of 20% of the pharmacists expressed an interest in learning more about the efficacy of SEPs and distribution of syringes by pharmacists, and were willing to change their views based on this information. Many also indicated a general willingness to work with SEPs or to participate in the effort to curb the spread of HIV. However, a majority of pharmacists opposed having SEPs in their pharmacies and reported selling syringes only within specific limits: to known diabetics, to individuals who looked reasonable, or to individuals who presented a logical explanation. No racial, ethnic, or gender bias was observed. CONCLUSION: Opinions among pharmacists varied across and within sites. While a majority of pharmacists would not establish SEPs in their own pharmacies, nearly all would participate in other HIV-prevention programs. Educational programs for pharmacists may be valuable in HIV-prevention efforts.</t>
  </si>
  <si>
    <t>J2: J Am Pharm Assoc (Wash); Reich, Wendy Compton, Wilson M Horton, Joe C Cottler, Linda B Cunningham-Williams, Renee M Booth, Robert Singer, Merrill Leukefeld, Carl Fink, Joseph Stopka, Tom Corsi, Karen Fortuin Tindall, Michelle Staton DA00430 (United States NIDA NIH HHS) DA00488 (United States NIDA NIH HHS) DA12340 (United States NIDA NIH HHS); ID: 508</t>
  </si>
  <si>
    <t>Reich,Wendy. Washington University, St. Louis, MO, USA. wendyr@twins.wustl.edu</t>
  </si>
  <si>
    <t>http://ovidsp.ovid.com/ovidweb.cgi?T=JS&amp;CSC=Y&amp;NEWS=N&amp;PAGE=fulltext&amp;D=med4&amp;AN=12489616</t>
  </si>
  <si>
    <t>MEDLINE; Ovid Technologies; Pharmacist ambivalence about sale of syringes to injection drug users</t>
  </si>
  <si>
    <t>Reichel,A.;Rietzsch,H.;Kohler,H. J.;Pfutzner,A.;Gudat,U.;Schulze,J.</t>
  </si>
  <si>
    <t>Cessation of insulin infusion at night-time during CSII-therapy: comparison of regular human insulin and insulin lispro</t>
  </si>
  <si>
    <t>Experimental &amp; Clinical Endocrinology &amp; Diabetes</t>
  </si>
  <si>
    <t>Adult;Blood Glucose/de Drug Effects];Blood Glucose/me Metabolism];Cross-Over Studies;Diabetes Mellitus, Type 1/bl Blood];Diabetes Mellitus, Type 1/dt Drug Therapy];*Diabetic Ketoacidosis/ci Chemically Induced];Drug Administration Schedule;Female;Headache/ci Chemically Induced];Humans;Hypoglycemic Agents/ad Administration &amp; Dosage];*Hypoglycemic Agents/ae Adverse Effects];Hypoglycemic Agents/tu Therapeutic Use];Insulin/ad Administration &amp; Dosage];*Insulin/ae Adverse Effects];Insulin/aa Analogs &amp; Derivatives];Insulin/tu Therapeutic Use];Insulin Infusion Systems;Insulin Lispro;Male;Middle Aged;Nausea/ci Chemically Induced];Pilot Projects;Substance Withdrawal Syndrome/bl Blood];*Substance Withdrawal Syndrome;Time Factors;0 (Blood Glucose);0 (Hypoglycemic Agents);0 (Insulin);0 (Insulin Lispro)</t>
  </si>
  <si>
    <t>Development of hyperglycemia with subsequent ketoacidosis is one of the potential risks of a sudden cessation of insulin delivery during continuous insulin infusion therapy with insulin pumps in patients with IDDM. To evaluate differences in the development of ketoacidosis after a sudden pump stoppage between regular human insulin and insulin lispro, we performed an open label randomized crossover investigation with 7 patients (6 male/1 female, mean age (SD: 40.9 +/- 12.9 years). At 10 p.m., 4 hours after a light dinner with a preprandial injection of the corresponding insulin, the catheter was pulled out of the skin. During the observation period, blood glucose (every hour), pH-values and base excess values (every two hours) were measured until 7 a.m. One patient, in the insulin lispro treatment arm, discontinued because early interruption criteria were met after 7 hours. With insulin lispro, the metabolic changes developed 1.5 to 2 hours earlier than with regular human insulin (after 3 hours: difference in base excess (BE) mean +/- SD: regular human insulin: -0.41 +/- 1.04 mmol/l; insulin lispro: -1.69 +/- 0.83 mmol/l, p &lt; 0.05; blood glucose: regular human insulin: 4.93 +/- 2.87 mmol/l, insulin lispro: 8.97 +/- 3.48, p &lt; 0.05; pH values: regular human insulin: 7.38 +/- 0.02, insulin lispro: 7.36 +/- 0.02, n.s.). In general, metabolic deterioration tended to be more pronounced with insulin lispro than with regular human insulin (deltaBE after 7 h: regular human insulin: -2.39 +/- 1.30 mmol/l; insulin lispro: -3.27 +/- 2.43 mmol/l, n.s.). In conclusion, if patients want to be treated with insulin lispro in an insulin pump, they have to be well-educated about the pharmacokinetic properties of the insulin analogue and about the possibility that ketoacidotic deterioration after an interruption of the insulin delivery may occur earlier in comparison to regular human insulin. It is anyway recommendable to perform a pump stop test when starting CSII-treatment in patients with diabetes mellitus.</t>
  </si>
  <si>
    <t>J2: Exp Clin Endocrinol Diabetes; Reichel, A Rietzsch, H Kohler, H J Pfutzner, A Gudat, U Schulze, J; ID: 581</t>
  </si>
  <si>
    <t>0947-7349</t>
  </si>
  <si>
    <t>Reichel,A. Medizinische Klinik III, Universitatsklinikum Carl Gustav Carus, Dresden.</t>
  </si>
  <si>
    <t>http://ovidsp.ovid.com/ovidweb.cgi?T=JS&amp;CSC=Y&amp;NEWS=N&amp;PAGE=fulltext&amp;D=med4&amp;AN=9710355</t>
  </si>
  <si>
    <t>MEDLINE; Ovid Technologies; Cessation of insulin infusion at night-time during CSII-therapy: comparison of regular human insulin and insulin lispro</t>
  </si>
  <si>
    <t>Reichel,C. M.;Murray,J. E.;Barr,J. D.;Bevins,R. A.</t>
  </si>
  <si>
    <t>NIHMS195746 PMC2881947; Extinction with varenicline and nornicotine, but not ABT-418, weakens conditioned responding evoked by the interoceptive stimulus effects of nicotine</t>
  </si>
  <si>
    <t>Animals;*Benzazepines/pd Pharmacology];*Conditioning, Classical/de Drug Effects];Discrimination (Psychology)/de Drug Effects];*Extinction, Psychological/de Drug Effects];Generalization (Psychology);*Isoxazoles/pd Pharmacology];Ligands;Male;*Nicotine/aa Analogs &amp; Derivatives];Nicotine/pd Pharmacology];*Nicotinic Agonists/pd Pharmacology];*Pyrrolidines/pd Pharmacology];*Quinoxalines/pd Pharmacology];Rats;Rats, Sprague-Dawley;Varenicline;0 (Benzazepines);0 (Isoxazoles);0 (Ligands);0 (Nicotinic Agonists);0 (Pyrrolidines);0 (Quinoxalines);147402-53-7 (3-methyl-5-(1-methyl-2-pyrrolidinyl)isoxazole);6M3C89ZY6R (Nicotine);83H6L5QD8Z (nornicotine);W6HS99O8ZO (Varenicline)</t>
  </si>
  <si>
    <t>The interoceptive stimulus effects of nicotine acquire control over behavior. This observation, among others, suggests that the stimulus effects of nicotine are important in the development and tenacity of tobacco dependence. Despite this importance, there has been little research examining whether non-reinforced presentations (extinction) of a ligand that share stimulus effects of nicotine will weaken responding controlled by nicotine. Rats were trained to discriminate nicotine (0.4 mg/kg) from saline using a discriminated goal-tracking task in which nicotine signaled intermittent access to sucrose; sucrose was withheld on saline sessions. Experiment 1 examined substitution for nicotine by ABT-418, nornicotine, epibatidine, varenicline, or cytisine in 4-min extinction tests. Experiments 2-5 low-dose nicotine (0.05 mg/kg), ABT-418, nornicotine, or varenicline, respectively] examined whether substitution for nicotine would persist if extinction tests were increased to 20 min and repeated daily for 6 days. Finally, generalization of this extinction back to the nicotine training stimulus was assessed. Full substitution in brief 4-min extinction tests was seen for ABT-418, nornicotine, epibatidine, varenicline, and cytisine. Low-dose nicotine, ABT-418, nornicotine, and varenicline, evoked only a partial 'nicotine-like' response in the first 20-min extinction test. With repeated extinction, only low-dose nicotine, nornicotine, and varenicline continued to substitute. Extinction with nornicotine and varenicline transferred back to nicotine as indicated by a partial conditioned response to the training stimulus. Interpretations regarding 'nicotine-like' effects of a ligand depend on the nature of the test. Understanding the processes mediating transfer of extinction learning with potential pharmacotherapies may reveal new treatment targets.Copyright 2010 Elsevier Ltd. All rights reserved.</t>
  </si>
  <si>
    <t>J2: Neuropharmacology; Reichel, Carmela M Murray, Jennifer E Barr, Jessica D Bevins, Rick A DA018114 (United States NIDA NIH HHS) DA023283 (United States NIDA NIH HHS) DA025399 (United States NIDA NIH HHS) R01 DA018114 (United States NIDA NIH HHS) R01 DA018114-04 (United States NIDA NIH HHS) R01 DA018114-05 (United States NIDA NIH HHS) R01 DA018114-06 (United States NIDA NIH HHS); ID: 296</t>
  </si>
  <si>
    <t>1873-7064</t>
  </si>
  <si>
    <t>Reichel,Carmela M. Department of Psychology, University of Nebraska-Lincoln, Lincoln NE 68588-0308, USA.</t>
  </si>
  <si>
    <t>http://ovidsp.ovid.com/ovidweb.cgi?T=JS&amp;CSC=Y&amp;NEWS=N&amp;PAGE=fulltext&amp;D=med5&amp;AN=20302882</t>
  </si>
  <si>
    <t>http://dx.doi.org/10.1016/j.neuropharm.2010.03.005</t>
  </si>
  <si>
    <t>MEDLINE; Ovid Technologies; Extinction with varenicline and nornicotine, but not ABT-418, weakens conditioned responding evoked by the interoceptive stimulus effects of nicotine</t>
  </si>
  <si>
    <t>Reid,J. L.</t>
  </si>
  <si>
    <t>PMC1401811; The Fourth Lilly Prize Lecture, University of Aberdeen, September 1980. The clinical pharmacology of clonidine and related central antihypertensive agents</t>
  </si>
  <si>
    <t>Antihypertensive Agents/pd Pharmacology];Blood Pressure/de Drug Effects];Clonidine/ae Adverse Effects];Clonidine/me Metabolism];*Clonidine/pd Pharmacology];Dose-Response Relationship, Drug;Half-Life;Humans;Substance Withdrawal Syndrome;0 (Antihypertensive Agents);MN3L5RMN02 (Clonidine)</t>
  </si>
  <si>
    <t>J2: Br J Clin Pharmacol; Reid, J L; ID: 717</t>
  </si>
  <si>
    <t>http://ovidsp.ovid.com/ovidweb.cgi?T=JS&amp;CSC=Y&amp;NEWS=N&amp;PAGE=fulltext&amp;D=med2&amp;AN=7295459</t>
  </si>
  <si>
    <t>MEDLINE; Ovid Technologies; The Fourth Lilly Prize Lecture, University of Aberdeen, September 1980. The clinical pharmacology of clonidine and related central antihypertensive agents</t>
  </si>
  <si>
    <t>Reinhold,J.;Pontiggia,L.;Angeles,M.;Earl,G.</t>
  </si>
  <si>
    <t>PMC2879108; Web-based instruction on substance abuse and drug diversion</t>
  </si>
  <si>
    <t>*Computer-Assisted Instruction/mt Methods];Computer-Assisted Instruction/st Standards];Data Collection;*Education, Pharmacy/mt Methods];Education, Pharmacy/td Trends];Educational Measurement;*Internet;Pharmacists;Pilot Projects;Students, Pharmacy;*Substance-Related Disorders</t>
  </si>
  <si>
    <t>OBJECTIVES: To develop a pilot study to assess the effectiveness of a Web-based educational module on enhancing understanding of substance abuse and drug diversion, and to assess students' abilities and confidence in applying the information. DESIGN: A Web-based instructional module was presented to students enrolled in their second pre-professional year, and students were informed that it was part of a research study. Knowledge was tested using 10 pre- and post-module questions. Students were also presented with 5 survey questions assessing abilities related to the learning objectives. ASSESSMENT: The median percentage of correct responses increased from 60% (Interquartile range IQR] 20%) for the pre-module questions to 90% (IQR = 10%) for the post-module questions. The median percent gain in knowledge was 20% (IQR = 20%) which was significant (p &lt; 0.0001). CONCLUSIONS: Web-based instruction is an alternative method for engaging students in course content. We found that 59% of our pilot study group worked in a pharmacy. From the success of the pilot study, the module was implemented as an extra credit assignment in a required course to provide a foundation for developing professional responsibility.</t>
  </si>
  <si>
    <t>J2: Am J Pharm Educ; Reinhold, Jennifer Pontiggia, Laura Angeles, Mark Earl, Grace; ID: 286</t>
  </si>
  <si>
    <t>Reinhold,Jennifer. Department of Pharmacy Practice and Pharmacy Administration, Philadelphia College of Pharmacy, University of Sciences in Philadelphia, PA 19104, USA.</t>
  </si>
  <si>
    <t>http://ovidsp.ovid.com/ovidweb.cgi?T=JS&amp;CSC=Y&amp;NEWS=N&amp;PAGE=fulltext&amp;D=med5&amp;AN=20585418</t>
  </si>
  <si>
    <t>MEDLINE; Ovid Technologies; Web-based instruction on substance abuse and drug diversion</t>
  </si>
  <si>
    <t>Reis,W. C.;Scopel,C. T.;Correr,C. J.;Andrzejevski,V. M.</t>
  </si>
  <si>
    <t>Analysis of clinical pharmacist interventions in a tertiary teaching hospital in Brazil</t>
  </si>
  <si>
    <t>Einstein</t>
  </si>
  <si>
    <t>Brazil;Drug Prescriptions/st Standards];*Drug Prescriptions/sn Statistics &amp; Numerical Data];Hospitals, Teaching;Humans;Inappropriate Prescribing/sn Statistics &amp; Numerical Data];Medication Errors/cl Classification];Medication Errors/sn Statistics &amp; Numerical Data];*Medication Errors;Middle Aged;Pharmacists;*Pharmacy Service, Hospital;Prospective Studies;Tertiary Care Centers</t>
  </si>
  <si>
    <t>OBJECTIVE: To analyze the clinical pharmacist interventions performed during the review of prescription orders of the Adult Intensive Care, Cardiologic Intensive Care, and Clinical Cardiology Units of a large tertiary teaching hospital in Brazil. METHODS: The analysis took place daily with the following parameters: dose, rate of administration, presentation and/or dosage form, presence of inappropriate/unnecessary drugs, necessity of additional medication, more proper alternative therapies, presence of relevant drug interactions, inconsistencies in prescription orders, physical-chemical incompatibilities/solution stability. From this evaluation, the drug therapy problems were classified, as well as the resulting clinical interventions. RESULTS: During the study, a total of 6,438 drug orders were assessed and 933 interventions were performed. The most prevalent drug therapy problems involved ranitidine (28.44%), enoxaparin (13.76%), and meropenem (8.26%). The acceptability of the interventions was 76.32%. The most common problem found was related to dose, representing 46.73% of the total. CONCLUSION: Our study showed that up to 14.6% of the prescriptions reviewed had some drug therapy problem and the pharmacist interventions have promoted positive changes in seven to ten of these prescriptions.</t>
  </si>
  <si>
    <t>J2: Einstein; Reis, Walleri Christini Torelli Scopel, Carolinne Thays Correr, Cassyano Januario Andrzejevski, Vania Mari Salvi S1679-45082013000200010; ID: 123</t>
  </si>
  <si>
    <t>2317-6385</t>
  </si>
  <si>
    <t>http://ovidsp.ovid.com/ovidweb.cgi?T=JS&amp;CSC=Y&amp;NEWS=N&amp;PAGE=fulltext&amp;D=medl&amp;AN=23843060</t>
  </si>
  <si>
    <t>MEDLINE; Ovid Technologies; Analysis of clinical pharmacist interventions in a tertiary teaching hospital in Brazil</t>
  </si>
  <si>
    <t>Reiss,R.;Campbell,A.;Camden,R.;Author,Addresses;University of,Missouri Health;United,States;Correspondence,Address;Reiss, University of Missouri Health Care United States,R.</t>
  </si>
  <si>
    <t>1. Irb approval is pending minor modifications in verbiage. Comparison of two symptom-triggered alcohol withdrawal protocols: Severity assessment scale (SAS) and the revised clinical institute withdrawal assessment for alcohol (CIWA-AR)</t>
  </si>
  <si>
    <t>(MAJOR FOCUS);alcohol;benzodiazepine;beta adrenergic receptor blocking agent;clonidine;lorazepam;opiate;alcohol withdrawal;college;human;pharmacist;agitation;data analysis;death;delirium tremens;disease management;hallucination;health care;hospital;medical record review;mental disease;patient;pilot study;sedation;seizure;treatment withdrawal;United States;university</t>
  </si>
  <si>
    <t>Type: Work in Progress. Background: In alcohol dependent patients, sudden cessation may result in a wide array of symptoms ranging from agitation and discomfort to seizures, delirium tremens, and even death. For this reason, patients undergoing alcohol withdrawal are often admitted to the hospital for medical management. University of Missouri Health Care (UMHC) recently reassessed its withdrawal treatment protocols and, on 4 June 2012, switched from an institution specific Severity Assessment Scale (SAS) to the more validated Revised Clinical Institute Withdrawal Assessment for Alcohol (CIWA-Ar) scale. Objectives: The purpose of this study is to compare the SAS to the CIWA-Ar protocol to determine whether one protocol offers benefit. The primary objectives of the study are: to quantify total benzodiazepine use associated with each protocol; and to evaluate whether either protocol is associated with higher rates of severe withdrawal complications. Secondary objectives of this study are to: determine differences in the number of times patients required lorazepam; evaluate differences in the indicators on which patients scored; assess differences in symptom severity; detect differences in the number of patients requiring transfer to a higher level of care due to withdrawal related complications; assess differences in the need for rescue sedation; identify differences in route of administration used; and record the number of patients on a withdrawal protocol who left the hospital against medical advice. Methods: A health system wide retrospective chart review was conducted. Charts from 1 August 2011 to 31 October 2011 wherein the SAS protocol was ordered, and those from 1 August 2012 to 31 October 2012 wherein the CIWA-Ar protocol was ordered, were eligible for this pilot study. Patients included must have been at least 18 years of age and experiencing alcohol withdrawal. Those with a documented medical or psychiatric illness associated with seizures or hallucinations, those withdrawing from substances other than alcohol, and those using opiates, antiepileptics, clonidine, or beta-blockers were excluded from the study. Results: Preliminary data is being analyzed for approximately 100 patients. Data analysis is anticipated to be complete by March 22, 2013.</t>
  </si>
  <si>
    <t>(Reiss R.; Campbell A.; Camden R.) 16th Annual Meeting of the College of Psychiatric and Neurologic Pharmacists, CPNP 2013 Colorado Springs, CO, United States 2013-04-21 to 2013-04-24 SAGE Publications Inc.; ID: 1038</t>
  </si>
  <si>
    <t>Renner Jr,J. A.;Author,Addresses;Department,of Psychiatry;University School of Medicine, V A Outpatient Clinic,Causeway Street;Boston,M. A. U.;Correspondence,Address;JA Renner Jr, Department of Psychiatry Boston University,School of;Medicine,V. A. O.;United States Email, john renner med,va gov</t>
  </si>
  <si>
    <t>Training psychiatrists to treat dual diagnosis patients</t>
  </si>
  <si>
    <t>Journal of Dual Diagnosis</t>
  </si>
  <si>
    <t>medical education;medical practice;mental disease (diagnosis);psychiatrist;addiction;behavior therapy;cognition;conference paper;detoxification;Diagnostic and Statistical Manual of Mental Disorders;diagnostic procedure;differential diagnosis;human;medical profession;motivation;substance abuse;Public Health, Social Medicine and Epidemiology (17);Psychiatry (32)</t>
  </si>
  <si>
    <t>Despite the high incidence of dual diagnosis patients in most treatment settings, psychiatrists have not been adequately trained to care for patients with substance use disorders and co-occurring psychiatric disorders. Brief rotations on detoxification or substance abuse rehabilitation units do not provide the type of training that is needed to develop the long-term management skills required to successfully treat these patients. Boston University Medical Center has developed an expanded addiction psychiatry curriculum that is coupled with a 2-year longitudinal rotation on a dual diagnosis outpatient unit. Residents receive in-depth training in cognitive behavioral and harm reduction therapy, motivational enhancement treatment, and addiction pharmacotherapy. Trainees need to work with psychiatrists who respect these patients and are willing to take responsibility to manage both SUD and co-occurring disorders. A longitudinal training experience is an ideal model for learning appropriate addiction treatment skills and for gaining confidence in the efficacy of these treatments. Copyright ‚î¨‚åê by The Haworth Press, Inc. All rights reserved.</t>
  </si>
  <si>
    <t>(Renner Jr. J.A., john.renner@med.va.gov) Haworth Press Inc., 10 Alice Street, Binghamton, United States.; ID: 1502</t>
  </si>
  <si>
    <t>1550-4263 1550-4271 (electronic)</t>
  </si>
  <si>
    <t>2007299504 FULL TEXT LINK http://dx.doi.org/10.1300/J374v03n02_14</t>
  </si>
  <si>
    <t>Renner,J. A., J.</t>
  </si>
  <si>
    <t>How to train residents to identify and treat dual diagnosis patients</t>
  </si>
  <si>
    <t>Curriculum;Diagnosis, Dual (Psychiatry);Guidelines as Topic;Health Knowledge, Attitudes, Practice;Humans;*Internship and Residency/mt Methods];*Mental Disorders/th Therapy];*Psychiatry/ed Education];*Substance-Related Disorders/th Therapy]</t>
  </si>
  <si>
    <t>Medical training has failed to address the needs of patients with comorbid substance use and psychiatric disorders. Addiction teaching is limited and often fails to change the negative attitudes of many physicians. In many psychiatry residencies, addiction training occurs on inpatient or detoxification units and the focus is on screening, detoxification, and referral. Most residents do not gain adequate experience in the long-term management of dual-diagnosis patients. Successful clinical care is based on three critical elements (the "clinician's triad"): an adequate knowledge base, a positive attitude toward the patient and the benefits of treatment, and a sense of responsibility for the clinical problem. The Boston University Psychiatry Residency has designed an addiction training program to address these three issues. In addition to a comprehensive addiction seminar series, there are several unique features. The required clinical rotation occurs in an outpatient dual-diagnosis clinic and permits residents to follow a caseload of patients for 12 months. Extensive experience is gained in motivational interviewing, cognitive behavioral therapy, and pharmacotherapy. Self-directed learning approaches are used to maximize the educational experience on services that lack addiction faculty. Guidelines are provided for establishing a similar program and for more effective approaches to resident teaching. References: 44]</t>
  </si>
  <si>
    <t>J2: Biol Psychiatry; Renner, John A Jr; ID: 467</t>
  </si>
  <si>
    <t>Renner,John A Jr. Division of Psychiatry, Boston University School of Medicine, Boston, Massachusetts 02114, USA.</t>
  </si>
  <si>
    <t>http://ovidsp.ovid.com/ovidweb.cgi?T=JS&amp;CSC=Y&amp;NEWS=N&amp;PAGE=fulltext&amp;D=med5&amp;AN=15556127</t>
  </si>
  <si>
    <t>MEDLINE; Ovid Technologies; How to train residents to identify and treat dual diagnosis patients</t>
  </si>
  <si>
    <t>Reuning,Richard H.;Krautheim,Daniel</t>
  </si>
  <si>
    <t>A Terminal Pharmaceutics Course in Clinical Pharmacokinetics</t>
  </si>
  <si>
    <t>Behavioral Objectives;Course Content;Higher Education;Student Projects;Teaching Methods;(Major): Course Descriptions;Drug Therapy;Pharmaceutical Education;Pharmacy;Problem Solving;Identifier: Ohio State University</t>
  </si>
  <si>
    <t>At Ohio State University, an undergraduate course extends the course sequence in biopharmaceutics and pharmacokinetics to application to problems in optimizing drug therapy. Course content, structure, instructional methods, and student term projects are described, and a course outline, typical projects, and some behavioral objectives are appended. (JMD)</t>
  </si>
  <si>
    <t>Connect to the Mirlyn catalog at the University of Michigan Article (EJ); ID: 2092</t>
  </si>
  <si>
    <t>EJ190781</t>
  </si>
  <si>
    <t>ERIC; OCLC; A Terminal Pharmaceutics Course in Clinical Pharmacokinetics</t>
  </si>
  <si>
    <t>Reutzel,T. J.;Patel,R.;Myers,M. A.</t>
  </si>
  <si>
    <t>Medication management in primary and secondary schools</t>
  </si>
  <si>
    <t>Child;*Community Pharmacy Services;*Health Policy;Humans;Pharmaceutical Preparations/ad Administration &amp; Dosage];*Pharmaceutical Preparations;*School Health Services;*School Nursing;United States;0 (Pharmaceutical Preparations)</t>
  </si>
  <si>
    <t>OBJECTIVE: To summarize present knowledge about medication management in primary and secondary schools; to place this knowledge in its drug use and organizational contexts; and to provide a foundation for studying the problem and developing policy- and practice-level interventions aimed at alleviating it. To offer recommendations for practitioners, policy makers, and health professions educators aimed at improving the situation. DATA SOURCES: MEDLINE database (1966-1998); International Pharmaceutical Abstracts database (1977-1998); complete Medscape full-text search; contents of the Journal of School Nursing and the Journal of School Health (1966-present). STUDY SELECTION: We reviewed 95% of all articles, books, and reports identified using the search terms elementary school, middle school, junior high school, high school, primary school, secondary school, school nurse, school health, and schoolchildren. DATA EXTRACTION: The literature on this topic includes background material describing the nature of the problem and its political and organizational context and implying its significance; summaries of regulations, guidelines, and recommendations regarding medication management in the schools; and empirical studies. Few articles address pharmacist involvement in medication management in schools. DATA SYNTHESIS: Although approaches to this important problem vary widely, a set of core medication management guidelines is identifiable. Formal research is sparse, but it shows that medication use is widespread in schools and carries significant therapeutic and safety consequences. CONCLUSION: Pharmacists and school nurses must cross professional borders if they wish to play a role in solving this important drug therapy problem. Pharmacists can provide therapeutic and contextual perspectives on the problem, while school nurses can implement solutions within the schools. References: 66]</t>
  </si>
  <si>
    <t>J2: J Am Pharm Assoc (Wash); Reutzel, T J Patel, R Myers, M A; ID: 546</t>
  </si>
  <si>
    <t>Reutzel,T J. Department of Pharmaceutical Sciences, Chicago College of Pharmacy, Midwestern University, 555 31st Street, Downers Grove, IL 60515, USA. treutz@midwestern.edu</t>
  </si>
  <si>
    <t>http://ovidsp.ovid.com/ovidweb.cgi?T=JS&amp;CSC=Y&amp;NEWS=N&amp;PAGE=fulltext&amp;D=med4&amp;AN=11216116</t>
  </si>
  <si>
    <t>MEDLINE; Ovid Technologies; Medication management in primary and secondary schools</t>
  </si>
  <si>
    <t>Ribed,A.;Romero-Jimenez,R.;Escudero-Vilaplana,V.;Iglesias-Peinado,I.;Herranz-Alonso,A.;Codina,C.;Sanjurjo-Saez,M.</t>
  </si>
  <si>
    <t>Pharmaceutical care program for onco-hematologic outpatients: safety, efficiency and patient satisfaction</t>
  </si>
  <si>
    <t>Background Self-administration of oral chemotherapy regimens in the home setting leading to new challenges in the health system. Objective To develop and evaluate a comprehensive pharmaceutical care program for cancer outpatients treated with oral antineoplastic agents. Setting A Spanish tertiary hospital. Methods During 2012, a comprehensive pharmaceutical care program was elaborated following the standards recommended by ASCO. It comprised a standard procedure focusing on: drug indication, dosing regimen, required laboratory tests, route of administration, interactions with other current medications and adverse events; a checklist and informational brochures. A pharmaceutical follow up was defined and structured into three clinical interviews over 6 months which focused on safety and efficiency outcomes. Patients starting treatment with oral antineoplastic agents during 2011 (control group) without pharmacist monitoring were compared to patients beginning treatment at some point in 2013 who were prospectively monitored by a pharmacist (intervention group). Statistical analysis was performed by the statistical program SPSS, 21.0 and p &lt; 0.05 was considered significant. Main outcome measures Patient demographics and clinical data were recorded. The primary endpoint was safety outcomes: detection of drug related problems, drug interactions, and adverse events. Adherence, permanence and patient satisfaction were also collected. Results A total of 249 patients were enrolled in the study. Two hundred and seventy-five medication errors were recorded 106 in the control group and 169 in the intervention group (p = 0.008)]. The pharmacist intervened in 362 occasions being accepted 88.8 % of the time, mainly to reinforce patient education and literacy and giving information on co-administration with other drugs and herbal medicines. Adherent patients increased at the 6th month of treatment in the intervention group by 20 % (p &lt; 0.001). High satisfaction was reported. Conclusion The program has been implemented and evaluated successfully. It ensures a high quality and standard of pharmaceutical care with high patient satisfaction rate and the key points to prioritize for improvement in terms of safety (interactions and administration errors) and efficiency (adherence and permanence) of oral antineoplastic agents.</t>
  </si>
  <si>
    <t>J2: Int J Clin Pharm; Ribed, Almudena Romero-Jimenez, Rosa Maria Escudero-Vilaplana, Vicente Iglesias-Peinado, Irene Herranz-Alonso, Ana Codina, Carlos Sanjurjo-Saez, Maria; ID: 748</t>
  </si>
  <si>
    <t>Ribed,Almudena. Gregorio Maranon University General Hospital, Madrid, Spain. Romero-Jimenez,Rosa Maria. Gregorio Maranon University General Hospital, Madrid, Spain. Escudero-Vilaplana,Vicente. Gregorio Maranon University General Hospital, Madrid, Spain. vicente.escudero@salud.madrid.org. Iglesias-Peinado,Irene. Complutense University, Madrid, Spain. Herranz-Alonso,Ana. Gregorio Maranon University General Hospital, Madrid, Spain. Codina,Carlos. Barcelona Clinic University Hospital, Barcelona, Spain. Sanjurjo-Saez,Maria. Gregorio Maranon University General Hospital, Madrid, Spain.</t>
  </si>
  <si>
    <t>http://ovidsp.ovid.com/ovidweb.cgi?T=JS&amp;CSC=Y&amp;NEWS=N&amp;PAGE=fulltext&amp;D=prem&amp;AN=26715547</t>
  </si>
  <si>
    <t>http://dx.doi.org/10.1007/s11096-015-0235-8</t>
  </si>
  <si>
    <t>MEDLINE; Ovid Technologies; Pharmaceutical care program for onco-hematologic outpatients: safety, efficiency and patient satisfaction</t>
  </si>
  <si>
    <t>Ribeiro-Vaz,I.;Herdeiro,M. T.;Polonia,J.;Figueiras,A.</t>
  </si>
  <si>
    <t>Strategies to increase the sensitivity of pharmacovigilance in Portugal</t>
  </si>
  <si>
    <t>Revista de saude publica</t>
  </si>
  <si>
    <t>Rev.Saude Publica</t>
  </si>
  <si>
    <t>*Adverse Drug Reaction Reporting Systems/sn Statistics &amp; Numerical Data];Education, Pharmacy, Continuing/mt Methods];*Education, Pharmacy, Continuing/st Standards];Female;Humans;Male;*Pharmacists;Portugal;Product Surveillance, Postmarketing/st Standards];Product Surveillance, Postmarketing/sn Statistics &amp; Numerical Data]</t>
  </si>
  <si>
    <t>OBJECTIVE: To evaluate the results of an intervention to improve the number and relevance of reports of adverse drug reactions. METHODS: A cluster-randomized controlled trial was conducted with pharmacists working in Northern Portugal, in 2007. After randomization, 364 individuals were placed into the intervention group (261 in telephone interviews and 103 in workshops), while the control group was comprised of 1,103 pharmacists. The following were approached in the educational intervention: the problem of adverse drug reaction, the impact on public health and spontaneous reporting. With regard to relevance, adverse reactions were classified into severe and unexpected. Statistical analysis was performed, based on the intention-to-treat principle; generalized linear mixed models were applied, using the penalized quasi-likelihood method. The pharmacists studied were followed during a period of 20 months. RESULTS: The intervention increased the rate of spontaneous reporting of adverse reactions three times (RR = 3.22; 95% CI 1.33;7.80), when compared to the control group. The relevance of reporting rose, with an increase in severe adverse reactions by approximately four times (RR = 3.87; 95% CI 1.29;11.61) and in unexpected adverse reactions by five times (RR = 5.02; 95% CI 1.33;18.93), compared to the control group. CONCLUSIONS: During a period of up to four months, educational interventions significantly increased the number and relevance of spontaneous reporting of adverse drug reactions by pharmacists in Northern Portugal.</t>
  </si>
  <si>
    <t>J2: Rev Saude Publica; Ribeiro-Vaz, Ines Herdeiro, Maria Teresa Polonia, Jorge Figueiras, Adolfo S0034-89102010005000050; ID: 264</t>
  </si>
  <si>
    <t>1518-8787</t>
  </si>
  <si>
    <t>Ribeiro-Vaz,Ines. Unidade de Farmacovigilancia do Norte, Faculdade de Medicina, Universidade do Porto, Porto, Portugal. inesvaz@med.up.pt</t>
  </si>
  <si>
    <t>http://ovidsp.ovid.com/ovidweb.cgi?T=JS&amp;CSC=Y&amp;NEWS=N&amp;PAGE=fulltext&amp;D=med5&amp;AN=21085884</t>
  </si>
  <si>
    <t>MEDLINE; Ovid Technologies; Strategies to increase the sensitivity of pharmacovigilance in Portugal</t>
  </si>
  <si>
    <t>Rich,J. D.;Martin,E. G.;Macalino,G. E.;Paul,R. V.;McNamara,S.;Taylor,L. E.</t>
  </si>
  <si>
    <t>Pharmacist support for selling syringes without a prescription to injection drug users in Rhode Island</t>
  </si>
  <si>
    <t>S58</t>
  </si>
  <si>
    <t>Adult;Attitude of Health Personnel;Data Collection;Female;Humans;Male;Middle Aged;*Pharmacists;Prescriptions;Rhode Island;*Substance Abuse, Intravenous;*Syringes/sd Supply &amp; Distribution]</t>
  </si>
  <si>
    <t>OBJECTIVE: To examine pharmacists' attitudes and obstacles to syringe sales to IDUs without prescriptions in Rhode Island, around the time that such sales became legal in the state. DESIGN: Self-administered written survey. SETTING: Rhode Island. PARTICIPANTS: 400 randomly selected pharmacist members of the Rhode Island Pharmacists Association. MAIN OUTCOME MEASURES: Responses to survey items. RESULTS: Of the 400 pharmacists contacted, 131 (33%) completed and returned the survey; of these, 101 (77%) were pharmacists who worked in stores that provided direct nonprescription syringe sales to the public. The majority of these 101 pharmacists were willing to sell syringes to a suspected IDU without a prescription (65%), favored providing free sharps containers for disposal (68%), and supported providing pamphlets on safer injection practices (88%). Willingness to sell syringes to IDUs without a prescription was significantly correlated with various beliefs about possible consequences of sales. CONCLUSION: The high level of support for nonprescription syringe sales to IDUs is promising. The correlation between the willingness to sell syringes to IDUs without a prescription and various beliefs suggests that future educational interventions might encourage pharmacists to sell syringes to this population without a prescription to decrease HIV and hepatitis transmission.</t>
  </si>
  <si>
    <t>J2: J Am Pharm Assoc (Wash); Rich, Josiah D Martin, Erika G Macalino, Grace E Paul, Rowan V McNamara, Susan Taylor, Lynn E K20-DA00268 (United States NIDA NIH HHS) P30-AI-42853 (United States NIAID NIH HHS) R01 DA14853-01 (United States NIDA NIH HHS); ID: 507</t>
  </si>
  <si>
    <t>Rich,Josiah D. Brown Medical School, and The Miriam Hospital, Providence, Rhode Island 02906, USA. jrich@lifespan.org</t>
  </si>
  <si>
    <t>http://ovidsp.ovid.com/ovidweb.cgi?T=JS&amp;CSC=Y&amp;NEWS=N&amp;PAGE=fulltext&amp;D=med4&amp;AN=12489617</t>
  </si>
  <si>
    <t>MEDLINE; Ovid Technologies; Pharmacist support for selling syringes without a prescription to injection drug users in Rhode Island</t>
  </si>
  <si>
    <t>Richard,M. D.;Brahm,N. C.;Davis,T. S.;Author,Addresses;University of Oklahoma, College of Pharmacy,Tulsa O.;United,States;University of,Oklahoma;College of Pharmacy, Department of Pharmacy Practice,Clinical and;Administrative Sciences,Tulsa,O.K.United States;Veterans Administration Hospital, Salem,V.A.United States;Clinical Pharmacist, Lufkin State Supported,Living Center;US,Pollok,T.X.United States;Business Teacher Education, Illinois,State University;Department of Marketing, Normal,I.L.United States;Correspondence,Address;NC Brahm, University of Oklahoma College of Pharmacy,Department of;Pharmacy Practice,Clinical;Administrative Sciences,E. st;Street,Tulsa O.K.United States Email nancy-brahm ouhsc edu</t>
  </si>
  <si>
    <t>Professional development: Students' perceptions of an immersion elective in substance abuse</t>
  </si>
  <si>
    <t>drug dependence;immersion;learning;professional development;substance abuse;adult;article;clinical article;clinical practice;college student;course content;female;health survey;human;knowledge;male;perception;personal experience;pharmacist;priority journal;social participation;Public Health, Social Medicine and Epidemiology (17);Drug Dependence, Alcohol Abuse and Alcoholism (40)</t>
  </si>
  <si>
    <t>Objectives: Persons facing substance abuse and addiction are ubiquitous in all areas of pharmacy practice. Some colleges of pharmacy (COP) do not report didactic coursework in substance abuse. An off-site elective was developed to offer students an experience in immersion learning on this topic. The elective objectives were (1) to facilitate professional pharmacy student development by challenging student perceptions of people regarding addiction and substance abuse concerns and (2) to elicit input on the course structure and activities to improve entry-level pharmacist preparation. Participation in the second goal was optional. Methods: Eleven pharmacy students participated. Surveys and on-site student reports were evaluated for common themes of student learning and substance abuse knowledge. This project maintained participant anonymity and was approved by the University's institutional review board. Results: The most common self-reported experience was recognizing addiction as a disease. Secondly, students reported increased knowledge in the following areas: healthcare provider risk, disease prevention, and treatment options for impaired healthcare professionals. Students included personal reflections on the entire experience, assigned personal goals for service delivery, considered this education essential for adequate pharmacist preparation, self-reported changes in knowledge and understanding of substance abuse and addiction following completion of the elective, reported the experience would influence their practice as pharmacists, and opined more students should have access to this educational experience. Conclusion: Pilot study data supported substance abuse education inclusion in core curricula. COPs are encouraged to use published curriculum guidelines as a road map for development. ‚î¨‚åê 2013 Elsevier Inc.</t>
  </si>
  <si>
    <t>(Richard M.D.) (Brahm N.C., nancy-brahm@ouhsc.edu; Davis T.S.) (Davis T.S.) Elsevier Inc., 360 Park Avenue South, New York, United States.; ID: 1081</t>
  </si>
  <si>
    <t>2013040283 FULL TEXT LINK http://dx.doi.org/10.1016/j.cptl.2012.09.007</t>
  </si>
  <si>
    <t>Richer,C.;Decker,N.;Belin,J.;Imbs,J. L.;Montastruc,J. L.;Giudicelli,J. F.;Author,Addresses;Service de Pharmacologie Clinique, Hopital de,Bicetre Le;Kremlin-Bicetre,Cedex;Correspondence,Address;Service de Pharmacologie Clinique, Hopital de,Bicetre Le;Kremlin-Bicetre,Cedex</t>
  </si>
  <si>
    <t>2757887; Odorour urine in man after asparagus</t>
  </si>
  <si>
    <t>asparagus;pharmacogenetics;adult;female;France;heredity;human;human experiment;male;normal human;odor;oral drug administration;priority journal;urine;Clinical and Experimental Pharmacology (30)</t>
  </si>
  <si>
    <t>It has been recognized for many years that after eating asparagus, some humans produce odorous urine. One hundred and three French citizens (100 Caucasians, 2 Asians and 1 black) from three geographically distinct areas (Paris, n=36; Strasbourg, n=29; Toulouse, n=38) voluntered for the study. They were all members of the medical staffs of the Pharmacological Departments or students in medicine or pharmacy of the three universities. The subjects (age: 35.8 ‚î¨‚ñí 1.1 years (18-61), weight: 63.8 ‚î¨‚ñí 1.1 kg (42-93), 53 males, 66 non smokers) were not taking any drug, or asparagus or cabbage during the 2 days prior to the study and were not allowed to smoke or to drink coffee, tea or alcoholic beverages on the day of the experiment. After they had voided urine at 09.00 h, asparagus (five sticks, approximately 60 g) was administered to the fasting volunteers together with 250 ml of water. Urine was collected 1 and 3 h later and checked for the characteristic odour. All volunteers (100%) were found to produce odorous urnies. Thus no genetic polymorphism could be detected among the investigated French population and especially among the 100 Caucasian subjects.</t>
  </si>
  <si>
    <t>(Richer C.; Decker N.; Belin J.; Imbs J.L.; Montastruc J.L.; Giudicelli J.F.) Blackwell Publishing Ltd, 9600 Garsington Road, Oxford, United Kingdom.; ID: 1735</t>
  </si>
  <si>
    <t>http://www.ncbi.nlm.nih.gov/pubmed/2757887</t>
  </si>
  <si>
    <t>Odorour urine in man after asparagus</t>
  </si>
  <si>
    <t>Richmond,R. G.;Brackins,T.;Lyn,A.;Author,Addresses;Harding University,College of;Pharmacy,United States;Compass Psychiatric Unit, White County Medical,Center United;States;Correspondence,Address;RG Richmond, Harding University College of Pharmacy,United States</t>
  </si>
  <si>
    <t>Methadone toxicity: A case series and review of the literature with a focus on pharmacist liability and risk management</t>
  </si>
  <si>
    <t>(MAJOR FOCUS);methadone;alcohol;antidepressant agent;benzodiazepine derivative;cannabis;central depressant agent;opiate;recreational drug;case study;college;human;pharmacist;risk management;toxicity;blood level;central nervous system;chronic pain;death;decision making;drug interaction;drug intoxication;drug therapy;food and drug administration;intoxication;male;medical history;opiate addiction;patient;patient counseling;pharmacokinetics;prescription;publication;toxicology;workflow</t>
  </si>
  <si>
    <t>Type: Original Research. Background: Following approval by the FDA in 1947, methadone was primarily used to treat opiate addiction. However, since the 1990s methadone use has increased as a treatment for chronic pain. As methadone use has increased, so have methadone-related overdose deaths. The safe use of methadone for chronic pain requires familiarity with its unique pharmacokinetics and dosing recommendations. In spite of recent labeling changes, many methadone prescriptions are written and dispensed for inappropriate conditions and methadone is even a preferred drug on many formularies. We present here a series of deaths involving methadone in chronic pain patients, and discuss guidelines aimed at assisting pharmacists involved in managing methadone therapy.Methods: Methadone-related deaths were identified from a series of medical-legal cases and related forensic investigations over the period of 2002-11. Related to causation, decedent demographics, cause and manner of death, and toxicological data were retrieved. Related to pharmacist liability, issues related to drug regimen review as part of the prescription dispensing process were noted. Results: Seventeen cases were reviewed where individuals, who were predominantly male (77%) with a mean age of 37 years, died after taking methadone (20-320 mg/day). In 14 cases it was determined the deceased died due to mixed-drug intoxication including methadone, with five of those cases involving recreational drugs; the other three cases involved methadone as the single agent. Concomitant drugs most often found included: other opioids (71%), benzodiazepines (65%), prescription psychiatric medications (35%; antidepressants, antipsychotics), recreational drugs (29%; alcohol, cannabis), and other CNS depressants. Toxicology data was available in 12 cases with methadone blood levels averaging 0.56 mg/L (0.21 - 0.83 mg/L). Issues involving pharmacists' clinical judgment that were determined to have contributed to methadone intoxication include: incomplete patient history, illegitimate medical purpose, absence of opioid tolerance, drug interactions, incorrect dosage conversion/titration, and failure to provide patient counseling. Conclusions: The effects of methadone contributed to patient death in each case. While patient behaviors played a role, issues related to pharmacists' clinical judgment were also identified in each case. These findings underline the need for pharmacists to incorporate risk management practices into their workflow to improve methadone use.</t>
  </si>
  <si>
    <t>(Richmond R.G.; Brackins T.; Lyn A.) (Brackins T.) 16th Annual Meeting of the College of Psychiatric and Neurologic Pharmacists, CPNP 2013 Colorado Springs, CO, United States 2013-04-21 to 2013-04-24 SAGE Publications Inc.; ID: 1021</t>
  </si>
  <si>
    <t>Rinkus,M.;Gonyeau,A.;Author,Addresses;University,of Pittsburgh;Pharmacy,United States;Correspondence,Address;Rinkus, University of Pittsburgh School of Pharmacy United States,M.;Email,mrr pitt edu</t>
  </si>
  <si>
    <t>Implementing a telepharmacist service for behavioral health patients within an integrated care system</t>
  </si>
  <si>
    <t>e205</t>
  </si>
  <si>
    <t>health;human;patient;case manager;computer;cost control;drug therapy;family service;health care cost;institutional review;patient care;pharmacist;pharmacy;prospective study;school;statistics;student;tablet;technology;therapy;United States;university;videorecording</t>
  </si>
  <si>
    <t>Objective: The objectives of this study are to: (1) evaluate how to best implement a pharmacist-provided patient care service remotely using interactive audio-video technology for behavioral health patients; and (2) subsequently determine the impact of the program on patient drug therapy problems and health care costs. Methods: This observational, prospective study is being conducted with a partnership between the school of pharmacy and Family Services of Western Pennsylvania. Case managers who routinely evaluate behavioral health patients in their homes will serve as the liaisons to connect these patients to a pharmacist via interactive audio-visual technology deployed using tablet computers. The pharmacist will conduct a comprehensive medication therapy review and electronically document the patient's demographics, history, drug therapy problem assessment, and care plan. Student pharmacists will observe and document the interactions. Observational data will be collected using a structured tool and analyzed for consistent themes. Data on resolved therapy problems and potential cost-saving opportunities will be collected and reported using descriptive statistics. The study will be evaluated by the university's institutional review board.</t>
  </si>
  <si>
    <t>(Rinkus M., mrr40@pitt.edu; Gonyeau A.) APhA2014 Orlando, FL, United States 2014-03-28 to 2014-03-31 American Pharmacists Association; ID: 916</t>
  </si>
  <si>
    <t>Rivera,P. D.;Raghavan,R. K.;Yun,S.;Latchney,S. E.;McGovern,M. K.;Garcia,E. F.;Birnbaum,S. G.;Eisch,A. J.</t>
  </si>
  <si>
    <t>NIHMS656988 PMC4368452; Retrieval of morphine-associated context induces cFos in dentate gyrus neurons</t>
  </si>
  <si>
    <t>Hippocampus</t>
  </si>
  <si>
    <t>Analysis of Variance;Animals;Conditioning, Operant/de Drug Effects];Conditioning, Operant/ph Physiology];*Dentate Gyrus/cy Cytology];Gene Expression Regulation/de Drug Effects];Gene Expression Regulation/ph Physiology];*Mental Recall/de Drug Effects];Mice;*Morphine/ad Administration &amp; Dosage];*Narcotics/ad Administration &amp; Dosage];*Neurons/de Drug Effects];*Proto-Oncogene Proteins c-fos/me Metabolism];Time Factors;0 (Narcotics);0 (Proto-Oncogene Proteins c-fos);76I7G6D29C (Morphine)</t>
  </si>
  <si>
    <t>Addiction has been proposed to emerge from associations between the drug and the reward-associated contexts. This associative learning has a cellular correlate, as there are more cFos+ neurons in the hippocampal dentate gyrus (DG) after psychostimulant conditioned place preference (CPP) versus saline controls. However, it is unknown whether morphine CPP leads to a similar DG activation, or whether DG activation is due to locomotion, handling, pharmacological effects, or-as data from contextual fear learning suggests-exposure to the drug-associated context. To explore this, we employed an unbiased, counterbalanced, and shortened CPP design that led to place preference and more DG cFos+ cells. Next, mice underwent morphine CPP but were then sequestered into the morphine-paired (conditioned stimulus+ CS+]) or saline-paired (CS-) context on test day. Morphine-paired mice sequestered to CS+ had ~30% more DG cFos+ cells than saline-paired mice. Furthermore, Bregma analysis revealed morphine-paired mice had more cFos+ cells in CS+ compared to CS- controls. Notably, there was no significant difference in DG cFos+ cell number after handling alone or after receiving morphine in home cage. Thus, retrieval of morphine-associated context is accompanied by activation of hippocampal DG granule cell neurons.Copyright ‚î¨‚åê 2014 Wiley Periodicals, Inc.</t>
  </si>
  <si>
    <t>J2: Hippocampus; Rivera, Phillip D Raghavan, Ramya K Yun, Sanghee Latchney, Sarah E McGovern, Mary-Katherin Garcia, Emily F Birnbaum, Shari G Eisch, Amelia J DA007290 (United States NIDA NIH HHS) DA016765 (United States NIDA NIH HHS) DA023555 (United States NIDA NIH HHS) K02 DA023555 (United States NIDA NIH HHS) R01 DA016765 (United States NIDA NIH HHS) T32 DA007290 (United States NIDA NIH HHS); ID: 20</t>
  </si>
  <si>
    <t>1098-1063</t>
  </si>
  <si>
    <t>Rivera,Phillip D. Department of Psychiatry, UT Southwestern Medical Center, Dallas, Texas.</t>
  </si>
  <si>
    <t>http://ovidsp.ovid.com/ovidweb.cgi?T=JS&amp;CSC=Y&amp;NEWS=N&amp;PAGE=fulltext&amp;D=medl&amp;AN=25424867</t>
  </si>
  <si>
    <t>http://dx.doi.org/10.1002/hipo.22393</t>
  </si>
  <si>
    <t>MEDLINE; Ovid Technologies; Retrieval of morphine-associated context induces cFos in dentate gyrus neurons</t>
  </si>
  <si>
    <t>Rizvi,M. E.;Abbas,M.;Author,Addresses;Getz,Pharma Limited;Correspondence,Address;ME Rizvi, Getz Pharma Limited,Karachi Pakistan</t>
  </si>
  <si>
    <t>A survey on pharmacovigilance awareness amongst physicians in major cities of Pakistan</t>
  </si>
  <si>
    <t>Asia;city;drug surveillance program;human;Pakistan;physician;adverse drug reaction;cardiologist;community;data analysis software;economic aspect;exercise;gastroenterologist;health;health care;hospital;hospital admission;internist;morbidity;mortality;patient;prevention;public health;questionnaire;safety;surgeon;world health organization</t>
  </si>
  <si>
    <t>Introduction: WHO defines Pharmacovigilance as Œì√á¬£the science and activities relating to the detection, assessment, understanding and prevention of adverse effects or any possible drug-related problemsŒì√á¬£ 1]. Globally, adverse drug reactions (ADRs) are a major cause of morbidity and mortality 1] and rank among the top 10 leading causes of mortality in many countries 2]. Approximately, 6.5 % of hospital admissions are because of adverse drug reactions that can add exorbitant cost to healthcare expenses in fund strapped developing economies 3]. It is vital to evaluate and monitor safety of medicines in clinical use to prevent and reduce harm to patients thereby contributing to public health 4]. Aim: To assess the awareness of Pharmacovigilance amongst physicians practicing in various institutions, hospitals and clinics in major cities of Pakistan. Methods: A cross-sectional survey was conducted during Getz Pharma sponsored academic exercise in Karachi, Islamabad and Lahore from December 2013-April 2014. The participants were gastroenterologists, diabetologists, cardiologists, internists, surgeons, and others. A questionnaire was designed and surveyed amongst 242 doctors, the data was analyzed using SPSS v.20. Results: From 242 participating doctors, 212 (87.6 %) responded to all the survey questions. Out of these, 211 (99.53 %) appreciated Getz Pharma's initiative of Pharmacovigilance awareness program. Amongst the responders, 196 (92.45 %) were clear on the basic concept of Pharma-covigilance, 209 (98.58 %) were of the opinion that Pharmacovigilance program of Getz Pharma is beneficial in improving the health of our community and 196 (92.45 %) participants were interested to learn more about Pharmacovigilance. Conclusion: The results of the above survey suggest that majority of physicians have basic concept of Pharmacovigilance and consider such initiatives as beneficial to community's health. This survey can further be extended to other cities and regions in Pakistan to better understand the awareness of Physicians on Pharmacovigilance.</t>
  </si>
  <si>
    <t>(Rizvi M.E.; Abbas M.) (Pvt) 14th ISoP Annual Meeting "New Ideas in Ancient Cultures: Advancing Pharmacovigilance in Asia" Tianjin, China 2014-10-19 to 2014-10-22 Springer International Publishing; ID: 889</t>
  </si>
  <si>
    <t>Roberts,D. K.;Author,Addresses;Royal College of,General Practitioner;Unit,United Kingdom;Correspondence,Address;DK Roberts, Royal College of General Practitioner's Substance,Misuse Unit;United,Kingdom</t>
  </si>
  <si>
    <t>Clarification regarding certificate course 9]</t>
  </si>
  <si>
    <t>opiate;certification;drug misuse;education program;pharmacy;curriculum;human;letter;medical school;patient care;pharmacist;postgraduate education;practice guideline;opiate (53663-61-9, 8002-76-4, 8008-60-4);Public Health, Social Medicine and Epidemiology (17)</t>
  </si>
  <si>
    <t>(Roberts D.K.); ID: 1527</t>
  </si>
  <si>
    <t>Clarification regarding certificate course [9]</t>
  </si>
  <si>
    <t>Roberts,K.;McNulty,H.;Gruer,L.;Scott,R.;Bryson,S.</t>
  </si>
  <si>
    <t>The role of Glasgow pharmacists in the management of drug misuse</t>
  </si>
  <si>
    <t>194 8p</t>
  </si>
  <si>
    <t>Pharmacists -- Scotland;Methadone -- Administration and Dosage;Substance Abuse -- Scotland;Needle Exchange Programs -- Scotland;Professional Role;Scotland</t>
  </si>
  <si>
    <t>This paper outlines the evolution of the role played by pharmacists in Greater Glasgow, initially in sales of needles and syringes and then as free exchanges, but more recently in supervising the administration of methadone, monitoring health and giving feedback on the extent of the problem of unsupervised methadone. The introduction in 1994 of supervised self-administration of methadone by community pharmacists promoted full patient compliance with the methadone regimen and reduced seepage of the drug to the illicit market. Methadone clients in Glasgow are thereby ensured daily contact with a health professional who can provide informed advice on a wide range of relevant health related topics. Of the 213 Boards, 145 pharmacies are now supervising the consumption of methadone on their premises, 11 are providing free needle and syringe exchange and a further 27 sell injecting equipment. The total number of methadone doses issued is around 40000 per month and, of these, supervised doses account for around 30000 per month. Pharmacy needle exchanges account for the free supply of around 4000 needles and syringes per month together with sales of a further 8600 from community pharmacies. The Glasgow model has been commended by the English Department of Health, the Scottish Office and the Royal Pharmaceutical Society of Great Britain and is now being reproduced throughout the United Kingdom. This paper includes advice on factors to be considered when establishing a similar service elsewhere. Educational opportunities for pharmacists are described along with professional support mechanisms. (c) 1998 Elsevier Science B.V. All rights reserved.</t>
  </si>
  <si>
    <t>Entry Date: 19990501. Revision Date: 20150711. Publication Type: Journal Article. Journal Subset: Biomedical; Europe; Peer Reviewed; UK &amp; Ireland. NLM UID: 9014759.; ID: 2053</t>
  </si>
  <si>
    <t>Greater Glasgow Community and Mental Health Services NHS Trust, Department of Public Health, Dalian House, PO Box 15327, 350 St. Vincent St., Glasgow G38YU, UK</t>
  </si>
  <si>
    <t>http://proxy.lib.umich.edu/login?url=http://search.ebscohost.com/login.aspx?direct=true&amp;db=ccm&amp;AN=107182815&amp;site=ehost-live&amp;scope=site</t>
  </si>
  <si>
    <t>ccm; EBSCOhost; The role of Glasgow pharmacists in the management of drug misuse</t>
  </si>
  <si>
    <t>Robertson,K. E.</t>
  </si>
  <si>
    <t>Process for preventing or identifying and resolving problems in drug therapy</t>
  </si>
  <si>
    <t>Clinical Clerkship;Drug Therapy/ec Economics];*Drug Therapy/st Standards];Hospitals, Community;Humans;Indiana;Pharmacists;*Pharmacy Service, Hospital/st Standards];*Problem Solving;*Process Assessment (Health Care);Quality Assurance, Health Care;Research Design;Staff Development</t>
  </si>
  <si>
    <t>A consistent process for preventing or identifying and resolving problems related to drug therapy is described. The process was originally developed to help pharmacy students focus on drug therapy issues during their clinical clerkship rotations. The first version of this approach to quality improvement consisted of lists of questions designed to prompt the student to prevent or identify and correct drug therapy problems. Because the learning style of some students is more visual, the questions were incorporated into flow charts. Students at a community hospital used the flow charts during their rotations through the critical care, medical-surgical, and psychiatric units, and the process appeared to result in improvements in the quality of care and in savings in the cost of care. As a result, a staff development and training project was begun to determine if staff pharmacists who use this process to evaluate drug therapy will begin to provide pharmaceutical care. This sort of transitional model of pharmaceutical care may expedite global implementation of the new practice philosophy. Flow charts encouraging a uniform approach to the prevention or identification and correction of drug therapy problems were developed for use by pharmacy students and generalist pharmacists.</t>
  </si>
  <si>
    <t>J2: Am J Health-Syst Pharm; Robertson, K E; ID: 618</t>
  </si>
  <si>
    <t>Robertson,K E. Ribordy Center for Community Pharmacy Practice, College of Pharmacy and Health Sciences, Butler University, Indianapolis, IN 46208, USA. robertson@butler.edu</t>
  </si>
  <si>
    <t>http://ovidsp.ovid.com/ovidweb.cgi?T=JS&amp;CSC=Y&amp;NEWS=N&amp;PAGE=fulltext&amp;D=med4&amp;AN=8800969</t>
  </si>
  <si>
    <t>MEDLINE; Ovid Technologies; Process for preventing or identifying and resolving problems in drug therapy</t>
  </si>
  <si>
    <t>Robertson,K. E.;Hultgren,S. J.;Rhodes,R. H.</t>
  </si>
  <si>
    <t>Staff development program for identifying and resolving drug therapy problems</t>
  </si>
  <si>
    <t>Clinical Competence;*Drug Therapy/st Standards];Education, Pharmacy, Continuing;Hospital Bed Capacity, 100 to 299;Indiana;Mentors;Pharmacists;*Pharmacy Service, Hospital/ma Manpower];*Staff Development</t>
  </si>
  <si>
    <t>J2: Am J Health-Syst Pharm; Robertson, K E Hultgren, S J Rhodes, R H; ID: 614</t>
  </si>
  <si>
    <t>Robertson,K E. Ribordy Center for Community Pharmacy Practice, College of Pharmacy and Health Sciences, Butler University (BU), Indianapolis, USA.</t>
  </si>
  <si>
    <t>http://ovidsp.ovid.com/ovidweb.cgi?T=JS&amp;CSC=Y&amp;NEWS=N&amp;PAGE=fulltext&amp;D=med4&amp;AN=8879329</t>
  </si>
  <si>
    <t>MEDLINE; Ovid Technologies; Staff development program for identifying and resolving drug therapy problems</t>
  </si>
  <si>
    <t>Rodowskas,C. A., J.;Lemon,S. F.;Skau,K. A.;Heimlich,W. G.</t>
  </si>
  <si>
    <t>Planning and implementation of an effective drug abuse education program</t>
  </si>
  <si>
    <t>5 passim</t>
  </si>
  <si>
    <t>Education, Pharmacy;*Health Education;Humans;Pharmacists;*Substance-Related Disorders</t>
  </si>
  <si>
    <t>J2: J Am Pharm Assoc; Rodowskas, C A Jr Lemon, S F Skau, K A Heimlich, W G; ID: 745</t>
  </si>
  <si>
    <t>http://ovidsp.ovid.com/ovidweb.cgi?T=JS&amp;CSC=Y&amp;NEWS=N&amp;PAGE=fulltext&amp;D=med1&amp;AN=5528356</t>
  </si>
  <si>
    <t>MEDLINE; Ovid Technologies; Planning and implementation of an effective drug abuse education program</t>
  </si>
  <si>
    <t>Rolland,B.;Paille,F.;Fleury,B.;Cottencin,O.;Benyamina,A.;Aubin,H. J.</t>
  </si>
  <si>
    <t>PMC4041643; Off-label baclofen prescribing practices among French alcohol specialists: results of a national online survey</t>
  </si>
  <si>
    <t>e98062</t>
  </si>
  <si>
    <t>*Alcoholism/dt Drug Therapy];Alcoholism/ep Epidemiology];Baclofen/ad Administration &amp; Dosage];*Baclofen/tu Therapeutic Use];*Data Collection;Dose-Response Relationship, Drug;*Drug Prescriptions/sn Statistics &amp; Numerical Data];France/ep Epidemiology];Humans;*Internet;*Off-Label Use/sn Statistics &amp; Numerical Data];*Practice Patterns, Physicians'/sn Statistics &amp; Numerical Data];Surveys and Questionnaires;H789N3FKE8 (Baclofen)</t>
  </si>
  <si>
    <t>OBJECTIVE: To evaluate, among alcohol specialists belonging to the Societe Francaise d'Alcoologie (SFA), i.e., the French Alcohol Society, the proportion of physicians who prescribed off-label baclofen for alcohol use disorders (AUDs). The secondary objective was to depict the features of individual prescribing and monitoring practices. METHODS: On-line survey among 484 French alcohol specialists. Physicians were asked whether they prescribed baclofen for AUDs. If they did not, the reasons for this choice were investigated. If they did, the features of the physician's prescribing practice were explored, including the number of patients treated, the mean and maximum doses, the monitoring precautions and the pharmacovigilance reporting. Participants were also asked about their empirical findings on HDB's efficacy and safety. RESULTS: In total, 302 physicians (response rate of 62.4%) participated in the survey. Data from 296 participants were analysed, representing 59.4% of all active prescribing physicians belonging to the SFA. HDB use was declared by 74.6% of participants (mean dose 109.5 +/- 43.6 mg/d; maximum dose 188 +/- 93.3 mg/d). However, 79.2% of prescribers had treated less than 30 patients, and 67.8% used HDB as a second-line medication. Although HDB was perceived as more efficacious than approved drugs by 54.3% of prescribers, it was also declared less safe by 62.8%. Nonetheless, 79.7% of prescribers had never filed any pharmacovigilance report. Non-prescribers (25.6%) were primarily deterred by the current lack of scientific data and official regulation. CONCLUSION: A majority of French alcohol specialists reported using HDB, although often on a limited number of their patients. HDB was considered efficacious but also potentially hazardous. Despite this, physicians reported minimal safety data to the health security system. While French health authorities are planning to draft a specific regulatory measure for framing off-label HDB prescribing practices, the sustained education of prescribers on spontaneous pharmacovigilance reporting should be enhanced.</t>
  </si>
  <si>
    <t>J2: PLoS ONE; Rolland, Benjamin Paille, Francois Fleury, Benoit Cottencin, Olivier Benyamina, Amine Aubin, Henri-Jean; ID: 56</t>
  </si>
  <si>
    <t>Rolland,Benjamin. Societe Francaise d'Alcoologie, Issy-les-Moulineaux, France; Service d'Addictologie, CHU Lille, Univ Lille Nord de France, Lille, France. Paille,Francois. Societe Francaise d'Alcoologie, Issy-les-Moulineaux, France; Service d'Addictologie, CHU Nancy, Universite, Univ Nancy, Nancy, France. Fleury,Benoit. Societe Francaise d'Alcoologie, Issy-les-Moulineaux, France; Service d'Hepatogastroenterologie et d'Alcoologie, CHU Bordeaux, Bordeaux, France. Cottencin,Olivier. Societe Francaise d'Alcoologie, Issy-les-Moulineaux, France; Service d'Addictologie, CHU Lille, Univ Lille Nord de France, Lille, France. Benyamina,Amine. Societe Francaise d'Alcoologie, Issy-les-Moulineaux, France; CERTA L'Albatros, Hopital Paul Brousse, AP-HP, INSERM U 669, Villejuif, France. Aubin,Henri-Jean. Societe Francaise d'Alcoologie, Issy-les-Moulineaux, France; CERTA L'Albatros, Hopital Paul Brousse, AP-HP, INSERM U 669, Villejuif, France.</t>
  </si>
  <si>
    <t>http://ovidsp.ovid.com/ovidweb.cgi?T=JS&amp;CSC=Y&amp;NEWS=N&amp;PAGE=fulltext&amp;D=medl&amp;AN=24887094</t>
  </si>
  <si>
    <t>http://dx.doi.org/10.1371/journal.pone.0098062</t>
  </si>
  <si>
    <t>MEDLINE; Ovid Technologies; Off-label baclofen prescribing practices among French alcohol specialists: results of a national online survey</t>
  </si>
  <si>
    <t>Romanelli,F.;Smith,K. M.;Pomeroy,C.</t>
  </si>
  <si>
    <t>Reducing the transmission of HIV-1: needle bleaching as a means of disinfection</t>
  </si>
  <si>
    <t>*Acquired Immunodeficiency Syndrome/pc Prevention &amp; Control];Acquired Immunodeficiency Syndrome/tm Transmission];*Disinfection;HIV Seroprevalence;*HIV-1/de Drug Effects];Humans;*Needles;Pharmacists;*Sodium Hypochlorite/pd Pharmacology];*Substance Abuse, Intravenous/co Complications];DY38VHM5OD (Sodium Hypochlorite)</t>
  </si>
  <si>
    <t>OBJECTIVE: To review the efficacy, safety, and proper methods for use of bleach (sodium hypochlorite) as a means of needle disinfection. DATA SOURCES: Controlled studies cited in MEDLINE between 1966 and 1999 using indexing terms: needle, bleach, HIV/AIDS, and disinfection. STUDY SELECTION AND DATA EXTRACTION: Studies were categorized based on experimental conditions produced and specific testing procedures used. DATA SYNTHESIS: Used properly, undiluted bleach (sodium hypochlorite 5.25%) appears to be an effective disinfection solution for used needles. Proper needle disinfection with undiluted bleach may reduce the risk of HIV transmission among injection drug users from needle sharing. CONCLUSION: Pharmacists can play a role in reducing HIV transmission among injection drug users by advocating cessation of drug use, drug treatment programs, and avoidance of needle sharing. Pharmacists should be prepared to educate patients who are unwilling to cease illicit drug use or participate in drug treatment programs on the proper methods of bleach disinfection of used needles. References: 46]</t>
  </si>
  <si>
    <t>J2: J Am Pharm Assoc (Wash); Romanelli, F Smith, K M Pomeroy, C; ID: 548</t>
  </si>
  <si>
    <t>Romanelli,F. College of Pharmacy, University of Kentucky, Lexington 40536-0293, USA. froma2@pop.uky.edu</t>
  </si>
  <si>
    <t>http://ovidsp.ovid.com/ovidweb.cgi?T=JS&amp;CSC=Y&amp;NEWS=N&amp;PAGE=fulltext&amp;D=med4&amp;AN=11111361</t>
  </si>
  <si>
    <t>MEDLINE; Ovid Technologies; Reducing the transmission of HIV-1: needle bleaching as a means of disinfection</t>
  </si>
  <si>
    <t>Romic,M.;Author,Addresses;National Blood,Transfusiona Institute;Correspondence,Address;Romic, National Blood Transfusiona Institute Beograd Serbia,M.</t>
  </si>
  <si>
    <t>Two vigilance approaches</t>
  </si>
  <si>
    <t>Vox sanguinis</t>
  </si>
  <si>
    <t>Vox Sang.</t>
  </si>
  <si>
    <t>105 SUPPL.1</t>
  </si>
  <si>
    <t>alertness;blood transfusion;society;blood safety;case study;clinical pharmacology;consumer;drug industry;drug surveillance program;France;health care organization;human;Human immunodeficiency virus;Italy;monitoring;patient;public health;publication;risk management;scientist;world health organization</t>
  </si>
  <si>
    <t>Background: At this moment there are several types of vigilance: pharamaco-, haemo-, bio-, materio-, reacto-, addicto-... The importance of pharmacovigilance was first introduced at the meeting in Sicily in 1997, where many professionals, researchers, academics, media writers, representatives of the pharmaceutical industry, drug regulators, patients, consumers, and international health organizations, discussed the topic and emphasized its relevance. All the stakeholders presented their point of view, which resulted with the announcement of THE ERICE DECLARATION. Next, The Uppsala Monitoring Centre (UPC): the Clinical pharmacology Unit started educating professionals about the approaches, methods and news in the field of pharmacovigilance. In addition, UPC printed booklet with necessary information, and distributed it worldwide. Likewise, WHO NEWS from Geneva sends newsletter on a monthly basis. At the same time, problems with HIV transmission in France raised a concern and initiated a different type of system of activities: haemovigilance. Being the new field of research, there is no continuous source of information devoted to the topic of haemovigilance. Data are being collected by INC (International Haemovigilance Network). Pharmacovigilance and haemovigilance are different types of practice, however they share much in common in terms of collection and verification of data, as well as the permanent patient supervision. Aim: This case study indicates similarities and differences in the working method and information gathering between pharmacovigilance and haemovigilance. Results: From 1997 onwards,EMEA published many guidelines , risk management plans and Good Pharmacovigilance Practice( GVP), together with the other important data for pharmacovigilance. In the field of haemovigilance, similar documents are not published yet. Summary: It is of an utmost importance to continue with further research in this field, consistent data gathering, valuation, networking and distribution. Furthermore, the comparative analysis of haemovigilance and pharmacovigilance is necessary in order to gain further knowledge in these fields.</t>
  </si>
  <si>
    <t>(Romic M.) 23rd Regional Congress of the International Society of Blood Transfusion Amsterdam, Netherlands 2013-06-02 to 2013-06-05 Blackwell Publishing Ltd; ID: 1043</t>
  </si>
  <si>
    <t>0042-9007</t>
  </si>
  <si>
    <t>Rose,V. J.;Lutnick,A.;Kral,A. H.</t>
  </si>
  <si>
    <t>NIHMS593800 PMC4112371; Feasibility of providing interventions for injection drug users in pharmacy settings: a case study among San Francisco pharmacists</t>
  </si>
  <si>
    <t>*Attitude of Health Personnel;*Community Pharmacy Services;Directly Observed Therapy;*Drug Users/px Psychology];Feasibility Studies;Harm Reduction;*Health Knowledge, Attitudes, Practice;Humans;Interviews as Topic;Narcotic Antagonists/sd Supply &amp; Distribution];Opiate Substitution Treatment;Patient Education as Topic;*Pharmacists/px Psychology];Preventive Health Services/mt Methods];*Preventive Health Services;*Professional Role;Qualitative Research;Risk Factors;San Francisco;Substance Abuse, Intravenous/co Complications];Substance Abuse, Intravenous/di Diagnosis];Substance Abuse, Intravenous/px Psychology];*Substance Abuse, Intravenous/rh Rehabilitation];Syringes/sd Supply &amp; Distribution];0 (Narcotic Antagonists)</t>
  </si>
  <si>
    <t>In addition to syringe exchange programs, pharmacies are important venues where injection drug users (IDUs) can access non-prescription syringes and other prevention interventions. This study assessed the feasibility of providing a range of interventions for IDUs in pharmacy settings. Semi-structured qualitative interviews were conducted with 23 participants (policy makers, owner/managers, dispensing pharmacists, and pharmacy staff) from independent and chain/retail pharmacies in San Francisco, California, USA. The highest level of support was for a coupon syringe program and educational materials. Several overarching themes illustrate challenges to implementing pharmacy-based preventive interventions: time, space, sufficient staff, pharmacist training, legal considerations, pharmacist attitudes toward IDUs, and cost and reimbursement issues. This study provides concrete examples of the types of preventive services that pharmacists support and consider feasible, and illustrates that pharmacists welcome the opportunity to broaden their role as critical partners in public health matters related to injection drug use.</t>
  </si>
  <si>
    <t>J2: J Psychoactive Drugs; Rose, Valerie J Lutnick, Alexandra Kral, Alex H R21 DA024966 (United States NIDA NIH HHS) R21DA024966 (United States NIDA NIH HHS); ID: 78</t>
  </si>
  <si>
    <t>Rose,Valerie J. a Director of Policy and Evaluation Research, Rose Associates , Public and Community Health Consulting , Oakland , CA.</t>
  </si>
  <si>
    <t>http://ovidsp.ovid.com/ovidweb.cgi?T=JS&amp;CSC=Y&amp;NEWS=N&amp;PAGE=fulltext&amp;D=medl&amp;AN=25052881</t>
  </si>
  <si>
    <t>http://dx.doi.org/10.1080/02791072.2014.921745</t>
  </si>
  <si>
    <t>MEDLINE; Ovid Technologies; Feasibility of providing interventions for injection drug users in pharmacy settings: a case study among San Francisco pharmacists</t>
  </si>
  <si>
    <t>Rose,V. J.;Raymond,H. F.</t>
  </si>
  <si>
    <t>Evaluation of nonprescription syringe sales in San Francisco</t>
  </si>
  <si>
    <t>Attitude of Health Personnel;Commerce;Data Collection;Female;HIV Infections/pc Prevention &amp; Control];Humans;Male;Needles/ec Economics];*Needles;Nonprescription Drugs;Patient Education as Topic;*Pharmacies;*Pharmacists;San Francisco;*Substance Abuse, Intravenous;Syringes;Time Management;0 (Nonprescription Drugs)</t>
  </si>
  <si>
    <t>OBJECTIVE: To determine the experiences, practices, and challenges associated with nonprescription syringe sales (NPSS) among pharmacists whose pharmacies were enrolled in the Disease Prevention Demonstration Project in San Francisco, CA. METHODS: Self-administered survey mailed to 69 pharmacies and interviews with pharmacists and technicians. RESULTS: A total of 55 of 69 pharmacies (80%) returned the survey, and eight pharmacy managers and three pharmacy technicians were interviewed in person. Of pharmacists, 72% reported none or very few problems with NPSS in the previous year, although surveys and interviews illustrated challenges associated with NPSS in terms of time management, educating patients about syringe disposal, and understanding patient preferences for syringes. Of pharmacists, 62% reported NPSS to no more than 10 to 20 patients per week and 67% collected more than 400 syringes in the previous year. One-third of pharmacists perceived that their pharmacies were located in areas where drug activity was high and that the majority of NPSS patients injected illegal drugs. CONCLUSION: Access to sterile syringes is a prominent public health issue, and pharmacists can play an important role in injection drug user (IDU) education and disease prevention. This evaluation suggests that pharmacies are selling nonprescription syringes to individuals perceived to be IDUs with no major problems. Additional evaluations from health department programs are needed to demonstrate the efficacy of NPSS in California.</t>
  </si>
  <si>
    <t>J2: J Am Pharm Assoc (2003); Rose, Valerie J Raymond, H Fisher; ID: 272</t>
  </si>
  <si>
    <t>Rose,Valerie J. Rose Associates Public and Community Health Consulting, Oakland, CA 94602, USA. vjkrose@gmail.com</t>
  </si>
  <si>
    <t>http://ovidsp.ovid.com/ovidweb.cgi?T=JS&amp;CSC=Y&amp;NEWS=N&amp;PAGE=fulltext&amp;D=med5&amp;AN=20833617</t>
  </si>
  <si>
    <t>http://dx.doi.org/10.1331/JAPhA.2010.09033</t>
  </si>
  <si>
    <t>MEDLINE; Ovid Technologies; Evaluation of nonprescription syringe sales in San Francisco</t>
  </si>
  <si>
    <t>Rosenberg,A.;Sorensen,T.;Westberg,S.;Sorge,L.;Author,Addresses;University of Minnesota, College,of Pharmacy;Minneapolis,United States;Pharmaceutical,Care;Health Systems,University;of Minnesota, College of Pharmacy Minneapolis,United States;Correspondence,Address;Rosenberg, University of Minnesota College of Pharmacy Minneapolis,A.;United,States</t>
  </si>
  <si>
    <t>Improving transitions of care through comprehensive medication management</t>
  </si>
  <si>
    <t>e255</t>
  </si>
  <si>
    <t>American;clinical pharmacy;college;medication therapy management;ambulatory care;diagnosis;drug therapy;emergency care;health care;hospital admission;hospital discharge;hospital patient;hospital readmission;hospitalization;human;information processing;learning;model;patient;pharmacy;United States</t>
  </si>
  <si>
    <t>PURPOSE: This project Os purpose is to improve the medicationrelated issues during transitions of care for patients post-hospitalization and reduce readmissions by: (i) applying the IHI Model for Improvement to engage patients in comprehensive medication management (CMM) services in the ambulatory care setting within 7 days post-hospital discharge, (ii) evaluating drug therapy problems (DTPs) identified post-discharge, and (iii) collaborating with inpatient teams to facilitate improvements in the discharge process. METHODS: Ambulatory care pharmacy residents are leading performance improvement work in 5 Minnesota health systems. Residents were oriented to the Model for Improvement via an introductory learning session and supported with monthly progress calls. Using this model, residents develop ‚îú√¥Plan-Do-Study- Act‚îú√¥ (PDSA) cycles to test changes to achieve CMM visits within 7 days post-hospital discharge. A standardized set of deidentified data (eg, the number, type, and severity of DTPs identified and their associated diagnoses) are collected for each CMM visit using a secure, web-based REDCap survey. PDSA cycles are submitted monthly to identify best practices to achieve the aim statement. DTP data will be analyzed for insight and trends that may support discharge planning improvements in the acute care setting. RESULTS: At midpoint of the study period, data from 165 posthospital discharge CMM visits have been reported; 64 encounters occurred within 7 days post-discharge. Twenty DTPs were directly related to the patient Os reason for hospital admission and 137 DTPs were deemed to have a potential for moderate to severe harm if no intervention occurred. Residents developed 45 PDSA cycles to test process changes. Primary data collection will be complete by 10/1/2014. CONCLUSIONS: Identifying DTPs related to reason for admission within the first week post-discharge could prevent harm and readmissions. This project demonstrates how performance improvement methods can be used to design site-specific strategies to reach patients post-discharge for CMM visits.</t>
  </si>
  <si>
    <t>(Rosenberg A.; Westberg S.) (Sorensen T.; Sorge L.) 2014 Annual Meeting of the American College of Clinical Pharmacy, ACCP 2014 Austin, TX, United States 2014-10-12 to 2014-10-15 Pharmacotherapy Publications Inc.; ID: 887</t>
  </si>
  <si>
    <t>Rosenthal,R. N.;Author,Addresses;Columbia,University College;Physicians;Surgeons,St Luke's Roosevelt Hospital Center New York N.Y.;United,States;Columbia,University College;Physicians;Surgeons,St Luke's Roosevelt Hospital Center;Amsterdam Avenue, New York,N.Y.United States;Correspondence,Address;RN Rosenthal, Columbia University College,of Physicians;Surgeons,St;Luke's Roosevelt Hospital Center, Amsterdam Avenue New,York N.;United States Email, rrosenthal,chpnet org</t>
  </si>
  <si>
    <t>Current and future drug therapies for alcohol dependence</t>
  </si>
  <si>
    <t>Journal of clinical psychopharmacology</t>
  </si>
  <si>
    <t>J.Clin.Psychopharmacol.</t>
  </si>
  <si>
    <t>S20</t>
  </si>
  <si>
    <t>S29</t>
  </si>
  <si>
    <t>acamprosate (clinical trial, drug combination, drug therapy, oral drug;administration);amisulpride (drug therapy);anticonvulsive agent (drug therapy);disulfiram (adverse drug reaction, clinical trial, drug therapy, oral drug;fluoxetine (drug therapy);haloperidol (drug therapy);naltrexone (clinical trial, drug combination, drug therapy, intramuscular;drug administration, oral drug administration);naltrexone;neuroleptic agent (drug therapy);olanzapine (clinical trial, drug therapy);ondansetron (adverse drug reaction, clinical trial, drug therapy);serotonin uptake inhibitor (drug therapy);sertraline (drug therapy);topiramate (clinical trial, drug therapy);alcoholism (drug therapy, therapy);alcohol abstinence;alcohol consumption;anxiety;asthenia (side effect);behavior therapy;cholestatic hepatitis;clinical trial;cognitive therapy;conference paper;constipation (side effect);decreased appetite (side effect);diaphoresis;diarrhea (side effect);dizziness (side effect);fatigue (side effect);flatulence (side effect);flushing;gastrointestinal symptom (side effect);headache (side effect);hepatitis (side effect);human;injection site pain (side effect);insomnia (side effect);liver toxicity (side effect);memory disorder (side effect);nausea (side effect);nervousness;neuritis (side effect);optic neuritis (side effect);paresthesia (side effect);priority journal;pruritus (side effect);psychomotor retardation (side effect);psychosis (side effect);psychosocial care;rash (side effect);relapse;side effect (side effect);tachycardia (side effect);upper respiratory tract infection (side effect);vomiting (side effect);weight reduction;DRUG TRADE NAMES;antabuse;campral;revia;vivitrol;acamprosate (77337-73-6);amisulpride (71675-85-9);disulfiram (97-77-8);fluoxetine (54910-89-3, 56296-78-7, 59333-67-4);haloperidol (52-86-8);naltrexone (16590-41-3, 16676-29-2);olanzapine (132539-06-1);ondansetron (103639-04-9, 116002-70-1, 99614-01-4);sertraline (79617-96-2);topiramate (97240-79-4);Psychiatry (32);Drug Literature Index (37);Adverse Reactions Titles (38);Drug Dependence, Alcohol Abuse and Alcoholism (40)</t>
  </si>
  <si>
    <t>Managing the treatment of alcohol dependence is challenging due to the chronic, relapsing nature of the disease and the need for education about available pharmacotherapies. An increased understanding of the neurochemistry underlying alcohol dependence and improved clinical trial methodology has led to the development and use of medications in conjunction with psychosocial therapy for this disorder. Psychosocial interventions have been widely used as a method to support abstinence and reduce drinking behaviors; however, psychosocial support without pharmacological treatment has had limited success, with nearly half the patients relapsing within the first year. Currently, 3 US Food and Drug Administration-approved drugs are available for the treatment of alcohol dependence-disulfiram, naltrexone (oral and injectable), and acamprosate. Each drug is effective in reducing drinking via different biological mechanisms. Acamprosate and naltrexone demonstrate promise in the successful management of chronic alcohol use. Meta-analyses of clinical trials show that acamprosate may be best for achieving outcomes such as maintaining complete abstinence, whereas oral naltrexone is best for decreasing the number of heavy drinking days. A long-acting injectable form of naltrexone demonstrated a reduced event rate of heavy drinking, consistent with oral naltrexone data. Although inconsistent in clinical efficacy outcomes, selective serotonin reuptake inhibitors may be beneficial in certain subsets of alcoholics. Other drugs currently being investigated for the treatment of alcohol dependence are serotonin type 3 antagonists, anticonvulsants, and atypical antipsychotics. ‚î¨‚åê 2006 Lippincott Williams &amp; Wilkins, Inc.</t>
  </si>
  <si>
    <t>(Rosenthal R.N., rrosenthal@chpnet.org); ID: 1507</t>
  </si>
  <si>
    <t>0271-0749</t>
  </si>
  <si>
    <t>2006567846 FULL TEXT LINK http://dx.doi.org/10.1097/01.jcp.000246223.94119.cd</t>
  </si>
  <si>
    <t>Roskos,L. K.;Boudinot,F. D.</t>
  </si>
  <si>
    <t>Effects of dose and sex on the pharmacokinetics of piroxicam in the rat</t>
  </si>
  <si>
    <t>Biopharmaceutics &amp; drug disposition</t>
  </si>
  <si>
    <t>Biopharm.Drug Dispos.</t>
  </si>
  <si>
    <t>Animals;Chromatography, High Pressure Liquid;Dose-Response Relationship, Drug;Female;Injections, Intravenous;Male;Piroxicam/ad Administration &amp; Dosage];Piroxicam/bl Blood];*Piroxicam/pk Pharmacokinetics];Protein Binding;Rats;Rats, Inbred Strains;Sex Factors;13T4O6VMAM (Piroxicam)</t>
  </si>
  <si>
    <t>The effects of dose and sex on the pharmacokinetics of piroxicam were studied in the rat. Piroxicam was administered intravenously at doses of 0.50 and 5.0 mg kg-1 to male and female rats. Plasma drug concentrations were determined by a highly sensitive high-performance liquid chromatographic technique. Non-compartmental pharmacokinetic parameters were calculated by area/moment analysis. A prolonged terminal half-life averaging 13.3 h in male rats and 40.8 h in female rats was observed. Dose had no effect on the disposition of piroxicam. The sex of the rat, however, had a marked effect on piroxicam pharmacokinetics, with mean total clearance differing three-fold from 0.0184 l h-1 kg-1 in male rats to 0.00622 l h-1 kg-1 in female rats. The free fraction of piroxicam in serum was greater in male rats than in female rats owing to a higher association constant for piroxicam binding to female rat serum proteins. Free piroxicam clearance differed approximately two-fold with mean values of 0.764 l h-1 kg-1 and 0.418 l h-1 kg-1 in male and female rats, respectively. Thus, protein binding partially explained the sex-dependent disposition of piroxicam. However, sex-dependent metabolism of the drug also appears to be a major determinant of sex-related differences in piroxicam pharmacokinetics. Steady-state volume of distribution was unaffected by sex. Half-life and mean residence time were three-fold greater in female rats owing to the three-fold lower clearance value compared to male rats.</t>
  </si>
  <si>
    <t>J2: Biopharm Drug Dispos; Roskos, L K Boudinot, F D; ID: 679</t>
  </si>
  <si>
    <t>0142-2782</t>
  </si>
  <si>
    <t>Roskos,L K. Department of Pharmaceutics, College of Pharmacy, University of Georgia, Athens 30602.</t>
  </si>
  <si>
    <t>http://ovidsp.ovid.com/ovidweb.cgi?T=JS&amp;CSC=Y&amp;NEWS=N&amp;PAGE=fulltext&amp;D=med3&amp;AN=2328308</t>
  </si>
  <si>
    <t>MEDLINE; Ovid Technologies; Effects of dose and sex on the pharmacokinetics of piroxicam in the rat</t>
  </si>
  <si>
    <t>Ross,L. A.;Bloodworth,L. S.</t>
  </si>
  <si>
    <t>Patient-centered health care using pharmacist-delivered medication therapy management in rural Mississippi</t>
  </si>
  <si>
    <t>Aged;Female;Health Care Costs;Humans;Male;Medication Therapy Management/ec Economics];*Medication Therapy Management/og Organization &amp; Administration];Middle Aged;Mississippi;Patient-Centered Care/ec Economics];*Patient-Centered Care/og Organization &amp; Administration];Pharmaceutical Services/ec Economics];*Pharmaceutical Services/og Organization &amp; Administration];Rural Health Services/ec Economics];*Rural Health Services/og Organization &amp; Administration]</t>
  </si>
  <si>
    <t>OBJECTIVE: To describe and provide preliminary clinical and economic outcomes from a pharmacist-delivered patient-centered health care (PCHC) model implemented in the Mississippi Delta. SETTING: Mississippi between July 2008 and June 2010. PRACTICE DESCRIPTION: 13 community pharmacies in nine Mississippi Delta counties. PRACTICE INNOVATION: This PCHC model implements a comprehensive medication therapy management (MTM) program with pharmacist training, individualized patient encounters and group education, provider outreach, integration of pharmacists into health information technology, and on-site support in community pharmacies in a medically underserved region with a large burden of chronic disease and health disparities. The program also expands on traditional MTM services through initiatives in health literacy/cultural competency and efforts to increase the provider network and improve access to care. MAIN OUTCOME MEASURES: Criteria-based clinical outcomes, quality indicator reports, cost avoidance. RESULTS: PCHC services have been implemented in 13 pharmacies in nine counties in this underserved region, and 78 pharmacists and 177 students have completed the American Pharmacists Association's MTM Certificate Training Program. Preliminary data from 468 patients showed 681 encounters in which 1,471 drug therapy problems were identified and resolved. Preliminary data for clinical indicators and economic outcome measures are trending in a positive direction. CONCLUSION: Preliminary data analyses suggest that pharmacist-provided PCHC is beneficial and has the potential to be replicated in similar rural communities that are plagued with chronic disease and traditional primary care provider shortages. This effort aligns with national priorities to reduce medication errors, improve health outcomes, and reduce health care costs in underserved communities.</t>
  </si>
  <si>
    <t>J2: J Am Pharm Assoc (2003); Ross, Leigh Ann Bloodworth, Lauren S; ID: 131</t>
  </si>
  <si>
    <t>Ross,Leigh Ann. Community-Based Research Program, School of Pharmacy, University of Mississippi, Jackson, USA. laross@umc.edu</t>
  </si>
  <si>
    <t>http://ovidsp.ovid.com/ovidweb.cgi?T=JS&amp;CSC=Y&amp;NEWS=N&amp;PAGE=fulltext&amp;D=medl&amp;AN=23229968</t>
  </si>
  <si>
    <t>http://dx.doi.org/10.1331/JAPhA.2012.10192</t>
  </si>
  <si>
    <t>MEDLINE; Ovid Technologies; Patient-centered health care using pharmacist-delivered medication therapy management in rural Mississippi</t>
  </si>
  <si>
    <t>Ross,L. A.;Crabtree,B. L.;Theilman,G. D.;Ross,B. S.;Cleary,J. D.;Byrd,H. J.</t>
  </si>
  <si>
    <t>PMC1847543; Implementation and refinement of a problem-based learning model: a ten-year experience</t>
  </si>
  <si>
    <t>Curriculum/td Trends];Education, Pharmacy/mt Methods];Education, Pharmacy/td Trends];*Educational Measurement/mt Methods];Humans;*Models, Educational;*Problem-Based Learning/mt Methods];Problem-Based Learning/td Trends];Students, Pharmacy;Teaching/mt Methods];Teaching/td Trends]</t>
  </si>
  <si>
    <t>OBJECTIVES: To evaluate the effectiveness of a problem-based learning (PBL) model implemented in 1995 at the University of Mississippi School of Pharmacy. DESIGN: The third-professional (P3) year curriculum was reoriented from a faculty-centered model of teaching to a student-centered model of learning. Didactic lectures and structured classroom time were diminished. Small student groups were organized and a faculty facilitator monitored each group's discussions and provided individual student assessments. At the end of each 8-week block, students were assessed on group participation, disease and drug content knowledge, and problem-solving abilities. Faculty and student input was solicited at the end of each year to aid programmatic improvement. In 2000, a formal 5-year review of the PBL program was conducted. ASSESSMENT: Recommendations for improvement included clarifying course objectives, adopting a peer-review process for examination materials, refining the group assessment instruments, and providing an opportunity for student remediation after a course was failed. A weekly case conference presided over by a faculty content expert was also recommended. Ongoing critical evaluation during the following 5-year period was provided by graduates of the program, faculty participants, and accreditation reviews. CONCLUSION: Over our 10-year experience with a PBL model of P3 education, we found that although the initial challenges of increased demands on personnel and teaching space were easily overcome, student acceptance of the program depended on their acknowledgment of the practical benefits of active learning and on the value afforded their input on curricular development.</t>
  </si>
  <si>
    <t>J2: Am J Pharm Educ; Ross, Leigh Ann Crabtree, Brian L Theilman, Gary D Ross, Brendan S Cleary, John D Byrd, H Joseph; ID: 395</t>
  </si>
  <si>
    <t>Ross,Leigh Ann. School of Pharmacy, University of Mississippi, Washington, DC 20002, USA. laross@pharmacy.umsmed.edu</t>
  </si>
  <si>
    <t>http://ovidsp.ovid.com/ovidweb.cgi?T=JS&amp;CSC=Y&amp;NEWS=N&amp;PAGE=fulltext&amp;D=med5&amp;AN=17429517</t>
  </si>
  <si>
    <t>MEDLINE; Ovid Technologies; Implementation and refinement of a problem-based learning model: a ten-year experience</t>
  </si>
  <si>
    <t>Ross,S.;Maxwell,S.</t>
  </si>
  <si>
    <t>PMC3477333; Prescribing and the core curriculum for tomorrow's doctors: BPS curriculum in clinical pharmacology and prescribing for medical students</t>
  </si>
  <si>
    <t>Clinical Competence/st Standards];*Curriculum/st Standards];*Drug Prescriptions;Education, Medical, Undergraduate/mt Methods];*Education, Medical, Undergraduate/st Standards];Humans;*Pharmacology, Clinical/ed Education]</t>
  </si>
  <si>
    <t>Prescribing is one of the commonest tasks expected of new doctors and is a complex process involving a mixture of knowledge, judgement and skills. Preparing graduates to be prescribers is one of the greatest challenges of modern undergraduate medical education and there is some evidence to suggest that training could be improved. The aims of this article are (i) to review some of the challenges of delivering effective prescribing education, (ii) to provide a clear statement of the learning outcomes in clinical pharmacology and prescribing that should be expected of all medical graduates and (iii) to describe a curriculum that might enable students to achieve these outcomes. We build on the previous curriculum recommendations of the British Pharmacological Society and take into account those of other key bodies, notably the General Medical Council. We have also reviewed relevant evidence from the literature and set our work in the context of recent trends in medical education. We divide our recommended learning objectives into four sections: principles of clinical pharmacology, essential drugs, essential therapeutic problems and prescribing skills. Although these will not necessarily be accepted universally we believe that they will help those who design and map undergraduate curricula to explore potential gaps and identify improvements.Copyright ‚î¨‚åê 2012 The Authors. British Journal of Clinical Pharmacology ‚î¨‚åê 2012 The British Pharmacological Society.</t>
  </si>
  <si>
    <t>J2: Br J Clin Pharmacol; Ross, Sarah Maxwell, Simon; ID: 176</t>
  </si>
  <si>
    <t>1365-2125</t>
  </si>
  <si>
    <t>Ross,Sarah. Division of Medical and Dental Education, University of Aberdeen, UK. s.ross@abdn.ac.uk</t>
  </si>
  <si>
    <t>http://ovidsp.ovid.com/ovidweb.cgi?T=JS&amp;CSC=Y&amp;NEWS=N&amp;PAGE=fulltext&amp;D=medl&amp;AN=22288524</t>
  </si>
  <si>
    <t>http://dx.doi.org/10.1111/j.1365-2125.2012.04186.x</t>
  </si>
  <si>
    <t>MEDLINE; Ovid Technologies; Prescribing and the core curriculum for tomorrow's doctors: BPS curriculum in clinical pharmacology and prescribing for medical students</t>
  </si>
  <si>
    <t>Rossi,P.;Faroni,J. V.;Tassorelli,C.;Nappi,G.</t>
  </si>
  <si>
    <t>PMC3620000; Advice alone versus structured detoxification programmes for complicated medication overuse headache (MOH): a prospective, randomized, open-label trial</t>
  </si>
  <si>
    <t>Journal of Headache &amp; Pain</t>
  </si>
  <si>
    <t>Adult;Female;*Headache Disorders, Secondary/ci Chemically Induced];*Headache Disorders, Secondary/th Therapy];Humans;Inpatients;Male;Middle Aged;Outpatients;*Substance Withdrawal Syndrome/dt Drug Therapy];*Substance-Related Disorders/th Therapy];Treatment Outcome</t>
  </si>
  <si>
    <t>BACKGROUND: The aim of this study was to compare the effectiveness of an educational strategy (advice to withdraw the overused medication/s) with that of two structured pharmacological detoxification programmes in patients with complicated medication overuse headache (MOH) plus migraine. METHODS: One hundred and thirty-seven complicated MOH patients participated in the study. MOH was defined as complicated in patients presenting at least one of the following: a) a diagnosis of co-existent and complicating medical illnesses; b) a current diagnosis of mood disorder, anxiety disorder, eating disorder, or substance addiction disorder; c) relapse after previous detoxification treatment; d) social and environmental problems; e) daily use of multiple doses of symptomatic medications. Group A (46 patients) received only intensive advice to withdraw the overused medication/s. Group B (46 patients) underwent a standard detoxification programme as outpatients (advice+steroids+preventive treatment). Group C (45 patients) underwent a standard inpatient withdrawal programme (advice+steroids+fluid replacement and antiemetics preventive treatment). Withdrawal therapy was considered successful if, after two months, the patient had reverted to an intake of NSAIDs lower than 15 days/month or to an intake of other symptomatic medication/s lower than 10 days/month. RESULTS: Twenty-two patients failed to attend follow-up visits (11 in Group A, 9 in Group B, 2 in Group C, p&lt;0.03). Overall, we detoxified 70% of the whole cohort, 60.1% of the patients in Group A and in Group B, and 88.8% of those in Group C (p&lt;0.01). CONCLUSIONS: Inpatient withdrawal is significantly more effective than advice alone or an outpatient strategy in complicated MOH patients.</t>
  </si>
  <si>
    <t>J2: J Headache Pain; Rossi, Paolo Faroni, Jessica Veronica Tassorelli, Cristina Nappi, Giuseppe; ID: 144</t>
  </si>
  <si>
    <t>1129-2377</t>
  </si>
  <si>
    <t>Rossi,Paolo. Headache Clinic, INI Grottaferrata, Via S,Anna s,n,c, 00046, Grottaferrata, Rome, Italy. paolo.rossi90@alice.it</t>
  </si>
  <si>
    <t>http://ovidsp.ovid.com/ovidweb.cgi?T=JS&amp;CSC=Y&amp;NEWS=N&amp;PAGE=fulltext&amp;D=medl&amp;AN=23565591</t>
  </si>
  <si>
    <t>http://dx.doi.org/10.1186/1129-2377-14-10</t>
  </si>
  <si>
    <t>MEDLINE; Ovid Technologies; Advice alone versus structured detoxification programmes for complicated medication overuse headache (MOH): a prospective, randomized, open-label trial</t>
  </si>
  <si>
    <t>Roth,M. T.;Andrus,M. R.;Westman,E. C.</t>
  </si>
  <si>
    <t>Outcomes from an outpatient smoking-cessation clinic</t>
  </si>
  <si>
    <t>Ambulatory Care Facilities;*Antidepressive Agents, Second-Generation/tu Therapeutic Use];*Bupropion/tu Therapeutic Use];Female;Humans;Male;Middle Aged;Nicotine/ad Administration &amp; Dosage];*Nicotine/tu Therapeutic Use];Nicotinic Agonists/ad Administration &amp; Dosage];*Nicotinic Agonists/tu Therapeutic Use];*Smoking Cessation/mt Methods];Treatment Outcome;0 (Antidepressive Agents, Second-Generation);0 (Nicotinic Agonists);01ZG3TPX31 (Bupropion);6M3C89ZY6R (Nicotine)</t>
  </si>
  <si>
    <t>STUDY OBJECTIVES: To determine the success of an outpatient smoking-cessation clinic by assessing smoking abstinence rates and factors associated with lower abstinence rates. We also sought to determine whether smoking abstinence rates differed among various smoking-cessation products. METHODS: Patients were referred by primary care providers to a pharmacist-managed smoking-cessation clinic. Patients received tailored behavioral counseling, educational materials, and drug therapy consisting of sustained-release (SR) bupropion; nicotine patch, inhaler, or nasal spray; or combination therapy. Patients were monitored by phone or clinic visit for 6 months, if possible. Outcomes assessed were abstinence (both point prevalence and continuous abstinence) and adverse effects. Patients lost to follow-up were assumed to be smoking. RESULTS: Over 2 years, 198 patients were enrolled in the program. At the initial visit, 35.4% received the patch, 32.8% bupropion SR, 18.2% a combination of patch plus inhaler, 9.6% inhaler alone, and fewer than 5% other therapies. At 6 weeks, a statistically significant difference was observed in continuous abstinence rates between the nicotine patch versus bupropion SR groups (22.9% vs 7.7%, p=0.02) and between the combination patch-inhaler versus bupropion SR groups (25% vs 7.7%, p=0.02). However, this difference was not significant beyond the 6-week visit. A trend toward higher abstinence rates was noted at 6 weeks in the nicotine patch-inhaler versus the other treatment groups, possibly suggesting the need for more intense treatment regimens with combination therapy. Point prevalence abstinence rates after 12 weeks were 18.6%, 15.4%, 22.2% and 21.1% respectively, for the patch, bupropion SR, patchinhaler, and inhaler alone treatment groups. The corresponding continuous abstinence rates were 10.0%, 3.1%, 11.1%, and 10.5%. CONCLUSION: Although statistically significant differences between products were noted at 6 weeks, no sustained difference in smoking abstinence rates was observed between products. At 6 months, point prevalence and continuous abstinence rates were small, but the decline in success noted over time and the limited overall success rates are consistent with rates for the United States. Our findings suggest that when smokers are assisted in quitting, initial contact as well as follow-up evaluation and monitoring must be intense and sustained to increase the likelihood of successful abstinence. Tobacco dependence is clearly a chronic condition warranting repeated treatment and monitoring until continuous abstinence is achieved.</t>
  </si>
  <si>
    <t>J2: Pharmacotherapy; Roth, Mary T Andrus, Miranda R Westman, Eric C; ID: 455</t>
  </si>
  <si>
    <t>Roth,Mary T. Division of Pharmacotherapy, School of Pharmacy, University of North Carolina at Chapel Hill, Chapel Hill, North Carolina 27599, USA. mroth@unc.edu</t>
  </si>
  <si>
    <t>http://ovidsp.ovid.com/ovidweb.cgi?T=JS&amp;CSC=Y&amp;NEWS=N&amp;PAGE=fulltext&amp;D=med5&amp;AN=15767242</t>
  </si>
  <si>
    <t>MEDLINE; Ovid Technologies; Outcomes from an outpatient smoking-cessation clinic</t>
  </si>
  <si>
    <t>Roth,M. T.;Ivey,J. L.</t>
  </si>
  <si>
    <t>Self-reported medication use in community-residing older adults: A pilot study</t>
  </si>
  <si>
    <t>African Americans/sn Statistics &amp; Numerical Data];*Aged;Chronic Disease/dt Drug Therapy];Chronic Disease/ep Epidemiology];*Drug Prescriptions/sn Statistics &amp; Numerical Data];Drug Utilization;*Drug Utilization Review;European Continental Ancestry Group/sn Statistics &amp; Numerical Data];Female;Humans;Male;Medicare;Medication Errors/sn Statistics &amp; Numerical Data];North Carolina;Patient Acceptance of Health Care/sn Statistics &amp; Numerical Data];Patient Compliance/sn Statistics &amp; Numerical Data];Patient Education as Topic/sn Statistics &amp; Numerical Data];Pilot Projects;*Residence Characteristics;Risk Factors;*Self Disclosure;Social Environment;Surveys and Questionnaires;Time Factors;United States</t>
  </si>
  <si>
    <t>BACKGROUND: Older adults (ie, those aged &gt; or = 65 years) are at increased risk of developing drug therapy problems, which may lead to poor health outcomes and decreased quality of life. OBJECTIVE: The primary goal of this pilot study was to evaluate and report medication use and potential drug therapy problems in older adults who received Eldercare program assistance through the Orange County Department on Aging in North Carolina. METHODS: Between May and July 2002, subjects were consecutively sampled from a registry of adults aged &gt; or = 60 years enrolled in the Eldercare program. To be eligible for the study, individuals had to be receiving the services of the Eldercare program, speak English, and reside independently in the community of Orange County. The older adults were contacted by the program director to determine interest in participating in the study. If interested, the individual was contacted by a trained pharmacy doctoral student to verify study eligibility and arrange a home visit. At the home visit, information was collected via self-report on medication use and medical history. Nonadherence, potentially inappropriate prescribing, health literacy, and functional capacity were also assessed. All home visits were conducted between May and July 2002. RESULTS: A total of 100 subjects were interviewed. The mean (SD) age of respondents was 77.5 (8.7) years; 85% were women, 66% were white, 34% black, and 70% lived alone. The mean (SD) number of prescription medications used per patient was 9.6 (4.1). Adequate health literacy, defined as a score &gt; or = 23 (range of possible scores, 0-36) on the Short Test of Functional Health Literacy in Adults, was documented in only 35% of individuals. Twenty-five percent of the sample (25/100) had reduced functional capacity when evaluated on the Functional Activities Questionnaire, with total scores &gt; or = 10 (range of possible scores, 10-30) indicative of reduced functional ability. Rates of nonadherence, defined as a score of 0 to 3 on the 4-item Morisky instrument, were 53%. When evaluating inappropriate prescribing based on the Beers criteria, 34% of individuals used &gt; or = 1 potentially inappropriate medication. In bivariate analyses, there was a statistically significant relationship between race and number of medications (P &lt; 0.002), adherence (P &lt; 0.001), health literacy status (P &lt; 0.001), and functional capacity (P &lt; 0.027). No differences were noted when examining the effects of age on the same variables. CONCLUSIONS: In this study, older adults residing independently in the community were responsible for managing and taking a considerable number of medications on a daily basis. In addition, inadequate health literacy, poor adherence, and potentially inappropriate medication use were prevalent in this sample. The results also suggest that race may have played an important role in the risk of developing medication-related problems.</t>
  </si>
  <si>
    <t>J2: Am J Geriatr Pharmacother; Roth, Mary T Ivey, Jena L; ID: 440</t>
  </si>
  <si>
    <t>Roth,Mary T. Division of Pharmaceutical Policy and Evaluative Sciences, School of Pharmacy, University of North Carolina, Chapel Hill, North Carolina 27599-7360, USA. mroth@unc.edu</t>
  </si>
  <si>
    <t>http://ovidsp.ovid.com/ovidweb.cgi?T=JS&amp;CSC=Y&amp;NEWS=N&amp;PAGE=fulltext&amp;D=med5&amp;AN=16257822</t>
  </si>
  <si>
    <t>MEDLINE; Ovid Technologies; Self-reported medication use in community-residing older adults: A pilot study</t>
  </si>
  <si>
    <t>Roth,M. T.;Westman,E. C.</t>
  </si>
  <si>
    <t>Use of bupropion SR in a pharmacist-managed outpatient smoking-cessation program</t>
  </si>
  <si>
    <t>Aged;Ambulatory Care/sn Statistics &amp; Numerical Data];*Ambulatory Care;Bupropion/ae Adverse Effects];Bupropion/tu Therapeutic Use];*Bupropion;Chi-Square Distribution;Comorbidity;Confidence Intervals;Delayed-Action Preparations;Dopamine Uptake Inhibitors/tu Therapeutic Use];*Dopamine Uptake Inhibitors;Follow-Up Studies;Humans;Middle Aged;Odds Ratio;Outcome Assessment (Health Care)/sn Statistics &amp; Numerical Data];Pharmacists/sn Statistics &amp; Numerical Data];*Pharmacists;Recurrence;Smoking/dt Drug Therapy];*Smoking/ep Epidemiology];Smoking/px Psychology];Smoking Cessation/px Psychology];*Smoking Cessation/sn Statistics &amp; Numerical Data];Surveys and Questionnaires;0 (Delayed-Action Preparations);0 (Dopamine Uptake Inhibitors);01ZG3TPX31 (Bupropion)</t>
  </si>
  <si>
    <t>We administered bupropion sustained-release (SR) in a pharmacist-managed outpatient smoking-cessation program. Patients were referred to the program by their primary care physician. All patients completed initial visit questionnaires, received behavioral counseling by a clinical pharmacist, and were provided educational materials on smoking cessation. Seventy-one patients received bupropion SR for treatment of nicotine dependence and were followed for 6 months. Point prevalence abstinence rates were 28.2% and 25.4% at 8 weeks and 6 months, respectively. The trend was toward lower cessation rates in patients with a documented psychiatric diagnosis at 6 months (p=0.064). Bupropion SR was fairly well tolerated, with the most common adverse effects being dry mouth and bad taste. The agent appears to have better success for smoking cessation in patients free of psychiatric comorbidities, but further research is required to support this finding.</t>
  </si>
  <si>
    <t>J2: Pharmacotherapy; Roth, M T Westman, E C; ID: 537</t>
  </si>
  <si>
    <t>Roth,M T. Ambulatory Care Clinics, Durham Veterans Affairs Medical Center, North Carolina, USA.</t>
  </si>
  <si>
    <t>http://ovidsp.ovid.com/ovidweb.cgi?T=JS&amp;CSC=Y&amp;NEWS=N&amp;PAGE=fulltext&amp;D=med4&amp;AN=11349752</t>
  </si>
  <si>
    <t>MEDLINE; Ovid Technologies; Use of bupropion SR in a pharmacist-managed outpatient smoking-cessation program</t>
  </si>
  <si>
    <t>Roth,T.;Krystal,A. D.;Lieberman,J. A., 3</t>
  </si>
  <si>
    <t>Long-term issues in the treatment of sleep disorders</t>
  </si>
  <si>
    <t>Cns Spectrums</t>
  </si>
  <si>
    <t>Anxiety/ep Epidemiology];Anxiety/px Psychology];Attention;Cognitive Therapy;Depression/ep Epidemiology];Fatigue/ep Epidemiology];Humans;Hypnotics and Sedatives/tu Therapeutic Use];Motivation;Prevalence;Risk Factors;Sleep Initiation and Maintenance Disorders/ep Epidemiology];Sleep Initiation and Maintenance Disorders/pp Physiopathology];*Sleep Initiation and Maintenance Disorders/th Therapy];Time Factors;0 (Hypnotics and Sedatives)</t>
  </si>
  <si>
    <t>Insomnia is a disorder characterized by chronic sleep disturbance associated with daytime disability or distress, such as memory impairment and fatigue, that occurs despite adequate opportunity for sleep. Insomnia may present as difficulty falling/staying asleep or as sleep that is nonrestorative. Studies show a strong correlation between insomnia and impaired quality of life. Pain conditions and depression are commonly associated with insomnia, either as secondary or comorbid conditions. In addition, a greater incidence of anxiety, alcohol and drug dependence, and cardiovascular disease is found in people with insomnia. Data indicate insomnia results from over-engaged arousal systems. Insomnia patients experience increased metabolic rate, body temperature, and heart rate, and elevated levels of norepinephrine and catecholamines. Pharmacologic options for the treatment of insomnia include benzodiazepine hypnotics, a selective melatonin receptor agonist, and sedating antidepressants. However, insomnia may be best treated with cognitive-behavioral therapy and instruction in good sleep hygiene, either alone or in concert with pharmacologic agents. Studies on the effects of insomnia treatment use variable methodologies or do not publish negative results, and there are currently no studies of treatment focusing on morbidity. Further research is necessary to better understand the effects of insomnia therapies on medical and psychiatric disorders. In this Clinical Information Supplement, Thomas Roth, PhD, describes the nature of insomnia and its pathophysiology. Next, Andrew D. Krystal, MD, MS, reviews morbidities associated with insomnia. Finally, Joseph A. Lieberman III, MD, MPH, provides an overview of therapeutics utilized in patients with insomnia, including behavioral therapies and pharmacologic options.</t>
  </si>
  <si>
    <t>J2: CNS Spectr; Roth, Thomas Krystal, Andrew D Lieberman, Joseph A 3rd; ID: 361</t>
  </si>
  <si>
    <t>1092-8529</t>
  </si>
  <si>
    <t>Roth,Thomas. Sleep Disorders and Research Center, Henry Ford Health System, Detroit, MI, USA.</t>
  </si>
  <si>
    <t>http://ovidsp.ovid.com/ovidweb.cgi?T=JS&amp;CSC=Y&amp;NEWS=N&amp;PAGE=fulltext&amp;D=med5&amp;AN=17603408</t>
  </si>
  <si>
    <t>MEDLINE; Ovid Technologies; Long-term issues in the treatment of sleep disorders</t>
  </si>
  <si>
    <t>Roth,T.;Krystal,A. D.;Lieberman,J.A.,,III</t>
  </si>
  <si>
    <t>14p</t>
  </si>
  <si>
    <t>14p 1p</t>
  </si>
  <si>
    <t>Insomnia -- Therapy;Aged;Aged, 80 and Over;Antianxiety Agents, Benzodiazepine -- Administration and Dosage;Antianxiety Agents, Benzodiazepine -- Pharmacokinetics;Antidepressive Agents -- Therapeutic Use;Arousal;Behavior Therapy;Cardiovascular Risk Factors;Comorbidity;Female;Funding Source;Hypnotics and Sedatives -- Administration and Dosage;Hypnotics and Sedatives -- Pharmacokinetics;Insomnia -- Complications;Insomnia -- Diagnosis;Insomnia -- Epidemiology;Insomnia -- Etiology;Insomnia -- Physiopathology;Insomnia -- Psychosocial Factors;Insomnia -- Risk Factors;Male;Mental Health;Middle Age;Pain;Quality of Life;Sleep -- Standards;Treatment Duration</t>
  </si>
  <si>
    <t>Insomnia is a disorder characterized by chronic sleep disturbance associated with daytime disability or distress, such as memory impairment and fatigue, that occurs despite adequate opportunity for sleep. Insomnia may present as difficulty falling/staying asleep or as sleep that is nonrestorative. Studies show a strong correlation between insomnia and impaired quality of life. Pain conditions and depression are commonly associated with insomnia, either as secondary or comorbid conditions. In addition, a greater incidence of anxiety, alcohol and drug dependence, and cardiovascular disease is found in people with insomnia. Data indicate insomnia results from over-engaged arousal systems. Insomnia patients experience increased metabolic rate, body temperature, and heart rate, and elevated levels of norepinephrine and catecholamines. Pharmacologic options for the treatment of insomnia include benzodiazepine hypnotics, a selective melatonin receptor agonist, and sedating antidepressants. However, insomnia may be best treated with cognitive-behavioral therapy and instruction in good sleep hygiene, either alone or in concert with pharmacologic agents. Studies on the effects of insomnia treatment use variable methodologies or do not publish negative results, and there are currently no studies of treatment focusing on morbidity. Further research is necessary to better understand the effects of insomnia therapies on medical and psychiatric disorders.In this Clinical Information Supplement, Thomas Roth, PhD, describes the nature of insomnia and its pathophysiology. Next, Andrew D. Krystal, MD, MS, reviews morbidities associated with insomnia. Finally, Joseph A. Lieberman Ill, MD, MPH, provides an overview of therapeutics utilized in patients with insomnia, including behavioral therapies and pharmacologic options.</t>
  </si>
  <si>
    <t>Entry Date: 20080118. Revision Date: 20150711. Publication Type: Journal Article; diagnostic images; forms; questions and answers; tables/charts. Journal Subset: Biomedical; Blind Peer Reviewed; Expert Peer Reviewed; Peer Reviewed; USA. Special Interest: Psychiatry/Psychology. Grant Information: Takeda Pharmaceuticals North American. NLM UID: 9602353.; ID: 1939</t>
  </si>
  <si>
    <t>Director, Sleep Disorders and Research Center, Henry Ford Health System, Detroit</t>
  </si>
  <si>
    <t>http://proxy.lib.umich.edu/login?url=http://search.ebscohost.com/login.aspx?direct=true&amp;db=ccm&amp;AN=105933175&amp;site=ehost-live&amp;scope=site</t>
  </si>
  <si>
    <t>ccm; EBSCOhost; Long-term issues in the treatment of sleep disorders</t>
  </si>
  <si>
    <t>Roussin,A.;Genioux,H.;Doozon-D'Ouince,O.;Lopeyre-Mestre,M.;Author,Addresses;Unit‚îú‚åê,de;Pharmaco‚îú‚åê‚îú‚åêpid‚îú‚åêmiologie, E A Universit‚îú‚åê de,Toulouse France;Correspondence,Address;Universit‚îú‚åê de,A.Roussin, Unit‚îú‚åê de Pharmaco‚îú‚åê‚îú‚åêpid‚îú‚åêmiologie E.A.;Toulouse,France</t>
  </si>
  <si>
    <t>Evaluation of misuse, non-medical use and dependence on tramadol: A pharmacoepidemiological study based on community pharmacies in France</t>
  </si>
  <si>
    <t>(MAJOR FOCUS);tramadol;narcotic analgesic agent;o nortramadol;opiate agonist;community;drug surveillance program;France;pharmacy;risk;analgesia;book;cross-sectional study;diagnosis;drug dependence;drug use;drug withdrawal;fatigue;female;metabolite;neurotransmission;pain;patient;pharmacy student;prescription;questionnaire;withdrawal syndrome</t>
  </si>
  <si>
    <t>Introduction: In addition to the ‚ï¨‚ïù opioid agonist activity of tramadol and its main metabolite O-desmethyltramadol, tramadol also acts on serotoninergic and noradrenergic neurotransmission. This difference in the mechanism of action, compared to that of other opioid analgesics, could account for differences in rates and characteristics of problematic uses of this drug, in particular pharmacodependence. Aim: To investigate the reasons for use of tramadol others than alleviating pain, as well as the characteristics of pharmacodependence on this drug, from reports of patients via a self-administered questionnaire given in community pharmacies. Methods: This cross-sectional study was conducted during a two month period (january-march 2008) and was based on the responses to an anonymous questionnaire by patients presenting a prescription for tramadol in community pharmacies. The recruitment of pharmacies was done by pharmacy students performing a training period in a pharmacy of the French Midi-Pyr‚îú‚åên‚îú‚åêes area. Patients were asked to fill in the questionnaire which investigated patterns of drug use and criteria of dependence adapted from the Diagnostic and Statistical Manual IV (DSM-IV). Several questions also explored pain relief related to tramadol use. Results: Sixty six percent (n =61) of the solicited pharmacies (n =92) participated in the survey. Four hundred and sixty five patients filled and returned the questionnaire. Among the 257 patients who had used tramadol in the previous month, 66% were women, and the mean age was 59-17 years. Three of them (1.1%) said that they used tramadol for purposes other than pain alleviating: ''to help to cope with life'', ''to relieve tiredness'', and ''because of drug withdrawal symptoms''. Sixty five patients (25%) were classified as dependent on tramadol as they presented at least 3 out of 6 criteria adapted from the DSM-IV and exploring physical dependence and compulsive drug use. In addition, the answers of the patients suggest that, in the majority of cases, the positive answers to the questions relying on pharmacodependence are related to the persistence of pain. Conclusion: These results suggest that tramadol prescribed to patients to relieve pain can lead to pharmacodependence. However, the persistence of pain could be also an important factor associated to the criteria of pharmacodependence evaluated in the present study.</t>
  </si>
  <si>
    <t>(Roussin A.; Genioux H.; Doozon-D'Ouince O.; Lopeyre-Mestre M.) 9th ISoP Annual Meeting ‚îú√≥‚î¨√á‚î¨√øFrom Pharmacovigilance to Risk Management‚îú√≥‚î¨√á‚î¨√ñ Reims, France 2009-10-06 to 2009-10-09 Adis International Ltd; ID: 1406</t>
  </si>
  <si>
    <t>Rovers,J.;Miller,M. J.;Koenigsfeld,C.;Haack,S.;Hegge,K.;McCleeary,E.</t>
  </si>
  <si>
    <t>PMC3049657; A guided interview process to improve student pharmacists' identification of drug therapy problems</t>
  </si>
  <si>
    <t>Aged;*Drug-Related Side Effects and Adverse Reactions;*Education, Pharmacy/mt Methods];Humans;*Interviews as Topic/mt Methods];Pharmaceutical Services;Pharmacists/og Organization &amp; Administration];*Students, Pharmacy</t>
  </si>
  <si>
    <t>OBJECTIVE: To measure agreement between advanced pharmacy practice experience students using a guided interview process and experienced clinical pharmacists using standard practices to identify drug therapy problems. METHODS: Student pharmacists enrolled in an advanced pharmacy practice experience (APPE) and clinical pharmacists conducted medication therapy management interviews to identify drug therapy problems in elderly patients recruited from the community. Student pharmacists used a guided interview tool, while clinical pharmacists' interviews were conducted using their usual and customary practices. Student pharmacists also were surveyed to determine their perceptions of the interview tool. RESULTS: Fair to moderate agreement was observed on student and clinical pharmacists' identification of 4 of 7 drug therapy problems. Of those, agreement was significantly higher than chance for 3 drug therapy problems (adverse drug reaction, dosage too high, and needs additional drug therapy) and not significant for 1 (unnecessary drug therapy). Students strongly agreed that the interview tool was useful but agreed less strongly on recommending its use in practice. CONCLUSIONS: The guided interview process served as a useful teaching aid to assist student pharmacists to identify drug therapy problems.</t>
  </si>
  <si>
    <t>J2: Am J Pharm Educ; Rovers, John Miller, Michael J Koenigsfeld, Carrie Haack, Sally Hegge, Karly McCleeary, Erin; ID: 248</t>
  </si>
  <si>
    <t>Rovers,John. Drake University College of Pharmacy and Health Sciences, Des Moines, IA 50311, USA. John.Rovers@drake.edu</t>
  </si>
  <si>
    <t>http://ovidsp.ovid.com/ovidweb.cgi?T=JS&amp;CSC=Y&amp;NEWS=N&amp;PAGE=fulltext&amp;D=med5&amp;AN=21451770</t>
  </si>
  <si>
    <t>MEDLINE; Ovid Technologies; A guided interview process to improve student pharmacists' identification of drug therapy problems</t>
  </si>
  <si>
    <t>Roy-Byrne,P.;Veitengruber,J. P.;Bystritsky,A.;Edlund,M. J.;Sullivan,G.;Craske,M. G.;Welch,S. S.;Rose,R.;Stein,M. B.</t>
  </si>
  <si>
    <t>Brief intervention for anxiety in primary care patients</t>
  </si>
  <si>
    <t>Journal of the American Board of Family Medicine</t>
  </si>
  <si>
    <t>186 12p</t>
  </si>
  <si>
    <t>Anxiety -- Therapy;Primary Health Care;Psychotherapy -- Methods;Antianxiety Agents -- Therapeutic Use;Anxiety -- Complications;Anxiety -- Diagnosis;Anxiety -- Drug Therapy;Anxiety -- Epidemiology;Anxiety -- Physiopathology;Behavior Modification;Cognitive Therapy;Decision Making, Clinical;Diazepam -- Therapeutic Use;Drug Resistance;Drug Therapy, Combination;Medical Practice, Evidence-Based;Psychotherapy -- Education;Quality of Health Care;Serotonin Uptake Inhibitors -- Therapeutic Use</t>
  </si>
  <si>
    <t>To address the difficulty of assessing and managing multiple anxiety disorders in the primary care setting, this article provides a simple, easy-to-learn, unified approach to the diagnosis, care management, and pharmacotherapy of the 4 most common anxiety disorders found in primary care: panic, generalized anxiety disorders, social anxiety disorders, and posttraumatic stress disorder. This evidence-based approach was developed for an ongoing National Institute of Mental Health-funded study designed to improve the delivery of evidence-based medication and psychotherapy treatment to primary care patients with these anxiety disorders. We present a simple, validated method to screen for the 4 major disorders that emphasizes identifying other medical or psychiatric comorbidities that can complicate treatment; an approach for initial education of the patient and discussion about treatment, including provision of some simple cognitive behavioral therapy skills, based on motivational interviewing/brief intervention approaches previously used for substance use disorders; a validated method for monitoring treatment outcome; and an algorithmic approach for the selection of initial medication treatment, the selection of alternative or adjunctive treatments when the initial approach has not produced optimal results, and indications for mental health referral.</t>
  </si>
  <si>
    <t>Entry Date: 20091002. Revision Date: 20150711. Publication Type: Journal Article; review; tables/charts. Journal Subset: Biomedical; Double Blind Peer Reviewed; Editorial Board Reviewed; Expert Peer Reviewed; Peer Reviewed; USA. Special Interest: Evidence-Based Practice; Psychiatry/Psychology. NLM UID: 101256526. PMID: 19264941.; ID: 1841</t>
  </si>
  <si>
    <t>Department of Psychiatry and Behavioral Sciences, University of Washington School of Medicine, Harborview Center for Healthcare Improvement for Addictions, Mental Illness and Medically Vulnerable Populations, Seattle.</t>
  </si>
  <si>
    <t>http://proxy.lib.umich.edu/login?url=http://search.ebscohost.com/login.aspx?direct=true&amp;db=ccm&amp;AN=105468952&amp;site=ehost-live&amp;scope=site</t>
  </si>
  <si>
    <t>10.3122/jabfm.2009.02.080078</t>
  </si>
  <si>
    <t>ccm; EBSCOhost; Brief intervention for anxiety in primary care patients</t>
  </si>
  <si>
    <t>Rudisill,J.;Makela,E.;Author,Addresses;Department of Pharmacy, Charles George,V.A.Medical Center;Asheville,United States;Department of Mental Health, Charles George,V.A.Medical Center;Asheville,United States;Correspondence,Address;Medical Center,J.Rudisill, Department of Pharmacy Charles George V.A.;Asheville,United States</t>
  </si>
  <si>
    <t>Veterans' practices and beliefs concerning disposal of medication</t>
  </si>
  <si>
    <t>drinking water;college;drug therapy;human;pharmacist;veteran;drug abuse;education;household;lake;outpatient;patient;pharmacy;plant leaf;prescription;procedures;questionnaire;risk;risk factor;suicide;theft</t>
  </si>
  <si>
    <t>Background: In recent years proper disposal of medications has become an area of great concern. Disposal of medications in the trash is not considered appropriate as it leaves room for theft and drug abuse. Traces of medications found in streams, lakes and even drinking water have resulted in rules against flushing medications. A medication should not be given to someone other than for whom it was prescribed, as it poses danger to that person. Storing medications after they have been discontinued increases the risk of consuming the wrong medications. The presence of large amounts of unused medication is a risk factor for successful completion of suicide by over dosage. It is well known that veterans attempt and are successful at suicide much more frequently than non-veterans. If veterans are not routinely practicing appropriate methods of disposal, medications may accumulate in the household and present a risk for over dosage in patients who are or may become suicidal. Objectives: Conduct a survey of veterans to identify their practices and beliefs concerning the disposal of unused medications in order to: 1. Better understand veterans' educational needs with the goal of promoting recommended methods of disposal. 2. Facilitate development of an effective educational program intended to improve veterans' knowledge of proper disposal and the frequency of use of proper procedures for medication disposal. Methods: A short questionnaire has been designed by investigators to elicit information pertinent to achieving the study objectives. Over a three-month period, veterans at the Charles George</t>
  </si>
  <si>
    <t>(Rudisill J.) (Makela E.) 15th Annual Meeting of the College of Psychiatric and Neurologic Pharmacists, CPNP 2012 Tampa, FL, United States 2012-04-29 to 2012-05-02 SAGE Publications Inc.; ID: 1155</t>
  </si>
  <si>
    <t>Ruetsch,C.</t>
  </si>
  <si>
    <t>Practice strategies to improve compliance and patient self-management</t>
  </si>
  <si>
    <t>*Analgesics, Opioid/ae Adverse Effects];Behavior Therapy;Chronic Disease;Combined Modality Therapy;*Health Knowledge, Attitudes, Practice;Humans;*Opioid-Related Disorders/th Therapy];*Pain/dt Drug Therapy];Patient Care Team;*Patient Compliance;*Patient Education as Topic;*Self Care;Treatment Outcome;0 (Analgesics, Opioid)</t>
  </si>
  <si>
    <t>BACKGROUND: Failure in treating opioid dependence is costly to the patient, the employer, managed care organizations, and the overall health care system. Opioid dependent patients tend to be less productive at work and in society and utilize a great many health care resources. Optimizing outcomes is essential. OBJECTIVE: To introduce the benefit of integrated strategies and patient support in the treatment of opioid dependence. SUMMARY: Health Analytics is currently studying the benefit of HereToHelp, a behavioral support program in which registered nurses or addiction treatment counselors with specialized training in addiction education provide information and encouragement to patients receiving pharmacologic treatment for opioid dependence. A total of 470 physicians in 41 states have been enlisted to participate in this patient support study. The study hypothesis is that patients who receive behavioral support and encouragement will be more compliant with their opioid replacement therapy, leading to better outcomes. Additional treatment strategies are also being developed to minimize the risk of abuse and diversion. Prodrugs and vaccines are also being investigated. CONCLUSION: A coordinated team approach is essential in treating pain patients and opioid-dependent patients. Offering behavior modification in addition to pharmacotherapy and utilizing strategies such as prescription monitoring programs, pain contracts, and screening are all vital components necessary for positive outcomes. References: 4]</t>
  </si>
  <si>
    <t>J2: J Manage Care Pharm; Ruetsch, Charles; ID: 309</t>
  </si>
  <si>
    <t>Ruetsch,Charles. Health Analytics, LLC, 9250 BendixnRd. N., Ste. 240, Columbia, MD 21045, USA. Charles.Ruetsch@healthanalytic.com.</t>
  </si>
  <si>
    <t>http://ovidsp.ovid.com/ovidweb.cgi?T=JS&amp;CSC=Y&amp;NEWS=N&amp;PAGE=fulltext&amp;D=med5&amp;AN=20146552</t>
  </si>
  <si>
    <t>MEDLINE; Ovid Technologies; Practice strategies to improve compliance and patient self-management</t>
  </si>
  <si>
    <t>Rusch,L. M.</t>
  </si>
  <si>
    <t>PMC4738468; A Reality Check: The Need for a Deeper Understanding of Opioid Abuse Treatment Options: A Policy Statement From the American College of Clinical Pharmacology</t>
  </si>
  <si>
    <t>J2: J Clin Pharmacol; Rusch, Lorraine M; ID: 757</t>
  </si>
  <si>
    <t>1552-4604</t>
  </si>
  <si>
    <t>Rusch,Lorraine M. Public Policy Committee of the American College of Clinical Pharmacology, Ashburn, VA, USA.</t>
  </si>
  <si>
    <t>http://ovidsp.ovid.com/ovidweb.cgi?T=JS&amp;CSC=Y&amp;NEWS=N&amp;PAGE=fulltext&amp;D=prem&amp;AN=26395785</t>
  </si>
  <si>
    <t>http://dx.doi.org/10.1002/jcph.645</t>
  </si>
  <si>
    <t>MEDLINE; Ovid Technologies; A Reality Check: The Need for a Deeper Understanding of Opioid Abuse Treatment Options: A Policy Statement From the American College of Clinical Pharmacology</t>
  </si>
  <si>
    <t>Russell,M. A.</t>
  </si>
  <si>
    <t>Subjective and behavioural effects of nicotine in humans: some sources of individual variation</t>
  </si>
  <si>
    <t>Progress in brain research</t>
  </si>
  <si>
    <t>Prog.Brain Res.</t>
  </si>
  <si>
    <t>*Behavior/de Drug Effects];Drug Tolerance;Humans;Nicotine/ae Adverse Effects];Nicotine/pk Pharmacokinetics];*Nicotine/pd Pharmacology];*Smoking/pp Physiopathology];*Smoking/px Psychology];6M3C89ZY6R (Nicotine)</t>
  </si>
  <si>
    <t>Despite its addictiveness, the subjective effects of nicotine in "smoking doses" are of low intensity compared with those of other addictive drugs. Although mildly pleasurable to many regular users, it causes no striking euphoriant effects and its effects on mood, performance and the level of arousal are relatively small. This chapter does not attempt to list or review the numerous effects of nicotine, but focuses instead on some of the multiple sources of individual variation. The subjective and behavioral effects of nicotine in humans differ markedly, not only between individuals but also within individuals, according to the stage of their smoking career, their level of dependence and the time since their last few doses. Some of the influences and mechanisms discussed include innate and acquired factors, pharmacokinetic factors, acute and chronic tolerance, learning and conditioning. It is not clear to what extent the effects of nicotine are primary, or how much they reflect reversal or relief of acquired withdrawal effects. Only one study has found a "rebound" element in the effects of withdrawal and although chronic exposure to nicotine induces an increase in the number of nicotinic receptors, chronic tolerance to nicotine has not been demonstrated in humans. Acute tolerance (tachyphylaxis) develops rapidly to many of the effects of nicotine and is completely reversible after nicotine depletion. Other effects of nicotine are less sensitive to acute tolerance. It is suggested that it is the effects of nicotine at postsynaptic receptors that are most susceptible to acute tolerance and that those mediated by its action at presynaptic receptors are less sensitive to it. Due to accumulation of nicotine and other pharmacokinetic factors, for most of the day and much of the night, regular smokers have high levels of acute tolerance to nicotine. In other words, there is a chronic partial blockade of its agonist effects at postsynaptic receptors. This explains why nicotinic receptors are upregulated rather than downregulated and why heavy smokers experience no subjective effects from a cigarette smoked during the course of a normal smoking day. When the effects of acute tolerance are unmasked after abstinence for 24 h, it is the more addicted heavy smokers who experienced more severe withdrawal effects who also have stronger subjective and heart rate effects following the first post-abstinence cigarette. Their greater sensitivity to nicotine after abstinence may reflect their higher density of unoccupied nicotinic receptors. On the other hand, those who have higher innate sensitivity may be more likely to take up smoking and to become more dependent if they References: 44]</t>
  </si>
  <si>
    <t>J2: Prog Brain Res; Russell, M A; ID: 682</t>
  </si>
  <si>
    <t>0079-6123</t>
  </si>
  <si>
    <t>http://ovidsp.ovid.com/ovidweb.cgi?T=JS&amp;CSC=Y&amp;NEWS=N&amp;PAGE=fulltext&amp;D=med3&amp;AN=2685899</t>
  </si>
  <si>
    <t>MEDLINE; Ovid Technologies; Subjective and behavioural effects of nicotine in humans: some sources of individual variation</t>
  </si>
  <si>
    <t>Ruths,S.;Straand,J.;Nygaard,H. A.</t>
  </si>
  <si>
    <t>PMC1743717; Multidisciplinary medication review in nursing home residents: what are the most significant drug-related problems? The Bergen District Nursing Home (BEDNURS) study</t>
  </si>
  <si>
    <t>Aged;Cross-Sectional Studies;*Drug Therapy/ut Utilization];*Drug Utilization Review;*Drug-Related Side Effects and Adverse Reactions;Female;Health Services Misuse;Health Services Research;Humans;Male;Medication Errors;Norway;*Nursing Homes/og Organization &amp; Administration];Psychotropic Drugs/tu Therapeutic Use];0 (Psychotropic Drugs)</t>
  </si>
  <si>
    <t>AIM: Based on a multidisciplinary review of drug use in nursing home residents, this study aimed to identify the most frequent clinically relevant medication problems and to analyse them according to the drugs involved and types of problems. METHODS: Cross sectional study auditing drug use by 1354 residents in 23 nursing homes in Bergen, Norway. Data were collected in 1997. A physician/pharmacist panel performed a comprehensive medication review with regard to indications for drug use and active medical conditions. The drug related problems were subsequently classified according to the drugs involved and types of problems (indication, effectiveness, and safety issues). RESULTS: 2445 potential medication problems were identified in 1036 (76%) residents. Psychoactive drugs accounted for 38% of all problems; antipsychotics were the class most often involved. Multiple psychoactive drug use was considered particularly problematic. Potential medication problems were most frequently classified as risk of adverse drug reactions (26%), inappropriate drug choice for indication (20%), and underuse of beneficial treatment (13%). CONCLUSIONS: Three of four nursing home residents had clinically relevant medication problems, most of which were accounted for by psychoactive drugs. The most frequent concerns were related to adverse drug reactions, drug choice, and probable undertreatment.</t>
  </si>
  <si>
    <t>J2: Qual Saf Health Care; Ruths, S Straand, J Nygaard, H A; ID: 500</t>
  </si>
  <si>
    <t>Ruths,S. Section for Geriatric Medicine, Department of Public Health and Primary Health Care, University of Bergen, Norway. sabine.ruths@isf.uib.no</t>
  </si>
  <si>
    <t>http://ovidsp.ovid.com/ovidweb.cgi?T=JS&amp;CSC=Y&amp;NEWS=N&amp;PAGE=fulltext&amp;D=med4&amp;AN=12792006</t>
  </si>
  <si>
    <t>MEDLINE; Ovid Technologies; Multidisciplinary medication review in nursing home residents: what are the most significant drug-related problems? The Bergen District Nursing Home (BEDNURS) study</t>
  </si>
  <si>
    <t>Rutkowski,K. M.;Freitel,K. M.;Rosenthal,T. C.;Smith,G. B.;O'Connell,M. B.;Author,Addresses;Wayne State University, Eugene Applebaum College,of Pharmacy;Health;Sciences,Detroit United States;Correspondence,Address;KM Rutkowski, Wayne State University Eugene Applebaum College,of Pharmacy;and Health Sciences, Detroit,United States</t>
  </si>
  <si>
    <t>Experiential value of an older adult medication assessment early in the pharmacy curriculum</t>
  </si>
  <si>
    <t>adult;clinical pharmacy;college;curriculum;drug therapy;pharmacy;follow up;health;human;independent living;interpersonal communication;learning;lifestyle;pharmacist;qualitative research;skill;speech;statistics;student</t>
  </si>
  <si>
    <t>PURPOSE: To evaluate the learning and appropriateness of an older adult medication review early in the curriculum. METHODS: Older adults visited the college to meet first-year students who would soon provide their medication review with a pharmacist. The team performed the review at the older adult's independent living residence during spring/summer year one experiential courses (IPPE). The pharmacist gave each older adult a medication calendar and list of recommendations. Three months later, the students visited their older adult to learn about recommendation implementation. After each aspect, students wrote a reflection. Students completed an anonymous learning survey after the program (39% response). Descriptive statistics (SPSS v19) were used to summarize survey data and qualitative research techniques (Atlas.ti v6.2) were used to determine learning themes from the reflections. RESULTS: Students (Œì√´√ë73%) felt comfortable speaking with older adults at the social event, were confident in their duties, and thought the follow-up visit was valuable. They felt the medication review was beneficial to the older adult (70%). This experience helped develop communications skills (60%), enhanced understanding of pharmacists' roles in medication management (70%), and expanded medication knowledge (57%). Students thought this project should be continued (57%) and recommended changes. In the reflections, students described learning about older adult lifestyles, health, and medication issues. Students were able to practice and improve skills gained throughout didactic and lab courses (e.g., self-confidence, older adult interviewing). They learned how to prepare a medication calendar. Many students felt the older adults also benefited from the interaction. Drug related problems were identified and resolved throughout the project that might not have been recognized otherwise. Reflection reviews from the social event and 3 month follow-up visit are pending. CONCLUSION: Students learned about older adult lifestyles, medication issues and assessment adjustments. The experience will be continued in the curriculum with changes.</t>
  </si>
  <si>
    <t>(Rutkowski K.M.; Freitel K.M.; Rosenthal T.C.; Smith G.B.; O'Connell M.B.) 2011 Annual Meeting of the American College of Clinical Pharmacy Pittsburgh, PA, United States 2011-10-16 to 2011-10-19 Pharmacotherapy Publications Inc.; ID: 1226</t>
  </si>
  <si>
    <t>Ryan,G.;Lyon,P.;Kumar,K.;Bell,J.;Barnet,S.;Shaw,T.</t>
  </si>
  <si>
    <t>Online CME: an effective alternative to face-to-face delivery</t>
  </si>
  <si>
    <t>Medical teacher</t>
  </si>
  <si>
    <t>Med.Teach.</t>
  </si>
  <si>
    <t>Accreditation/mt Methods];Clinical Competence/st Standards];*Computer-Assisted Instruction/mt Methods];Consumer Behavior;*Education, Medical, Continuing/mt Methods];Educational Measurement/mt Methods];Humans;New South Wales;Opioid-Related Disorders/dt Drug Therapy];Program Evaluation</t>
  </si>
  <si>
    <t>BACKGROUND: The Pharmacotherapies Accreditation Course (PAC) is a continuing medical education (CME) course designed to prepare practitioners for accreditation as pharmacotherapies prescribers for opioid dependence. The course incorporates a preparation stage, a workshop stage and a clinical placement component. The PAC continues to be successfully delivered in face-to-face mode since 2001. From 2003 onwards, an online alternative of the PAC was also implemented. AIMS: The aim of this study was to evaluate the effectiveness of an online alternative to an existing face-to-face CME workshop in preparing practitioners for accreditation as a pharmacotherapies prescriber for opioid dependence. METHODS: Participants were 62 practitioners who undertook the PAC between 2003 and 2006. A pretest/posttest-control group design was used, with outcome measures across the domains of knowledge, skill, and attitudes, together with a course feedback survey for both the online and face-to-face modes of the course. RESULTS: Results demonstrate that the online CME mode was equally as effective as the face-to face mode in preparing participants for their role in the treatment and management of opioid dependence, and was also rated highly by participants. CONCLUSIONS: The findings have implications for the effective design and delivery of e-learning environments for professional practice, in terms of equipping participants with requisite clinical knowledge and skills and facilitating the development of attitudes congruent with professional practice.</t>
  </si>
  <si>
    <t>J2: Med Teach; Ryan, Greg Lyon, Patricia Kumar, Koshila Bell, James Barnet, Stewart Shaw, Tim; ID: 364</t>
  </si>
  <si>
    <t>1466-187X</t>
  </si>
  <si>
    <t>Ryan,Greg. Faculty of Pharmacy, University of Sydney, NSW, Australia. gryan@pharm.usyd.edu.au</t>
  </si>
  <si>
    <t>http://ovidsp.ovid.com/ovidweb.cgi?T=JS&amp;CSC=Y&amp;NEWS=N&amp;PAGE=fulltext&amp;D=med5&amp;AN=18236269</t>
  </si>
  <si>
    <t>http://dx.doi.org/10.1080/01421590701551698</t>
  </si>
  <si>
    <t>MEDLINE; Ovid Technologies; Online CME: an effective alternative to face-to-face delivery</t>
  </si>
  <si>
    <t>Ryan,M. L.;Colvin,C. L.;Tankanow,R. M.</t>
  </si>
  <si>
    <t>Development and funding of a pharmacy-based investigational drug service</t>
  </si>
  <si>
    <t>Drug Evaluation;Hospital Bed Capacity, 500 and over;Hospitals, University/og Organization &amp; Administration];Michigan;*Pharmacology, Clinical/ec Economics];*Pharmacy Service, Hospital/og Organization &amp; Administration];Research Support as Topic</t>
  </si>
  <si>
    <t>The development, implementation, and operation of a pharmacy-based investigational drug service (IDS) at a university medical center are described. Before the IDS was established, pharmacy participation in investigational drug research was limited to the preparation of novel dosage forms. Medication errors, improper storage and labeling, and inadequate inventories of investigational drugs were common problems. Stepped-up enforcement by FDA and the National Cancer Institute (NCI) of guidelines for investigational drug control prompted the formation of a multidisciplinary task force, which recommended that the department of pharmaceutical services expand its support of investigational drug studies to include inventory control, record keeping, and clinical services. The IDS is supported by both the hospital and the school of medicine and currently receives 36% of its funding from principal investigator grants and contracts. The IDS coordinates more than 100 study protocols and dispenses more than 4000 doses of investigational drugs annually. The IDS is staffed by 1.0 full-time equivalent (FTE) clinical pharmacist and 0.5 FTE technician. Inventory control and billing functions are performed by a departmental microcomputer system. The IDS has demonstrated a positive gross margin for each of its first two years of operation. Problems associated with the control and use of investigational drugs at this institution have been successfully corrected by the implementation of a pharmacy-based IDS.</t>
  </si>
  <si>
    <t>J2: Am J Hosp Pharm; Ryan, M L Colvin, C L Tankanow, R M; ID: 692</t>
  </si>
  <si>
    <t>http://ovidsp.ovid.com/ovidweb.cgi?T=JS&amp;CSC=Y&amp;NEWS=N&amp;PAGE=fulltext&amp;D=med2&amp;AN=3605116</t>
  </si>
  <si>
    <t>MEDLINE; Ovid Technologies; Development and funding of a pharmacy-based investigational drug service</t>
  </si>
  <si>
    <t>Saade,G.;Warren,C. W.;Jones,N. R.;Mokdad,A.</t>
  </si>
  <si>
    <t>Tobacco use and cessation counseling among health professional students: Lebanon Global Health Professions Student Survey</t>
  </si>
  <si>
    <t>Journal Medical Libanais - Lebanese Medical Journal</t>
  </si>
  <si>
    <t>Adult;Attitude of Health Personnel;*Counseling/ed Education];Counseling/mt Methods];Counseling/sn Statistics &amp; Numerical Data];Female;Global Health;Health Behavior;Humans;Lebanon/ep Epidemiology];Male;Population Surveillance;Prevalence;Risk-Taking;*Smoking Cessation/sn Statistics &amp; Numerical Data];Students, Dental/sn Statistics &amp; Numerical Data];*Students, Health Occupations/sn Statistics &amp; Numerical Data];Students, Medical/sn Statistics &amp; Numerical Data];Students, Nursing/sn Statistics &amp; Numerical Data];Students, Pharmacy/sn Statistics &amp; Numerical Data];Surveys and Questionnaires;Tobacco Use Disorder/ep Epidemiology];*Tobacco Use Disorder/pc Prevention &amp; Control];Young Adult</t>
  </si>
  <si>
    <t>INTRODUCTION: The number of deaths attributable to tobacco use is rising globally. Health professionals can help reduce tobacco use by providing advice to patients regarding smoking cessation. Very few studies have collected information on tobacco use and cessation counseling training among health professional students. The purpose of this paper is to examine these issues using data from the 2005 Lebanon Global Health Professions Student Survey (GHPSS). METHODS: The 2005 Lebanon GHPSS includes nationally representative estimates of third-year students in all dental, medical, nursing, and pharmacy schools in Lebanon. RESULTS: Current cigarette use ranged from 14.8% for pharmacy students to 26.9% for nursing students and 27.4% for medical students. Current waterpipe use ranged from 20.6% for medical students to 44.9% for nursing students. About 8 in 10 students in all four disciplines were exposed to second-hand smoke in public places. More than 8 in 10 students in medical, nursing, and pharmacy schools believed that health professionals have a role in giving advice or information on smoking cessation to patients. More than 9 in 10 students in all four disciplines believed that health professionals should receive training on smoking cessation techniques. However, those who received training ranged from 19.8% of pharmacy students to 43.7% of nursing students. CONCLUSION: Tobacco use (cigarettes and water-pipe) is high among third-year health professional students in Lebanon. Students are willing to provide smoking-cessation counseling but lack training. The Ministry of Public Health, the Ministry of Education, and educational institutions in Lebanon should work together with other interested partners in developing, testing, and implementing successful patient cessation counseling training programs for health professionals.</t>
  </si>
  <si>
    <t>J2: J Med Liban; Saade, Georges Warren, Charles W Jones, Nathan R Mokdad, Ali; ID: 287</t>
  </si>
  <si>
    <t>0023-9852</t>
  </si>
  <si>
    <t>Saade,Georges. Lebanese University, Faculty of Public Health, Fanar Campus, Beirut, Lebanon. gasaade@yahoo.com</t>
  </si>
  <si>
    <t>http://ovidsp.ovid.com/ovidweb.cgi?T=JS&amp;CSC=Y&amp;NEWS=N&amp;PAGE=fulltext&amp;D=med5&amp;AN=20027801</t>
  </si>
  <si>
    <t>MEDLINE; Ovid Technologies; Tobacco use and cessation counseling among health professional students: Lebanon Global Health Professions Student Survey</t>
  </si>
  <si>
    <t>Saastamoinen,L. K.;Klaukka,T. J.;Ilomaki,J.;Enlund,H.</t>
  </si>
  <si>
    <t>An intervention to develop repeat prescribing in community pharmacy</t>
  </si>
  <si>
    <t>Aged;*Community Pharmacy Services/og Organization &amp; Administration];Female;Finland;Humans;Male;Middle Aged;*Pharmacists/og Organization &amp; Administration];Physicians, Family/st Standards];*Practice Patterns, Physicians'/st Standards];Prescription Drugs/ae Adverse Effects];Prescription Drugs/tu Therapeutic Use];Professional Role;0 (Prescription Drugs)</t>
  </si>
  <si>
    <t>BACKGROUND: Lack of review of patients' medications in repeat prescribing is common. This and other problems in repeat prescribing need to be addressed. Community pharmacists could be more proactive in the review of chronic medications. OBJECTIVE: The purpose of this study was to test the feasibility and effects of pharmacists' interventions in repeat prescribing. METHODS: The normal repeat prescribing process used at Kuopio University Pharmacy and in Kuopio Health Services was developed by an intervention which included a pharmacist's interview and the annual medication data of the patient that were both transferred to the prescribing physician. RESULTS: Physicians in the intervention group identified and solved patients' drug-related problems better than was the case in the comparison group with normal repeat prescribing. Over half the patients receiving repeat prescriptions had at least one drug-related problem. The physicians used more information sources to support repeat prescribing in the intervention system. CONCLUSIONS: Community pharmacists are able to improve the quality of physician's repeat prescribing by providing vital information.</t>
  </si>
  <si>
    <t>J2: J Clin Pharm Ther; Saastamoinen, L K Klaukka, T J Ilomaki, J Enlund, H; ID: 319</t>
  </si>
  <si>
    <t>Saastamoinen,L K. The Social Insurance Institution, Helsinki, Finland. leena.k.saastamoinen@kela.fi</t>
  </si>
  <si>
    <t>http://ovidsp.ovid.com/ovidweb.cgi?T=JS&amp;CSC=Y&amp;NEWS=N&amp;PAGE=fulltext&amp;D=med5&amp;AN=19646075</t>
  </si>
  <si>
    <t>http://dx.doi.org/10.1111/j.1365-2710.2008.01003.x</t>
  </si>
  <si>
    <t>MEDLINE; Ovid Technologies; An intervention to develop repeat prescribing in community pharmacy</t>
  </si>
  <si>
    <t>Saba,M.;Bittoun,R.;Kritikos,V.;Saini,B.</t>
  </si>
  <si>
    <t>PMC3777019; Smoking cessation in community pharmacy practice-a clinical information needs analysis</t>
  </si>
  <si>
    <t>Springerplus</t>
  </si>
  <si>
    <t>BACKGROUND: With the emerging role of pharmacists in implementing smoking cessation services and the recent evidence about smoking cessation pharmacotherapies, a needs analysis to assess baseline knowledge about current smoking cessation practice is needed; hence, training and development in this area can target possible 'gaps'. OBJECTIVE: This study aimed at exploring pharmacy students' knowledge about and attitudes toward smoking cessation, as compared to practicing community pharmacists and smoking cessation educators. The overall objective was to uncover underlying 'gaps' in pharmacy-based smoking cessation practice, particularly clinical gaps. SETTING: Final-year pharmacy students at the University of Sydney, practicing community pharmacists and smoking cessation educators in Australia. METHOD: As no previous standard pharmacist-focused smoking cessation knowledge questionnaires exist, a review of the literature informed the development of such a questionnaire. The questionnaire was administered to a cohort of fourth-year pharmacy students at the University of Sydney, practicing pharmacists and smoking cessation educators. Data analysis was performed using Predictive Analytics SoftWare (PASW Statistics 18). Mean total scores, independent t-tests, analysis of variances and exploratory factor analysis were performed. MAIN OUTCOME MEASURE: To determine areas of major clinical deficits about current evidence related to smoking cessation interventions at the pharmacy level. RESULTS: Responses from 250 students, 51 pharmacists and 20 educators were obtained. Smoking educators scored significantly higher than pharmacists and students (P.05). All groups scored high on 'general' knowledge questions as compared to specialised pharmacologic and pharmacotherapeutic questions. All respondents demonstrated positive attitudes toward the implications of smoking cessation. Factor analysis of the 24-item knowledge section extracted 12 items loading on 5 factors accounting for 53% of the total variance. CONCLUSIONS: The results provide a valid indication of 'gaps' in the practice of up-to-date smoking cessation services among Australian pharmacy professionals, particularly in clinical expertise areas involving assessment of nicotine dependence and indications, dosages, adverse effects, contraindications, drug interactions and combinations of available pharmacotherapies. These gaps should be addressed, and the results should inform the design, implementation and evaluation of a pharmacy-based educational training program targeting current clinical issues in smoking cessation.</t>
  </si>
  <si>
    <t>J2: Springerplus; Saba, Maya Bittoun, Renee Kritikos, Vicky Saini, Bandana; ID: 145</t>
  </si>
  <si>
    <t>2193-1801</t>
  </si>
  <si>
    <t>Saba,Maya. Faculty of Pharmacy, The University of Sydney, Sydney, NSW 2006 Australia.</t>
  </si>
  <si>
    <t>http://ovidsp.ovid.com/ovidweb.cgi?T=JS&amp;CSC=Y&amp;NEWS=N&amp;PAGE=fulltext&amp;D=prem&amp;AN=24058894</t>
  </si>
  <si>
    <t>http://dx.doi.org/10.1186/2193-1801-2-449</t>
  </si>
  <si>
    <t>MEDLINE; Ovid Technologies; Smoking cessation in community pharmacy practice-a clinical information needs analysis</t>
  </si>
  <si>
    <t>Saba,M.;Dan,E.;Bittoun,R.;Saini,B.</t>
  </si>
  <si>
    <t>Asthma and smoking--healthcare needs and preferences of adults with asthma who smoke</t>
  </si>
  <si>
    <t>Journal of Asthma</t>
  </si>
  <si>
    <t>Adolescent;Adult;*Asthma/ep Epidemiology];Attitude to Health;Australia/ep Epidemiology];Female;Humans;Interviews as Topic;Male;Middle Aged;Motivation;Perception;*Smoking/ep Epidemiology];*Smoking Cessation/px Psychology];*Tobacco Use Disorder/px Psychology];*Tobacco Use Disorder/th Therapy];Young Adult</t>
  </si>
  <si>
    <t>OBJECTIVE: People with asthma smoke at least as much as, if not more than, people without asthma. The aim of this study was to explore the unique healthcare needs and preferences of smokers with asthma, in terms of smoking topography and initiation, perceived interplay between asthma and smoking, motivation and readiness to quit, and proposed smoking cessation techniques. METHODS: Qualitative, semi-structured, in-depth telephone interviews with adult smokers who have concurrent asthma were conducted. Participants were recruited through flyers displayed at community pharmacies, general practice surgeries, university campuses, and respiratory clinics of tertiary hospitals and through an advertisement on the "Asthma Foundation" website. Recorded interviews were transcribed verbatim and analysed using NVivo 10 software (QSR International, Melbourne, Victoria, Australia). Obtained data were content-analysed for emergent themes using the 'framework approach'. RESULTS: Twenty-four semi-structured interviews were conducted. Most participants believed that smoking often worsens their asthma and increases the frequency and severity of their symptoms. Fear of asthma-related exacerbations and poor self-control appeared to be the major triggers for quitting smoking. Most patients reported being motivated to quit smoking; however, in many cases, determination and strong will power need to be coupled with public, social, professional, and therapeutic support to achieve and maintain success. CONCLUSIONS: Given the unique needs of people with asthma who smoke, it is imperative that evidence-based smoking cessation programs be designed and tailored to assist them in effectively quitting smoking.</t>
  </si>
  <si>
    <t>J2: J Asthma; Saba, Maya Dan, Emil Bittoun, Renee Saini, Bandana; ID: 62</t>
  </si>
  <si>
    <t>1532-4303</t>
  </si>
  <si>
    <t>Saba,Maya. Faculty of Pharmacy, The University of Sydney , Sydney, NSW , Australia .</t>
  </si>
  <si>
    <t>http://ovidsp.ovid.com/ovidweb.cgi?T=JS&amp;CSC=Y&amp;NEWS=N&amp;PAGE=fulltext&amp;D=medl&amp;AN=24894741</t>
  </si>
  <si>
    <t>http://dx.doi.org/10.3109/02770903.2014.930481</t>
  </si>
  <si>
    <t>MEDLINE; Ovid Technologies; Asthma and smoking--healthcare needs and preferences of adults with asthma who smoke</t>
  </si>
  <si>
    <t>Sabe,Z. S.;Author,Addresses;University,of Gondar;Correspondence,Address;ZS Sabe, University of Gondar,Gondar Ethiopia</t>
  </si>
  <si>
    <t>Impact of clerkship attachments on students' attitude towards pharmaceutical care in Ethiopia</t>
  </si>
  <si>
    <t>A541</t>
  </si>
  <si>
    <t>Ethiopia;European;human;pharmaceutical care;student;clinical education;clinical pharmacy;counseling;drug interaction;drug therapy;health;health care;medical record;patient;pharmacist;pharmacy;pharmacy student;questionnaire;responsibility;statistical analysis;technology;university;ward;workplace</t>
  </si>
  <si>
    <t>Objectives: The present study aimed at investigating the impact of mandatory clinical clerkship courses on fifth year pharmacy students' attitudes and perceived barriers toward providing pharmaceutical care (PC). Methods: A cross-sectional survey was conducted among 5th year pharmacy students undertaking mandatory clinical clerkship in the University of Gondar, Ethiopia. A pharmaceutical care attitudes survey (PCAS) questionnaire was used to assess the attitude (14 items), commonly identified drug-related problem/s (1 item) during clerkships, and perceived barriers (12 items) toward the provision of PC. Statistical analysis was conducted on the retrieved data. Results: Among the total of 69 clerkship students, 65 participated and completed the survey (94.2% response rate). Overall, 74.45% of participants had positive attitude toward PC provision. Almost all respondents agreed that the primary responsibility of pharmacists in the healthcare setting was to prevent and solve medication-related problems (98.5%), practice of PC was valuable (89.3%), and the PC movement will improve patient health (95.4%), respectively. Unnecessary drug therapy (43%), drug-drug interactions (33%), and non-adherence to medications (33%) were the most common drug-related problems identified in wards. Highly perceived barriers for PC provision included lack of a workplace for counseling in the pharmacy (75.4%), a poor image of pharmacist's role in wards (67.7%), and inadequate technology in the pharmacy (64.6%). Lack of access to a patient's medical record in the pharmacy had significant association (P&lt; 0.05) with PC practice, performance of PC during clerkship and provision of PC as clinical pharmacists Conclusions: Students attending the new clinical pharmacy program in Ethiopia have a good attitude toward pharmaceutical care. However, the barriers to pharmaceutical care need to be addressed by integrating PC provision with pharmacy practice.</t>
  </si>
  <si>
    <t>(Sabe Z.S.) ISPOR 18th Annual European Congress Milan, Italy 2015-11-07 to 2015-11-11 Elsevier Ltd; ID: 803</t>
  </si>
  <si>
    <t>Saber-Ayad,M.;El-Demiry,E.;Ahmed,D.;El-Sayed,E.;Osman,M.;Zaki,M.;Author,Addresses;Pharmacology;Pharmaceutics,College of Pharmacy;University of Sharjah, Sharjah United,Arab Emirates;Pharmacology,Cairo Egypt;Critical Care,Cairo University;Cairo,Egypt;Correspondence,Address;M.M. Saber-Ayad,Pharmacology;Pharmaceutics,College of Pharmacy;University of Sharjah, Sharjah United,Arab Emirates</t>
  </si>
  <si>
    <t>Clinical pharmacology and pharmacy project in Cairo University Hospitals: One-year follow up</t>
  </si>
  <si>
    <t>digoxin;granulocyte colony stimulating factor;teicoplanin;vancomycin;clinical pharmacology;clinical pharmacy;follow up;pharmacy;university hospital;cerebrospinal fluid;clinical practice;drug interaction;drug therapy;evidence based medicine;hospital;hospital patient;human;intensive care;ischemic heart disease;kidney failure;patient;patient care;pharmacist;pharmacology;physician;prescription;reinforcement;stress ulcer;therapy</t>
  </si>
  <si>
    <t>Introduction The role of the clinical pharmacist in Cairo University Hospitals has been reinforced through the project of Prescription Auditing started in 2008 by the Clinical Pharmacy and Pharmacology Committee. The main objective of the project is short-term training of working pharmacists/clinical pharmacologists on prescription auditing using various tools of evidence-based Medicine (EBM). Having a two-year experience in dealing with drug related problems (DRPs) in Critical Care Department, we will present some of the remarkable interventions and interesting cases encountered during our work. Materials &amp; Methods Data were collected from patients' medical files. The DRPs identified in drug chart were written in standardized auditing sheets. A number of EBM resources (e.g. BNF, Micromedex, Up-to-date,Cochrane) were used to identify DRPs. The notes taken by the team members were discussed instantaneously with the physicians. Frequently encountered and serious DRPs were also discussed at a higher level. Seminars and flyers helped at reinforcing some frequent errors, especially to the junior intensivists. Results Out of 1620 in-hospital drug charts revised in the initial phase, 82 charts showed at least one DRP (Œì√™‚ïù5%). DRPs were mostly in the form of drug-drug interaction. The positive impact of the project on improving clinical practice in critical care units has been noticed in some aspects of drug therapy. Compared to the early phases of the study, in 2011, digoxin dose adjustment in renal failure patient has been correctly done; patients presented with ischemic heart diseases and vulnerable to develop stress ulcer receive H2 blockers (instead of intravenous PPIs that was extensively used previously in ischemic patients). The latter modification has a great economic impact. Remarks and notes of the clinical pharmacists were helpful in a number of situations; e.g. modification of vancomycin and targocid dose in a renal failure patients, Failure of therapy was noticed in patients receiving certain brands of G-CSF. Those and other cases will be further discussed and compared with other studies1. Discussions, Conclusion Clinical Pharmacists and Pharmacologists can play a major and indispensible role in patient care through detecting and minimizing drug-related problems. The impact of prescription auditing is of a great value at the patient care level as well as at the economic level. Reinforcement of the practical recommendations through repeated seminars and discussions are important to get the optimal results.</t>
  </si>
  <si>
    <t>(Saber-Ayad M.M.) (Saber-Ayad M.M.; Osman M.; Zaki M.) (El-Demiry E.; Ahmed D.; El-Sayed E.) ESCP 40th International Symposium on Clinical Pharmacy. Clinical Pharmacy: Connecting Care and Outcomes Dublin, Ireland 2011-10-19 to 2011-10-21 Springer Netherlands; ID: 1198</t>
  </si>
  <si>
    <t>Sabry,N.;Abbassi,M.;Author,Addresses;Cairo University,Cairo Egypt;Correspondence,Address;Sabry, Cairo University Cairo Egypt,N.</t>
  </si>
  <si>
    <t>Impact of a clinical pharmacist in the multi-specialized hospital: An Egyptian Trial</t>
  </si>
  <si>
    <t>health care organization;hospital;human;pharmacist;achievement;adverse drug reaction;cardiology;confidence interval;consultation;critically ill patient;death;decision making;diet restriction;diseases;drug therapy;drug use;general hospital;iatrogenic disease;informed consent;institutional review;intensive care;internal medicine;intoxication;medical specialist;methodology;monitoring;nurse;patient;patient safety;pharmaceutical care;pharmacy;physician;risk;secondary health care;surgery;United Kingdom;United States;university</t>
  </si>
  <si>
    <t>Introduction Patient safety is a main goal in any treatment protocol. Drugs are not licensed worldwide until they are proven to be safe &amp; efficacious. However, drug related problems (DRPs) represent a worldwide concern. A DRP can be defined as 'A circumstance that involves a patient's drug treatment that actually, or potentially, interferes with the achievement of an optimal outcome' (1). This can include any stage of drug use starting from prescribing process, all through dispensing, administration &amp; then possible adverse events. Medication review is a structured evaluation of patient's medicines, aimed at optimizing the impact of medications while minimizing their related problems. DRPs are frequent in Egyptians hospitals, cause increased costs &amp; had never been properly addressed, which encouraged the present authors to evaluate the impact of clinical pharmacist in providing pharmaceutical care. Methodology This prospective work was conducted between June &amp; December 2012, at a 150-bed Egyptian general hospital. Five trained pharmacists with the same level of qualifications &amp; experience were specially recruited to conduct a structured medication review process &amp; record patient-specific medication related recommendations &amp; complete quality-of-care interventions. All identified DRPs &amp; interventions proposed were recorded &amp; stratified according to their type. rate of resistance to pharmacist interventions were calculated. Ninety five percent confidence intervals (95% CI) were calculated when possible. The medication review process was not a service routinely provided in the hospital. Institutional review boards of Faculty of Pharmacy, Cairo University as well as the hospital approved the study. Written informed consent was deemed unnecessary. Results The total audited doses by the pharmacists were 43072 (81%), 33096 (68%), 36509 (76%), 37129 (71%), 35866 (80%), 43240 (97%),&amp;48749 (98%) with an average rate of 81%. The most prevalent DRPs were prescribing errors followed by administration errors, then medication overdose. The greatest error rates across the 7 months were observed in the ICUs &amp; cardiology units (average of 22%). Numbers of interventions offered by the pharmacists ranged in the study period from 241, to 519 per months. Nurses accepted all the interventions introduced by the pharmacists aimed at reducing administration errors while physicians resistance rates had an average of 21%. Resistance rates were relatively high among ICU specialists, internal medicine specialties as well as in surgery. During the study period, A total of 20 (92 doses) patients experienced adverse drug events (ADRs). The highest was observed during the first month of the service were ADRs represented 2.8% of the total problems detected during June. Out of the reported 20 patients one of only was prescribed as allergic &amp; the rest were non-allergic. Thirteen (70 doses) of the recorded events resulted in death or serious events &amp; required urgent intervention including ICU admission, discontinuing medication, treatment change, or extra monitoring. Discussion This study records the pharmacists' interventions in the secondary care setting &amp; the measures taken by the hospital as a result of the pharmacists review. Pharmacists were effectively able to intervene&amp;correct all administration errors while physicians especially consultants were more resistant to interventions. The percentage of doses reviewed increased along the study except for August &amp; September. Ramadan - the fasting month - came during August and could be the reason behind this decline, where the daily working hours decreased from 6 hours daily to four hours only. DRP rates in the present study had an average of 2.8% of audited doses, matching international rates; 1.5% prescribing errors in United Kingdom (UK) &amp; 6.2% in the United States of America (USA).(2) ICUs where the highest percentage of DRPs to be recorded. This could be attributed to the presence of substantial patient safety challenges because of the fast-pace, complex problems, and the urgent high-risk decision-making by physicians with varying levels of critical care training. Furthermore, critically ill patients may be vulnerable to iatrogenic injury because of the severity &amp; instability of their illness. This study showed a positive influence of the pharmacistled medication review in reducing potential drug-related problems in Egyptian secondary care where the hospital under study implemented new measures to minimize drug related problems according to the findings of the trained pharmacists.</t>
  </si>
  <si>
    <t>(Sabry N.; Abbassi M.) Royal Pharmaceutical Society, RPS Annual Conference 2013 Birmingham, United Kingdom 2013-09-08 to 2013-09-09 Pharmaceutical Press; ID: 1006</t>
  </si>
  <si>
    <t>Sabry,N.;Farid,S.;Dawoud,D.</t>
  </si>
  <si>
    <t>Drug-related problems in cardiac children</t>
  </si>
  <si>
    <t>Minerva pediatrica</t>
  </si>
  <si>
    <t>Minerva Pediatr.</t>
  </si>
  <si>
    <t>BACKGROUND: A drug-related problem (DRP) may be defined as "an event or circumstance involving drug therapy that actually or potentially interferes with the desired health outcome". Our aim was to determine the frequency and characteristics of DRPs in pediatric patients admitted to a tertiary cardiac care center in the Egyptian capital, Cairo. METHODS: A prospective observational cohort study involving review of case notes for children aged 0-18 years, admitted to the medical ward and intensive care unit (ICU), was conducted at a tertiary cardiac care center in Egypt. Data collection took place over a three-month period. Daily reviews of patients' records, medication charts and laboratory data were undertaken by the clinical pharmacists to identify DRPs. RESULTS: A total of 60 patients were included in the study (mean age 4.8 years; 53.33% males). Over a three-month period, a total of 313 DRPs were recorded corresponding to an average of 5.22 problems per patient. The most commonly recorded problems related to drug-drug interaction (45.69%), prescribing unnecessary medication (31.95%), under-dosing (21.09%), inappropriate medication (0.96%) and adverse drug reaction (0.32%). Prophylactic antibiotics represented the only unnecessarily prescribed medications. Of the pharmacist suggested interventions, 65% were accepted by the responsible physician. CONCLUSIONS: DRPs occurred frequently during the study period. Drug-drug interactions, drug choice and drug dosing problems represented the majority of the identified DRPs, necessitating targeted prescriber education interventions in these areas. There is a clear need for clinical pharmacists' involvement on the ward level to identify and rectify these frequently occurring and very costly problems.</t>
  </si>
  <si>
    <t>J2: Minerva Pediatr; Sabry, Nirmeen Farid, Samar Dawoud, Dalia; ID: 754</t>
  </si>
  <si>
    <t>1827-1715</t>
  </si>
  <si>
    <t>Sabry,Nirmeen. Department of Clinical Pharmacy, Faculty of Pharmacy Cairo University, Cairo, Egyptes Nonprofit Organization, Milan, Italy - nirmeen.sabry@pharma.cu.edu.eg.</t>
  </si>
  <si>
    <t>http://ovidsp.ovid.com/ovidweb.cgi?T=JS&amp;CSC=Y&amp;NEWS=N&amp;PAGE=fulltext&amp;D=prem&amp;AN=25034220</t>
  </si>
  <si>
    <t>MEDLINE; Ovid Technologies; Drug-related problems in cardiac children</t>
  </si>
  <si>
    <t>Sachs,D. P.;Ferry,L. H.;Sachs,B. L.;Author,Addresses;Palo Alto Center,for Pulmonary;Prevention,Palo Alto United States;Correspondence,Address;DP Sachs, Palo Alto Center for Pulmonary Disease Prevention,Palo Alto;United,States</t>
  </si>
  <si>
    <t>Improving training in tobacco-dependence diagnosis and treatment in doctoral-level medical, nursing, dental, and pharmacy schools</t>
  </si>
  <si>
    <t>nicotine;diagnosis;nursing;school;tobacco dependence;competence;curriculum;death;dentistry;drug therapy;education;graduate;health care cost;health care personnel;health science;hospital;Loma;lung disease;methodology;pharmacy;prophylaxis;skill;tobacco;United States;university;victim;workshop</t>
  </si>
  <si>
    <t>PURPOSE: Tobacco dependence remains the leading cause of premature death in the United States, killing half its victims and causing 423,595 deaths/year. It is exceptionally cost-effective to treat, yet tobacco-dependence basic science knowledge and clinic diagnostic and treatment skills remain largely untaught in the United States' medical, nursing, dental, or pharmacy schools. We wanted to explore methods to integrate tobacco-dependence education and training into all healthcare professional schools. METHODS: The Palo Alto Center for Pulmonary Disease Prevention (PACPDP) chose to partner with Loma Linda University (LLU) because it has graduate schools for all four, major, health-science disciplines and has a 100-year-old campus-wide mission to prevent and treat tobacco dependence. We initially revised and updated the School of Medicine's (SM) thorough, 4-hour, pre-clinical workshop and the School of Pharmacy's (SP) 9 hours of pre-clinical content in tobacco-dependence diagnosis and pharmacotherapy. Using a heuristic methodology for curriculum and faculty development, we fostered discipline-specific curricular changes and initiated interdisciplinary clinical rotations for LLU's Schools of Nursing (SN), Pharmacy (SP), and Dentistry (SD). Faculty attended national, scientific tobacco and nicotine meetings to increase knowledge and competence by interacting with international experts. RESULTS: From February 2007 through December 2009, the number of basic science hours taught in each of the four professional schools increased a substantial 3-to 6-fold (e.g., 1 hour to 6 hours). Clinical training hours increased overall from 0 to 4, with the School of Medicine adding a 4-week elective rotation. The greater the direct support from the Dean's office in each school, the faster and greater the faculty and curricular change. CONCLUSION: Major curricular change in tobacco-dependence basic-science and clinical training can occur rapidly in all four, major health-science schools by interweaving content into existing courses and clerkships. Doing so required consistent, unwavering support from the University Chancellor and Deans. CLINICAL IMPLICATIONS: Implementing interdisciplinary curricular change will enable the forthcoming generation of healthcare professionals to be vastly more effective in diagnosis and treatment of tobacco dependence, reducing healthcare costs substantially.</t>
  </si>
  <si>
    <t>(Sachs D.P.; Ferry L.H.; Sachs B.L.) CHEST 2010 Annual Meeting Vancouver, BC, Canada 2010-10-30 to 2010-11-04 American College of Chest Physicians; ID: 1331</t>
  </si>
  <si>
    <t>Saddichha,S.;Jayaram,N.;Manjunatha,N.;Benegal,V.;Author,Addresses;National Institute,of Mental;Neurosciences,Bangalore;India;Correspondence,Address;Saddichha, National Institute of Mental Health,S.;Neurosciences;com,Bangalore India Email saddichha gmail</t>
  </si>
  <si>
    <t>21119092; Baclofen-induced morbiliform rashes: A case series</t>
  </si>
  <si>
    <t>(MAJOR FOCUS);baclofen (adverse drug reaction, drug dose);drug eruption (side effect, complication, side effect);erythema (side effect, complication, side effect);maculopapular rash (side effect, complication, side effect);morbiliform maculopapular erythematous lesion (side effect, side effect);adult;alcoholism;axilla;case report;case study;disease severity;dose response;drug dose increase;drug dose reduction;drug safety;drug withdrawal;evening dosage;face;female;human;low drug dose;maintenance drug dose;male;naranjo algorithm score;review;scoring system;thorax;baclofen (1134-47-0);Dermatology and Venereology (13);Drug Literature Index (37);Adverse Reactions Titles (38)</t>
  </si>
  <si>
    <t>Baclofen is a gamma amino butyric acid (GABA) derivative that is a specific agonist at GABA-B receptors. Initially used in the treatment of spasticity, it is now being used in the treatment of alcohol dependence. Although it has several known adverse effects, incidence of rashes developing due to baclofen is very rare, and morbiliform rashes due to baclofen, an exceedingly rare adverse effect, has been reported only once before. We report a case series of 4 patients who developed morbiliform rashes after initiation of baclofen. ‚î¨‚åê 2011 American College of Clinical Pharmacology, Inc.</t>
  </si>
  <si>
    <t>(Saddichha S., saddichha@gmail.com; Jayaram N.; Manjunatha N.; Benegal V.) (NIMHANS) SAGE Publications Inc., 2455 Teller Road, Thousand Oaks, United States.; ID: 1217</t>
  </si>
  <si>
    <t>http://www.ncbi.nlm.nih.gov/pubmed/21119092</t>
  </si>
  <si>
    <t>Baclofen-induced morbiliform rashes: A case series</t>
  </si>
  <si>
    <t>Sahhar,D.;O'Connor,D.</t>
  </si>
  <si>
    <t>How well do Australian medical schools prepare general practitioners to care for patients with mental disorders?</t>
  </si>
  <si>
    <t>Australasian Psychiatry</t>
  </si>
  <si>
    <t>Adolescent;Adult;Aged;Attitude of Health Personnel;Australia;Clinical Competence/st Standards];Counseling/ed Education];Cross-Sectional Studies;Curriculum;*Education, Medical, Undergraduate;*Family Practice/ed Education];Female;Humans;Male;Mental Disorders/di Diagnosis];Mental Disorders/ep Epidemiology];*Mental Disorders/th Therapy];Middle Aged;Primary Health Care/ut Utilization];*Psychiatry/ed Education];Psychotropic Drugs/tu Therapeutic Use];Quality Control;0 (Psychotropic Drugs)</t>
  </si>
  <si>
    <t>OBJECTIVE: The purpose of the present paper was to map the mental health workloads of general practitioners (GPs) , and to determine GPs' views of the adequacy of their undergraduate training in psychiatry. METHODS: Twenty-nine GPs who had graduated since 1980 from an Australian medical school provided data on 339 consecutive adult patients with conspicuous psychological disorders. After listing their patients' problems and management plans, doctors rated the value of their undergraduate teaching in preparing them for this task. RESULTS: Depression, anxiety and substance abuse accounted for 71% of reported cases. Virtually all patients were given some psychologically orientated treatment. Only half were prescribed a psychotropic medication. Nineteen of the 29 doctors wished that they had received more training in counselling. CONCLUSIONS: In an earlier survey it was found that Australian and New Zealand medical school curricula focused largely on the diagnosis and pharmacological management of psychosis and depression. The GPs in the present study most commonly applied psychologically orientated treatments of anxiety, depression and substance abuse. It is proposed that medical schools provide tuition to medical students in counselling.</t>
  </si>
  <si>
    <t>J2: Australas; Sahhar, Deborah O'Connor, Daniel; ID: 459</t>
  </si>
  <si>
    <t>1039-8562</t>
  </si>
  <si>
    <t>Sahhar,Deborah. Caulfield General Medical Centre, Melbourne, Victoria, Australia.</t>
  </si>
  <si>
    <t>http://ovidsp.ovid.com/ovidweb.cgi?T=JS&amp;CSC=Y&amp;NEWS=N&amp;PAGE=fulltext&amp;D=med5&amp;AN=15715735</t>
  </si>
  <si>
    <t>MEDLINE; Ovid Technologies; How well do Australian medical schools prepare general practitioners to care for patients with mental disorders?</t>
  </si>
  <si>
    <t>Saito,Y.;Kasashi,K.;Yoshiyama,Y.;Fukushima,N.;Kawagishi,T.;Yamada,T.;Iseki,K.;Author,Addresses;Department,of Pharmacy;Hospital,Kita jo Nishi chome Kita-ku Sapporo Japan;Division of Community Pharmacy, Center for,Clinical Pharmacy;and Clinical Sciences, Kitasato University,Shirokane Minato;Tokyo,Japan;Division of Social Pharmacy, Faculty,of Pharmaceutical;Sciences,Keio University Shibakoen Minato-ku Tokyo;Japan;Laboratory,of Clinical;and Therapeutics, Faculty of Pharmaceutical Sciences,Hokkaido University;Kita 12-jo, Nishi chome Kita-ku,Sapporo Japan;Correspondence,Address;Iseki, Department of Pharmacy Hokkaido University Hospital Kita jo,K.;Nishi 5-chome, Kita-ku Sapporo,Japan Email;ken,i pharm hokudai ac jp</t>
  </si>
  <si>
    <t>23370359; Survey on the attitudes of pharmacy students in Japan toward doping and supplement intake</t>
  </si>
  <si>
    <t>Biological and Pharmaceutical Bulletin</t>
  </si>
  <si>
    <t>doping;student attitude;supplementation;article;awareness;drug use;female;human;Japan;male;medical education;pharmacy student;questionnaire;Public Health, Social Medicine and Epidemiology (17)</t>
  </si>
  <si>
    <t>Doping is one of the most serious problems for athletes, and it is important that pharmacists have more interaction with athletes to ensure safer drug usage. Education is one of the most important roles of sports pharmacists, who are specialists regarding drug usage for athletes. We investigated pharmacy students' interests and comprehension regarding drug usage, doping and supplement intake by using the form of a questionnaire, since it is important to know how they understand these subjects as part of their greater educational program. The subjects were sophomore and junior pharmacy students at three universities. It was revealed that most of the students have negative images regarding doping violation, and they answered that they are familiar with doping. However, only sixteen percent of the students had attended lectures by specialists on doping. In addition, one third of pharmacy students did not know that some over-the-counter (OTC) drugs might contain doping substances. With regard to supplement intake, approximately two thirds of the respondents had an interest in and positive image of supplement intake. However, it was revealed that only one third of them recognized supplements as food, and their information regarding supplements was obtained from uncertain media. It was suggested that it is important for pharmacy students to have more opportunities to learn about what doping is. More education and enlightenment by sports pharmacists would be effective for pharmacy students as well as athletes, and it would help us to broaden the scope of what we can do for athletes and society. ‚î¨‚åê 2013 The Pharmaceutical Society of Japan.</t>
  </si>
  <si>
    <t>(Saito Y.; Kasashi K.; Kawagishi T.; Yamada T.; Iseki K., ken-i@pharm.hokudai.ac.jp) (Yoshiyama Y.) (Fukushima N.) (Iseki K., ken-i@pharm.hokudai.ac.jp) Pharmaceutical Society of Japan, 2-12-15-201, Shibuya, Shibuya-ku, Tokyo, Japan.; ID: 1076</t>
  </si>
  <si>
    <t>0918-6158 1347-5215 (electronic)</t>
  </si>
  <si>
    <t>http://www.ncbi.nlm.nih.gov/pubmed/23370359</t>
  </si>
  <si>
    <t>Survey on the attitudes of pharmacy students in Japan toward doping and supplement intake</t>
  </si>
  <si>
    <t>Sakthong,P.;Winit-Watjana,W.;Sakulbumrungsil,R.;Author,Addresses;Department,of Pharmacy;Chulalongkorn University,Bangkok Thailand;Department of Pharmacy Practice, College,of Clinical;Pharmacy,University of Dammam Dammam Saudi Arabia;Department of,Social;Administrative,Pharmacy;Chulalongkorn University,Bangkok Thailand;Correspondence,Address;Sakthong, Department of Pharmacy Practice Chulalongkorn University,P.;Phyathai Road, Pathumwan Bangkok,Thailand Email;phantipa.s@chula.ac.th</t>
  </si>
  <si>
    <t>Understanding the medication experiences of Thai patients attending a medication therapy management clinic</t>
  </si>
  <si>
    <t>Thai Journal of Pharmaceutical Sciences</t>
  </si>
  <si>
    <t>enalapril (adverse drug reaction, drug therapy);hypocholesterolemic agent (adverse drug reaction);vitamin;medication therapy management;pharmaceutical care;adult;aged;article;attitude to health;comprehension;content analysis;coughing (side effect);cross-sectional study;descriptive research;diabetes mellitus;diet supplementation;drug cost;drug indication;drug use;drug withdrawal;expectation;female;herbal medicine;human;hyperlipidemia;hypertension (drug therapy);male;open-ended questionnaire;patient participation;physical activity;pilot study;rhabdomyolysis (side effect);Thai (people);treatment duration;vitamin supplementation;enalapril (75847-73-3);Public Health, Social Medicine and Epidemiology (17);Health Policy, Economics and Management (36);Drug Literature Index (37);Adverse Reactions Titles (38)</t>
  </si>
  <si>
    <t>The study aimed to explore Thai patients' medication experiences in five domains, i.e., attitudes, understanding, expectations and wants, concerns, and convenience of medicine use. This cross-sectional descriptive study was carried out using a qualitative interview with some quantitative queries in patients attending the Medication Therapy Management (MTM) Clinic of the Faculty of Pharmaceutical Sciences at Chulalongkorn University between October 2010 and March 2011. The eligibility criteria included adults aged over 20, taking medication continuously for at least three months, understanding the Thai language with no cognitive impairments, and willing to participate in the study. Eligible patients were interviewed face-to-face using open-ended questions about their medication experiences in five domains. All data were coded and analyzed using a content analysis and descriptive statistics. A convenience sample of 25 patients completed the study. Their mean age was 56.9 ‚î¨‚ñí 13.5 years (range: 24 - 79) and slightly more than half (52 %) were female. The most common diseases from which they suffered were hypertension (84 %), hyperlipidemia (52 %), and diabetes (16 %). Almost all of them disliked taking their medicines, but did it owing to perceived necessity. Most patients did not know about the medicine side-effects, followed by the medicine names, strengths, and goals of treatment. They mostly expected that their medications should relieve the symptoms or cure the diseases and were concerned about the adverse effects. Additionally, the majority reported it was convenient to take their medicines. Patients' medication experiences in various domains are crucial for drug therapy and pharmaceutical care. These could help identify, prevent and resolve patients' drug -related problems from their own perspectives.</t>
  </si>
  <si>
    <t>(Sakthong P., phantipa.s@chula.ac.th) (Winit-Watjana W.) (Sakulbumrungsil R.) Faculty of Pharmaceutical Sciences, Chulalongkorn University, Phyathai Road, Pathumwan, Bangkok, Thailand. tjps@chula.ac.th; ID: 965</t>
  </si>
  <si>
    <t>1905-4637 (electronic) 0125-4685</t>
  </si>
  <si>
    <t>Salam,A.;Haque Prof,M.;Islam,M. Z.;Rahman,N. I. A.;Helali,A. M.;Muda,T. F. M. B. T.;Yousuf,R.;Yesmin,F.;Rahman,Z.;Alattraqchi,A. G.;Author,Addresses;Department of Medical Education, Universiti,Kebangsaan Malaysia;Medical Centre,Kuala,Lumpur Malaysia;Faculty of,Medicine;Health,Sciences;Malaysia,Universiti Sultan Zainal Abidin Terengganu;Pharmacology;Therapeutics,Eastern Medical College;Comilla,Bangladesh;Fpsk,UniS Z. A. Terengganu;Malaysia;Department of,Pharmacology;Therapeutics;Gonoshashthaya Samajvittik,Medical College;Blood Bank Unit, Department of Pathology,U.K.M.Medical Centre;Kuala Lumpur,Malaysia;Department of,Pharmacology;Therapeutics,Enam Medical;College;Hospital,Savar Dhaka Bangladesh;Correspondence,Address;Haque,Faculty of Medicine,M.;Health Sciences,Universiti Sultan;Zainal Abidin, Terengganu Malaysia Email runurono,gmail com</t>
  </si>
  <si>
    <t>Addressing rational prescribers through the pharmacology and therapeutics course work of MBBS syllabus in Bangladesh</t>
  </si>
  <si>
    <t>medical education;prescription;article;Bangladesh;drug misuse;human;medical error;medical ethics;medical practice;physician;professionalism;public health problem;Public Health, Social Medicine and Epidemiology (17)</t>
  </si>
  <si>
    <t>Pharmacology is most rapidly expanding science in medical discipline which leads to the development of many important drugs to treat many medical conditions that was previously untreatable. This paper focuses on the necessity of integration of pharmacology in the medical curriculum in all clinical phases and ethical aspects of medicine in terms of irrational prescribing. Irrational prescribing of drugs is a major global health problem in medical practice. Currently Pharmacology is taught at phase-II, a 2 year period in a 5 years undergraduate medical Programme in Bangladesh under the name 'Pharmacology and Therapeutics'. Indiscriminate use of clinically inappropriate and ineffective medicines are a serious problem. Medicines in Bangladesh are inappropriately prescribed, again all kinds of drugs including controlled products are dispensed and sold out frequently without prescription. Henceforth there are regular violation of medical ethics and professionalism. As only pharmacology and therapeutics deals with the correct selection of drugs, the subject should be continued to teach up to phase-III. In addition, therapeutic discussion should be incorporated with proper logbook during internship in order to make safe and efficient prescribers. Supreme priority should be given to legal and ethical aspects of medicine. Medical professionals must uphold social order by ensuring ethical practices of medicine and appropriate role modelling especially by the faculty. ‚î¨‚åê All rights reserved.</t>
  </si>
  <si>
    <t>(Salam A.) (UKM) (Haque Prof. M., runurono@gmail.com) (FPSK) (UniSZA) (Islam M.Z.) (Rahman N.I.A.; Muda T.F.M.B.T.; Alattraqchi A.G.) (Helali A.M.; Yesmin F.) (GSSVMC) (Yousuf R.) (Rahman Z.) International Research Journal of Pharmacy, Shiv Ganga Hospital, Lakser Rd,, Haridwar, Uttaranchal, India.; ID: 995</t>
  </si>
  <si>
    <t>2013588577 FULL TEXT LINK http://dx.doi.org/10.7897/2230-8407.04713</t>
  </si>
  <si>
    <t>Sanchez,G. M.;Douglass,M. A.;Mancuso,M. A.</t>
  </si>
  <si>
    <t>Revisiting Project Re-Engineered Discharge (RED): The Impact of a Pharmacist Telephone Intervention on Hospital Readmission Rates</t>
  </si>
  <si>
    <t>PURPOSE: Project Re-Engineered Discharge is a discharge nurse education (DNE) and pharmacist follow-up telephone intervention protocol that was shown to decrease rehospitalization significantly. The specific value of the pharmacist intervention was not originally evaluated. The objective of this study was to determine the impact of a pharmacist telephone intervention during the transition of care process on the rate of unplanned hospitalization within 30 days of patient discharge. METHODS: A retrospective chart review was completed for patients who received DNE counseling and were discharged to home from the family medicine service at Boston Medical Center from July 2012 to May 2013. Patients were stratified into two groups: contacted/intervention and unable to contact/no intervention. The primary outcome was the rate of unplanned hospital utilization including emergency department visits and readmissions within 30 days of discharge. Secondary end points included number of pharmacist interventions and time spent on phone calls. RESULTS: A total of 401 patients were identified; 277 patients received a pharmacist telephone intervention, and 124 patients were unable to be contacted. Baseline characteristics did not differ between the two groups, with the exception of a higher prevalence of substance abuse in the nonintervention group (41.9% vs 21.3%, p&lt;0.001). The rate of unplanned hospitalization (visits/patient) was significantly reduced in the intervention group, compared with the unable-to-contact group (0.227 vs 0.519, p&lt;0.001). Pharmacists made a total of 128 interventions and spent an average of 22 minutes on each telephone intervention. CONCLUSION: Patients unable to be contacted by a pharmacist after hospital discharge were more likely to be readmitted or visit the emergency department in the 30 days following discharge. A pharmacist telephone intervention as part of a comprehensive discharge protocol can have a positive impact on patients during the transition of care process by reducing incidence of unplanned hospital utilization.Copyright ‚î¨‚åê 2015 Pharmacotherapy Publications, Inc.</t>
  </si>
  <si>
    <t>J2: Pharmacotherapy; Sanchez, Gail M Douglass, Mark A Mancuso, Michelle A; ID: 766</t>
  </si>
  <si>
    <t>1875-9114</t>
  </si>
  <si>
    <t>Sanchez,Gail M. Department of Pharmacy, Boston Medical Center, Boston, Massachusetts. Douglass,Mark A. Department of Pharmacy, Boston Medical Center, Boston, Massachusetts. Douglass,Mark A. Department of Pharmacy Practice, Northeastern University, Boston, Massachusetts. Mancuso,Michelle A. Department of Pharmacy, Boston Medical Center, Boston, Massachusetts.</t>
  </si>
  <si>
    <t>http://ovidsp.ovid.com/ovidweb.cgi?T=JS&amp;CSC=Y&amp;NEWS=N&amp;PAGE=fulltext&amp;D=prem&amp;AN=26406772</t>
  </si>
  <si>
    <t>http://dx.doi.org/10.1002/phar.1630</t>
  </si>
  <si>
    <t>MEDLINE; Ovid Technologies; Revisiting Project Re-Engineered Discharge (RED): The Impact of a Pharmacist Telephone Intervention on Hospital Readmission Rates</t>
  </si>
  <si>
    <t>Sanchez,Z. V.;Bennett,L. L.;Author,Addresses;Scool of Nursing, Union,University Jackson;United,States;Correspondence,Address;ZV Sanchez, Scool of Nursing Union University Jackson,United States</t>
  </si>
  <si>
    <t>An integrative research review (IRR) of pharmacological and non-pharmacological interventions of sundowning syndrome in older adults</t>
  </si>
  <si>
    <t>61 SUPPL. 1</t>
  </si>
  <si>
    <t>S166</t>
  </si>
  <si>
    <t>acetylcholinesterase;atypical antipsychotic agent;benzodiazepine derivative;cholinesterase inhibitor;melatonin;adult;geriatrics;society;aggressiveness;agitation;aromatherapy;book;caregiver;data base;diseases;drug therapy;education;evidence based practice;exposure;follow up;health care personnel;human;intervention study;Medline;music;music therapy;patient;phototherapy;psychiatric diagnosis;PsycINFO;scientist;systematic review (topic)</t>
  </si>
  <si>
    <t>Background: Sundowning is not a psychiatric diagnosis but a descriptive term referring to a cluster of neuropsychiatric symptoms; starting at dusk and subsiding early morning. A wide range of pharmacologic and non-pharmacologic interventions are used in managing this condition; but with mixed success. As a result, the management of these neuropsychiatric symptoms are a challenge to healthcare providers and caregivers. The purpose of this IRR is to systematically evaluate the efficacy of both interventions with the goal of, 1. summarizing past findings, 2. contributing to exiting body of literature with evidence-based recommendations, and 3. identifying areas where further investigation is required. Methods: A comprehensive literature study was conducted following the PRISMA Statement. Both researchers independently searched the following databases: PubMed, Academic Journal, PsychInfo, Medline Plus, CINHAL, EBSCO, OVID, Cochrane Databases of Systematic Reviews, and manually reviewed the reference list of relevant studies and textbooks. Terms used: sundowning, sundowning syndrome, &amp; sundown. Initial search resulted in 207 citations, 47 studies met criteria for non-pharmacological (22 studies) and pharmacological (25 studies) interventions. Result: Non-pharmacological interventions include exposure to bright light therapy (12 studies), and environmental or behavioral modification such as music, aromatherapy, decreasing noisy background, and caregiver education (10 studies). Pharmacological interventions include melatonin, benzodiazepines, acetyl cholinesterase inhibitors (AChEIs), and atypical antipsychotics. Use of melatonin (17 studies) were studied ranging from 3 mg to 10 mg X 10 days to 35 months; patients showed decrease in agitation behaviors, with longer treatment showing marked improvement. AChEIs (six studies) showed reduction in evening activities and increased in daytime activities. Atypical antipsychotics (two studies) were used to control acute aggressiveness and disorder behaviors, but long-term pharmacotherapy of these drugs may be problematic. Conclusions: Trials using melatonin at a dose of 6 mg with at least 4- month follow-up, exposure to bright light in the morning and afternoon, and music therapy showed improvement in sundowning syndrome. Researches plan to pilot test these recommendations to validate these findings, since no multi-interventional studies were found.</t>
  </si>
  <si>
    <t>(Sanchez Z.V.; Bennett L.L.) 2013 Annual Scientific Meeting of the American Geriatrics Society Grapevine, TX, United States 2013-05-03 to 2013-05-05 Blackwell Publishing Inc.; ID: 1062</t>
  </si>
  <si>
    <t>Sando,K. R.;Elliott,J.;Stanton,M. L.;Doty,R.</t>
  </si>
  <si>
    <t>PMC3687116; An educational tool for teaching medication history taking to pharmacy students</t>
  </si>
  <si>
    <t>Attitude of Health Personnel;Clinical Competence;Curriculum;*Education, Pharmacy/mt Methods];Feedback;Health Knowledge, Attitudes, Practice;Humans;Learning;*Medical History Taking;Medication Reconciliation;Preceptorship;Professional-Patient Relations;Program Evaluation;Self Efficacy;Surveys and Questionnaires;*Teaching/mt Methods]</t>
  </si>
  <si>
    <t>OBJECTIVE: To implement and evaluate the use of a situated-learning experience to prepare second-year pharmacy students to conduct medication history interviews in preparation for introductory pharmacy practice experiences (IPPE) at ambulatory clinic sites. DESIGN: Second-year doctor of pharmacy (PharmD) students (n=200) used the Medication Mysteries Infinite Case Tool, a game-like educational tool in which groups of 3 students assumed the roles of pharmacist, patient, and observer and rolled a die and drew cards to determine the drugs, patient personality, medication problems, and other variables that guided a medication history taking session. ASSESSMENT: After the laboratory session, faculty members assessed students' medication history-taking skills. One hundred sixteen (58%) and 78 (39%) of 200 students achieved excellence or competence, respectively, on the final assessment. Two weeks after the assessment, 53 of 200 (26.5%) students completed a survey instrument. The respondents indicated that their self-confidence in conducting medical history taking significantly improved following completion of the learning experience. CONCLUSION: Using the Medication Mysteries Infinite Case Tool increased students' confidence and skills in conducting medication history taking prior to their clinical IPPE experience.</t>
  </si>
  <si>
    <t>J2: Am J Pharm Educ; Sando, Karen R Elliott, Jennifer Stanton, Melonie L Doty, Randell; ID: 132</t>
  </si>
  <si>
    <t>Sando,Karen R. University of Florida College of Pharmacy, Gainesville, Florida 32610, USA. ksando@cop.ufl.edu</t>
  </si>
  <si>
    <t>http://ovidsp.ovid.com/ovidweb.cgi?T=JS&amp;CSC=Y&amp;NEWS=N&amp;PAGE=fulltext&amp;D=medl&amp;AN=23788816</t>
  </si>
  <si>
    <t>http://dx.doi.org/10.5688/ajpe775105</t>
  </si>
  <si>
    <t>MEDLINE; Ovid Technologies; An educational tool for teaching medication history taking to pharmacy students</t>
  </si>
  <si>
    <t>Santos,V.;Nardi,A. E.;King,A. L. S.;Author,Addresses;Laboratory,of;Panic;Respiration,Institute of Psychiatry of Federal University of Rio;de Janeiro, Rio de,Janeiro R.;National;Institute for Translational Medicine, Rio de,Janeiro Brazil;Correspondence,Address;Santos, Delete Group Detoxification of Technologies Institute of,V.;Psychiatry,Federal University of Rio de Janeiro Av Venceslau Br‚îú√≠s;Botafogo,Rio de Janeiro R. J. Brazil</t>
  </si>
  <si>
    <t>25714981; Treatment of internet addiction in patient with panic disorder and obsessive compulsive disorder: A case report</t>
  </si>
  <si>
    <t>CNS and Neurological Disorders - Drug Targets</t>
  </si>
  <si>
    <t>clonazepam (drug therapy);sertraline (drug therapy);internet addiction (therapy);obsessive compulsive disorder (drug therapy, drug therapy, therapy);panic (drug therapy, drug therapy, therapy);adult;agoraphobia;anxiety;article;breathing exercise;case report;Clinical Global Impression scale;cognitive therapy;comorbidity;daily life activity;disease association;DSM-5;female;Hamilton Anxiety Scale;Hamilton Depression Rating Scale;human;sleep disorder;sweating;tachycardia;tremor;young adult;clonazepam (1622-61-3);sertraline (79617-96-2);Public Health, Social Medicine and Epidemiology (17);Psychiatry (32);Drug Literature Index (37);Neurology and Neurosurgery (8)</t>
  </si>
  <si>
    <t>Problematic Internet use is a worldwide social issue and it can be found in any age, social, educational, or economic range. In some countries like China and South Korea internet addiction (IA) is considered a public health condition and this governments support research, education and treatment. Internet addiction has been associated with others psychiatric disorders. Panic disorder (PD) and Obsessive Compulsive Disorder (OCD) are anxiety disorders that involve a lot of damages in patientŒì√á√ñs life. We report a treatment of a patient with Panic Disorder and Obsessive Compulsive Disorder and internet addition involving pharmacotherapy and Cognitive Behavioral Therapy (CBT). The Cognitive Behavioral Therapy was conducted 1 time per week during 10 weeks and results suggest that the treatment was an effective treatment for the anxiety and for the internet addiction.</t>
  </si>
  <si>
    <t>(Santos V., veruskaasantos@gmail.com; Nardi A.E.; King A.L.S.) (IPUB/UFRJ) (INCT-TM) Bentham Science Publishers B.V., P.O. Box 294, Bussum, Netherlands.; ID: 834</t>
  </si>
  <si>
    <t>1996-3181 (electronic) 1871-5273</t>
  </si>
  <si>
    <t>http://www.ncbi.nlm.nih.gov/pubmed/25714981</t>
  </si>
  <si>
    <t>Treatment of internet addiction in patient with panic disorder and obsessive compulsive disorder: A case report</t>
  </si>
  <si>
    <t>Saraf,M. N.;Author,Addresses;Bombay College,of Pharmacy;Correspondence,Address;Saraf, Bombay College of Pharmacy India Email saraf bcpindia org,M.N.</t>
  </si>
  <si>
    <t>Reforms in pharmaceutical education: Need based curriculum</t>
  </si>
  <si>
    <t>Pharma Times</t>
  </si>
  <si>
    <t>curriculum;education;health care policy;pharmacy;academic achievement;article;continuing education;drug misuse;health care cost;medical ethics;pharmaceutical care;postgraduate education;professional competence;quality control;skill;teaching;Public Health, Social Medicine and Epidemiology (17);Health Policy, Economics and Management (36)</t>
  </si>
  <si>
    <t>(Saraf M.N., saraf@bcpindia.org) Indian Pharmaceutical Association, Kalina, Santacruz (East), Mumbai, India.; ID: 1300</t>
  </si>
  <si>
    <t>0031-6849</t>
  </si>
  <si>
    <t>Sarid-Segal,O.;Knapp,C. M.;Ciraulo,A. M.;Greenblatt,D. J.;Shader,R. I.;Ciraulo,D. A.;Author,Addresses;Department of Psychiatry, Boston University,School of;Medicine,Harrison Avenue Boston M.A.United States;Correspondence,Address;DA Ciraulo, Department of Psychiatry Boston University,School of;Medicine,Harrison Avenue Boston M.A.United States</t>
  </si>
  <si>
    <t>10631626; Decreased EEG sensitivity to alprazolam in subjects with a parental history of alcoholism</t>
  </si>
  <si>
    <t>(MAJOR FOCUS);alprazolam (clinical trial, drug administration, drug dose, drug therapy,;pharmacokinetics, pharmacology);benzothiazepine derivative (clinical trial, drug administration, drug dose,;drug therapy, pharmacokinetics, pharmacology);placebo;alcoholism (diagnosis, drug therapy);electroencephalogram;adult;alpha rhythm;area under the curve;article;beta rhythm;clinical trial;controlled clinical trial;controlled study;crossover procedure;double blind procedure;drug effect;drug potency;female;GABAergic transmission;human;human experiment;hypothesis;male;questionnaire;randomized controlled trial;DRUG MANUFACTURERS;Upjohn;alprazolam (28981-97-7);Clinical and Experimental Pharmacology (30);Psychiatry (32);Drug Literature Index (37)</t>
  </si>
  <si>
    <t>Altered benzodiazepine sensitivity in subjects with a history of parental alcoholism (PHP) compared to control subjects (NC) has been reported for regional brain blood volume, eye movement tasks, and subjective effects. This study tests the hypothesis that PHP subjects are less sensitive to benzodiazepine effects on EEG activity than are NC subjects. Frontal EEG activity was recorded in PHP and NC subjects after administration of the benzodiazepine, alprazolam (1 mg), or placebo. PHP subjects had decreased sensitivity to the EEG effects of alprazolam compared to NC subjects. Significant differences were detected for change in percent relative beta activity and alpha and theta band power. Pharmacokinetic parameters did not differ significantly between groups. These results suggest that PHP subjects are less sensitive to the effects of alprazolam on central electrophysiological activity than are NC subjects. (C) 2000 the American College of Clinical Pharmacology.</t>
  </si>
  <si>
    <t>(Sarid-Segal O.; Knapp C.M.; Ciraulo A.M.; Greenblatt D.J.; Shader R.I.; Ciraulo D.A.) SAGE Publications Inc., 2455 Teller Road, Thousand Oaks, United States.; ID: 1630</t>
  </si>
  <si>
    <t>http://www.ncbi.nlm.nih.gov/pubmed/10631626</t>
  </si>
  <si>
    <t>Decreased EEG sensitivity to alprazolam in subjects with a parental history of alcoholism</t>
  </si>
  <si>
    <t>Satish Kumar,B. P.;Dahal,P.;Venkataraman,R.;Fuloria,P. C.;Author,Addresses;Department of,Clinical Pharmacy;Rc,S. A. C.;Pharmacy,B. G. N.;Correspondence,Address;H.,P.Dahal, Department of Clinical Pharmacy A.;Rc,S. A. C.;Pharmacy,B. G. N.</t>
  </si>
  <si>
    <t>Assessment of clinical pharmacist intervention in tertiary care teaching hospital of Southern India</t>
  </si>
  <si>
    <t>pharmacist;teaching hospital;tertiary health care;adult;article;comorbidity;drug induced disease;female;hospital patient;hospitalization;human;India;major clinical study;male;medication error;observational study;patient care;prospective study;quality of life;sex difference;Public Health, Social Medicine and Epidemiology (17)</t>
  </si>
  <si>
    <t>Introduction: Drug-related problems (DRPs) are frequent in hospitalization where multiple changes in patient's medication regimens and lack of continuity of care may be accompanied. Objectives: To assess clinical pharmacist intervention on the drug related problems in medicine ward of tertiary care hospital. Method: It was a prospective, observational and interventional study carried over a period of 4 months. Results: A total of 240 patients were followed out of which 49 patients were intervened for having one or more drug related problems. Male (61.30%) predominance was noted over females (38.70%). Drug related problems were more commonly seen in patients aged above 60 years, (53.10 %). A total of 71 drug related problems were identified. Most of the DRP observed in the study resulted from the inappropriate drug dosing problems (25.35%) followed by drug selection (23.94%). Majority of the clinical pharmacist recommendations were on drug discontinuation (29.58%) and drug doses change (22.53%). Moderate significance of DRPs were noted high (47.89 %), whereas (39.44 %) were minor and (12.67 %) were major. The acceptance rate of intervening clinical pharmacist recommendation and change in drug therapy was found to be high (70.59%).Conclusion: Clinical pharmacist involvement in inpatients care can significantly help to identify, resolve and prevent the DRPs among patients in the hospital. The study concluded that the clinical pharmacist have a significant role in patients care at hospital.</t>
  </si>
  <si>
    <t>(Satish Kumar B.P.; Dahal P., Prince_prasanna@hotmail.com; Venkataraman R.; Fuloria P.C.) Asian Journal of Pharmaceutical and Clinical Research, 32-H, Kalany Nagar, Aerodrum Road,Indore, Madhya Pradesh, India.; ID: 1047</t>
  </si>
  <si>
    <t>Sattari,M.;Islambulchilar,M.;Toluyi,M.;Mashayekhi,S.</t>
  </si>
  <si>
    <t>PMC3846019; Socio-demographic characteristics of the addicted inmates of Qom and Tabriz prisons in Iran</t>
  </si>
  <si>
    <t>Advanced Pharmaceutical Bulletin</t>
  </si>
  <si>
    <t>PURPOSE: The aim of this investigation was to study the factors responsible for drug addiction amongst the inmates of Tabriz and Qom prisons, to further understand the reasons for drug abuse particularly in the young and find improved methods for combating these widespread problems. METHODS: A multi-choice questionnaire was provided to inmates to potentially assess the reasons for their drug addiction psychiatric, personal, social, economical, and political factors were thought to be implicated. Two hundred drug addicted prisoners were individually interviewed randomly in both Tabriz and Qom prisons. A questionnaire including questions about the inmates' demographic characteristics and 49 multiple answers questions, was provided to identify the effects of different reasons for drug addiction for instance: psychiatric, personal, social, economical, and political factors. The collected data were analyzed by Student t-test and chi-squared test using SPSS software. RESULTS: The results showed that the following factors could lead to drug addiction e.g. company with addicted friends and offenders, curiosity, imitation, illiteracy, family problems, crowded family, poverty, unemployment, and lack of self confidence. There were significant differences between Tabriz and Qom prisoners in relation to age, starting age of addiction, job, income, education, class of addiction, marital status, and hobbies. Mean age, mean starting age of addiction, poverty, alcohol drinking before addiction, marital status, heroin addiction, codeine and benzodiazepines abuse were significantly greater for Tabriz prisoners than those of Qom. CONCLUSION: It is clear that the governmental programs for reducing unemployment, creation of safe hobbies, proper control on drug dispensing in the pharmacies, proper birth control programs, and encouragement to higher education could alleviate addiction problem in Iran.</t>
  </si>
  <si>
    <t>J2: Adv; Sattari, Mohammadreza Islambulchilar, Mina Toluyi, Mohsen Mashayekhi, Siminozar; ID: 137</t>
  </si>
  <si>
    <t>2228-5881</t>
  </si>
  <si>
    <t>Sattari,Mohammadreza. Neurosciences Research Centre, Tabriz University of Medical Sciences, Tabriz, Iran. ; Faculty of Pharmacy, Tabriz University of Medical Sciences, Tabriz, Iran.</t>
  </si>
  <si>
    <t>http://ovidsp.ovid.com/ovidweb.cgi?T=JS&amp;CSC=Y&amp;NEWS=N&amp;PAGE=fulltext&amp;D=prem&amp;AN=24312772</t>
  </si>
  <si>
    <t>http://dx.doi.org/10.5681/apb.2012.009</t>
  </si>
  <si>
    <t>MEDLINE; Ovid Technologies; Socio-demographic characteristics of the addicted inmates of Qom and Tabriz prisons in Iran</t>
  </si>
  <si>
    <t>Sch‚îú‚ï¢ller-Gy‚îú‚ïùre,M.;Van,Den Brink;Kakuda,T. N.;Woodfall,B.;De Smedt,G.;Vanaken,H.;Stevens,T.;Peeters,M.;Vandermeulen,K.;Hoetelmans,R. M. W.;Author,Addresses;Tibotec Bvba,Mechelen Belgium;Department of Psychiatry, Academic,Medical Center;University,of Amsterdam;Tibotec,Inc Yardley P. A. United States;Tibotec Bvba,Generaal De;Wittelaan L11B,B.Mechelen Belgium;Correspondence,Address;B.,M.Sch‚îú‚ï¢ller-Gy‚îú‚ïùre, Tibotec Bvba Generaal De Wittelaan L.B.;Mechelen,Belgium Email mscholle tibbe jnj com</t>
  </si>
  <si>
    <t>18195053; Pharmacokinetic and pharmacodynamic study of the concomitant administration of methadone and TMC125 in HIV-negative volunteers</t>
  </si>
  <si>
    <t>(MAJOR FOCUS);etravirine (adverse drug reaction, clinical trial, drug combination, drug;concentration, drug interaction, pharmacokinetics, pharmacology);methadone (adverse drug reaction, clinical trial, drug combination, drug;concentration, drug interaction, drug therapy, pharmacokinetics,;pharmacology);adult;area under the curve;article;central nervous system disease (side effect);clinical article;clinical trial;confidence interval;constipation (side effect);controlled clinical trial;controlled study;drug blood level;drug determination;drug effect;drug safety;drug tolerability;electrocardiogram;headache (side effect);heart muscle conduction disturbance (side effect);human;Human immunodeficiency virus infection;isomer;laboratory test;maintenance therapy;male;maximum plasma concentration;mental disease (side effect);methadone treatment;nausea (side effect);opiate addiction (drug therapy);papular rash (side effect);pharmacological parameters;physical examination;QT interval;side effect (side effect);vital sign;withdrawal syndrome;DRUG TRADE NAMES;symoron;tmc 125;etravirine (269055-15-4);methadone (1095-90-5, 125-56-4, 23142-53-2, 297-88-1, 76-99-3);Clinical and Experimental Pharmacology (30);Drug Literature Index (37);Adverse Reactions Titles (38);Drug Dependence, Alcohol Abuse and Alcoholism (40)</t>
  </si>
  <si>
    <t>TMC125 is a nonnucleoside reverse transcriptase inhibitor (NNRTI) with potent in vitro activity against wild-type and NNRTI-resistant HIV-1. TMC125 is an inducer of CYP3A and an inhibitor of CYP2C. This trial evaluated the effect of TMC125 on the pharmacokinetics and pharmacodynamics of methadone. In an open-label, add-on, 1-way interaction trial, 16 male HIV-negative volunteers on stable methadone maintenance therapy received 100 mg TMC125 bid for 14 days. Plasma concentrations and pharmacokinetic parameters of R- and S-methadone isomers were determined on days -1, 7, and 14 and of TMC125 on days 7 and 14. Safety and tolerability were assessed. The LSmeans ratios (90% confidence interval) for AUC(24h), C(max), and C(min) of the pharmacologically active R-methadone were 1.08 (1.02-1.13), 1.03 (0.97-1.09), and 1.12 (1.05-1.19), respectively, on day 7 and 1.06 (0.99-1.13), 1.02 (0.96-1.09), and 1.10 (1.02-1.19), respectively, on day 14 compared with methadone alone. No withdrawal symptoms were observed; dose adjustment of methadone was not required. The concomitant administration of TMC125 and methadone was generally safe and well tolerated. TMC125 has no clinically relevant effect on the pharmacokinetics or pharmacodynamics of methadone. No dose adjustment for methadone is anticipated when coadministered with TMC125. ‚î¨‚åê 2008 the American College of Clinical Pharmacology.</t>
  </si>
  <si>
    <t>(Sch‚îú‚ï¢ller-Gy‚îú‚ïùre M., mscholle@tibbe.jnj.com; Woodfall B.; De Smedt G.; Vanaken H.; Stevens T.; Peeters M.; Vandermeulen K.; Hoetelmans R.M.W.) (Van Den Brink W.) (Kakuda T.N.) (Sch‚îú‚ï¢ller-Gy‚îú‚ïùre M., mscholle@tibbe.jnj.com) SAGE Publications Inc., 2455 Teller Road, Thousand Oaks, United States.; ID: 1472</t>
  </si>
  <si>
    <t>http://www.ncbi.nlm.nih.gov/pubmed/18195053</t>
  </si>
  <si>
    <t>Pharmacokinetic and pharmacodynamic study of the concomitant administration of methadone and TMC125 in HIV-negative volunteers</t>
  </si>
  <si>
    <t>Schachter,S.</t>
  </si>
  <si>
    <t>Pharmacological and psychological determinants of smoking. A New York University honors program lecture</t>
  </si>
  <si>
    <t>Adult;Affective Symptoms/et Etiology];Female;Humans;Hydrogen-Ion Concentration;Male;Middle Aged;Nicotine;Smoking/co Complications];Smoking/px Psychology];*Smoking;Stress, Psychological;Substance Withdrawal Syndrome;Substance-Related Disorders;Urine;6M3C89ZY6R (Nicotine)</t>
  </si>
  <si>
    <t>Arguments for and against low-nicotine cigarettes are examined by considering evidence relevant to the gratification of smoking and to nicotine as an addicting agent. A variety of studies indicates that smokers regulate nicotine intake and that variations in smoking rate that customarily have been interpreted in psychological terms are better understood as attempts to regulate nicotine. These findings bring into question the justification for the low-nicotine cigarette campaign.</t>
  </si>
  <si>
    <t>J2: Ann Intern Med; Schachter, S; ID: 730</t>
  </si>
  <si>
    <t>http://ovidsp.ovid.com/ovidweb.cgi?T=JS&amp;CSC=Y&amp;NEWS=N&amp;PAGE=fulltext&amp;D=med1&amp;AN=23064</t>
  </si>
  <si>
    <t>MEDLINE; Ovid Technologies; Pharmacological and psychological determinants of smoking. A New York University honors program lecture</t>
  </si>
  <si>
    <t>Schane,R. E.;Glantz,S. A.;Ling,P. M.</t>
  </si>
  <si>
    <t>NIHMS152266 PMC2771192; Social smoking implications for public health, clinical practice, and intervention research</t>
  </si>
  <si>
    <t>American Journal of Preventive Medicine</t>
  </si>
  <si>
    <t>Am.J.Prev.Med.</t>
  </si>
  <si>
    <t>Attitude to Health;Behavioral Research/mt Methods];Health Education/mt Methods];Humans;Marketing/mt Methods];Smoking/pc Prevention &amp; Control];*Smoking/px Psychology];*Smoking Cessation/mt Methods];*Social Behavior;*Tobacco Industry</t>
  </si>
  <si>
    <t>BACKGROUND: Social smoking is increasingly prevalent and poses a challenge to traditional cessation practices. Tobacco companies conducted extensive research on social smokers long before health authorities did and marketed products to promote this smoking behavior. PURPOSE: Research is described and mechanisms identified that are used to promote social smoking to help improve cessation strategies in this growing group. EVIDENCE ACQUISITION: Searches from 2006 to 2008 of previously secret tobacco industry documents using keywords social smoker, light smoker, casual smoker, youth smoker, and occasional smoker, followed by snowball searching. Data analysis was conducted in 2008. EVIDENCE SYNTHESIS: Tobacco industry research identified characteristics of social smokers that include: (1) denial of personal nicotine addiction; (2) self-categorization as a nonsmoker; (3) propensity for decreased tobacco use in response to smoke-free laws; (4) variations in age, education, ethnicity, and socioeconomic backgrounds; and (5) a perceived immunity to personal health effects of tobacco but fear of consequences to others. Tobacco companies developed marketing strategies aimed at social smokers, including "non-habit forming" cigarettes. CONCLUSIONS: Previously considered a transient behavior, social smoking is also a stable consumption pattern. Focused clinical questions to detect social smoking are needed and may include, "Have you smoked any cigarettes or used any tobacco products in the past month?" as opposed to "Are you a smoker?" Clinicians should recognize that social smokers might be motivated to quit after education on the dangers of secondhand smoke rather than on personal health risks or with pharmacotherapy.</t>
  </si>
  <si>
    <t>J2: Am J Prev Med; Schane, Rebecca E Glantz, Stanton A Ling, Pamela M CA-113710 (United States NCI NIH HHS) CA-87472 (United States NCI NIH HHS) R25 CA113710 (United States NCI NIH HHS) R25 CA113710-04 (United States NCI NIH HHS) T32HL007185 (United States NHLBI NIH HHS); ID: 324</t>
  </si>
  <si>
    <t>1873-2607</t>
  </si>
  <si>
    <t>Schane,Rebecca E. Department of Medicine, Division of Pulmonary-Critical Care Medicine, Cardiovascular Research Institute, Center for Tobacco Control Research and Education, University of California, San Francisco, San Francisco, California, USA.</t>
  </si>
  <si>
    <t>http://ovidsp.ovid.com/ovidweb.cgi?T=JS&amp;CSC=Y&amp;NEWS=N&amp;PAGE=fulltext&amp;D=med5&amp;AN=19589449</t>
  </si>
  <si>
    <t>http://dx.doi.org/10.1016/j.amepre.2009.03.020</t>
  </si>
  <si>
    <t>MEDLINE; Ovid Technologies; Social smoking implications for public health, clinical practice, and intervention research</t>
  </si>
  <si>
    <t>Schelle,K. J.;Olthof,B. M. J.;Reintjes,W.;Bundt,C.;Gusman-Vermeer,J.;Vanmil,A. C. C. M.;Author,Addresses;Radboud,Honours Academy;University,Nijmegen Netherlands;Department,of Industrial;Eindhoven University,of Technology;Faculty of Medical Sciences, Institute,of Neuroscience;Newcastle University, Newcastle upon Tyne,United Kingdom;Department of Neurology, Isala Clinics,Zwolle Netherlands;Department of Experimental Psychology, Ghent,University Ghent;Belgium;Department of Physiology, Radboud Institute,for Health;Sciences,University Medical Center Radboud Netherlands;Correspondence,Address;KJ Schelle, Radboud Honours Academy Radboud,University Comeniuslaan;Nijmegen,Netherlands</t>
  </si>
  <si>
    <t>A survey of substance use for cognitive enhancement by university students in the Netherlands</t>
  </si>
  <si>
    <t>Frontiers in Systems Neuroscience</t>
  </si>
  <si>
    <t>9:FEB Article Number: A10.</t>
  </si>
  <si>
    <t>alcohol;caffeine;illicit drug;nicotine;non prescription drug;prescription drug;cognitive defect;substance use;adult;article;drug misuse;human;lifestyle;multiple drug abuse;Netherlands;outcome assessment;prescription;prevalence;questionnaire;scoring system;stress;university student;alcohol (64-17-5);caffeine (58-08-2);nicotine (54-11-5);Public Health, Social Medicine and Epidemiology (17);Drug Dependence, Alcohol Abuse and Alcoholism (40);Neurology and Neurosurgery (8)</t>
  </si>
  <si>
    <t>Background: Pharmacological cognitive enhancement, using chemicals to change cellular processes in the brain in order to enhance oneŒì√á√ñs cognitive capacities, is an often discussed phenomenon. The prevalence among Dutch university students is unknown. Methods: The study set out to achieve the following goals: (1) give an overview of different methods in order to assess the prevalence of use of prescription, illicit and lifestyle drugs for cognitive enhancement (2) investigate whether polydrug use and stress have a relationship with cognitive enhancement substance use (3) assessing opinions about cognitive enhancement prescription drug use. A nationwide survey was conducted among 1572 student respondents of all government supported Dutch universities. Results: The most detailed level of analysisŒì√á√∂use of specific substances without a prescription and with the intention of cognitive enhancementŒì√á√∂shows that prescription drugs, illicit drugs and lifestyle drugs are respectively used by 1.7, 1.3, and 45.6% of the sample. The use of prescription drugs and illicit drugs is low compared to other countries. We have found evidence of polydrug use in relation to cognitive enhancement. A relation between stress and the use of lifestyle drugs for cognitive enhancement was observed. We report the findings of several operationalizations of cognitive enhancement drug use to enable comparison with a wider variety of previous and upcoming research. Conclusions: Results of this first study among university students in the Netherlands revealed a low prevalence of cognitive enhancement drug use compared to other countries. Multiple explanations, such as a difference in awareness of pharmacological cognitive enhancement among students, accessibility of drugs in the student population and inclusion criteria of enhancement substances are discussed. We urge enhancement researchers to take the different operationalizations and their effects on the prevalence numbers into account.</t>
  </si>
  <si>
    <t>(Schelle K.J., kimberlyschelle@gmail.com; Olthof B.M.J.; Reintjes W.; Bundt C.; Gusman-Vermeer J.; Vanmil A.C.C.M.) (Schelle K.J., kimberlyschelle@gmail.com) (Olthof B.M.J.) (Reintjes W.) (Bundt C.) (Vanmil A.C.C.M.) Frontiers Research Foundation, info@frontiersin.org; ID: 845</t>
  </si>
  <si>
    <t>1662-5137</t>
  </si>
  <si>
    <t>2015772446 FULL TEXT LINK http://dx.doi.org/10.3389/fnsys.2015.00010</t>
  </si>
  <si>
    <t>Schlesselman,L. S.;Nobre,C.;English,C. D.</t>
  </si>
  <si>
    <t>PMC3818740; Alcohol attitudes and behaviors among faculty at U.S. schools and colleges of pharmacy</t>
  </si>
  <si>
    <t>UNLABELLED: Despite attempts to control college-aged drinking, binge and underage drinking continues at colleges and universities. Although often underutilized, faculty have the potential to influence students' behaviors and attitudes towards drinking. Little information is available pertaining to college faculty drinking patterns, views on drinking, or their influence on college drinking. What little information is available predates the economic crisis, mandates for increased alcohol education, and the American Pharmacists Association's call for increased alcohol awareness in pharmacists. OBJECTIVE: This study was designed to determine alcohol use patterns and viewpoints among faculty at U.S. colleges of pharmacy, in particular, to identify alcohol practices among faculty, use of alcohol with their students, mentioning alcohol in classroom as a social norm, and perceived drinking norms within their colleagues. METHODS: Following Institution Review Board approval, 2809 invitations were emailed to U.S. pharmacy faculty for this survey-based study. The survey consisted of demographic questions, the World Health Organization Alcohol Use Disorders Identification Test (AUDIT), and questions pertaining to personal and institution attitudes on drinking and on drinking with students. RESULTS: More than 96% of 753 respondents had a total AUDIT score &lt;8. Males and preceptors were more likely to have higher AUDIT scores. More than 75% of faculty reported never drinking with students. CONCLUSIONS: In order to help pharmacy students address the extent of their alcohol use and misuse, pharmacy faculty must address their own use, along with their own and their institutions attitudes and behaviors towards alcohol use.</t>
  </si>
  <si>
    <t>J2: Pharm; Schlesselman, Lauren S Nobre, Carmen English, Clayton D; ID: 140</t>
  </si>
  <si>
    <t>Schlesselman,Lauren S. Office of Assessment &amp; Accreditation, School of Pharmacy, University of Connecticut , Storrs, CT ( United States ).</t>
  </si>
  <si>
    <t>http://ovidsp.ovid.com/ovidweb.cgi?T=JS&amp;CSC=Y&amp;NEWS=N&amp;PAGE=fulltext&amp;D=prem&amp;AN=24198862</t>
  </si>
  <si>
    <t>MEDLINE; Ovid Technologies; Alcohol attitudes and behaviors among faculty at U.S. schools and colleges of pharmacy</t>
  </si>
  <si>
    <t>Schlosser,A. V.;Hoffer,L. D.</t>
  </si>
  <si>
    <t>The psychotropic self/imaginary: subjectivity and psychopharmaceutical use among heroin users with co-occurring mental illness</t>
  </si>
  <si>
    <t>Culture, Medicine &amp; Psychiatry</t>
  </si>
  <si>
    <t>Antidepressive Agents/tu Therapeutic Use];Attitude to Health;Bipolar Disorder/dt Drug Therapy];*Bipolar Disorder/ep Epidemiology];Community Mental Health Services;Comorbidity;Female;Heroin Dependence/dt Drug Therapy];*Heroin Dependence/ep Epidemiology];Humans;Male;Ohio;*Psychotropic Drugs/tu Therapeutic Use];*Self Efficacy;Social Stigma;Stress Disorders, Post-Traumatic/dt Drug Therapy];*Stress Disorders, Post-Traumatic/ep Epidemiology];Surveys and Questionnaires;0 (Antidepressive Agents);0 (Psychotropic Drugs)</t>
  </si>
  <si>
    <t>Many people diagnosed with mental illnesses struggle with illicit drug addiction. These individuals are often treated with psychiatric medications, yet little is known about how they experience this treatment. Research on the subjective experience of psychiatric medication use highlights the complex, contradictory, and ambiguous feelings often associated with this treatment. However, for those with mental illness and addiction, this experience is complicated by the need to manage both psychiatric medication and illicit drug use. Using ethnographic data from a study of heroin use in Northeast Ohio, we explore this experience by expanding the pharmaceutical self/imaginary (Jenkins, Pharmaceutical Self: The Global Shaping of Experience in an Age of Psychopharmacology, School for Advanced Research Press, Santa Fe, NM, 2010b) to include psychopharmaceuticals and illicit drugs, what we call the psychotropic self/imaginary. Through this lens we explore the ways participants interpret and manage their psychotropic drug use in relation to sociocultural, institutional, and political-economic contexts. This analysis reveals how participants seek desired effects of legally prescribed and illicit drugs to treat mental illness, manage heroin addiction, and maintain a perceived "normal" self. Participants manage their drug use using active strategies, such as selective use of psychiatric medications, in the context of structural constraints, such as restricted access to mental health care, and cultural contexts that blur distinctions between "good" medicines and "bad" drugs.</t>
  </si>
  <si>
    <t>J2: Cult Med Psychiatry; Schlosser, Allison V Hoffer, Lee D; ID: 214</t>
  </si>
  <si>
    <t>1573-076X</t>
  </si>
  <si>
    <t>Schlosser,Allison V. Department of Anthropology, Case Western Reserve University, Cleveland, OH, USA. allison.schlosser@case.edu</t>
  </si>
  <si>
    <t>http://ovidsp.ovid.com/ovidweb.cgi?T=JS&amp;CSC=Y&amp;NEWS=N&amp;PAGE=fulltext&amp;D=medl&amp;AN=22246852</t>
  </si>
  <si>
    <t>http://dx.doi.org/10.1007/s11013-011-9244-9</t>
  </si>
  <si>
    <t>MEDLINE; Ovid Technologies; The psychotropic self/imaginary: subjectivity and psychopharmaceutical use among heroin users with co-occurring mental illness</t>
  </si>
  <si>
    <t>Schmidt,I. K.;Claesson,C. B.;Westerholm,B.;Nilsson,L. G.</t>
  </si>
  <si>
    <t>Physician and staff assessments of drug interventions and outcomes in Swedish nursing homes</t>
  </si>
  <si>
    <t>Aged;Aged, 80 and over;*Drug Utilization;Female;Follow-Up Studies;Humans;Male;*Nurses;Nurses' Aides;*Nursing Homes;Nursing, Practical;Patient Care Team;*Pharmacists;*Physicians;*Psychotropic Drugs/tu Therapeutic Use];Sweden;0 (Psychotropic Drugs)</t>
  </si>
  <si>
    <t>OBJECTIVE: To describe the type and frequency of drug-related problems discussed in regular team meetings conducted in 15 Swedish nursing homes and report physician and staff assessments of these interventions and residents' outcomes. DATA SOURCES AND METHODS: The data were collected within the context of a controlled trial with the primary aim of exploring the effects of regular team interventions on drug prescribing practices in Swedish nursing homes. In 15 experimental nursing homes, the residents' drug therapy was discussed regularly by a team consisting of a pharmacist, a physician, nurses, undernurses (similar to licensed practical nurses), and nurse's aides. The pharmacist documented problems, made changes, and observed outcomes. Following the intervention period, a questionnaire was sent to the medical staff that contained items regarding perceived outcomes, the intervention's impact on knowledge of drug therapy in the elderly, and attitudes toward the pharmacist's role. RESULTS: Unclear indication and problematic choice of drugs were the most common drug-related problems discussed. In 19% of the situations, therapy changes were reported to have had a beneficial effect on the residents' clinical status; in 47% of the situations, staff reported no observable outcome from changes, suggesting that the changes had been appropriate. Finally, medical staff claimed in the follow-up survey that their knowledge about drug therapy had increased; they expressed an overall positive attitude toward this interactive collaboration. CONCLUSIONS: Regular intervention conducted by a multidisciplinary team incorporating a pharmacist can effectively improve prescribing practices, increase staff knowledge about appropriate drug therapy in the elderly, and result in improved quality of care for nursing home residents.</t>
  </si>
  <si>
    <t>J2: Ann Pharmacother; Schmidt, I K Claesson, C B Westerholm, B Nilsson, L G; ID: 595</t>
  </si>
  <si>
    <t>Schmidt,I K. National Board of Health and Welfare, Stockholm.</t>
  </si>
  <si>
    <t>http://ovidsp.ovid.com/ovidweb.cgi?T=JS&amp;CSC=Y&amp;NEWS=N&amp;PAGE=fulltext&amp;D=med4&amp;AN=9475816</t>
  </si>
  <si>
    <t>MEDLINE; Ovid Technologies; Physician and staff assessments of drug interventions and outcomes in Swedish nursing homes</t>
  </si>
  <si>
    <t>Schmidt,W. K.;Burchiel,S. W.;Meyers,F. H.</t>
  </si>
  <si>
    <t>The pharmacology of drug abuse--a novel approach to drug education at San Quentin</t>
  </si>
  <si>
    <t>Adult;Attitude;California;Curriculum;Evaluation Studies as Topic;Faculty;Humans;Male;*Pharmacology/ed Education];*Prisoners;*Substance-Related Disorders/ed Education];Teaching Materials</t>
  </si>
  <si>
    <t>A novel and successful undergraduate-level course in pharmacology has been established as part of the drug education program at California's San Quentin State Prison. The program was designed to create a two-way teaching--learning experience between former drug abusers and their teachers, all of whom were doctoral candidates and post-doctoral scholars in pharmacology at a nearby university medical center. In reviewing the pharmacology of psychoactive drugs, the emphasis was on the principles of drug action in the central nervous system, with additional attention to those factors that contribute a potential for abuse. An attempt was made to present information in a strictly objective and non-prejudical manner. An initial analysis has shown a possible change in attitude among the student-inmates toward drugs of abuse. It is likely that courses following a similar design would be well received and successful in any type of undergraduate program that addresses the subject of drug abuse.</t>
  </si>
  <si>
    <t>J2: Drug Alcohol Depend; Schmidt, W K Burchiel, S W Meyers, F H; ID: 731</t>
  </si>
  <si>
    <t>http://ovidsp.ovid.com/ovidweb.cgi?T=JS&amp;CSC=Y&amp;NEWS=N&amp;PAGE=fulltext&amp;D=med1&amp;AN=880874</t>
  </si>
  <si>
    <t>MEDLINE; Ovid Technologies; The pharmacology of drug abuse--a novel approach to drug education at San Quentin</t>
  </si>
  <si>
    <t>Schmitt,Carol L.;Juster,Harlan R.;Dench,Daniel;Willett,Jeffrey;Curry,Laurel E.</t>
  </si>
  <si>
    <t>Public and Policy Maker Support for Point-of-Sale Tobacco Policies in New York</t>
  </si>
  <si>
    <t>American Journal of Health Promotion</t>
  </si>
  <si>
    <t>180 6p</t>
  </si>
  <si>
    <t>Administrative Personnel -- Statistics and Numerical Data;Public Opinion;Public Policy;Tobacco Products;Adult;Age Factors;Aged;Cross Sectional Studies;Female;Human;Male;Middle Age;New York;Sex Factors;Smoking -- Prevention and Control;Young Adult</t>
  </si>
  <si>
    <t>Purpose. To compare public and policy maker support for three point-of-sale tobacco policies. Design. Two cross-sectional surveys-one of the public from the New York Adult Tobacco Survey and one of policy makers from the Local Opinion Leader Survey; both collected and analyzed in 2011. Setting. Tobacco control programs focus on educating the public and policy makers about tobacco control policy solutions. Subjects. Six hundred seventy-six county-level legislators in New York's 62 counties and New York City's five boroughs (response rate: 59%); 7439 New York residents aged 18 or older. Landline response rates: 20.2% to 22%. Cell phone response rates: 9.2% to 11.1%. Measures. Gender, age, smoking status, presence of a child aged 18 years or younger in the household, county of residence, and policy maker and public support for three potential policy solutions to point-of-sale tobacco marketing. Analysis. t-tests to compare the demographic makeup for the two samples. Adjusted Wald tests to test for differences in policy support between samples. Results. The public was significantly more supportive of point-of-sale policy solutions than were policy makers: cap on retailers (48.0% vs. 19.2%, respectively); ban on sales at pharmacies (49.1% vs. 38.8%); and ban on retailers near schools (53.3% vs. 42.5%). Limitations: cross-sectional data, sociodemographic differences, and variations in item wording. Conclusions Tobacco control programs need to include information about implementation, enforcement, and potential effects on multiple constituencies (including businesses) in their efforts to educate policy makers about point-of-sale policy solutions.</t>
  </si>
  <si>
    <t>Entry Date: 20150508. Revision Date: 20150712. Publication Type: Journal Article; research. Journal Subset: Blind Peer Reviewed; Double Blind Peer Reviewed; Editorial Board Reviewed; Expert Peer Reviewed; Health Promotion/Education; Peer Reviewed; USA. NLM UID: 8701680. PMID: 23875981.; ID: 2011</t>
  </si>
  <si>
    <t>0890-1171</t>
  </si>
  <si>
    <t>http://proxy.lib.umich.edu/login?url=http://search.ebscohost.com/login.aspx?direct=true&amp;db=ccm&amp;AN=107789482&amp;site=ehost-live&amp;scope=site</t>
  </si>
  <si>
    <t>10.4278/ajhp.121023-QUAN-514</t>
  </si>
  <si>
    <t>ccm; EBSCOhost; Public and Policy Maker Support for Point-of-Sale Tobacco Policies in New York</t>
  </si>
  <si>
    <t>Schneider,P. J.;Sill Jr,B. E.;Author,Addresses;Department,of Pharmacy;University,Medical Center Columbus O.H.United States;Correspondence,Address;PJ Schneider, Department of Pharmacy Ohio State,University Medical;Center,Columbus O. H. United States</t>
  </si>
  <si>
    <t>Education and training to provide pharmaceutical care</t>
  </si>
  <si>
    <t>International Pharmacy Journal</t>
  </si>
  <si>
    <t>health care;pharmaceutics;drug information;education;patient care;pharmacist;pharmacy;short survey;training;United States;Public Health, Social Medicine and Epidemiology (17);Health Policy, Economics and Management (36)</t>
  </si>
  <si>
    <t>The term 'pharmaceutical care' has captured the attention of pharmacists world-wide since the introduction of the term in 1990. The concept involves fundamental changes in how pharmacists think, what they need to do and how they practise. Furthermore, to prepare new pharmacists to transform pharmacy practice requires changes in the way the pharmacy students are selected, educated and trained. In an effort to provide educational and training opportunities for pharmacy students and pharmacists in the USA, a transformation in the academic and professional training programmes is underway. The American Council on Pharmaceutical Education has published a declaration of intent that it will only accredit colleges of pharmacy that offer the doctor pharmacy (Pharm.D.) degree by the year 2000. More colleges of pharmacy are offering the Pharm.D. degree in flexible programmes to enable pharmacists in practice to earn this degree. The rationale for this is that pharmacists will need more clinical knowledge and training to identify, prevent and solve drug related problems that occur in clinical settings. The Commission on Credentialling of the American Society of Hospital Pharmacists (ASHP) has developed a new residency accreditation standard that included an emphasis on pharmaceutical care. The thrust of the new standard is an expectation that the resident will be expected to gain experience in assuming responsibilities for the outcomes of a patient's drug therapy, both in the acute inpatient and ambulatory care setting. Both new graduates and practising pharmacists can enter residency programmes. There is an evolving requirement for pharmacists to have a Pharm.D. degree before entering an ASHP accredited residency in pharmacy practice, and a requirement to complete a pharmacy practice residency before entering a specially residency to assure an adequate foundation in the knowledge and skill needed to provide pharmaceutical care. It is through these educational and training programmes that pharmacists will be able to transform their practice and begin to provide pharmaceutical care.</t>
  </si>
  <si>
    <t>(Schneider P.J.; Sill Jr. B.E.); ID: 1693</t>
  </si>
  <si>
    <t>1010-0423</t>
  </si>
  <si>
    <t>Schneiderhan,M. E.;Author,Addresses;Department,of Pharmacy;Pharmaceutical;Science,University of Minnesota College of Pharmacy Duluth United;States;Correspondence,Address;ME Schneiderhan, Department of,Pharmacy Practice;Pharmaceutical;Science,University of Minnesota College of Pharmacy Duluth United;States</t>
  </si>
  <si>
    <t>A case report of patient-initiated E-cigarette use and resulting 5-months smoking cessation</t>
  </si>
  <si>
    <t>alcohol;nicotine lozenge;nicotine patch;case report;college;human;patient;pharmacist;smoking;smoking cessation;adjustment disorder;adrenal gland;anxiety disorder;astigmatism;bereavement;bipolar I disorder;Caucasian;coronary artery disease;diagnosis;diet;drug therapy;fatty liver;female;follow up;food and drug administration;gastritis;gastroesophageal reflux;hyperlipidemia;hypertransaminasemia;medical history;Medline;mental disease;myopia;nicotine replacement therapy;non insulin dependent diabetes mellitus;obesity;peptic ulcer;polypharmacy;primary medical care;remission;safety;smoke;tobacco</t>
  </si>
  <si>
    <t>Background: Although not FDA approved for smoking cessation, e-cigarettes may play a future role in the development of an alternative treatment option. The purpose of this case report is to describe early smoking cessation with the use of ecigarettes. Patient History: The patient is a 51 year old Caucasian female who was referred to the psychiatric pharmacist for comprehensive medication management due to elevated liver enzymes and polypharmacy. The patient's current Axis I diagnoses included: Bipolar I Disorder, Anxiety disorder NOS, recent adjustment disorder (bereavement); alcohol dependency in remission, and tobacco dependency. Her past medical history included: obesity, diabetes mellitus, type II, coronary artery disease, hyperlipidemia, esophageal reflux, peptic ulcer disease, gastritis, myopia including astigmatism, adrenal nodules, and fatty liver. During the course of follow-up visits, the patient disclosed that she wants to quit smoking and was prescribed nicotine replacement therapy (nicotine patches (21mg/14mg/7 mg) and nicotine lozenges 2 mg by her primary care provider. The patient set a tobacco cessation quit date and was given instructions to initiate the nicotine replacement therapy on her quit date. She also was educated on diet control. Weeks later, the patient reported quitting smoking two days prior to her original quit date because she purchased and started using an e-cigarette along with one nicotine lozenge per day. She described that the nicotine patch Œì√á¬£fell offŒì√á¬• so she discontinued it. Weeks later she stopped the nicotine lozenge. After 5-months, the patient had decreased her use of e-cigarette to three cartridges per week and denied using any tobacco cigarettes. Review of Literature: This is the first reported case of a patient with severe mental illness who selfinitiated e-cigarettes and was able to remain smoke free for 5 months. The major concern about e-cigarettes is the lack of safety and efficacy research. An OVID Medline search using the keyword Œì√á¬£electronic cigarettesŒì√á¬• found only 15 references pertaining directly to e-cigarettes. Conclusion: As the FDA imposes more regulations and controls upon e-cigarette companies, some of the uncertainties surrounding e-cigarettes will diminish. However, additional research of e-cigarette products is needed before they can be widely recommended by clinicians for smoking cessation.</t>
  </si>
  <si>
    <t>(Schneiderhan M.E.) 15th Annual Meeting of the College of Psychiatric and Neurologic Pharmacists, CPNP 2012 Tampa, FL, United States 2012-04-29 to 2012-05-02 SAGE Publications Inc.; ID: 1164</t>
  </si>
  <si>
    <t>Schnipper,J. L.;Kirwin,J. L.;Cotugno,M. C.;Wahlstrom,S. A.;Brown,B. A.;Tarvin,E.;Kachalia,A.;Horng,M.;Roy,C. L.;McKean,S. C.;Bates,D. W.</t>
  </si>
  <si>
    <t>Role of pharmacist counseling in preventing adverse drug events after hospitalization</t>
  </si>
  <si>
    <t>*Directive Counseling/mt Methods];*Drug-Related Side Effects and Adverse Reactions;Female;Follow-Up Studies;*Hospitalization;Humans;Male;*Medication Errors/pc Prevention &amp; Control];Middle Aged;Outcome Assessment (Health Care);*Patient Care Team;*Pharmacists;*Professional Role;Retrospective Studies;Surveys and Questionnaires</t>
  </si>
  <si>
    <t>BACKGROUND: Hospitalization and subsequent discharge home often involve discontinuity of care, multiple changes in medication regimens, and inadequate patient education, which can lead to adverse drug events (ADEs) and avoidable health care utilization. Our objectives were to identify drug-related problems during and after hospitalization and to determine the effect of patient counseling and follow-up by pharmacists on preventable ADEs. METHODS: We conducted a randomized trial of 178 patients being discharged home from the general medicine service at a large teaching hospital. Patients in the intervention group received pharmacist counseling at discharge and a follow-up telephone call 3 to 5 days later. Interventions focused on clarifying medication regimens; reviewing indications, directions, and potential side effects of medications; screening for barriers to adherence and early side effects; and providing patient counseling and/or physician feedback when appropriate. The primary outcome was rate of preventable ADEs. RESULTS: Pharmacists observed the following drug-related problems in the intervention group: unexplained discrepancies between patients' preadmission medication regimens and discharge medication orders in 49% of patients, unexplained discrepancies between discharge medication lists and postdischarge regimens in 29% of patients, and medication nonadherence in 23%. Comparing trial outcomes 30 days after discharge, preventable ADEs were detected in 11% of patients in the control group and 1% of patients in the intervention group (P = .01). No differences were found between groups in total ADEs or total health care utilization. CONCLUSIONS: Pharmacist medication review, patient counseling, and telephone follow-up were associated with a lower rate of preventable ADEs 30 days after hospital discharge. Medication discrepancies before and after discharge were common targets of intervention.</t>
  </si>
  <si>
    <t>J2: Arch Intern Med; Schnipper, Jeffrey L Kirwin, Jennifer L Cotugno, Michael C Wahlstrom, Stephanie A Brown, Brandon A Tarvin, Emily Kachalia, Allen Horng, Mark Roy, Christopher L McKean, Sylvia C Bates, David W HL072806 (United States NHLBI NIH HHS); ID: 435</t>
  </si>
  <si>
    <t>Schnipper,Jeffrey L. Brigham and Women's/Faulkner Hospitalist Program, Division of General Medicine, Brigham and Women's Hospital, Boston, Massachusetts 02120-1613, USA. jschnipper@partners.org</t>
  </si>
  <si>
    <t>http://ovidsp.ovid.com/ovidweb.cgi?T=JS&amp;CSC=Y&amp;NEWS=N&amp;PAGE=fulltext&amp;D=med5&amp;AN=16534045</t>
  </si>
  <si>
    <t>MEDLINE; Ovid Technologies; Role of pharmacist counseling in preventing adverse drug events after hospitalization</t>
  </si>
  <si>
    <t>Schommer,J. C.;Byers,S. R.;Pape,L. L.;Cable,G. L.;Worley,M. M.;Sherrin,T.</t>
  </si>
  <si>
    <t>Interdisciplinary medication education in a church environment</t>
  </si>
  <si>
    <t>Adult;Aged;Aged, 80 and over;*Ambulatory Care/mt Methods];Chi-Square Distribution;*Community Health Services/og Organization &amp; Administration];*Drug Therapy;Female;Humans;Interviews as Topic;Male;Middle Aged;Ohio;*Patient Education as Topic/mt Methods];Pharmacists;Pilot Projects;Program Evaluation;Self Administration</t>
  </si>
  <si>
    <t>A medication education program for ambulatory care patients implemented in a church setting was studied. The program at each of 20 churches in Ohio consisted of a one-hour orientation for pharmacists/interns, a 20-minute presentation on medications and health, a question-and-answer session led by a pharmacist and a nurse, a one-on-one session with a pharmacist, and an exit interview with a nurse. Before the program, patients completed a form to assess their current experiences with medications and their interactions with health care professionals in the preceding six months. During an exit interview at the end of the program, patients were asked whether the program has been understandable and beneficial and whether taking medications affected their lifestyle. A follow-up interview was conducted six months later. A total of 187 patients completed both the exit and follow-up interviews. Almost all reported that the church setting was a good place for the program and that the program was beneficial. During the six months after the program, the patients took significantly fewer drugs each day than during the six months before the program and had fewer drug-related problems. Significantly more patients sought drug information after completing the program than before it. High rates of medication misuse were identified, leading to 359 pharmacist recommendations. An interdisciplinary program in a church setting successfully provided medication education.</t>
  </si>
  <si>
    <t>J2: Am J Health-Syst Pharm; Schommer, Jon C Byers, Sandra R Pape, Linda L Cable, Gerald L Worley, Marcia M Sherrin, Thomas; ID: 522</t>
  </si>
  <si>
    <t>Schommer,Jon C. College of Pharmacy, University of Minnesota, 308 Harvard Street, S.E., Minneapolis, MN 55455, USA. schom010@tc.umn.edu</t>
  </si>
  <si>
    <t>http://ovidsp.ovid.com/ovidweb.cgi?T=JS&amp;CSC=Y&amp;NEWS=N&amp;PAGE=fulltext&amp;D=med4&amp;AN=11887408</t>
  </si>
  <si>
    <t>MEDLINE; Ovid Technologies; Interdisciplinary medication education in a church environment</t>
  </si>
  <si>
    <t>Schorr,S. G.;Eickhoff,C.;Feldt,S.;Hohmann,C.;Schulz,M.;Author,Addresses;Department of Medicine, Abda Federal Union of German,Associations of;Pharmacists,Berlin Germany;Department of Pharmacy, Klinikum Fulda,G.A.G.Fulda Germany;Department of,Pharmacology;Goethe-University Frankfurt, Biocenter Niederursel Frankfurt,Main Germany;Correspondence,Address;Schulz, Department of Medicine Abda Federal Union of German,M.;Associations of Pharmacists, Berlin,Germany Email;schulz@em.uni,frankfurt de</t>
  </si>
  <si>
    <t>24791599; Exploring the potential impact of hospital ward-based pharmacy interns on drug safety</t>
  </si>
  <si>
    <t>Pharmazie</t>
  </si>
  <si>
    <t>acetylsalicylic acid;diclofenac;ibuprofen;levothyroxine;metformin;metoprolol;ramipril;simvastatin;drug safety;medical education;pharmacist;adult;aged;article;female;health care cost;hospital pharmacy;human;major clinical study;male;medical documentation;medication therapy management;pharmaceutical care;pharmacy;thrombosis prevention;ward;acetylsalicylic acid (493-53-8, 50-78-2, 53663-74-4, 53664-49-6, 63781-77-1);diclofenac (15307-79-6, 15307-86-5);ibuprofen (15687-27-1, 79261-49-7, 31121-93-4, 527688-20-6);levothyroxine (51-48-9);metformin (1115-70-4, 657-24-9);metoprolol (37350-58-6);ramipril (87333-19-5);simvastatin (79902-63-9);Public Health, Social Medicine and Epidemiology (17);Pharmacy (39)</t>
  </si>
  <si>
    <t>Clinical pharmacists play an important role in improving drug safety on hospital wards. However, little is known about the impact of pharmacy interns. The objective of our study was, therefore, to investigate the impact of hospital ward-based pharmacy interns on drug safety. This study was conducted as part of the project "P-STAT 2: Pharmacy interns on the ward" on 14 surgical wards in seven hospitals in Germany and a total of 27 pharmacy interns participated. All patients admitted to the participating wards from 1st June 2008 until 31st October 2008 and from 1st December 2008 till 30th April 2009 were included. The pharmacy interns were involved in medication reconciliation, and identifying, resolving, and preventing drug-related problems (DRPs) using the classification system APS-Doc. A total of 6,551 patients were included. Patients received on average (‚î¨‚ñí SD) 4.4‚î¨‚ñí3.9 drugs. The pharmacy interns detected a total of 4,085 DRPs and on average 0.6‚î¨‚ñí1.2 DRPs per patient. Most frequently detected DRPs were potential drug-drug interactions (n=591, 14%), missing drug strength, when different strengths were available (n=373, 9%), and incomplete medication record (n=296, 7%). The pharmacy interns conducted an intervention for 98% (n=4,011) of all DRPs. According to their documentation, 74% of the DRPs (n=3,038) were solved. Drugs which were most often related with DRPs were simvastatin, diclofenac, and ibuprofen. This is the very first study exploring the potential impact of pharmacy interns on drug safety on surgical wards in Europe. Pharmacy interns can play an important role to improve drug safety on hospital wards.</t>
  </si>
  <si>
    <t>(Schorr S.G.; Eickhoff C.; Feldt S.; Schulz M., schulz@em.uni-frankfurt.de) (Hohmann C.) (Schulz M., schulz@em.uni-frankfurt.de) Govi-Verlag Pharmazeutischer Verlag GmbH; ID: 936</t>
  </si>
  <si>
    <t>0031-7144</t>
  </si>
  <si>
    <t>http://www.ncbi.nlm.nih.gov/pubmed/24791599</t>
  </si>
  <si>
    <t>Exploring the potential impact of hospital ward-based pharmacy interns on drug safety</t>
  </si>
  <si>
    <t>Schreck,J.</t>
  </si>
  <si>
    <t>The Utah School experience</t>
  </si>
  <si>
    <t>J2: J Am Pharm Assoc (Wash); Schreck, J; ID: 563</t>
  </si>
  <si>
    <t>Schreck,J. University of Kentucky, USA.</t>
  </si>
  <si>
    <t>http://ovidsp.ovid.com/ovidweb.cgi?T=JS&amp;CSC=Y&amp;NEWS=N&amp;PAGE=fulltext&amp;D=med4&amp;AN=10533338</t>
  </si>
  <si>
    <t>MEDLINE; Ovid Technologies; The Utah School experience</t>
  </si>
  <si>
    <t>Schuckit,M. A.</t>
  </si>
  <si>
    <t>The treatment of stimulant dependence</t>
  </si>
  <si>
    <t>Amphetamines/ae Adverse Effects];*Amphetamines;Central Nervous System Stimulants/ae Adverse Effects];*Central Nervous System Stimulants;Cocaine/ae Adverse Effects];*Cocaine;Combined Modality Therapy;Humans;Recurrence;*Substance-Related Disorders/rh Rehabilitation];0 (Amphetamines);0 (Central Nervous System Stimulants);I5Y540LHVR (Cocaine)</t>
  </si>
  <si>
    <t>Rehabilitation efforts offered to individuals with stimulant dependence incorporate a series of maneuvers to accomplish three major goals. Following active detoxification, most clinicians attempt to: (1) increase motivation for abstinence and maintain a high level of commitment to this goal; (2) help individuals to rebuild a stable life-style without substances; and (3) actively work toward ways of decreasing the probability of relapse (relapse prevention). While these activities incorporate education, counseling, outreach to families and exposure to self-help groups (e.g. Cocaine Anonymous), numerous pharmacological approaches have been tested. Each mode of drug therapy is based on a reasonable hypothesis, but appropriately controlled and structured clinical trials have not yet revealed any pharmacological approach for rehabilitation of stimulant-dependent individuals for which the risks have been shown to outweight the assets. References: 18]</t>
  </si>
  <si>
    <t>J2: Addiction; Schuckit, M A NIAAA 05526 (United States NIAAA NIH HHS) NIAAA 08401 (United States NIAAA NIH HHS) NIAAA 08403 (United States NIAAA NIH HHS); ID: 629</t>
  </si>
  <si>
    <t>Schuckit,M A. Veterans Affairs Medical Center, San Diego, CA 92161.</t>
  </si>
  <si>
    <t>http://ovidsp.ovid.com/ovidweb.cgi?T=JS&amp;CSC=Y&amp;NEWS=N&amp;PAGE=fulltext&amp;D=med3&amp;AN=7841871</t>
  </si>
  <si>
    <t>MEDLINE; Ovid Technologies; The treatment of stimulant dependence</t>
  </si>
  <si>
    <t>Schuster,C. R.;Johanson,C. E.</t>
  </si>
  <si>
    <t>An analysis of drug-seeking behavior in animals</t>
  </si>
  <si>
    <t>Age Factors;Animals;*Behavior, Animal/de Drug Effects];Conditioning, Operant/de Drug Effects];Extinction, Psychological;Food Deprivation;Genotype;Humans;Reinforcement (Psychology);Reinforcement Schedule;Satiation;Sex Factors;Species Specificity;*Substance-Related Disorders/px Psychology];Water Deprivation</t>
  </si>
  <si>
    <t>This article reviews the literature on the behavioral aspects of opiate dependence. Available data on the variables affecting drug-maintained behavior are presented. These variables are: (a) reinforcement variables, including parameters such as delay, magnitude, rate and duration of the reinforcing stimulus; (b) antecedent conditions, such as deprivation and satiation; (c) organismic variables, such as genotype, species, sex and age; (d) current environmental contingencies, such as the schedule of reinforcement in effect, or extinction; and (e) such experiential variables as pharmacological and behavioral history of the organism. The review ends with a discussion of the implications of these variables for the treatment of drug abuse. References: 59]</t>
  </si>
  <si>
    <t>J2: Neurosci Biobehav Rev; Schuster, C R Johanson, C E DA-00024 (United States NIDA NIH HHS) DA-00047 (United States NIDA NIH HHS) DA-00250 (United States NIDA NIH HHS); ID: 716</t>
  </si>
  <si>
    <t>http://ovidsp.ovid.com/ovidweb.cgi?T=JS&amp;CSC=Y&amp;NEWS=N&amp;PAGE=fulltext&amp;D=med2&amp;AN=7029360</t>
  </si>
  <si>
    <t>MEDLINE; Ovid Technologies; An analysis of drug-seeking behavior in animals</t>
  </si>
  <si>
    <t>Schwannauer,M.</t>
  </si>
  <si>
    <t>Depressed inpatients: treatment with psychotherapy plus pharmacotherapy superior to standard treatment</t>
  </si>
  <si>
    <t>46 1p</t>
  </si>
  <si>
    <t>Combined Modality Therapy;Depression -- Therapy;Psychotherapy, Brief;Single-Blind Studies</t>
  </si>
  <si>
    <t>Question:Is psychotherapy better than usual clinical management for inpatients with depression who are also being treated with pharmacotherapy?Patients:130 people aged 18-65 years old with DSM-IV major depressive disorder referred for psychiatric hospitalisation, who had a score of &gt;/= 16 on the 17-item Hamilton Depression Rating Scale (HAM-D). Exclusion criteria: bipolar I disorder, substance abuse or dependency, other primary axis I disorders, organic mental disorder, psychotic symptoms, severe cognitive impairment, active suicide ideation.Setting:Acute psychiatric hospital; enrolment November 2000 to August 2003.Intervention:Interpersonal psychotherapy (IPT) or clinical management (usual care). IPT had been adapted for an inpatient setting and included 15 individual sessions (each about 50 minutes three times weekly over 5 weeks), 8 IPT group sessions, some of which included significant others in some of the sessions. Clinical management was defined as 'psychoeducative, supportive and empathic' and involved three weekly sessions of 20-25 minutes each delivered by psychiatric residents. Both groups received pharmacotherapy (first-line treatment: sertraline; second-line treatment: amitriptyline or amitriptyline-N-oxide).Outcomes:Depressive symptoms (HAM-D) response (reduction in symptom severity of &gt;/= 50% on HAM-D), remission (score of 7 on the HAM-D).Patient follow-up:75% completed follow-up and 95% were included in last observation carried forward analyses.METHODSDesign: Randomised controlled trial.Allocation: Concealed.Blinding: Single blind (assessors blinded).Follow-up period: Follow-up at 5 weeks with further follow-up of completers at 3 months and 12 months after treatment began.MAIN RESULTSBoth groups showed significant improvements in depression after 5 weeks (HAM-D, p&lt;0.001), but this improvement was significantly greater in the interpersonal psychotherapy (IPT) group compared with the clinical management (CM) group (p&lt;0.001). IPT significantly increased the proportion of people who responded by 5 weeks (70% with IPT vs 51% with CM; p = 0.043). Interpersonal psychotherapy also significantly increased the proportion of people who maintained their response at 3 and 12 months (% sustaining response at 3 months: 73% with IPT vs 47% with CM; p = 0.012; at 12 months: 69% with IPT vs 36% with CM; p = 0.002). There was no significant difference in rates of remission either at 5 weeks, or at 3 and 12 month follow up (remission by 5 weeks: 49% with IPT vs 34% with CM; p = 0.105;% sustaining remission at 3 months: 36% vs 24% with CM; at 12 months: 35% vs 20% with CM; p values reported as not significant).CONCLUSIONSBrief intensive psychotherapy plus pharmacotherapy is better than standard treatment (clinical management plus pharmacotherapy) for inpatients with depression.</t>
  </si>
  <si>
    <t>Entry Date: 20080822. Revision Date: 20150711. Publication Type: Journal Article; abstract; commentary. Original Study: Schramm E, van Calker D, Dykierek P, Lieb K, Kech S, Zobel I, et al. An intensive treatment program of interpersonal psychotherapy plus pharmacotherapy for depressed inpatients: acute and long-term results. (AM J PSYCHIATRY) May2007; 164 (5): 768-777. Journal Subset: Biomedical; Europe; UK &amp; Ireland. Special Interest: Evidence-Based Practice; Psychiatry/Psychology. NLM UID: 100883413. PMID: 18441135.; ID: 1864</t>
  </si>
  <si>
    <t>University of Edinburgh, Edinburgh, UK.</t>
  </si>
  <si>
    <t>http://proxy.lib.umich.edu/login?url=http://search.ebscohost.com/login.aspx?direct=true&amp;db=ccm&amp;AN=105794529&amp;site=ehost-live&amp;scope=site</t>
  </si>
  <si>
    <t>ccm; EBSCOhost; Depressed inpatients: treatment with psychotherapy plus pharmacotherapy superior to standard treatment</t>
  </si>
  <si>
    <t>Schwartz-Bloom,Rochelle;Halpin,Myra J.</t>
  </si>
  <si>
    <t>Integrating Pharmacology Topics in High School Biology and Chemistry Classes Improves Performance</t>
  </si>
  <si>
    <t>Journal of Research in Science Teaching</t>
  </si>
  <si>
    <t>Teaching Methods;High School Students;High Schools;Research Design;Pharmacology;Learning Activities;Class Activities;Biology;Multiple Choice Tests;Effect Size;Chemistry;Science Instruction;Program Evaluation;Workshops;Scientific Concepts;Scores;Control Groups;Achievement Gains</t>
  </si>
  <si>
    <t>Although numerous programs have been developed for Grade Kindergarten through 12 science education, evaluation has been difficult owing to the inherent problems conducting controlled experiments in the typical classroom. Using a rigorous experimental design, we developed and tested a novel program containing a series of pharmacology modules (e.g., drug abuse) to help high school students learn basic principles in biology and chemistry. High school biology and chemistry teachers were recruited for the study and they attended a 1-week workshop to learn how to integrate pharmacology into their teaching. Working with university pharmacology faculty, they also developed classroom activities. The following year, teachers field-tested the pharmacology modules in their classrooms. Students in classrooms using the pharmacology topics scored significantly higher on a multiple choice test of basic biology and chemistry concepts compared with controls. Very large effect sizes (up to 1.27 standard deviations) were obtained when teachers used as many as four modules. In addition, biology students increased performance on chemistry questions and chemistry students increased performance on biology questions. Substantial gains in achievement may be made when high school students are taught science using topics that are interesting and relevant to their own lives. (Contains 3 notes, 7 tables, and 2 figures.)</t>
  </si>
  <si>
    <t>FirstSearch indicates your institution subscribes to this publication. Libraries worldwide that own item: 1182 University of Michigan Library Search the Mirlyn catalog at the University of MichiganLocal Holdings Information: 1-; 1963-; 1-21; 1963-1984; 6-12,14-18,22-46; 1969-1975,1977-1981,1985-2009 17 pages Target Audience: Teachers; Education Level: High Schools Article (EJ); ID: 2126</t>
  </si>
  <si>
    <t>0022-4308</t>
  </si>
  <si>
    <t>John Wiley &amp; Sons, Inc. Subscription Department, 111 River Street, Hoboken, NJ 07030-5774. Tel: 800-825-7550; Tel: 201-748-6645; Fax: 201-748-6021; e-mail: subinfo@wiley.com; Web site: http://www3.interscience.wiley.com/browse/?type=JOURNAL; http://dx.doi.org/10.1002/tea.10116</t>
  </si>
  <si>
    <t>EJ772927</t>
  </si>
  <si>
    <t>ERIC; OCLC; Integrating Pharmacology Topics in High School Biology and Chemistry Classes Improves Performance</t>
  </si>
  <si>
    <t>Schwartzkopf,Linda</t>
  </si>
  <si>
    <t>Developing a Substance Abuse Prevention Program for At-Risk Elementary School Students</t>
  </si>
  <si>
    <t>Alcohol Abuse;Children;Classrooms;Drug Abuse;Education;Elementary Education;Grade 1;Grade 2;Grade 3;Grade 4;Grade 5;Kindergarten;(Major): Early Intervention;Educational Strategies;Elementary School Students;High Risk Students;Prevention;Substance Abuse;Identifier: Preventive Education</t>
  </si>
  <si>
    <t>A lack of adequate substance abuse information at an elementary school prompted this practicum examining at risk students. Classroom guidance lessons on substance abuse prevention were given, which included small group counseling sessions regarding self-esteem and problem-solving skills, followed by posttests. Classroom guidance lessons revealed a need for prevention programs which imparted knowledge about the use and consequences of alcohol and substances. The self-esteem small group sessions showed that students responded positively to assertiveness training and social skill enhancement. Students also benefitted from talks about responsibility, self-discipline and good judgment. Participants indicated a need for all students to join in drug awareness and a desire for more small group counseling sessions and classroom guidance lessons regarding the issues of substance abuse prevention. Parents reported that they felt excluded from their children's substance abuse programs. It was concluded that comprehensive school substance abuse prevention programs should include lessons for students regarding feelings, pharmacology, and self-awareness, as well as involve parents. Students who completed posttests on substance abuse prevention, self-esteem, and problem-solving skills performed perfectly. Contains 18 references. (Three appendices list all three posttests.) (RJM)</t>
  </si>
  <si>
    <t>Connect to the Mirlyn catalog at the University of Michigan Ed.D. Practicum, Nova University. Level: 1; RP: Connect to the Mirlyn catalog at the University of Michigan Ed.D. Practicum, Nova University. Level: 1; ID: 2103</t>
  </si>
  <si>
    <t>ED377435</t>
  </si>
  <si>
    <t>ERIC; OCLC; Developing a Substance Abuse Prevention Program for At-Risk Elementary School Students</t>
  </si>
  <si>
    <t>Schweigert,B. F.;Oppenheimer,P. R.;Smith,W. E.;Author,Addresses;Pharm. Dept,Mem Hosp;Med Cent,Long,Beach C.;Correspondence,Address;Pharm Dept, Mem Hosp Med Cent Long,Beach C.</t>
  </si>
  <si>
    <t>7055151; Hospital pharmacists as a source of drug information for physicians and nurses</t>
  </si>
  <si>
    <t>drug information;hospital personnel;pharmacist;nurse;physician;theoretical study;Health Policy, Economics and Management (36)</t>
  </si>
  <si>
    <t>The types and frequency of questions asked of pharmacists working in a decentralized pharmaceutical service, and the frequency with which pharmacist-recommended changes were implemented by the inquirer, were studied. Data were collected for a 38-day period by all 26 of the pharmacists working in nine satellites. A drug information log was designed to document: (1) who asked the question; (2) whether the question was for general information or about a specific patient; (3) if a change in drug regimen was recommended and subsequently accepted; and (4) the nature of the question, including the drugs discussed. A total of 3946 questions were answered by the pharmacists, an average of 104 per day. Nearly half (46%) of the questions came from nurses, 38% from physicians (16% from attending physicians and 22% from residents), 12% from pharmacists, and 4% from other hospital personnel. Sixty-five percent of the questions concerned drug therapy problems of specific patients; 35% were for general drug information. The pharmacists recommended changes in drug therapy for 62% of the cases involving a specific patient. The pharmacists' recommendations were accepted and implemented 80% of the time. The most common problem prompting questions from the attending physicians, residents, and pharmacists was about drug 'dose', while for nurses it was the 'method of drug administration.' The drug groups that prompted the most questions from all four types of health-care professionals were the 'anti-infective drugs' and the 'CNS/analgesic' group. Cardiovascular drugs, theophylline derivatives, and i.v. and parenteral nutrition solutions were a common topic of questions as well. The high degree of compliance with the pharmacists' recommendations support the role of the pharmacist as a drug information source in the community hospital setting.</t>
  </si>
  <si>
    <t>(Schweigert B.F.; Oppenheimer P.R.; Smith W.E.); ID: 1764</t>
  </si>
  <si>
    <t>http://www.ncbi.nlm.nih.gov/pubmed/7055151</t>
  </si>
  <si>
    <t>Hospital pharmacists as a source of drug information for physicians and nurses</t>
  </si>
  <si>
    <t>Scott,C. S.;Decker,J. L.;Edwards,M. L.;Freid,E. B.</t>
  </si>
  <si>
    <t>Withdrawal after narcotic therapy: a survey of neonatal and pediatric clinicians</t>
  </si>
  <si>
    <t>Child, Preschool;Crying;Data Collection;Humans;Infant;Infant, Newborn;Irritable Mood;*Narcotics/ae Adverse Effects];Narcotics/tu Therapeutic Use];Nurses;Pediatrics;Pharmacists;Psychomotor Agitation;Seizures;Skin Diseases;*Substance Withdrawal Syndrome/co Complications];Substance Withdrawal Syndrome/px Psychology];Sweating;Tremor;0 (Narcotics)</t>
  </si>
  <si>
    <t>Pharmacists at the 1995 American College of Clinical Pharmacy Pediatric Practice and Research Network meeting volunteered to act as coordinators at their sites and survey pediatric and neonatal nurses, pharmacists, and physicians regarding dependency in neonatal and pediatric patients after therapeutic administration of narcotics. Thirteen (60%) of 21 coordinators returned 244 surveys. Primary symptoms of withdrawal reported by clinicians were agitation (100%), irritability (100%), inconsolability (100%), crying (99%), tremors (98%), high heart rate (98%), fidgets (98%), high blood pressure (97%), less sleep (96%), and sweating (94%). Most clinicians considered narcotic withdrawal to be a problem (74%) that should be treated (87%). A dependency scale is being developed and will include symptoms reported by more than 75% of respondents.</t>
  </si>
  <si>
    <t>J2: Pharmacotherapy; Scott, C S Decker, J L Edwards, M L Freid, E B; ID: 573</t>
  </si>
  <si>
    <t>Scott,C S. Division of Pharmacotherapy, School of Pharmacy, University of North Carolina at Chapel Hill, 27599-7360, USA.</t>
  </si>
  <si>
    <t>http://ovidsp.ovid.com/ovidweb.cgi?T=JS&amp;CSC=Y&amp;NEWS=N&amp;PAGE=fulltext&amp;D=med4&amp;AN=9855332</t>
  </si>
  <si>
    <t>MEDLINE; Ovid Technologies; Withdrawal after narcotic therapy: a survey of neonatal and pediatric clinicians</t>
  </si>
  <si>
    <t>Scott,D. M.;Dewey,M. W.;Johnson,T. A.;Kessler,M. L.;Friesner,D. L.</t>
  </si>
  <si>
    <t>Preliminary evaluation of medication therapy management services in assisted living facilities in rural Minnesota</t>
  </si>
  <si>
    <t>Aged;Aged, 80 and over;Assisted Living Facilities/ec Economics];*Assisted Living Facilities/og Organization &amp; Administration];Consultants;Cost Savings;Cross-Sectional Studies;Drug-Related Side Effects and Adverse Reactions;Female;Humans;Male;Medication Therapy Management/ec Economics];*Medication Therapy Management/og Organization &amp; Administration];Middle Aged;Minnesota;Patient Satisfaction;Pharmaceutical Preparations/ad Administration &amp; Dosage];Pharmaceutical Services/ec Economics];*Pharmaceutical Services/og Organization &amp; Administration];*Pharmacists/og Organization &amp; Administration];Pilot Projects;Rural Health Services/ec Economics];Rural Health Services/og Organization &amp; Administration];0 (Pharmaceutical Preparations)</t>
  </si>
  <si>
    <t>OBJECTIVES: While pharmacists are providing medication therapy management (MTM) services, few programs have been assessed for outcomes, particularly those in rural areas. The objectives are to: 1) categorize the number and type of drug-therapy problems (DTPs) that were identified by consultant pharmacists in assisted living facilities, 2) assess resident and administrator satisfaction of consultant pharmacist MTM services, and 3) assess the direct costs of providing MTM services and make some preliminary inferences about the program's economic viability. DESIGN: We conducted a cross-sectional, pilot study at 14 assisted living facilities over a 12-month period. SETTING: 14 rural assisted living facilities. PATIENTS: Assisted living facility residents. INTERVENTION: MTM visits were performed by a consultant pharmacist based on the MTM model developed by the American Pharmacists Association. MAIN OUTCOME MEASURES: Patient satisfaction, clinical (DTPs), and economic costs. RESULTS: 130 residents were enrolled with a mean age of 86 years, with 77.7% female. Residents were taking an average of 13 medications (range = 1-29), including prescription and nonprescription drugs. Common medical conditions were hypertension (80.0%), hyperlipidemia (37.7%), and diabetes (20.8%). Residents had an average of 9 comorbidities (range = 2-16) and 304 DTPs (mean 2.3 per resident). Residents reported high mean satisfaction levels with the pharmacist and the services provided. Direct costs of the intervention were $20,372.96, which suggests that only modest gains in overall patient health (or a few major avoided adverse events) caused by the intervention are necessary to ensure the program's economic viability. CONCLUSION: Through the use of MTM programs to resolve medication problems, pharmacists can improve patient satisfaction with care among assisted living facility residents.</t>
  </si>
  <si>
    <t>J2: Consult Pharm; Scott, David M Dewey, Mark W Johnson, Todd A Kessler, Matthew L Friesner, Daniel L; ID: 295</t>
  </si>
  <si>
    <t>Scott,David M. Department of Pharmacy Practice, North Dakota State University College of Pharmacy, Nursing, and Allied Sciences, Fargo, North Dakota 58105-5055, USA. david.scott@ndsu.edu</t>
  </si>
  <si>
    <t>http://ovidsp.ovid.com/ovidweb.cgi?T=JS&amp;CSC=Y&amp;NEWS=N&amp;PAGE=fulltext&amp;D=med5&amp;AN=20497929</t>
  </si>
  <si>
    <t>http://dx.doi.org/10.4140/TCP.n.2010.305</t>
  </si>
  <si>
    <t>MEDLINE; Ovid Technologies; Preliminary evaluation of medication therapy management services in assisted living facilities in rural Minnesota</t>
  </si>
  <si>
    <t>Scott,D. M.;Nordin,J. D.</t>
  </si>
  <si>
    <t>Pharmacist's role in projects for children and youth</t>
  </si>
  <si>
    <t>Ambulatory Care Facilities/ma Manpower];*Ambulatory Care Facilities/og Organization &amp; Administration];Child Health Services/ma Manpower];*Child Health Services/og Organization &amp; Administration];Drug Information Services/ma Manpower];Health Occupations/ed Education];Minnesota;Patient Education as Topic;*Pharmaceutical Services/og Organization &amp; Administration];Pharmacists/ut Utilization]</t>
  </si>
  <si>
    <t>The establishment of clinical and distribute pharmaceutical services in an ambulatory care clinic serving primarily children and youth is discussed. In addition to assuring that drug therapy is appropriate and needed drugs are dispensed, the pharmacy staff administers the first dose of medications prescribed for pediatric patients. As part of the clinic's interdisciplinary health care team, pharmacists also provide therapeutic and pharmacokinetic consultations, drug monitoring, drug information, educational programs for patients, staff, pharmacy students and the community, and drug dependency and poison prevention services. Health professionals, patients, and the community have accepted the expanded role of the pharmacists.</t>
  </si>
  <si>
    <t>J2: Am J Hosp Pharm; Scott, D M Nordin, J D; ID: 722</t>
  </si>
  <si>
    <t>http://ovidsp.ovid.com/ovidweb.cgi?T=JS&amp;CSC=Y&amp;NEWS=N&amp;PAGE=fulltext&amp;D=med2&amp;AN=7424930</t>
  </si>
  <si>
    <t>MEDLINE; Ovid Technologies; Pharmacist's role in projects for children and youth</t>
  </si>
  <si>
    <t>Scriabine,A.;Author,Addresses;Department of Pharmacology, Yale University,School of;Medicine,Cedar Street New Haven C.T.United States;Correspondence,Address;Scriabine, Department of Pharmacology Yale University School of,A.;Medicine,Cedar Street New Haven C.T.United States Email;alexander.scriabine@snet.net</t>
  </si>
  <si>
    <t>29th Annual meeting of New England pharmacologists Brown University, Providence, RI January 28-29, 2000</t>
  </si>
  <si>
    <t>CNS drug reviews</t>
  </si>
  <si>
    <t>CNS Drug Rev.</t>
  </si>
  <si>
    <t>3 alpha hydroxy 5 betapregnan 20 one hemasuccinate (drug development,;intraperitoneal drug administration, pharmacology);3alpha hydroxy 5alpha pregnan 20 one (drug concentration, drug interaction,;pharmacology);amyloid beta protein (endogenous compound);baclofen (intraperitoneal drug administration, pharmacology);brain derived neurotrophic factor (drug therapy, pharmacology);cannabinoid;captopril;diltiazem (pharmacology);eletriptan (drug comparison, pharmacology);flumazenil (drug interaction, pharmacology);ion channel;leptin (pharmacology);lidocaine (drug interaction, pharmacology);lidocaine ethobromide (pharmacology);ma 281 (drug interaction);mevinolin (adverse drug reaction, pharmacology);midazolam (drug interaction, pharmacology);morphine;naloxone (drug interaction);neurosteroid (drug development, intraperitoneal drug administration,;neurotrophic factor (drug therapy, pharmacology);nifedipine (pharmacology);recombinant ciliary neurotrophic factor (adverse drug reaction,;rimonabant;rosiglitazone (drug comparison, pharmacology);sumatriptan (drug comparison, drug interaction, pharmacology);tetrahydrocannabinol (drug development, intranasal drug administration,;unclassified drug;unindexed drug;vaccine (drug development, pharmacology);verapamil (pharmacology);zolmitriptan (drug comparison, drug interaction, pharmacology);drug mechanism;amyotrophic lateral sclerosis (drug therapy);atherosclerosis;cell line;conference paper;diabetes mellitus;drug blood level;drug inhibition;drug potency;drug potentiation;gastrointestinal symptom (side effect);gene mutation;hormone inhibition;hormone release;human;hypercalciuria;Liddle syndrome;long QT syndrome;nonhuman;obesity;sodium retention;tumor cell;withdrawal syndrome;3alpha hydroxy 5alpha pregnan 20 one (516-54-1);amyloid beta protein (109770-29-8);baclofen (1134-47-0);brain derived neurotrophic factor (218441-99-7);captopril (62571-86-2);diltiazem (33286-22-5, 42399-41-7);eletriptan (143322-58-1, 177834-92-3);flumazenil (78755-81-4);lidocaine ethobromide (21306-56-9);lidocaine (137-58-6, 24847-67-4, 56934-02-2, 73-78-9);mevinolin (75330-75-5);midazolam (59467-70-8);morphine (52-26-6, 57-27-2);naloxone (357-08-4, 465-65-6);nifedipine (21829-25-4);rimonabant (158681-13-1, 168273-06-1);rosiglitazone (122320-73-4, 155141-29-0);sumatriptan (103628-46-2);tetrahydrocannabinol (1972-08-3);verapamil (152-11-4, 52-53-9);zolmitriptan (139264-17-8);Clinical and Experimental Pharmacology (30);Drug Literature Index (37);Adverse Reactions Titles (38)</t>
  </si>
  <si>
    <t>(Scriabine A.); ID: 1634</t>
  </si>
  <si>
    <t>1080-563X</t>
  </si>
  <si>
    <t>29th Annual Meeting of New England Pharmacologists Brown University, Providence, RI January 28-29, 2000</t>
  </si>
  <si>
    <t>Cardiovascular drug reviews</t>
  </si>
  <si>
    <t>Cardiovasc.Drug Rev.</t>
  </si>
  <si>
    <t>(MAJOR FOCUS);cholinergic receptor;leptin;recombinant ciliary neurotrophic factor (adverse drug reaction, drug;therapy, pharmacology);4 aminobutyric acid A receptor;4 aminobutyric acid B receptor stimulating agent (drug dose, intraperitoneal;drug administration);baclofen (drug dose, intracerebral drug administration, intraperitoneal drug;administration);benzodiazepine receptor blocking agent;cannabinoid receptor antagonist;cholesterol ester transfer protein;diltiazem;dronabinol;eletriptan (drug comparison, pharmacokinetics);epitope;flumazenil;lidocaine;lidocaine ethobromide;mevinolin;morphine (drug dose, subcutaneous drug administration);neurosteroid;nifedipine;rimonabant;rosiglitazone;serotonin 1B receptor;sumatriptan (drug comparison, pharmacokinetics);tetanus toxoid (drug development);verapamil;zolmitriptan (drug comparison, pharmacokinetics);amyotrophic lateral sclerosis (drug therapy);cardiovascular disease (etiology, prevention);neurologic disease (drug therapy, etiology, prevention);atherosclerosis (etiology, prevention);brain protection;conference paper;coughing (side effect);cystic fibrosis (etiology);drug induced disease (side effect);drug mechanism;gene mutation;human;nausea (side effect);neuropharmacology;non insulin dependent diabetes mellitus (drug therapy);nonhuman;priority journal;vomiting (side effect);withdrawal syndrome;DRUG TRADE NAMES;qx 314;sr 141716a;baclofen (1134-47-0);diltiazem (33286-22-5, 42399-41-7);dronabinol (7663-50-5);eletriptan (143322-58-1, 177834-92-3);flumazenil (78755-81-4);lidocaine ethobromide (21306-56-9);lidocaine (137-58-6, 24847-67-4, 56934-02-2, 73-78-9);mevinolin (75330-75-5);morphine (52-26-6, 57-27-2);nifedipine (21829-25-4);rimonabant (158681-13-1, 168273-06-1);rosiglitazone (122320-73-4, 155141-29-0);sumatriptan (103628-46-2);tetanus toxoid (57425-69-1, 93384-51-1);verapamil (152-11-4, 52-53-9);zolmitriptan (139264-17-8);Cardiovascular Diseases and Cardiovascular Surgery (18);Clinical and Experimental Pharmacology (30);Drug Literature Index (37);Adverse Reactions Titles (38);Neurology and Neurosurgery (8)</t>
  </si>
  <si>
    <t>(Scriabine A.); ID: 1638</t>
  </si>
  <si>
    <t>0897-5957</t>
  </si>
  <si>
    <t>Seivewright,N.;Donmall,M.;Douglas,J.;Draycott,T.;Millar,T.;Author,Addresses;Substance,Misuse Service;Sheffield Nhs Trust, N Sheffield,United Kingdom;Univ Manchester Drug,Misuse Res;Manchester,United Kingdom;Correspondence,Address;S.,N.Seivewright, Substance Misuse Service Community Health Sheffield N.H.;Trust,Norfolk House Norfolk St Sheffield S.J.B.United Kingdom</t>
  </si>
  <si>
    <t>Cocaine misuse treatment in England</t>
  </si>
  <si>
    <t>(MAJOR FOCUS);cocaine (drug therapy, drug toxicity);amitriptyline (drug therapy);benzodiazepine (drug therapy);chlorpromazine (drug therapy);desipramine (drug therapy);dexamphetamine (drug therapy);diazepam (drug therapy);fluoxetine (drug therapy);methadone (drug therapy);nitrazepam (drug therapy);paroxetine (drug therapy);temazepam (drug therapy);thioridazine (drug therapy);trifluoperazine (drug therapy);drug misuse (drug therapy, therapy);acupuncture;adult;clinical article;cohort analysis;female;human;interview;male;medical staff;patient counseling;policy;priority journal;prospective study;rehabilitation;review;social problem;treatment outcome;United Kingdom;withdrawal syndrome;amitriptyline (50-48-6, 549-18-8);benzodiazepine (12794-10-4);chlorpromazine (50-53-3, 69-09-0);cocaine (50-36-2, 53-21-4, 5937-29-1);desipramine (50-47-5, 58-28-6);dexamphetamine (1462-73-3, 51-63-8, 51-64-9);diazepam (439-14-5);fluoxetine (54910-89-3, 56296-78-7, 59333-67-4);methadone (1095-90-5, 125-56-4, 23142-53-2, 297-88-1, 76-99-3);nitrazepam (146-22-5);paroxetine (61869-08-7);temazepam (846-50-4);thioridazine (130-61-0, 50-52-2);trifluoperazine (117-89-5, 440-17-5);Public Health, Social Medicine and Epidemiology (17);Drug Literature Index (37);Drug Dependence, Alcohol Abuse and Alcoholism (40)</t>
  </si>
  <si>
    <t>Three methods were used to identify the treatments given to cocaine misusers in England, and to make a preliminary assessment of effectiveness. First, a postal survey of all known drug misuse treatment services ascertained approximate numbers of cocaine misusers presenting and receiving a specified range of treatments. Secondly, staff at selected services were interviewed regarding treatment policies, and asked to subjectively rate short-term and long-term effectiveness. Thirdly, a cohort of individuals in treatment were studied prospectively to assess changes in drug usage and associated problems. Fifty percent of services responded to the survey, but there was known to be significant duplication in service listings and it is considered that a representative pattern of clinical activity has been detected. Approximately half those services had recently treated cocaine misusers, mainly using counselling, residential rehabilitation, and pharmacological treatments, in which 32 different medications were identified. Acupuncture was prominent in a minority of services. Staff interviews suggested several principles in managing cocaine misusers, while all treatments were rated as being more effective in short-term relief of withdrawal features than in enabling longer-term abstinence. The treatment cohort were mostly in residential rehabilitation, and marked reductions in drug use and related clinical and social problems were demonstrated. (C) 2000 Elsevier Science B.V. All rights reserved.</t>
  </si>
  <si>
    <t>(Seivewright N.; Draycott T.) (Donmall M.; Douglas J.; Millar T.); ID: 1640</t>
  </si>
  <si>
    <t>2000231274 FULL TEXT LINK http://dx.doi.org/10.1016/S0955-3959(00)00045-1</t>
  </si>
  <si>
    <t>Serban,C.;Susan,L.;Pacurari,A.;Banciu,C.;Gotia,S.;Savoiu,G.;Romosan,I.;Author,Addresses;Pathophysiology Department,University,of Medicine;and Pharmacy Œì√á¬£Victor BabesŒì√á¬•, Timisoara Romania;Clinic,I. V.;University of,Medicine;Pharmacy,Timi‚îº∆íoara Romania;Physiology Department,University,of Medicine;Pharmacy;Œì√á¬£Victor BabesŒì√á¬•,Timisoara Romania;Correspondence,Address;Serban, Pathophysiology Department University of Medicine,C.;Pharmacy;Œì√á¬£Victor BabesŒì√á¬•,Timisoara Romania</t>
  </si>
  <si>
    <t>Modification of serum lipid profile in chronic pancreatitis patients</t>
  </si>
  <si>
    <t>Pancreatology</t>
  </si>
  <si>
    <t>high density lipoprotein;high density lipoprotein cholesterol;lipid;triacylglycerol;chronic pancreatitis;lipid blood level;patient;alcohol abuse;alcoholism;cholesterol blood level;disorders of lipid and lipoprotein metabolism;echography;etiology;hospital;hypercholesterolemia;hypertriglyceridemia;pharmacy;risk factor;thorax radiography;university</t>
  </si>
  <si>
    <t>Introduction: Lipid metabolism disorders may be an independent risk factor especially for chronic pancreatitis without alcoholic etiology. Objectives: The main purpose of this study was to analyze the incidence and associated lipid disorders in chronic pancreatitis patients. Patients and Methods: We selected a group of 52 patients with chronic pancreatitis, hospitalized between January 2006 and January 2009 in the IVth Medical Clinic of University of Medicine and Pharmacy Victor Babes Timisoara. All the patients were investigated clinically, paraclinically (total cholesterol, triglycerides, LDLcholesterol and HDL-cholesterol) and imagistically (abdominal ultrasonography, abdominal and chest x-ray). Results: For the patients with chronic pancreatitis with alcoholic etiology, 42% presented hypertriglyceridemia with values between 150-300 mg%, 11% hypertriglyceridemia with values over 300 mg%. 5.2% patients showed hypertriglyceridemia (150-300 mg%) associated with hypercholesterolemia (200-250 mg%) and low HDL-cholesterol ( 250 mg%) in 2 patients and hypercholesterolemia&gt; 250 mg% associated with low HDL-cholesterol in another 2 patients. Conclusion: Lipid disorders are common in patients with chronic pancreatitis. Isolated hypertriglyceridemia or associated with hypercholesterolemia are frequent. An important etiological factor in these patients is alcohol abuse. For the patients with chronic pancreatitis without alcoholic etiology, dislipidemia and especially hypertriglyceridemia may be an etiological factor.</t>
  </si>
  <si>
    <t>(Serban C.; Savoiu G.) (Susan L.; Pacurari A.; Banciu C.; Romosan I.) (Gotia S.) 41st European Pancreatic Club (EPC) Meeting Szeged, Hungary 2009-07-01 to 2009-07-04 CONFERENCE EDITORS Hegyi P. Takacs T. Venglovecz V. Takacs T. Rakonczay Z. Takacs T. Venglovecz V. Takacs T. S. Karger AG; ID: 1426</t>
  </si>
  <si>
    <t>1424-3903</t>
  </si>
  <si>
    <t>Seu,E.;Lang,A.;Rivera,R. J.;Jentsch,J. D.</t>
  </si>
  <si>
    <t>NIHMS70491 PMC2634830; Inhibition of the norepinephrine transporter improves behavioral flexibility in rats and monkeys</t>
  </si>
  <si>
    <t>Adrenergic Uptake Inhibitors/pd Pharmacology];Animals;Atomoxetine Hydrochloride;*Behavior, Animal/de Drug Effects];Cercopithecus aethiops;Choice Behavior/de Drug Effects];Desipramine/pd Pharmacology];Discrimination (Psychology)/de Drug Effects];Dopamine Uptake Inhibitors/pd Pharmacology];Male;Memory/de Drug Effects];Methylphenidate/pd Pharmacology];*Norepinephrine Plasma Membrane Transport Proteins/ai Antagonists &amp; Inhibitors];Piperazines/pd Pharmacology];Propylamines/pd Pharmacology];Psychomotor Performance/de Drug Effects];Rats;Rats, Long-Evans;Reversal Learning/de Drug Effects];Space Perception/de Drug Effects];0 (Adrenergic Uptake Inhibitors);0 (Dopamine Uptake Inhibitors);0 (Norepinephrine Plasma Membrane Transport Proteins);0 (Piperazines);0 (Propylamines);207ZZ9QZ49 (Methylphenidate);57WVB6I2W0 (Atomoxetine Hydrochloride);90X28IKH43 (vanoxerine);TG537D343B (Desipramine)</t>
  </si>
  <si>
    <t>RATIONALE: Poor cognitive control, including reversal learning deficits, has been reported in children with attention deficit hyperactivity disorder, in stimulant-dependent humans, and in animal models of these disorders; these conditions have each been associated with abnormal catecholaminergic function within the prefrontal cortex. OBJECTIVES: In the current studies, we sought to explore how elevations in extracellular catecholamine levels, produced by pharmacological inhibition of catecholamine reuptake proteins, affect behavioral flexibility in rats and monkeys. MATERIALS AND METHODS: Adult male Long-Evans rats and vervet monkeys were trained, respectively, on a four-position discrimination task or a three-choice visual discrimination task. Following systemic administration of pharmacological inhibitors of the dopamine and/or norepinephrine membrane transporters, rats and monkeys were exposed to retention or reversal of acquired discriminations. RESULTS: In accordance with our a priori hypothesis, we found that drugs that inhibit norepinephrine transporters, such as methylphenidate, atomoxetine, and desipramine, improved reversal performance in rats and monkeys; this was mainly due to a decrease in the number of perseverative errors. Interestingly, the mixed dopamine and norepinephrine transporters inhibitor methylphenidate, if anything, impaired performance during retention in both rats and monkeys, while administration of the selective dopamine transporter inhibitor GBR-12909 increased premature responses but did not alter reversal learning performance. CONCLUSIONS: Our results suggest that pharmacological inhibition of the membrane norepinephrine, but not membrane dopamine, transporter is associated with enhanced behavioral flexibility. These data, combined with earlier reports, may indicate that enhanced extracellular catecholamine levels in cortical regions, secondary to norepinephrine reuptake inhibition, improves multiple aspects of inhibitory control over responding in rats and monkeys.</t>
  </si>
  <si>
    <t>J2: Psychopharmacology (Berl); Seu, Emanuele Lang, Andrew Rivera, Ronald J Jentsch, J David P20 DA022539 (United States NIDA NIH HHS) P20 DA022539-017626 (United States NIDA NIH HHS) P20 DA022539-026122 (United States NIDA NIH HHS) P20 DA022539-037588 (United States NIDA NIH HHS) P20-DA22539 (United States NIDA NIH HHS) P50 MH077248 (United States NIMH NIH HHS) P50 MH077248-01 (United States NIMH NIH HHS) P50 MH077248-02 (United States NIMH NIH HHS) P50 MH077248-03 (United States NIMH NIH HHS) P50-MH77248 (United States NIMH NIH HHS) RL1 MH083270 (United States NIMH NIH HHS) RL1 MH083270-01 (United States NIMH NIH HHS) RL1 MH083270-02 (United States NIMH NIH HHS); ID: 331</t>
  </si>
  <si>
    <t>1432-2072</t>
  </si>
  <si>
    <t>Seu,Emanuele. Department of Psychology, University of California Los Angeles, P.O. Box 951563, Los Angeles, CA 90095-1563, USA. jentsch@psych.ucla.edu</t>
  </si>
  <si>
    <t>http://ovidsp.ovid.com/ovidweb.cgi?T=JS&amp;CSC=Y&amp;NEWS=N&amp;PAGE=fulltext&amp;D=med5&amp;AN=18604598</t>
  </si>
  <si>
    <t>http://dx.doi.org/10.1007/s00213-008-1250-4</t>
  </si>
  <si>
    <t>MEDLINE; Ovid Technologies; Inhibition of the norepinephrine transporter improves behavioral flexibility in rats and monkeys</t>
  </si>
  <si>
    <t>Sevak,T. R.;Click,I.;Basden,J. A.;Hagemeier,N.;Author,Addresses;Department of,Pharmacy Practice;of Pharmacy, East Tennessee State University Johnson City,United States;Department of Family Medicine, Quillen,College of;Medicine,East Tennessee State University Mountain Home United States;Correspondence,Address;TR Sevak, Department of Pharmacy Practice Gatton College,of Pharmacy;East Tennessee State University, Johnson City,United States</t>
  </si>
  <si>
    <t>Community pharmacists' perceptions of neonatal abstinence syndrome and opioid-based medication-assisted treatment in Northeast</t>
  </si>
  <si>
    <t>e324</t>
  </si>
  <si>
    <t>(MAJOR FOCUS);opiate;buprenorphine;American;clinical pharmacy;college;drug therapy;human;pharmacist;withdrawal syndrome;abuse;addiction;directory;institutional review;Likert scale;patient care;pregnancy;prescription;prevalence;Student t test;substance use;United States;university</t>
  </si>
  <si>
    <t>PURPOSE: The incidence of neonatal abstinence syndrome (NAS) in Tennessee has increased over ten-fold in the last 15 years and is strongly linked to increased maternal use and abuse of prescription and illicit opioids. Pharmacists are uniquely positioned to engage in dispensing and patient-care activities associated with medication-assisted treatment (MAT) of addiction during pregnancy. The aim of this study was to examine perceptions of pharmacists regarding MAT, MAT providers, and NAS as a consequence of MAT. Given increased NAS prevalence over the last two decades, we also evaluated perceptions of younger versus older pharmacists. METHODS: One hundred pharmacists were randomly selected from a state directory of 332 licensed community pharmacists in the 8-county Northeast Tennessee region. Survey administration followed the Tailored Design Method. Survey items were responded to using a 7-point Likert scale and assessed pharmacists' perceptions regarding pregnancy substance use concerns, estimates of NAS in Tennessee due to MAT, attitudes toward MAT in pregnancy, and trustworthiness of buprenorphine prescribers. Independent samples t-tests were used to compare NAS estimates and composite MAT-attitude scores across pharmacists' age (&lt;45 versus Œì√´√ë45). The East Tennessee State University Institutional Review Board approved the study. RESULTS: Substance use during pregnancy was a concern of a majority (75.8%) of pharmacist respondents. NAS estimates attributable to MAT were significantly greater for younger pharmacists (61%) as compared to older pharmacists (30%, p = 0.012). Attitudes of young pharmacists towards MAT were significantly less positive than those of older pharmacists (3.1 ‚î¨‚ñí 0.5 versus 5.0 ‚î¨‚ñí 0.4, p = 0.01). Overall, 3.7% of pharmacists indicated that they trust regional buprenorphine prescribers. CONCLUSION: A large majority of pharmacists are concerned about substance use during pregnancy in their practice and report mistrust of buprenorphine prescribers. Younger pharmacists had relatively negative perceptions of MAT during pregnancy, which may be related to their more accurate estimates of MAT-associated NAS cases in Tennessee.</t>
  </si>
  <si>
    <t>(Sevak T.R.; Hagemeier N.) (Click I.; Basden J.A.) 2015 Annual Meeting of the American College of Clinical Pharmacy, ACCP 2015 San Francisco, CA, United States 2015-10-17 to 2015-10-21 Pharmacotherapy Publications Inc.; ID: 788</t>
  </si>
  <si>
    <t>Shadnia,S.;Soltaninejad,K.;Sohrabi,F.;Rezvani,M.;Barari,B.;Abdollahi,M.;Author,Addresses;Loghman-Hakim Hospital,Poison Center;Medicine;Toxicological Research Center, Shahid Beheshti,University of;Medical Sciences,Tehran Iran;Department of Forensic Toxicology, Legal,Medicine Research;Center,Legal Medicine Organization Tehran Iran;Loghman-Hakim,Drug;Poison Information Center, Shahid,Beheshti University;of,Medical Sciences;Faculty of,Medicine;Pharmaceutical;Sciences Research Center, Tehran University of Medical,Sciences Tehran;Iran;Correspondence,Address;Abdollahi, Loghman-Hakim Hospital Poison Center Faculty of Medicine and,M.;Toxicological Research Center, Shahid Beheshti University,of Medical;Sciences,Tehran Iran Email mohammad tums ac ir</t>
  </si>
  <si>
    <t>The performance of loghman-hakim drug and poison information center from 2006 to 2008</t>
  </si>
  <si>
    <t>agents acting on the eye;analgesic agent (adverse drug reaction, pharmaceutics, pharmacology);anesthetic agent;antiangina pectoris agent;antiarrhythmic agent;anticonvulsive agent;antidepressant agent (adverse drug reaction, pharmaceutics, pharmacology);antidiabetic agent;antidote;antigout agent;antihypertensive agent;antiinfective agent (adverse drug reaction, pharmaceutics, pharmacology);antilipemic agent;antiparkinson agent;antirheumatic agent;aphrodisiac agent;cosmetic;dermatological agent;diagnostic agent;digitalis;gastrointestinal agent;herbaceous agent;immunologic agent;mineral;neuroleptic agent;plasma substitute;sedative agent;unindexed drug;vaccine;vitamin;drug information;information center;performance;poison center;adult;alternative medicine;article;data analysis;demography;descriptive research;doctor patient relation;drug abuse;drug classification;drug contraindication;drug incompatibility;drug indication;drug screening;drug stability;drug storage;female;general practitioner;health care personnel;human;lactation;major clinical study;male;medical record;medical specialist;medical staff;pharmacist;pregnancy;teleconsultation;total parenteral nutrition;unspecified side effect (side effect);digitalis (8031-42-3, 8053-83-6);Public Health, Social Medicine and Epidemiology (17);Drug Literature Index (37);Adverse Reactions Titles (38);Pharmacy (39)</t>
  </si>
  <si>
    <t>Drug and poison information centers have a critical role in fulfillment of rational drug use programs. The Loghman-Hakim Drug and Poison Information Center (LHDPIC) has been established in 2006. The main mission of this center is to provide accurate, unbiased and upto- date information on medications and poisons for the health care team and the public. This center has received more than 9000 telephone calls since its establishment. The aim of this study was to evaluate the recorded queries in the LHDPIC in the past 3 years. A descriptive analysis was conducted on all recorded inquiries to the center from March 2006 to March 2008. Data such as patient age and sex, identity of the callers, question categories and information resources were obtained from the recorded calls and were analyzed. During the period of evaluation, a total of 9694 telephone calls were recorded. The patients' age ranged between 18-40 years old (49.42%) containing 61% female and 39% male. Most of the recorded calls were from patients' relatives (49%) and then the patients (45.2%) themselves. The most frequent questions were about drug indications (24%), adverse drug reactions (20.14%) and drug evaluation (17.64%). Antidepressants (12.42%), antimicrobials (12%) and analgesics (11.17%) were the most frequent drug classes that were inquired. The LHDPIC has an important role for providing of drug information for the lay public, but more efforts are still needed to encourage health care professionals to utilize services provided by this center. ‚î¨‚åê 2011 by School of Pharmacy.</t>
  </si>
  <si>
    <t>(Shadnia S.; Sohrabi F.; Rezvani M.; Barari B.; Abdollahi M., mohammad@tums.ac.ir) (Soltaninejad K.) (Shadnia S.; Soltaninejad K.; Sohrabi F.; Rezvani M.; Barari B.) (Abdollahi M., mohammad@tums.ac.ir) Iranian Journal of Pharmaceutical Research, P.O. Box 14155-6153, Vali-e-Asr Avenue, Niayesh Junction, Tehran, Iran.; ID: 1242</t>
  </si>
  <si>
    <t>Shah,A. H.;ElHaddad,S. A.</t>
  </si>
  <si>
    <t>PMC4547449; Oral hygiene behavior, smoking, and perceived oral health problems among university students</t>
  </si>
  <si>
    <t>BACKGROUND: Behavioral aspects play a major role in the prevention of oral diseases. Moreover, not many people are aware of the relationship of smoking with potential oral diseases. Therefore, the aims of this study were to analyze oral hygiene behavior, smoking habits, and perceived oral health problems among a sample of university students in Al-Kharj, Saudi Arabia. MATERIALS AND METHODS: A self-administered questionnaire about oral hygiene behavior, smoking, and perceived oral health problems was developed. The questionnaires were mainly distributed in Medical, Dental, and Pharmacy colleges of the university. Questionnaires completed at other colleges were included under the term "other colleges." RESULTS: Overall, 380 questionnaires were returned. Majority of the students (92.4%) reported cleaning their teeth. Most of the students reported cleaning teeth once daily (48.7%). Just over a half (55.8%) reported having a dental check-up in the last 6 months, and a significantly higher number of dental students reported having a dental check-up (P &lt; 0.05). Regarding smoking, the majority (63.4%) reported to have never smoked while 17.3% reported that they were smoking frequently. About 17.6% perceived oral health problems, including a significant proportion of those who reported frequent smoking. CONCLUSIONS: Oral hygiene behavior exhibited by the university students sample was similar. Majority cleaned their teeth, although only once. Smoking habit was not exhibited by the vast majority of students. Frequent smokers perceived oral health problems more than other students.</t>
  </si>
  <si>
    <t>J2: J; Shah, Altaf Hussain ElHaddad, Sally A; ID: 34</t>
  </si>
  <si>
    <t>Shah,Altaf Hussain. Department of Preventive Dental Sciences, College of Dentistry, Salman Bin Abdulaziz University, Al-Kharj, Saudi Arabia. ElHaddad,Sally A. Department of Preventive Dental Sciences, College of Dentistry, Salman Bin Abdulaziz University, Al-Kharj, Saudi Arabia.</t>
  </si>
  <si>
    <t>http://ovidsp.ovid.com/ovidweb.cgi?T=JS&amp;CSC=Y&amp;NEWS=N&amp;PAGE=fulltext&amp;D=prem&amp;AN=26312233</t>
  </si>
  <si>
    <t>http://dx.doi.org/10.4103/2231-0762.161765</t>
  </si>
  <si>
    <t>MEDLINE; Ovid Technologies; Oral hygiene behavior, smoking, and perceived oral health problems among university students</t>
  </si>
  <si>
    <t>Shah,Ravi</t>
  </si>
  <si>
    <t>Touro University</t>
  </si>
  <si>
    <t>56 1/2p</t>
  </si>
  <si>
    <t>Colleges and Universities;Pharmacists -- Education;California;Serial Publications;Students, Pharmacy;Academic Medical Centers;Substance Abuse -- Prevention and Control;Membership</t>
  </si>
  <si>
    <t>Entry Date: 20141104. Revision Date: 20141104. Publication Type: Article. Journal Subset: Biomedical; USA.; ID: 2064</t>
  </si>
  <si>
    <t>http://proxy.lib.umich.edu/login?url=http://search.ebscohost.com/login.aspx?direct=true&amp;db=ccm&amp;AN=99148564&amp;site=ehost-live&amp;scope=site</t>
  </si>
  <si>
    <t>ccm; EBSCOhost; Touro University</t>
  </si>
  <si>
    <t>Shah,Rima;Desai,Sagun;Gajjar,Bharat;Shah,Amit</t>
  </si>
  <si>
    <t>Factors responsible for noncompliance to drug therapy in the elderly and the impact of patient education on improving compliance</t>
  </si>
  <si>
    <t>Drugs &amp; Therapy Perspectives</t>
  </si>
  <si>
    <t>366 7p</t>
  </si>
  <si>
    <t>Medication Compliance -- Education -- In Old Age;Patient Education;Human;India;Random Sample;Descriptive Statistics;Polypharmacy;Socioeconomic Factors;Prospective Studies;Confidence Intervals;Aged;Questionnaires;Interviews;Chi Square Test;Data Analysis Software;Aged, 80 and Over;Male;Female</t>
  </si>
  <si>
    <t>Background: Noncompliance to drug therapy, a common problem in geriatric patients, adversely affects disease outcomes. In India, data addressing noncompliance in elderly patients, the factors responsible for it and possible solutions for the problem are very limited. Objective: To evaluate the prevalence of drug noncompliance among Indian geriatric patients, explore factors affecting it and examine the impact of educating patients about importance of adhering to drug therapy. Study design: A total of 200 geriatric patients from various outpatient departments were randomly recruited. Baseline information related to diseases and drug therapy were recorded using a structured case-record form that included a questionnaire for evaluation of drug compliance. Patients were randomly divided in two groups of 100 individuals; the interventional group received education about the importance of drug compliance and related issues, and the control group did not. Changes in compliance were evaluated at a follow-up visit 7-14 days later. Results: Noncompliance to drug therapy was reported in 77.5 % of patients, and was significantly associated with socioeconomic status, prescription-related factors (number of medicines prescribed, purchasing drugs from same pharmacy, patients' particularity in taking medicines on time, instructions given by doctors); and drug-related factors (frequency and duration of administration, skewed instructions for use, physical difficulties in taking drugs, price of drug as perceived by patient, cost of therapy, risk of adverse drug reactions as perceived by patient). At follow-up, compliance had significantly improved in the group who had received education relative to the group who did not. Conclusion: Educating geriatric patients about their disease and drug therapy, and the importance of compliance to therapy may improve their short-term compliance behaviour.</t>
  </si>
  <si>
    <t>Entry Date: 20131023. Revision Date: 20150711. Publication Type: Journal Article; research; tables/charts. Journal Subset: Biomedical; Peer Reviewed; USA. Special Interest: Gerontologic Care. NLM UID: 9308798.; ID: 1896</t>
  </si>
  <si>
    <t>1172-0360</t>
  </si>
  <si>
    <t>Department of Pharmacology, GMERS Medical College, Gandhinagar India Department of Pharmacology, SBKS Medical Institute and Research Centre, Piparia Vadodara India Department of Pharmacology, Pramukh Swami Medical College, Karamsad India</t>
  </si>
  <si>
    <t>http://proxy.lib.umich.edu/login?url=http://search.ebscohost.com/login.aspx?direct=true&amp;db=ccm&amp;AN=104143482&amp;site=ehost-live&amp;scope=site</t>
  </si>
  <si>
    <t>10.1007/s40267-013-0075-3</t>
  </si>
  <si>
    <t>ccm; EBSCOhost; Factors responsible for noncompliance to drug therapy in the elderly and the impact of patient education on improving compliance</t>
  </si>
  <si>
    <t>Shah,S.;Hughes,C.;Author,Addresses;Faculty,of Pharmacy;Alberta,Alberta Alta Canada;Calgary Co-op Pharmacy, Calgary Alta;Canada;Hiv Clinic, University of Alberta Hospital,Alberta Alta;Canada;Arbour Grove,Close Nw;T3G 4K,Canada;Correspondence,Address;Canada,S.Shah, Arbour Grove Close N.W.Calgary Alta T.G.K.;Email,scones hotmail com</t>
  </si>
  <si>
    <t>Seamless pharmaceutical care in HIV-infected patients</t>
  </si>
  <si>
    <t>antiretrovirus agent (drug therapy);proteinase inhibitor (drug therapy);Human immunodeficiency virus infection (drug therapy);pharmaceutical care;article;follow up;highly active antiretroviral therapy;human;major clinical study;outpatient department;pharmacist;serology;proteinase inhibitor (37205-61-1);Drug Literature Index (37);Pharmacy (39);Microbiology: Bacteriology, Mycology, Parasitology and Virology (4)</t>
  </si>
  <si>
    <t>Objectives: Enhance communication between the HIV clinic pharmacist and OPD, document the number of DRPs identified and resolved as a result of the seamless care interaction and compile workload data. Design: Prospective descriptive study. Setting: HIV clinic and outpatient pharmacy department (OPD) at the University of Alberta Hospital. Participants: HIV-seropositive patients. Methods: A seamless care documentation form (SCDF) was developed to transfer information between the HIV clinic and OPD. Results: Eighty-three patients participated in the three-month study. Patients were receiving an average of 4.5 medications. Forty-six patients (55%) were receiving a protease inhibitor-based regimen. Twenty-seven drug-related problems (DRPs) were identified in 27 individuals. The majority (25/27) were related to non-adherence, based on review of pharmacy refill records. Completion of the form required a mean of five minutes per patient and, on average, the clinic pharmacist spent 10 minutes following up with patients identified by the OPD. The OPD spent an average of 10 minutes per patient reviewing the seamless care form and updating profiles. Conclusion: The SCDF facilitated the transfer of information between the clinic and OPD.</t>
  </si>
  <si>
    <t>(Shah S., scones9@hotmail.com; Hughes C.) (Shah S., scones9@hotmail.com) (Hughes C.); ID: 1590</t>
  </si>
  <si>
    <t>Shahidi,N. T.</t>
  </si>
  <si>
    <t>A review of the chemistry, biological action, and clinical applications of anabolic-androgenic steroids</t>
  </si>
  <si>
    <t>Anabolic Agents/ch Chemistry];Anabolic Agents/pd Pharmacology];Anabolic Agents/tu Therapeutic Use];*Anabolic Agents;Bone and Bones/de Drug Effects];*Drug Therapy;Erythrocytes/de Drug Effects];Humans;Models, Structural;Muscles/de Drug Effects];Testosterone Congeners/ch Chemistry];Testosterone Congeners/pd Pharmacology];Testosterone Congeners/tu Therapeutic Use];*Testosterone Congeners;0 (Anabolic Agents);0 (Testosterone Congeners)</t>
  </si>
  <si>
    <t>BACKGROUND: Since its discovery in 1935, numerous derivatives of testosterone have been synthesized, with the goals of prolonging its biological activity in vivo, producing orally active androgens, and developing products, commonly referred to as anabolic-androgenic steroids (AAS), that are more anabolic and less androgenic than the parent molecule. OBJECTIVE: This article reviews the structure, biotransformation, and mechanism of action of testosterone and some of the most commonly used AAS. Clinical applications of the AAS are discussed, and guidelines and therapeutic maneuvers for minimizing their side effects are outlined. METHODS: Literature for inclusion in this review was identified using the libraries of the University of Wisconsin Medical School and School of Pharmacy, the author's files, and searches of MEDLINE, Science Citation Index, Biological Abstracts, and Chemical Abstracts. RESULTS: The myotrophic action of testosterone and its derivatives and their stimulatory effects on the brain have led to widespread use of AAS by athletes and "recreational" drug users. Consequently, all AAS were classified as class III controlled substances in 1991. Nonetheless, AAS have shown benefit in a variety of human disorders, including HIV-related muscle wasting and other catabolic conditions such as chronic obstructive pulmonary disease, severe burn injuries, and alcoholic hepatitis. Because of their diverse biological actions, AAS have been used to treat a variety of other conditions, including bone marrow failure syndromes, constitutional growth retardation in children, and hereditary angioedema. AAS therapy is associated with various side effects that are generally dose related; therefore, illicit use of megadoses of AAS for the purpose of bodybuilding and enhancement of athletic performance can lead to serious and irreversible organ damage. The most common side effects of AAS are some degree of masculinization in women and children, behavioral changes (eg, aggression), hepatotoxicity, and alteration of blood lipid levels and coagulation factors. CONCLUSIONS: To minimize or avoid serious toxicities with AAS therapy, close medical supervision and periodic monitoring are important, with dose adjustment as appropriate to achieve the minimum effective dose. Given the biological effects and potential adverse effects of AAS, administration of these agents should be avoided in pregnant women, women with breast cancer or hypercalcemia, men with carcinoma of the prostate or breast, and patients with nephrotic syndromes or significant liver dysfunction. References: 239]</t>
  </si>
  <si>
    <t>J2: Clin Ther; Shahidi, N T; ID: 533</t>
  </si>
  <si>
    <t>Shahidi,N T. Department of Pediatric Hematology and Oncology, University of Wisconsin, Madison 53792-4672, USA.</t>
  </si>
  <si>
    <t>http://ovidsp.ovid.com/ovidweb.cgi?T=JS&amp;CSC=Y&amp;NEWS=N&amp;PAGE=fulltext&amp;D=med4&amp;AN=11589254</t>
  </si>
  <si>
    <t>MEDLINE; Ovid Technologies; A review of the chemistry, biological action, and clinical applications of anabolic-androgenic steroids</t>
  </si>
  <si>
    <t>Shakeshaft,A.;Doran,C.;Petrie,D.;Breen,C.;Havard,A.;Abudeen,A.;Harwood,E.;Clifford,A.;D'Este,C.;Gilmour,S.;Sanson-Fisher,R.</t>
  </si>
  <si>
    <t>PMC3949675; The effectiveness of community action in reducing risky alcohol consumption and harm: a cluster randomised controlled trial</t>
  </si>
  <si>
    <t>PLoS Medicine / Public Library of Science</t>
  </si>
  <si>
    <t>e1001617</t>
  </si>
  <si>
    <t>Adult;*Alcohol Drinking/pc Prevention &amp; Control];Australia;*Consumer Participation;Female;Humans;Male;Middle Aged;*Risk Reduction Behavior;Self Report;Surveys and Questionnaires;Young Adult</t>
  </si>
  <si>
    <t>BACKGROUND: The World Health Organization, governments, and communities agree that community action is likely to reduce risky alcohol consumption and harm. Despite this agreement, there is little rigorous evidence that community action is effective: of the six randomised trials of community action published to date, all were US-based and focused on young people (rather than the whole community), and their outcomes were limited to self-report or alcohol purchase attempts. The objective of this study was to conduct the first non-US randomised controlled trial (RCT) of community action to quantify the effectiveness of this approach in reducing risky alcohol consumption and harms measured using both self-report and routinely collected data. METHODS AND FINDINGS: We conducted a cluster RCT comprising 20 communities in Australia that had populations of 5,000-20,000, were at least 100 km from an urban centre (population &gt; 100,000), and were not involved in another community alcohol project. Communities were pair-matched, and one member of each pair was randomly allocated to the experimental group. Thirteen interventions were implemented in the experimental communities from 2005 to 2009: community engagement; general practitioner training in alcohol screening and brief intervention (SBI); feedback to key stakeholders; media campaign; workplace policies/practices training; school-based intervention; general practitioner feedback on their prescribing of alcohol medications; community pharmacy-based SBI; web-based SBI; Aboriginal Community Controlled Health Services support for SBI; Good Sports program for sports clubs; identifying and targeting high-risk weekends; and hospital emergency department-based SBI. Primary outcomes based on routinely collected data were alcohol-related crime, traffic crashes, and hospital inpatient admissions. Routinely collected data for the entire study period (2001-2009) were obtained in 2010. Secondary outcomes based on pre- and post-intervention surveys (n = 2,977 and 2,255, respectively) were the following: long-term risky drinking, short-term high-risk drinking, short-term risky drinking, weekly consumption, hazardous/harmful alcohol use, and experience of alcohol harm. At the 5% level of statistical significance, there was insufficient evidence to conclude that the interventions were effective in the experimental, relative to control, communities for alcohol-related crime, traffic crashes, and hospital inpatient admissions, and for rates of risky alcohol consumption and hazardous/harmful alcohol use. Although respondents in the experimental communities reported statistically significantly lower average weekly consumption (1.90 fewer standard drinks per week, 95% CI = -3.37 to -0.43, p = 0.01) and less alcohol-related verbal abuse (odds ratio = 0.58, 95% CI = 0.35 to 0.96, p = 0.04) post-intervention, the low survey response rates (40% and 24% for the pre- and post-intervention surveys, respectively) require conservative interpretation. The main limitations of this study are as follows: (1) that the study may have been under-powered to detect differences in routinely collected data outcomes as statistically significant, and (2) the low survey response rates. CONCLUSIONS: This RCT provides little evidence that community action significantly reduces risky alcohol consumption and alcohol-related harms, other than potential reductions in self-reported average weekly consumption and experience of alcohol-related verbal abuse. Complementary legislative action may be required to more effectively reduce alcohol harms. TRIAL REGISTRATION: Australian New Zealand Clinical Trials Registry ACTRN12607000123448.</t>
  </si>
  <si>
    <t>J2: PLoS Med; Shakeshaft, Anthony Doran, Christopher Petrie, Dennis Breen, Courtney Havard, Alys Abudeen, Ansari Harwood, Elissa Clifford, Anton D'Este, Catherine Gilmour, Stuart Sanson-Fisher, Rob; ID: 73</t>
  </si>
  <si>
    <t>1549-1676</t>
  </si>
  <si>
    <t>Shakeshaft,Anthony. National Drug and Alcohol Research Centre, Faculty of Medicine, UNSW (University of New South Wales), Sydney, New South Wales, Australia. Doran,Christopher. National Drug and Alcohol Research Centre, Faculty of Medicine, UNSW (University of New South Wales), Sydney, New South Wales, Australia; Hunter Medical Research Institute, New Lambton Heights, New South Wales, Australia; Faculty of Health and Medicine, School of Medicine and Public Health, University of Newcastle, Callaghan, New South Wales, Australia. Petrie,Dennis. Melbourne School of Population and Global Health, University of Melbourne, Melbourne, Victoria, Australia. Breen,Courtney. National Drug and Alcohol Research Centre, Faculty of Medicine, UNSW (University of New South Wales), Sydney, New South Wales, Australia. Havard,Alys. National Drug and Alcohol Research Centre, Faculty of Medicine, UNSW (University of New South Wales), Sydney, New South Wales, Australia. Abudeen,Ansari. National Drug and Alcohol Research Centre, Faculty of Medicine, UNSW (University of New South Wales), Sydney, New South Wales, Australia. Harwood,Elissa. National Drug and Alcohol Research Centre, Faculty of Medicine, UNSW (University of New South Wales), Sydney, New South Wales, Australia. Clifford,Anton. National Drug and Alcohol Research Centre, Faculty of Medicine, UNSW (University of New South Wales), Sydney, New South Wales, Australia; Institute for Urban Indigenous Health, Bowen Hills, Queensland, Australia. D'Este,Catherine. National Centre for Epidemiology and Population Health, The Australian National University, Canberra, Australia. Gilmour,Stuart. Department of Global Health Policy, University of Tokyo, Tokyo, Japan. Sanson-Fisher,Rob. Faculty of Health and Medicine, School of Medicine and Public Health, University of Newcastle, Callaghan, New South Wales, Australia.</t>
  </si>
  <si>
    <t>http://ovidsp.ovid.com/ovidweb.cgi?T=JS&amp;CSC=Y&amp;NEWS=N&amp;PAGE=fulltext&amp;D=medl&amp;AN=24618831</t>
  </si>
  <si>
    <t>http://dx.doi.org/10.1371/journal.pmed.1001617</t>
  </si>
  <si>
    <t>MEDLINE; Ovid Technologies; The effectiveness of community action in reducing risky alcohol consumption and harm: a cluster randomised controlled trial</t>
  </si>
  <si>
    <t>Shalansky,S.;Nakagawa,R.;Wee,A.;Author,Addresses;Pharmacy Department, Lions Gate Hospital,North Vancouver;Bc,Canada;Faculty of Pharmaceutical Sciences, University,of British;Columbia,Vancouver B. C. Canada;Clinical,Nutrition;Palliative Care,Lions,Gate Hospital;Faculty of Pharmaceutical Sciences, University,of British;Columbia;Lions Gate,Hospital;Pharmacy Department, Lions Gate Hospital,East th;Street,North Vancouver B. C. V. L. L. Canada;Correspondence,Address;Shalansky, Pharmacy Department Lions Gate Hospital East th,S.;Street,North Vancouver B. C. V. L. L. Canada</t>
  </si>
  <si>
    <t>Drug-related problems identified and resolved using pharmaceutical care versus traditional clinical monitoring</t>
  </si>
  <si>
    <t>patient monitoring;pharmaceutical care;article;cost;drug use;health service;hospital pharmacy;intermethod comparison;ward;Clinical and Experimental Pharmacology (30);Health Policy, Economics and Management (36)</t>
  </si>
  <si>
    <t>Many hospital pharmacy departments are implementing pharmaceutical care (PC); however, time limitations are making this transition difficult. Unfortunately, with the current economic climate, increased staffing is unlikely in the foreseeable future. With this in mind, we designed a study to assess the impact of PC versus traditional clinical pharmacy monitoring on the number of drug-related problems (DRPs) identified and resolved without changing staffing levels or time allocated to clinical practice. Data collection was prospectively carried out during two eight-week periods on two general medicine wards (64 beds total) staffed by 1.5 full time equivalent clinical pharmacists. The same pharmacists were involved in both arms of the trial. The two data collection periods were separated by four months during which the clinical pharmacists learned and practiced PC. The two phases were similar in terms of the number of monitoring shifts (73 vs. 73), mean hours of monitoring per shift (3.9 ‚î¨‚ñí 1.3 vs. 3.9 ‚î¨‚ñí 1.5), mean ward census (29.3 ‚î¨‚ñí 2.5 vs. 29.8 ‚î¨‚ñí 2.2), mean patient age (67.1 ‚î¨‚ñí 18.1 vs. 68.4 ‚î¨‚ñí 16.0), and diagnoses. There were fewer patients monitored per shift during the PC phase (8.6 ‚î¨‚ñí 3.2 vs. 14.1 ‚î¨‚ñí 5.8), yet there were significantly more DRPs per shift identified (6.75 ‚î¨‚ñí 5.25 vs. 8.63 ‚î¨‚ñí 5.69, p = 0.04) and resolved (5.92 ‚î¨‚ñí 4.74 vs. 7.79 ‚î¨‚ñí 5.29, p = 0.025). There was no obvious advantage of either approach in terms of drug-related cost avoidance. In conclusion, despite caring for fewer patients using PC, more DRPs can be identified and resolved. Further study is required to assess whether implementing PC will result in improved patient outcomes.</t>
  </si>
  <si>
    <t>(Shalansky S.) (Nakagawa R.) (Wee A.); ID: 1685</t>
  </si>
  <si>
    <t>Shalshin,A.;Krichmar,G.;Author,Addresses;Franklin,Center for;Rehabilitation;Greenvale,United States;Correspondence,Address;Shalshin, Franklin Center for Nursing,A.;Rehabilitation,Greenvale;United,States</t>
  </si>
  <si>
    <t>Effective nonpharmacological strategies for smoking cessation in geriatric long term care residents</t>
  </si>
  <si>
    <t>144:4 MEETING ABSTRACT.</t>
  </si>
  <si>
    <t>long term care;smoking cessation;abstinence;consultation;counseling;education;follow up;general practitioner;health care personnel;human;nicotine replacement therapy;nurse;patient;prospective study;self help;smoking;tobacco;tobacco dependence;videorecording</t>
  </si>
  <si>
    <t>PURPOSE: To evaluate effective non - pharmacological strategies that help geriatric residents of long term care facilities in smoking cessation METHODS: From January 2011 - December 2012, all active smokers over the age of 65 and current residents of long term care facility were invited to participate in a prospective study to evaluate effectiveness of smoking cessation strategies. In total 74 patients agreed, and were followed for a minimum of one year after initial intervention. Successful tobacco cessation was defined as abstinence for 6 months and more. Interventions included individual counseling from (primary care physician, nurse and a pulmonary consultant), educational self-help written and video material, family involvement and support. Each participant had consumed tobacco for more than 5 years and smoked on average half of pack per day. RESULTS: Out of 74 patients recruited 34 (46%) patients had successfully quit smoking, 8 (11%) patients had initial success, but relapsed within 6 months. In the period of at least 12 months follow up each patient was visited by multidisciplinary team consisting of nurse, primary care physician and pulmonary consultant complemented by self-help material, video and written on benefits of smoking cessation. Each participant's family was encouraged to provide additional support and educated on the benefits of multifaceted approach to tobacco addiction treatment. Remaining 32 (43%) of patients expressed interest in smoking cessation, but did not favor non - pharmacological approach, however, at the end of this trial were even more motivated to quit with nicotine replacement therapy. CONCLUSIONS: Previous research shows that medical advice to quit smoking produces 1 year abstinence rates of 5 - 10 percent. In combination with self-help material, family support and education our data shows that individual counseling from every level of healthcare provider increases success rates in geriatric residents of long term care facility.</t>
  </si>
  <si>
    <t>(Shalshin A.; Krichmar G.) CHEST 2013 Chicago, IL, United States 2013-10-26 to 2013-10-31 American College of Chest Physicians; ID: 984</t>
  </si>
  <si>
    <t>Shanbhag,P. P.;Nayak,R.;Author,Addresses;St John's University, Jamaica,United States;Correspondence,Address;PP Shanbhag, St John's University Jamaica,United States</t>
  </si>
  <si>
    <t>Prevalence and correlates of non-medical use of prescription stimulants among university students</t>
  </si>
  <si>
    <t>A128</t>
  </si>
  <si>
    <t>(MAJOR FOCUS);central stimulant agent;amphetamine plus dexamphetamine;dexamphetamine;illicit drug;methylphenidate;pemoline magnesium;prescription drug;human;prescription;prevalence;university student;abuse;academic achievement;adult;alertness;attention deficit disorder;commercial phenomena;convenience sample;cross-sectional study;drug abuse;drug use;graduate student;groups by age;male;methodology;population;questionnaire;sample (statistics);school;screening;self report;statistics;student;undergraduate student</t>
  </si>
  <si>
    <t>OBJECTIVES: To examine prevalence rates and co-relates of non-medical use of prescription stimulants for attention-deficit-hyperactivity disorder (ADHD) in a university student population with respect to student demographics and academic characteristics. METHODS: A cross-sectional research design, utilizing a convenience sampling and self-administered paper and pencil questionnaire technique, was adopted. The survey consisted of a screening tool to measure symptoms of Adult ADHD Self-Report Scale (ASRS-v1.1) in conjunction with items to measure the extent of self-reported prescription drug abuse among students. The use of prescription stimulants was profiled for students representing different schools and academic programs and reasons for the nonmedical use were documented. RESULTS: A sample of 638 completed surveys (response rate= 98.15%) was obtained with data on unauthorized use of prescription drugs. About 8.62% (N= 55) of the sample reported a current and past use of drugs such as Adderall, Ritalin, Dexedrine, Concerta, Cylert at least once. Of these, 76.9% used the drugs non-medically for enhancing academic performance and 23.1% used them for increasing alertness. The illicit drug usage was higher in the age group 18-23 years (87.2%) and was greater for males (64.1%). Overall, students from pharmacy school reported highest abuse (46.2%), followed by law school (20.5%), school of professional studies (12.8%) and business school (10.3%). Generally, undergraduate students reported greater use of prescription stimulants (69.2%) compared to graduate students (30.8%). A majority (66.7%) of the students were also attending professional degree programs. CONCLUSIONS: The current campus estimates are mostly in line with the national statistics (4.1% to 10.8%, according to the Center for Lawful Access and Abuse Deterrence, CLAAD, 2013). Misuse and abuse of prescription stimulants among students is a growing problem and largely remains unaddressed. Development of campus educational tools to prevent sharing of prescription drugs and guidelines to recognize early warning signs to curb abuse are necessary.</t>
  </si>
  <si>
    <t>(Shanbhag P.P.; Nayak R.) ISPOR 20th Annual International Meeting Research Philadelphia, PA, United States 2015-05-16 to 2015-05-20 Elsevier Ltd; ID: 820</t>
  </si>
  <si>
    <t>Shankar,P. R.;Palaian,S.;Gyawali,S.;Mishra,P.;Mohan,L.</t>
  </si>
  <si>
    <t>PMC1885826; Personal drug selection: problem-based learning in pharmacology: experience from a medical school in Nepal</t>
  </si>
  <si>
    <t>e524</t>
  </si>
  <si>
    <t>*Drug Evaluation, Preclinical/mt Methods];Drug Evaluation, Preclinical/st Standards];*Education, Medical, Undergraduate;Female;Humans;Male;Nepal;*Pharmacology, Clinical/ed Education];*Problem-Based Learning;Schools, Medical;*Students, Medical/px Psychology];Teaching</t>
  </si>
  <si>
    <t>BACKGROUND: At the Manipal College of Medical Sciences, Pokhara, Nepal, Pharmacology is taught during the first four semesters of the undergraduate medical course. Personal or P-drug selection is an important exercise. The present study was carried out to obtain student opinion about the P-drug learning sessions, the assessment examinations, and on the small group dynamics. METHOD: The practical sessions on P-drug selection are carried out in small groups. Student feedback about the session was obtained using focus group discussions. The focus groups were selected to represent both genders and the three main nationalities, Nepalese, Indians, and Sri Lankans. There were four Nepalese, five Indians, and three Sri Lankans. Within each nationality and gender category the students were randomly selected. The respondents were explained the objectives of the study and were invited to participate. Written informed consent was obtained. The discussion lasted around two hours and was conducted in the afternoon in two groups of six students each. The first author (PRS) acted as a facilitator. The responses were recorded and analyzed qualitatively. RESULTS: The overall student opinion was positive. Around 25% (3 respondents) of respondents were confused about whether P-drugs were for a disease or a patient. Group consensus was commonly used to give numerical values for the different criteria. The large number of brands created problems in calculating cost. The students wanted more time for the exercise in the examination. Formative assessment during the learning sessions may be considered. The group members usually got along well. Absenteeism was a problem and not all members put in their full effort. The physical working environment should be improved. CONCLUSIONS: Based on what the students say, the sessions on P-drugs should be continued and strengthened. Modifications in the sessions are required. Sessions during the clinical years and internship training can be considered.</t>
  </si>
  <si>
    <t>J2: PLoS ONE; Shankar, P Ravi Palaian, Subish Gyawali, Sudesh Mishra, Pranaya Mohan, Lalit; ID: 306</t>
  </si>
  <si>
    <t>Shankar,P Ravi. Department of Pharmacology, Manipal College of Medical Sciences, Pokhara, Nepal. ravi.dr.shankar@gmail.com</t>
  </si>
  <si>
    <t>http://ovidsp.ovid.com/ovidweb.cgi?T=JS&amp;CSC=Y&amp;NEWS=N&amp;PAGE=fulltext&amp;D=med5&amp;AN=17565377</t>
  </si>
  <si>
    <t>MEDLINE; Ovid Technologies; Personal drug selection: problem-based learning in pharmacology: experience from a medical school in Nepal</t>
  </si>
  <si>
    <t>Shankar,P. R.;Subish,P.;Mishra,P.;Dubey,A. K.;Author,Addresses;Department of Pharmacology, Manipal College of Medical,Sciences Pokhara;Nepal;Correspondence,Address;PR Shankar, Department of Pharmacology Manipal College,of Medical;Sciences,Pokhara Nepal Email ravi dr shankar gmail com</t>
  </si>
  <si>
    <t>Teaching pharmacovigilance to medical students and doctors</t>
  </si>
  <si>
    <t>drug surveillance program;medical student;physician;curriculum;developed country;developing country;medical education;medical specialist;postmarketing surveillance;review;teaching;teaching hospital;Public Health, Social Medicine and Epidemiology (17)</t>
  </si>
  <si>
    <t>The World Health Organisation defines pharmacovigilance as 'the pharmacological science and activities relating to the detection, assessment, understanding and prevention of adverse effects or any other drug-related problem'. Pharmacovigilance plays an important role in ensuring drug safety. Hence, every country needs a functioning pharmacovigilance programme. Pharmacovigilance is being taught, in theory, in many developed countries, but the practical approach is missing in developing countries. Pharmacovigilance should ideally be taught to small groups of medical students, interns, postgraduates and practitioners by linking it to the activities of a functioning pharmacovigilance centre in a teaching hospital. It should be activity-based, problem-based and linked to the rational use of medicines. Students should be trained during their internship and residency. The non-inclusion of pharmacovigilance in university syllabi and unfamiliarity with problem-based learning could prove to be stumbling blocks to the success of the concept. Pharmacologists should create awareness on pharmacovigilance among doctors of other specialities and enlist their support in teaching the subject.</t>
  </si>
  <si>
    <t>(Shankar P.R., ravi.dr.shankar@gmail.com; Subish P.; Mishra P.; Dubey A.K.); ID: 1518</t>
  </si>
  <si>
    <t>Sharf,R.;Sarhan,M.;Brayton,C. E.;Guarnieri,D. J.;Taylor,J. R.;DiLeone,R. J.</t>
  </si>
  <si>
    <t>NIHMS182913 PMC2849869; Orexin signaling via the orexin 1 receptor mediates operant responding for food reinforcement</t>
  </si>
  <si>
    <t>Animals;Benzoxazoles/pd Pharmacology];*Conditioning, Operant/ph Physiology];Data Interpretation, Statistical;*Food;Hypothalamic Area, Lateral/ph Physiology];Immunohistochemistry;*Intracellular Signaling Peptides and Proteins/ph Physiology];Male;Mice;Mice, Inbred C57BL;Mice, Knockout;Motor Activity/de Drug Effects];*Neuropeptides/ph Physiology];Orexin Receptors;Orexins;RNA Interference;*Receptors, Neuropeptide/ge Genetics];*Receptors, Neuropeptide/ph Physiology];Reinforcement (Psychology);Reinforcement Schedule;Urea/aa Analogs &amp; Derivatives];Urea/pd Pharmacology];Viruses/ge Genetics];0 (1-(2-methylbenzoxazol-6-yl)-3-(1,5)naphthyridin-4-yl urea);0 (Benzoxazoles);0 (Hcrtr1 protein, mouse);0 (Intracellular Signaling Peptides and Proteins);0 (Neuropeptides);0 (Orexin Receptors);0 (Orexins);0 (Receptors, Neuropeptide);8W8T17847W (Urea)</t>
  </si>
  <si>
    <t>BACKGROUND: Orexin (hypocretin) signaling is implicated in drug addiction and reward, but its role in feeding and food-motivated behavior remains unclear. METHODS: We investigated orexin's contribution to food-reinforced instrumental responding using an orexin 1 receptor (Ox1r) antagonist, orexin -/- (OKO) and littermate wildtype (WT) mice, and RNAi-mediated knockdown of orexin. C57BL/6J (n = 76) and OKO (n = 39) mice were trained to nose poke for food under a variable ratio schedule of reinforcement. After responding stabilized, a progressive ratio schedule was initiated to evaluate motivation to obtain food reinforcement. RESULTS: Blockade of Ox1r in C57BL/6J mice impaired performance under both the variable ratio and progressive ratio schedules of reinforcement, indicating impaired motivational processes. In contrast, OKO mice initially demonstrated a delay in acquisition but eventually achieved levels of responding similar to those observed in WT animals. Moreover, OKO mice did not differ from WT mice under a progressive ratio schedule, indicating delayed learning processes but no motivational impairments. Considering the differences between pharmacologic blockade of Ox1r and the OKO mice, animals with RNAi mediated knockdown of orexin were then generated and analyzed to eliminate possible developmental effects of missing orexin. Orexin gene knockdown in the lateral hypothalamus in C57BL/6J mice resulted in blunted performance under both the variable ratio and progressive ratio schedules, resembling data obtained following Ox1r antagonism. CONCLUSIONS: The behavior seen in OKO mice likely reflects developmental compensation often seen in mutant animals. These data suggest that activation of the Ox1r is a necessary component of food-reinforced responding, motivation, or both in normal mice.Copyright 2010 Society of Biological Psychiatry. Published by Elsevier Inc. All rights reserved.</t>
  </si>
  <si>
    <t>J2: Biol Psychiatry; Sharf, Ruth Sarhan, Maysa Brayton, Catherine E Guarnieri, Douglas J Taylor, Jane R DiLeone, Ralph J F32DA023739 (United States NIDA NIH HHS) P50 MH066172 (United States NIMH NIH HHS) P50 MH066172-080003 (United States NIMH NIH HHS) R01 DA011717 (United States NIDA NIH HHS) R01 DA015222 (United States NIDA NIH HHS) R01 DA017676 (United States NIDA NIH HHS) R01 DA017676-05 (United States NIDA NIH HHS) R01DA017676 (United States NIDA NIH HHS) RL1AA017537 (United States NIAAA NIH HHS); ID: 299</t>
  </si>
  <si>
    <t>1873-2402</t>
  </si>
  <si>
    <t>Sharf,Ruth. Department of Psychiatry, Ribicoff Research Facilities, Yale University School of Medicine, New Haven, Connecticut 06508, USA.</t>
  </si>
  <si>
    <t>http://ovidsp.ovid.com/ovidweb.cgi?T=JS&amp;CSC=Y&amp;NEWS=N&amp;PAGE=fulltext&amp;D=med5&amp;AN=20189166</t>
  </si>
  <si>
    <t>http://dx.doi.org/10.1016/j.biopsych.2009.12.035</t>
  </si>
  <si>
    <t>MEDLINE; Ovid Technologies; Orexin signaling via the orexin 1 receptor mediates operant responding for food reinforcement</t>
  </si>
  <si>
    <t>Sharif,S. I.;Mohamed Ibrahim,O. H.;Mouslli,L.;Waisi,R.;Author,Addresses;Department,of;Pharmacy,Practice;Pharmacotherapeutics,College of Pharmacy University;of Sharjah, Sharjah United,Arab Emirates;Correspondence,Address;Sharif, Department of Pharmacy Practice,S.I.;Pharmacotherapeutics;College of Pharmacy, University of Sharjah Sharjah,United Arab;Emirates</t>
  </si>
  <si>
    <t>Evaluation of self-medication among pharmacy students</t>
  </si>
  <si>
    <t>American Journal of Pharmacology and Toxicology</t>
  </si>
  <si>
    <t>analgesic agent;antacid agent;antibiotic agent;antidiarrheal agent;antiemetic agent;antihistaminic agent;antipyretic agent;decongestive agent;eye drops;laxative;vitamin;pharmacy student;self medication;student attitude;adult;allergy;antibiotic resistance;article;attitude to health;awareness;clinical feature;common cold;consultation;controlled study;drug use;ear disease;eye disease;female;fever;headache;human;male;risk assessment;risk factor;stomach disease;tea;Public Health, Social Medicine and Epidemiology (17)</t>
  </si>
  <si>
    <t>To determine the incidence of self-medication among Sharjah university students and the impact of medical knowledge on such practice. A pre-validated questionnaire was distributed to 200 pharmacy students during May, 2012. Data were analyzed using SPSS and results expressed as counts and percentages. The overall response rate was 85% with 98% of respondents being Arabs. Females comprised about 91% of students and the mean age (SD) was 19.5(2.4). Practicing self-medication in the past year was high as145 (86%) used drugs without medical consultation. Most respondents (128, 76%) obtained their medication from pharmacies and used the medication for one week (106, 63%). Antibiotics were used by 54(32%) of students despite the fact that slightly more than 50% of students were aware of the possibility of emergence of bacterial resistance and were also aware of the concept of rational drug use in general. Main reasons for self-medication were non-serious health problem, illness is minor, seeking quick relief and to avoid long waiting hours at clinics. Reasons against self-medication include risks of adverse effects, using the wrong medication, drug interaction, misdiagnosis and drug abuse and dependence. Medical consultation is mainly sought in case of presence of severe pain, worsening of symptoms, or persistence of the latter for more than a week. Headache or mild pain, eye and ear symptoms, gastric problems, cold, fever and allergy were the commonest symptoms for self-medication. Knowledge of responsible self medication is inadequate but the practice is high and common among pharmacy students. Interventions to promote responsible selfmedication among university students are required. ‚î¨‚åê 2012 Science Publication.</t>
  </si>
  <si>
    <t>(Sharif S.I.; Mohamed Ibrahim O.H.; Mouslli L.; Waisi R.) Science Publications, 244, 5th Avenue # S-207,, New York, United States.; ID: 1091</t>
  </si>
  <si>
    <t>1557-4962 1557-4970 (electronic)</t>
  </si>
  <si>
    <t>2013274007 FULL TEXT LINK http://dx.doi.org/10.3844/ajptsp.2012.135.140</t>
  </si>
  <si>
    <t>Sharma,A.;Pereira,C. R.;Author,Addresses;University of Minnesota, College,of Pharmacy;Minneapolis,United States;Correspondence,Address;Sharma, University of Minnesota College of Pharmacy Minneapolis United,A.;States</t>
  </si>
  <si>
    <t>Implementation of a clinical pharmacist-directed hospital discharge service to improve transitions in care</t>
  </si>
  <si>
    <t>e185</t>
  </si>
  <si>
    <t>e186</t>
  </si>
  <si>
    <t>American;clinical pharmacy;college;hospital discharge;human;pharmacist;ambulatory care;drug therapy;emergency ward;follow up;hospital;hospital department;hospital patient;monitoring;patient;patient care;primary medical care;safety</t>
  </si>
  <si>
    <t>PURPOSE: Establishing a systematic approach for clinical pharmacists to manage hospital discharge patients in the ambulatory care setting. Clinical pharmacy services worked collaboratively with members of the primary care team to identify, prevent, and resolve drug therapy problems in post hospitalized patients. METHODS: All patients discharged from a hospital between January 2013 and May 2013 were offered a clinical pharmacist visit before their follow up visit with their medical provider. The clinic's call center or Care Coordinators would follow a script and process to sign patients up over the phone. During each visit, a clinical pharmacist reviewed the patient's medications and then identified/ resolved drug therapy problems, which were categorized into four groups: indication, effectiveness, safety, and convenience. RESULTS: A total of 50 hospital discharge patients were scheduled and seen by a clinical pharmacist in the 5 months period. Twenty-three patients were scheduled as a follow up from the emergency room, while 27 patients were seen after being discharged from the hospital. A total of 81 drug therapy problems were identified by the clinical pharmacists. Eighty two percent of patients presented with one or more drug therapy problems. There were nine patients who did not have any drug therapy problems, many of which were ED discharges. The leading three drug therapy problems were Œì√á¬£untreated condition,Œì√á¬• Œì√á¬£does not understand instructions,Œì√á¬• and Œì√á¬£needs additional monitoring.Œì√á¬• CONCLUSION: Implementing a systematic clinical pharmacist intervention for post hospital discharge patients resulted in the identification of various drug therapy problems and worked towards improving overall patient care.</t>
  </si>
  <si>
    <t>(Sharma A.; Pereira C.R.) 2013 Annual Meeting of the American College of Clinical Pharmacy, ACCP 2013 Albuquerque, NM, United States 2013-10-13 to 2013-10-16 Pharmacotherapy Publications Inc.; ID: 986</t>
  </si>
  <si>
    <t>Sharon,A. C.;Wise,D. L.</t>
  </si>
  <si>
    <t>Development of drug delivery systems for use in treatment of narcotic addiction</t>
  </si>
  <si>
    <t>Animals;Delayed-Action Preparations;Drug Compounding;Drug Implants;Haplorhini;Humans;Morphine/ad Administration &amp; Dosage];Naltrexone/ad Administration &amp; Dosage];*Narcotic Antagonists/ad Administration &amp; Dosage];Narcotic Antagonists/st Standards];*Opioid-Related Disorders/rh Rehabilitation];United States;0 (Delayed-Action Preparations);0 (Drug Implants);0 (Narcotic Antagonists);5S6W795CQM (Naltrexone);76I7G6D29C (Morphine)</t>
  </si>
  <si>
    <t>The long term goal of the NIDA narcotic antagonist program of developing an implantable, biodegradable, naltrexone/PLGA matrix system which will sustain the delivery of naltrexone to biological systems for one month has been achieved. The dosage forms which provide the desired delivery characteristics are 1.5 mm diameter beads composed of 70% by weight naltrexone base in 40,000 molecular weight, 90L/10G poly (L(+)-lactic-co-glycolic acid). Other dosage forms, including 1.5 mm diameter rods which provide 6 months' naltrexone release, finely divided injectable powders which provide up to 30 days' naltrexone release, and 1.5 mm diameter rods which provide 2 weeks' sustained delivery of morphine, have also been investigated. In vitro and in vivo release rates have been determined by measuring chemical concentrations in pH 7 buffer solution and urine, respectively. In vivo efficacy of naltrexone sustained delivery devices has been measured by direct challenge with morphine (Dewey-Harris mouse tail-flick test) and inhibition of morphine self-administration in monkeys. Good Manufacturing Practices documentation has been developed and used to produce a large batch of the 1.5 mm diameter naltrexone bead dosage forms at an FDA-registered pharmaceutical manufacturer. These beads, produced at the University of North Carolina School of Pharmacy, are awaiting use in human clinical trials.</t>
  </si>
  <si>
    <t>J2: NIDA Res Monogr; Sharon, A C Wise, D L; ID: 720</t>
  </si>
  <si>
    <t>http://ovidsp.ovid.com/ovidweb.cgi?T=JS&amp;CSC=Y&amp;NEWS=N&amp;PAGE=fulltext&amp;D=med2&amp;AN=6791005</t>
  </si>
  <si>
    <t>MEDLINE; Ovid Technologies; Development of drug delivery systems for use in treatment of narcotic addiction</t>
  </si>
  <si>
    <t>Sheehan,L.;Calfas,D.;Author,Addresses;Ambulatory Care Clinic Leader, Chronic,Care Medication;Management,Pharmacy Services Carolinas Medical Center-NorthEast Carolinas;HealthCare System,Kannapolis,United States;Wingate University School,of Pharmacy;States</t>
  </si>
  <si>
    <t>Cardiovascular complications of ketoacidosis</t>
  </si>
  <si>
    <t>alcoholic ketoacidosis (complication);alcoholism (complication);cardiovascular disease;diabetic ketoacidosis (complication);electrolyte disturbance (complication);acute heart infarction (complication);alcohol abstinence;article;asthma;cardiopulmonary arrest (complication);chronic obstructive lung disease;heart arrest (complication);heart ventricle tachycardia (complication);hospitalization;human;hyperglycemia;hyperkalemia (complication);hypoglycemia;hypokalemia (complication);hypomagnesemia;hypotension;hypoventilation;insulin deficiency;lung edema;metabolic acidosis;outcome assessment;pharmacist;respiratory failure;Cardiovascular Diseases and Cardiovascular Surgery (18);Endocrinology (3)</t>
  </si>
  <si>
    <t>Ketoacidosis is a serious medical emergency requiring hospitalization. It is most commonly associated with diabetes and alcoholism, but each type is treated differently. Some treatments for ketoacidosis, such as insulin and potassium, are considered high-alert medications, and others could result in electrolyte imbalances. Several cardiovascular complications are associated with ketoacidosis as a result of electrolyte imbalances, including arrhythmias, ECG changes, ventricular tachycardia, and cardiac arrest, which can be prevented with appropriate initial treatment. Acute myocardial infarction can predispose patients with diabetes to ketoacidosis and worsen their cardiovascular outcomes. Cardiopulmonary complications such as pulmonary edema and respiratory failure have also been seen with ketoacidosis. Overall, the mortality rate of ketoacidosis is low with proper and urgent medical treatment. Hospital pharmacists can help ensure standardization and improve the safety of pharmacotherapy for ketoacidosis. In the outpatient setting, pharmacists can educate patients on prevention of ketoacidosis and when to seek medical attention. Metabolic acidosis occurs as a result of increased endogenous acid production, a decrease in bicarbonate, or a buildup of endogenous acids.1 Ketoacidosis is a metabolic disorder in which regulation of ketones is disrupted, leading to excess secretion, accumulation, and ultimately a decrease in the blood pH.2 Acidosis is defined by a serum pH &lt;7.35, while a pH &lt;6.8 is considered incompatible with life.1,3 Ketone formation occurs by breakdown of fatty acids. Insulin inhibits beta-oxidation of fatty acids; thus, low levels of insulin accelerate ketone formation, which can be seen in patients with diabetes. Extremely elevated blood glucose levels lead to osmotic diuresis, which results in excess secretion of cortisol and catecholamines, further promoting fatty-acid oxidation and ketone formation. Increased levels of glucagon, which is stimulated by hypoglycemia and insulin deficiency, leads to lipolysis, resulting in additional free fatty-acid production and ketogenesis.</t>
  </si>
  <si>
    <t>(Sheehan L.) (Calfas D.) Jobson Publishing Corporation; ID: 778</t>
  </si>
  <si>
    <t>Sheffield,J. W.</t>
  </si>
  <si>
    <t>Establishing a rehabilitation program for impaired pharmacists</t>
  </si>
  <si>
    <t>*Drug and Narcotic Control/lj Legislation &amp; Jurisprudence];Hotlines;*Licensure, Pharmacy;*Pharmacists/px Psychology];*Professional Impairment;Referral and Consultation;Societies, Pharmaceutical;Students, Pharmacy/px Psychology];*Substance-Related Disorders/rh Rehabilitation];Texas</t>
  </si>
  <si>
    <t>The Texas Pharmaceutical Association (TPA) rehabilitation program for impaired pharmacists and pharmacy students is described. Since its inception in 1983, the TPA Pharmacists Rehabilitation Program has provided assistance to impaired pharmacists and pharmacy students, as well as their families, friends, customers, and coworkers. The program uses a carefully developed intervention process designed to assist impaired pharmacists and pharmacy students in obtaining evaluation and treatment of their condition. After a referral, an appointment is made for the impaired person at 1 of 15 regional evaluation and referral centers across the state, where arrangements for appropriate treatment are made. After treatment, the Committee on Pharmacists Rehabilitation aids the pharmacist or student in reentering the profession or returning to school. Intervenors are pharmacists registered in the state of Texas who have participated in TPA's training sessions; TPA also provides an intervenor's workbook. Amendments to the Texas Pharmacy Act passed in 1983 and 1985 provide protection for intervenors who are working with pharmacists and pharmacy students with impairment problems. Referrals are made by means of a 24-hour, toll-free hotline funded by a pharmaceutical manufacturing company. Other funding comes from individual donors, member associations affiliated with TPA, chain drugstores, wholesalers, and the Texas State Board of Pharmacy. A successful rehabilitation program for impaired pharmacists and students must be carefully designed and implemented, with attention paid to legal, financial, and intervention-related issues associated with substance abuse.</t>
  </si>
  <si>
    <t>J2: Am J Hosp Pharm; Sheffield, J W; ID: 689</t>
  </si>
  <si>
    <t>Sheffield,J W. Pharmacists Rehabilitation Program, Texas Pharmaceutical Association, Austin 78761.</t>
  </si>
  <si>
    <t>http://ovidsp.ovid.com/ovidweb.cgi?T=JS&amp;CSC=Y&amp;NEWS=N&amp;PAGE=fulltext&amp;D=med3&amp;AN=3228080</t>
  </si>
  <si>
    <t>MEDLINE; Ovid Technologies; Establishing a rehabilitation program for impaired pharmacists</t>
  </si>
  <si>
    <t>Shen,X.;Bachyrycz,A.;Anderson,J. R.;Tinker,D.;Raisch,D. W.</t>
  </si>
  <si>
    <t>Quitting patterns and predictors of success among participants in a tobacco cessation program provided by pharmacists in New Mexico</t>
  </si>
  <si>
    <t>Adolescent;Adult;Aged;*Community Pharmacy Services;Female;Health Services Accessibility;Humans;Logistic Models;Male;Middle Aged;Multivariate Analysis;New Mexico/ep Epidemiology];Outcome and Process Assessment (Health Care);*Patient Compliance;*Pharmacists;Professional Role;Program Evaluation;Recurrence;Smoking/ae Adverse Effects];Smoking/ep Epidemiology];*Smoking/pc Prevention &amp; Control];*Smoking Cessation/mt Methods];Time Factors;Tobacco Use Disorder/ep Epidemiology];*Tobacco Use Disorder/th Therapy];Treatment Outcome;Young Adult</t>
  </si>
  <si>
    <t>BACKGROUND: Tobacco use causes hundreds of thousands of deaths in the United States each year. Pharmacists are available in the community to provide tobacco cessation interventions. Between 2004 and 2010, the New Mexico Pharmaceutical Care Foundation (NMPCF) provided a pharmacist-led tobacco cessation program to residents in New Mexico. OBJECTIVES: To (a) obtain point prevalence quit rates at 1 month, 3 months, and 6 months follow-up for participants enrolled in the NMPCF program; (b) differentiate between the quitting patterns of enrolled participants; and (c) identify predictors associated with the quitting patterns. METHODS: Seven-year data were combined for the pattern analysis. Four quitting patterns were defined, including immediate quitters, delayed quitters, once quitters, and never quitters. Multinomial logistic regression was used to identify characteristics of participants with different quitting patterns. RESULTS: The analysis included 1,437 participants. The average point prevalence quit rate at 1 month, 3 months, and 6 months was 29.3%, 23.3%, and 18.0%, respectively. Based on our definition for quitting patterns, the study sample consisted of 145 (10.1%) immediate quitters, 113 (7.9%) delayed quitters, 298 (20.7%) once quitters, and 881 (61.3%) never quitters. Multinomial logistic regression identified associations between quitting patterns and demographics, tobacco use and restrictions, baseline confidence in successful quitting, and pharmacotherapy aids used to quit. Relationships varied between quitting patterns. CONCLUSIONS: The study findings showed that having community pharmacists provide smoking cessation interventions resulted in quitting success rates similar to other health care professionals, which ranged from 9.9% to 26.0%. Since pharmacists are a widely available resource for their patients, managed care organizations may be able to improve the health, and avoid subsequent tobacco-related adverse health outcomes, of their members by implementing a program similar to the NMPCF Tobacco Cessation Program.</t>
  </si>
  <si>
    <t>J2: J Manag Care Spec Pharm; Shen, Xian Bachyrycz, Amy Anderson, Joe R Tinker, Dale Raisch, Dennis W; ID: 57</t>
  </si>
  <si>
    <t>Shen,Xian. University of New Mexico, 1 University of New Mexico, MSC 09 5360, Albuquerque, NM 87131. draisch@salud.unm.edu.</t>
  </si>
  <si>
    <t>http://ovidsp.ovid.com/ovidweb.cgi?T=JS&amp;CSC=Y&amp;NEWS=N&amp;PAGE=fulltext&amp;D=medl&amp;AN=24856596</t>
  </si>
  <si>
    <t>MEDLINE; Ovid Technologies; Quitting patterns and predictors of success among participants in a tobacco cessation program provided by pharmacists in New Mexico</t>
  </si>
  <si>
    <t>Sheridan,J.;Barber,N. D.;Author,Addresses;School of Pharmacy, University,of London;Brunswick Square,London,W.C.N.A.X.United Kingdom;Correspondence,Address;Sheridan, School of Pharmacy University of London Brunswick,J.;Square,London W. C. N. A. X. United Kingdom</t>
  </si>
  <si>
    <t>Pharmacy, undergraduates' and preregistration pharmacists' attitudes towards drug misuse and HIV</t>
  </si>
  <si>
    <t>pharmacist;pharmacy;acquired immune deficiency syndrome;article;drug abuse;Human immunodeficiency virus infection;Public Health, Social Medicine and Epidemiology (17)</t>
  </si>
  <si>
    <t>The objectives of this study were: 1. To identify attitudes of pharmacy undergraduates (UG) and preregistration pharmacists (PR) towards drug misuse and HIV/AIDS. 2. To determine the level of tharmacy related experience of respondents in the areas of drug misuse and HIV/AIDS. 3. To determine the UGs) and PRs' perception of education at the School of Pharmacy, with respect to drug misuse and HIV/AIDS. 4. To investigate the use of information sources by UG and PR for information on HIV/AIDS and drug misuse. All third year UG and the previous year's UG, now PR pharmacists, were provided with questionnaires. Results indicated that both cohorts had a representative degree of professional exposure to drug misusers and the supply of controlled drugs. Both cohorts exhibited a positive professional attitude, believing that pharmacists had a role to play in the prevention of the spread of HIV. However, some negative attitudes were expressed which may have been related to fear, stigmatisation of intravenous drug misusers and persons with HIV, and lack of knowledge. Both cohorts indicated that they did not know enough to be able to counsel clients about drug misuse and HIV/AIDS. Results of the investigations into the use of information sources showed an underutilisation of professional journals and professional texts by undergraduates. Opinions on the teaching of these subjects at the School of Pharmacy was mixed. Principal components analysis produced evidence of three different 'types' of respondent; a general response of 'good' to 'poor', a differentiation between the scientific and social content, and a differentiation between teaching on HIV/AIDS and on drug misuse. The results of the study will be used to assess the educational content and methodology of these subjects. Further research will be required into the relationship between knowledge and attitude and into the effect of teaching on attitude and knowledge.</t>
  </si>
  <si>
    <t>(Sheridan J.; Barber N.D.); ID: 1708</t>
  </si>
  <si>
    <t>Sheridan,J.;Bates,I. P.;Webb,D. G.;Barber,N. D.</t>
  </si>
  <si>
    <t>Educational intervention in pharmacy students' attitudes to HIV/AIDS and drug misuse</t>
  </si>
  <si>
    <t>Acquired Immunodeficiency Syndrome/px Psychology];*Attitude of Health Personnel;*Attitude to Health;*Education, Pharmacy;*HIV Infections/px Psychology];Health Education;Health Knowledge, Attitudes, Practice;Humans;London;*Students, Pharmacy/px Psychology];*Substance-Related Disorders/px Psychology]</t>
  </si>
  <si>
    <t>By providing injecting equipment to drug misusers, community pharmacists in the UK may become involved in preventing the spread of HIV via the intravenous route. Over 60% of pharmacy graduates from the School of Pharmacy enter community pharmacy and, as part of their undergraduate course, attend a series of lectures and seminars on HIV/AIDS and drug misuse. The aim of this research was to: (1) investigate students' attitudes to these subjects; (2) assess the students' knowledge of HIV/AIDS; (3) evaluate any change in level of knowledge or of attitude after attending the course; and (4) investigate students' attitudes towards the teaching of these subjects. A questionnaire was administered to students before and after their undergraduate course. The level of knowledge increased significantly after attending the course. Students were asked their opinion on the teaching of HIV/AIDS and drug misuse at the School of Pharmacy. After the course, significantly more responded 'good' or 'very good' with regard to teaching on social issues in drug misuse, rehabilitation and treatment of drug misusers, and health education on HIV/AIDS. There was no significant change in attitude, after the course. Attitude to HIV/AIDS and drug misuse was found to be unassociated with previous experience of working in pharmacies supplying injecting equipment and prescribed methadone. Both attitude and pre-course assessed knowledge were significantly associated with race and religion. These results indicate that attending the course had the effect of increasing knowledge of HIV/AIDS and increasing confidence in counselling clients. The perception of the teaching was also seen to be more positive.</t>
  </si>
  <si>
    <t>J2: Med Educ; Sheridan, J Bates, I P Webb, D G Barber, N D; ID: 628</t>
  </si>
  <si>
    <t>Sheridan,J. Centre for Pharmacy Practice, School of Pharmacy, University of London, UK.</t>
  </si>
  <si>
    <t>http://ovidsp.ovid.com/ovidweb.cgi?T=JS&amp;CSC=Y&amp;NEWS=N&amp;PAGE=fulltext&amp;D=med3&amp;AN=7862010</t>
  </si>
  <si>
    <t>MEDLINE; Ovid Technologies; Educational intervention in pharmacy students' attitudes to HIV/AIDS and drug misuse</t>
  </si>
  <si>
    <t>Sheridan,J.;Strang,J.</t>
  </si>
  <si>
    <t>Community pharmacy in Wales: 1995 data on HIV prevention and drug misuse services</t>
  </si>
  <si>
    <t>Journal of Mental Health</t>
  </si>
  <si>
    <t>210 8p</t>
  </si>
  <si>
    <t>Pharmacy Service -- Wales;Pharmacy Service -- England;Needle Exchange Programs;HIV Infections -- Prevention and Control -- Wales;Substance Abuse -- Drug Therapy -- Wales;Wales;Questionnaires;Mail;Descriptive Statistics;Simple Random Sample;Data Analysis, Statistical;Comparative Studies;England;Sharps Disposal;Attitude of Health Personnel -- Evaluation;Education, Pharmacy;Human</t>
  </si>
  <si>
    <t>Using a postal questionnaire mailed to a random one in four sample of community pharmacies in Wales, information on service provision for drug misusers, attitude towards services, and participation in training was obtained. After four mailshots, the final response was 137/178 pharmacies (77%). Forty-one percent of respondents were dispensing controlled drugs for the treatment of addiction, 34% were selling injecting equipment, and 31% were operating a needle exchange scheme--all substantial increases since 1988. Four-fifths believed the community pharmacist had a role to play in HIV prevention and two-thirds indicated a need for service-specific training. Two-fifths of respondents were in favour of a role for community pharmacists supervising the consumption of methadone in the pharmacy. The results also indicate further scope for increasing participation in service provision and for an expanded role for the community pharmacist, with suitable training and support.</t>
  </si>
  <si>
    <t>Entry Date: 20070101. Revision Date: 20150711. Publication Type: Journal Article; research; tables/charts. Journal Subset: Biomedical; Double Blind Peer Reviewed; Europe; Peer Reviewed; UK &amp; Ireland. NLM UID: 9212352.; ID: 1854</t>
  </si>
  <si>
    <t>0963-8237</t>
  </si>
  <si>
    <t>http://proxy.lib.umich.edu/login?url=http://search.ebscohost.com/login.aspx?direct=true&amp;db=ccm&amp;AN=107166483&amp;site=ehost-live&amp;scope=site</t>
  </si>
  <si>
    <t>ccm; EBSCOhost; Community pharmacy in Wales: 1995 data on HIV prevention and drug misuse services</t>
  </si>
  <si>
    <t>Sheridan,J.;Strang,J.;Taylor,C.;Barber,N.</t>
  </si>
  <si>
    <t>HIV prevention and drug treatment services for drug misusers: a national study of community pharmacists' attitudes and their involvement in service specific training</t>
  </si>
  <si>
    <t>*Attitude of Health Personnel;Delivery of Health Care;Education, Pharmacy;England;*HIV Infections/pc Prevention &amp; Control];Humans;*Pharmacies;*Professional Practice;*Substance-Related Disorders;Wales</t>
  </si>
  <si>
    <t>AIMS: To investigate the attitudes of community pharmacists towards HIV prevention services for drug misusers and the relationship between these and their involvement in service provision. DESIGN: Postal survey of a one in four random sample of community pharmacies (N = 2654) in England and Wales, stratified by Family Health Service Authority, in 1995, using up to four mailshots. SETTING: Community pharmacies in England and Wales. PARTICIPANTS: The community pharmacist in charge of the dispensary at the random sample of community pharmacies. MEASUREMENTS: Information on attitudes and behaviour were collected through self-completion and postal return of structured questionnaires using questions with both category responses and Likert scales. FINDINGS: A 74.8% response rate was achieved. Community pharmacists were positive about their role in HIV prevention and the provision of clean injecting equipment to injecting drug users--positive attitudes that were more evident among those pharmacists already providing these services. However, they had concerns over the effect drug misusers may have on business and indicated a need for more training and for more role support. Only a minority had taken part in training on drug misuse and HIV prevention (34.7% and 21.3%, respectively). Many community pharmacists supported the proposal that there should be extensions of their involvement, to include services such as supervising the consumption of methadone in the pharmacy (38.6%) and collecting used prescribed ampoules from patients (33.8%). Positive relationships were identified between training and attitude, and between attitude and service provision. Changes in attitude responses between this 1995 survey and the earlier 1988 survey are also presented. CONCLUSIONS: Recommendations are made for further training and greater communication between prescriber/carer and the community pharmacists, for involvement of community pharmacies in new possible forms of service provision, and for there to be greater attention to the value of role support.</t>
  </si>
  <si>
    <t>J2: Addiction; Sheridan, J Strang, J Taylor, C Barber, N; ID: 593</t>
  </si>
  <si>
    <t>Sheridan,J. National Addiction Centre, London, UK.</t>
  </si>
  <si>
    <t>http://ovidsp.ovid.com/ovidweb.cgi?T=JS&amp;CSC=Y&amp;NEWS=N&amp;PAGE=fulltext&amp;D=med4&amp;AN=9581006</t>
  </si>
  <si>
    <t>MEDLINE; Ovid Technologies; HIV prevention and drug treatment services for drug misusers: a national study of community pharmacists' attitudes and their involvement in service specific training</t>
  </si>
  <si>
    <t>Shields,A. E.;Levy,D. E.;Blumenthal,D.;Currivan,D.;McGinn-Shapiro,M.;Weiss,K. B.;Yucel,R.;Lerman,C.</t>
  </si>
  <si>
    <t>NIHMS495226 PMC3814125; Primary care physicians' willingness to offer a new genetic test to tailor smoking treatment, according to test characteristics</t>
  </si>
  <si>
    <t>Adult;Attitude of Health Personnel;Clinical Competence;Female;*Genetic Counseling/mt Methods];Humans;Male;Middle Aged;*Physicians, Family/sn Statistics &amp; Numerical Data];Practice Patterns, Physicians'/sn Statistics &amp; Numerical Data];*Primary Health Care/sn Statistics &amp; Numerical Data];*Smoking/ge Genetics];*Smoking/pc Prevention &amp; Control];*Smoking Cessation/mt Methods];Surveys and Questionnaires;Tobacco Use Disorder/ge Genetics];*Tobacco Use Disorder/pc Prevention &amp; Control];United States/ep Epidemiology]</t>
  </si>
  <si>
    <t>Emerging pharmacogenetics research may improve clinical outcomes for common complex conditions typically treated in primary care settings. Physicians' willingness to offer genetically-tailored treatments to their patients will be critical to realizing this potential. According to recent research, it is likely that genotypes used to tailor smoking will have pleiotropic associations with other addictions and diseases, and may have different frequencies across populations. These additional features may pose an additional barrier to adoption. To assess physicians' willingness to offer a new test to individually tailor smoking treatment according to specific test characteristics, we conducted a national mailed survey of 2,000 U.S. primary care physicians (response rate: 62.3%). Physicians responded to a baseline scenario describing a new test to tailor smoking treatment, and three additional scenarios describing specific test characteristics based on published research; there was random assignment to one of two survey conditions in which the test was described as a genetic or non-genetic test. Our findings indicate physicians' self-reported likelihood (0-100 scale) that they would offer a new test to tailor smoking cessation treatment ranged from 69%-78% across all scenarios. Relative to baseline scenario responses, physicians were significantly less likely to offer the test when informed that the same genotypes assessed for treatment tailoring: (1) may also identify individuals predisposed to become addicted to nicotine (p&lt;.001), (2) differ in frequency by race (p&lt;.004), and (3) may have associations with other conditions (e.g., alcohol and cocaine addiction, attention deficit hyperactivity disorder ADHD and Tourette Syndrome) (p&lt;.01). Describing a new test to individually tailor smoking treatment as a "genetic" versus non-genetic test significantly reduced physicians' likelihood of offering the test across all scenarios, regardless of specific test characteristics (p&lt;.0007). Effective education of primary care physicians will be critical to successful integration of promising new pharmacogenetic treatment strategies for smoking.</t>
  </si>
  <si>
    <t>J2: Nicotine Tob Res; Shields, Alexandra E Levy, Douglas E Blumenthal, David Currivan, Douglas McGinn-Shapiro, Mary Weiss, Kevin B Yucel, Recai Lerman, Caryn P50 CA/DA84718 (United States NCI NIH HHS) P50 CA084718 (United States NCI NIH HHS); ID: 353</t>
  </si>
  <si>
    <t>Shields,Alexandra E. Harvard/MGH Center on Genomics, Vulnerable Populations and Health Disparities, Institute for Health Policy, Boston, MA 02111, USA. ashields@partners.org</t>
  </si>
  <si>
    <t>http://ovidsp.ovid.com/ovidweb.cgi?T=JS&amp;CSC=Y&amp;NEWS=N&amp;PAGE=fulltext&amp;D=med5&amp;AN=18584467</t>
  </si>
  <si>
    <t>http://dx.doi.org/10.1080/14622200802087580</t>
  </si>
  <si>
    <t>MEDLINE; Ovid Technologies; Primary care physicians' willingness to offer a new genetic test to tailor smoking treatment, according to test characteristics</t>
  </si>
  <si>
    <t>Shiffman,S.;Brockwell,S. E.;Pillitteri,J. L.;Gitchell,J. G.</t>
  </si>
  <si>
    <t>Individual differences in adoption of treatment for smoking cessation: demographic and smoking history characteristics</t>
  </si>
  <si>
    <t>Adolescent;Adult;*Attitude to Health;Cognitive Therapy;Demography;Drug Therapy/sn Statistics &amp; Numerical Data];Female;*Health Behavior;Humans;Incidence;Male;Middle Aged;*Patient Acceptance of Health Care/sn Statistics &amp; Numerical Data];Prevalence;*Smoking/ep Epidemiology];*Smoking/th Therapy];*Smoking Cessation/sn Statistics &amp; Numerical Data];Surveys and Questionnaires</t>
  </si>
  <si>
    <t>BACKGROUND: Behavioral and pharmacological treatments have been shown to improve smoking cessation rates, but treatments are under-utilized. AIMS: To examine the demographic and smoking history characteristics associated with adoption of treatment for cessation. DESIGN: Analysis of the 2003 tobacco use special cessation supplement to the current population survey. PARTICIPANTS: Representative sample of 12,027 U.S. daily smokers ages 18 and older who made a quit attempt in the past year. MEASUREMENTS: Use of behavioral, pharmacological or alternative treatments for cessation; demographic variables (age, gender, ethnicity, education and income) and measures of nicotine dependence. RESULTS: Females, Whites, older, more educated and wealthier smokers were more likely to adopt treatment in a quit attempt, as were more nicotine dependent smokers. Females were more likely than males to use behavioral treatments. Females and more educated smokers were more likely to combine behavioral and pharmacological treatment. Among those who used only one treatment, males, older and more nicotine dependent smokers were more likely to adopt pharmacological treatments. CONCLUSIONS: The majority of smokers make quit attempts without the benefit of proven behavioral or pharmacological treatments. Efforts are needed to increase use of smoking cessation treatments among all smokers, particularly combination treatment.</t>
  </si>
  <si>
    <t>J2: Drug Alcohol Depend; Shiffman, Saul Brockwell, Sarah E Pillitteri, Janine L Gitchell, Joseph G; ID: 371</t>
  </si>
  <si>
    <t>Shiffman,Saul. Pinney Associates, Pittsburgh, PA 15213, USA. shiffman@pinneyassociates.com</t>
  </si>
  <si>
    <t>http://ovidsp.ovid.com/ovidweb.cgi?T=JS&amp;CSC=Y&amp;NEWS=N&amp;PAGE=fulltext&amp;D=med5&amp;AN=17996399</t>
  </si>
  <si>
    <t>MEDLINE; Ovid Technologies; Individual differences in adoption of treatment for smoking cessation: demographic and smoking history characteristics</t>
  </si>
  <si>
    <t>Shoaib Khan,H. M.;Sohail,M.;Ali,A.;Akhtar,N.;Khan,H.;Rasool,F.;Author,Addresses;Institute of Pharmaceutical Sciences, University,of Veterinary;Animal;Sciences,Lahore Pakistan;Department,of;Pharmacy,The Islamia University of Bahawalpur Bahawalpur Pakistan;Correspondence,Address;Ali, Institute of Pharmaceutical Sciences University of Veterinary and,A.;Animal Sciences, Lahore Pakistan Email ajmaline,gmail com</t>
  </si>
  <si>
    <t>Symptoms-based evaluation of iron deficiency anemia in students of bahawalpur correlated with their eating habits</t>
  </si>
  <si>
    <t>eating habit;iron deficiency anemia (epidemiology);adult;article;cross-sectional study;dizziness;dyspnea;fatigue;female;glossitis;headache;human;infection;male;nail disease;prevalence;questionnaire;short term memory;social status;socioeconomics;stomatitis;taste disorder;tinnitus;withdrawal syndrome;Public Health, Social Medicine and Epidemiology (17);Hematology (25)</t>
  </si>
  <si>
    <t>Purpose: To conduct a symptoms-based evaluation of iron deficiency anemia (IDA) in university and colleges students of Bahawalpur-Pakistan and correlate the data with their eating habits. Methods: A cross-sectional survey was accomplished using a questionnaire for the assessment of IDA among 500 students enrolled in the Islamia University of Bahawalpur and two affiliated colleges in Bahawalpur, Pakistan. Symptoms-based evaluation was carried out to obtain the results. Results: The results showed that 41.2% (206 students) of the 500 students were anemic. The proportion of anemic females and males was 65.53% (135) and 34.46% (71), respectively. Of the 206 students, 96.11% (198) were below the age of 25 years, 83.96% (173) in official hostels, 52.42% (108) belonged to families of average socioeconomic status, 77.18% (159) suffer from short-term memory, and 47.08% (97) were unaware of IDA. The most commonly observed symptoms were flattened brittle nails, dizziness, and fatigue after physical activity, 88.83% (183); presence or absence of glosittis 87.37% (180); ringing in the ears, 84.46% (174); headache, 62.62% (129); frequent minor infections, 46.60% (96); shortness of breath, 40.29% (83); taste disturbance, 35.92% (74); ice cravings, 22.33% (46); and angular stomatitis 18.97% (39). Conclusion: An unexpectedly large number of female students exhibit symptoms of IDA due to poor nourishment. Findings from this survey can be used in awareness programs to increase academic performance in young adults and to eliminate IDA. ‚î¨‚åê Pharmacotherapy Group, Faculty of Pharmacy, University of Benin, Benin City, 300001 Nigeria. All rights reserved.</t>
  </si>
  <si>
    <t>(Shoaib Khan H.M.; Sohail M.; Ali A., ajmaline2000@gmail.com; Khan H.) (Ali A., ajmaline2000@gmail.com; Akhtar N.; Rasool F.) University of Benin, Benin City, Nigeria. editor@tjpr.org; ID: 950</t>
  </si>
  <si>
    <t>2014385302 FULL TEXT LINK http://dx.doi.org/10.4314/tjpr.v13i5.17</t>
  </si>
  <si>
    <t>Shoemaker,S. J.;Ramalho,de Oliveira;Alves,M.;Ekstrand,M.</t>
  </si>
  <si>
    <t>The medication experience: Preliminary evidence of its value for patient education and counseling on chronic medications</t>
  </si>
  <si>
    <t>450 8p</t>
  </si>
  <si>
    <t>Counseling;Drug Therapy;Patient Education;Pharmacists;Disease Management;Female;Focus Groups;Male;Middle Age;Pharmacy, Retail -- Administration;Professional-Patient Relations</t>
  </si>
  <si>
    <t>OBJECTIVE: To describe medication therapy management (MTM) pharmacists' encounters with patients' medication experiences, to examine the utility of the medication experience in practice, and to explore the value of the medication experience in patient education and counseling on medications. METHODS: A focus group of 10 MTM pharmacists, and 1 pharmacist's 9-month practice diary were analyzed to reveal patients' medication experiences and the utility and value of the medication experience in practice. RESULTS: MTM pharmacists commonly encountered patients' medication experiences in their practices. The medication experience was often at the root of drug therapy problems (DTPs) the practitioners identified. The pharmacists identified several examples of drug therapy problems with an associated medication experience at the root. The medication experience was a meaningful construct to guide patient education and counseling on new chronic medications to ultimately prevent DTPs, and valuable for tailoring patient education and counseling on medications to resolve DTPs. CONCLUSION: Our study provides preliminary evidence of the value of the medication experience for patient education and counseling on chronic medications in practice. PRACTICE IMPLICATIONS: The medication experience is a valuable tool for practitioners to understand patients' needs, identify and resolve DTPs, and tailor patient education and counseling for chronic medications.</t>
  </si>
  <si>
    <t>Entry Date: 20111028. Revision Date: 20150711. Publication Type: Journal Article; research. Journal Subset: Core Nursing; Europe; Health Promotion/Education; Nursing; Peer Reviewed; UK &amp; Ireland. NLM UID: 8406280. PMID: 21435815.; ID: 2049</t>
  </si>
  <si>
    <t>Abt Associates Inc., Health Policy Practice, Cambridge, USA.</t>
  </si>
  <si>
    <t>http://proxy.lib.umich.edu/login?url=http://search.ebscohost.com/login.aspx?direct=true&amp;db=ccm&amp;AN=104645698&amp;site=ehost-live&amp;scope=site</t>
  </si>
  <si>
    <t>10.1016/j.pec.2011.02.007</t>
  </si>
  <si>
    <t>ccm; EBSCOhost; The medication experience: Preliminary evidence of its value for patient education and counseling on chronic medications</t>
  </si>
  <si>
    <t>Sie,M.;Author,Addresses;West London Mental Health Trust, St Bernards Hospital,West London;Mental Health Nhs Trust, Southall,United Kingdom;Correspondence,Address;Sie, West London Mental Health Trust St Bernards Hospital West London,M.;Mental Health Nhs Trust, Southall,United Kingdom</t>
  </si>
  <si>
    <t>An update on sleep disorders and their treatment</t>
  </si>
  <si>
    <t>Progress in neurology and psychiatry</t>
  </si>
  <si>
    <t>Prog.Neurol.Psychiatry</t>
  </si>
  <si>
    <t>May/June</t>
  </si>
  <si>
    <t>chloral hydrate (adverse drug reaction, drug therapy, pharmacokinetics);chlordiazepoxide (drug therapy);clomethiazole (adverse drug reaction, drug therapy, drug toxicity,;pharmacokinetics);dexamphetamine (adverse drug reaction, drug therapy);diazepam (adverse drug reaction, drug therapy, pharmacokinetics);dichloralphenazone (adverse drug reaction, drug therapy, pharmacokinetics);dopamine receptor stimulating agent (adverse drug reaction, drug therapy);flurazepam (drug therapy);loprazolam (adverse drug reaction, drug therapy, pharmacokinetics);lorazepam (adverse drug reaction, drug therapy, pharmacokinetics);lormetazepam (adverse drug reaction, drug therapy, pharmacokinetics);melatonin (adverse drug reaction, drug therapy, pharmacokinetics);methylphenidate (adverse drug reaction, drug therapy);modafinil (adverse drug reaction, drug therapy);nitrazepam (adverse drug reaction, drug therapy, pharmacokinetics);oxazepam (drug therapy);oxybate sodium (adverse drug reaction, drug therapy);prazosin (adverse drug reaction, drug therapy);promethazine (adverse drug reaction, drug therapy, pharmacokinetics);reboxetine (adverse drug reaction, drug therapy);selegiline (adverse drug reaction, drug therapy);serotonin uptake inhibitor (adverse drug reaction, drug therapy);temazepam (adverse drug reaction, drug therapy, pharmacokinetics);triclofos (adverse drug reaction, drug therapy, pharmacokinetics);tricyclic antidepressant agent (adverse drug reaction, drug therapy);unindexed drug;venlafaxine (adverse drug reaction, drug therapy);zaleplon (adverse drug reaction, drug therapy, pharmacokinetics);zolpidem (adverse drug reaction, drug therapy, pharmacokinetics);zopiclone (adverse drug reaction, drug therapy, pharmacokinetics);sleep disorder (drug therapy, side effect, drug therapy, side effect);abdominal distension (side effect);abdominal pain (side effect);abnormal thinking (side effect);aggression;alopecia (side effect);anorexia (side effect);anxiety disorder (side effect);appetite;arthralgia (side effect);asthenia (side effect);attention disturbance (side effect);backache (side effect);blood pressure;blurred vision (side effect);catalepsy (drug therapy);clinical feature;concentration loss (side effect);confusion (side effect);constipation (side effect);coughing (side effect);daytime somnolence (drug therapy);delirium (side effect);depersonalization (side effect);depression (side effect);diarrhea (side effect);disorientation (side effect);distress syndrome (side effect);dizziness (side effect);dream;drowsiness (side effect);drug dependence;drug eruption (side effect);drug fever (side effect);drug half life;drug induced headache (side effect);drug overdose;drug tolerability;dyskinesia (side effect);dyspepsia (side effect);dysphoria (side effect);edema (side effect);euphoria;excitement;eye disease (side effect);faintness (side effect);fatigue (side effect);flatulence (side effect);flu like syndrome (side effect);gastrointestinal symptom (side effect);growth retardation (side effect);hallucination (drug therapy, side effect);heart arrhythmia (side effect);heart palpitation (side effect);human;hypersomnia (drug therapy, side effect);hypertension (side effect);hypesthesia (side effect);insomnia (drug therapy, side effect);irritability;ketonuria (side effect);liver function test;micturition disorder (side effect);motor dysfunction (side effect);mouth ulcer (side effect);muscle cramp (side effect);muscle rigidity (side effect);myalgia (side effect);narcolepsy (drug therapy);nausea (side effect);nausea and vomiting (side effect);nervousness;nightmare (drug therapy, side effect);nocturnal enuresis (side effect);nonREM sleep;nose obstruction (side effect);orthostatic hypotension (side effect);panic (side effect);parasomnia (drug therapy);paresthesia (side effect);patient care planning;peripheral edema (side effect);pharyngitis (side effect);photoallergy (side effect);positive end expiratory pressure;prescription;priority journal;pruritus (side effect);psychomotor disorder (side effect);psychosis (side effect);respiration depression (side effect);restless legs syndrome (drug therapy);restlessness (side effect);retching (side effect);review;seizure (side effect);side effect (side effect);skin irritation (side effect);sleep disordered breathing (therapy);sleep walking (drug therapy);somnolence (side effect);stomach irritation (side effect);sweating;tachycardia (side effect);taste disorder (side effect);thorax pain (side effect);tic (side effect);treatment indication;tremor (side effect);urine incontinence (side effect);urine retention (side effect);vasodilatation;vertigo (side effect);vomiting (side effect);weakness (side effect);weight gain;weight reduction;withdrawal syndrome (side effect);xerostomia (side effect);DRUG TRADE NAMES;circadin;heminevrin;phenergan;sonata;welldorm;chloral hydrate (302-17-0);chlordiazepoxide (438-41-5, 58-25-3);clomethiazole (1867-58-9, 533-45-9);dexamphetamine (1462-73-3, 51-63-8, 51-64-9);diazepam (439-14-5);dichloralphenazone (480-30-8);flurazepam (1172-18-5, 17617-23-1);loprazolam (61197-73-7);lorazepam (846-49-1);lormetazepam (848-75-9);melatonin (73-31-4);methylphenidate (113-45-1, 298-59-9);modafinil (68693-11-8);nitrazepam (146-22-5);oxazepam (604-75-1);oxybate sodium (502-85-2);prazosin (19216-56-9, 19237-84-4);promethazine (58-33-3, 60-87-7);reboxetine (98769-81-4, 98769-84-7);selegiline (14611-51-9, 14611-52-0, 2079-54-1, 2323-36-6);temazepam (846-50-4);triclofos (306-52-5, 7246-20-0);venlafaxine (93413-69-5);zaleplon (151319-34-5);zolpidem (82626-48-0);zopiclone (43200-80-2);Neurology and Neurosurgery (8);Chest Diseases, Thoracic Surgery and Tuberculosis (15);Public Health, Social Medicine and Epidemiology (17);Psychiatry (32);Drug Literature Index (37);Adverse Reactions Titles (38)</t>
  </si>
  <si>
    <t>Over the past year, Progress in Neurology and Psychiatry has been running a series of articles on the major psychiatric drug groups, produced in association with the College of Mental Health Pharmacy. In the final article in the series, Michele Sie describes the main types of sleep disorder and their features, and provides an overview of their treatment.</t>
  </si>
  <si>
    <t>(Sie M.) John Wiley and Sons Ltd, Southern Gate, Chichester, West Sussex, United Kingdom.; ID: 1349</t>
  </si>
  <si>
    <t>1367-7543 1931-227X (electronic)</t>
  </si>
  <si>
    <t>2010380873 FULL TEXT LINK http://dx.doi.org/10.1002/pnp.162</t>
  </si>
  <si>
    <t>Siegel,S.</t>
  </si>
  <si>
    <t>Drug anticipation and drug addiction. The 1998 H. David Archibald Lecture</t>
  </si>
  <si>
    <t>1124 12p</t>
  </si>
  <si>
    <t>Conditioning (Psychology);Cues;Substance Use Disorders;Drug Tolerance;Substance Withdrawal Syndrome</t>
  </si>
  <si>
    <t>Environmental cues associated with drug use become capable of eliciting withdrawal symptoms, craving and relapse to drug self-administration. The phenomenon, although noted almost 150 years ago, has repeatedly been confirmed in epidemiological and experimental studies. Drug tolerance, which is closely correlated with withdrawal symptoms and craving, is also modulated by drug-associated environmental cues. The contribution of predrug cues to withdrawal and tolerance is emphasized in a Pavlovian conditioning analysis of drug administration. Drug-induced disturbances are modulated by homeostatic responses elicited by pharmacological stimulation. According to the conditioning analysis, we learn to anticipate the drug effect; corrective response (conditional compensatory responses) occur in the presence of situations and events that have been associated with the drug in the past. These conditional responses, seen in anticipation of drugs, importantly contribute to drug tolerance, failures of tolerance (enigmatic overdoses), and withdrawal symptoms. I review evidence indicating that a complete analysis of drug withdrawal and tolerance requires an appreciation of the contribution of Pavlovian conditioning.</t>
  </si>
  <si>
    <t>Entry Date: 20110610. Revision Date: 20150711. Publication Type: Journal Article. Journal Subset: Biomedical; Europe; Peer Reviewed; UK &amp; Ireland. NLM UID: 9304118. PMID: 10615727.; ID: 1881</t>
  </si>
  <si>
    <t>Department of Psychology, McMaster University, Ontario, Canada. siegel@mcmaster.ca</t>
  </si>
  <si>
    <t>http://proxy.lib.umich.edu/login?url=http://search.ebscohost.com/login.aspx?direct=true&amp;db=ccm&amp;AN=104719015&amp;site=ehost-live&amp;scope=site</t>
  </si>
  <si>
    <t>10.1046/j.1360-0443.1999.94811132.x</t>
  </si>
  <si>
    <t>ccm; EBSCOhost; Drug anticipation and drug addiction. The 1998 H. David Archibald Lecture</t>
  </si>
  <si>
    <t>Sigell,L. T.;Piascik,M. F.;Parker,R. E.;Nelson,E. D.;Williams,R. B.</t>
  </si>
  <si>
    <t>Consumer focus of a university drug and poison information center</t>
  </si>
  <si>
    <t>Academic Medical Centers;Community-Institutional Relations;*Drug Information Services/og Organization &amp; Administration];Drug Information Services/ut Utilization];Ohio;Records as Topic</t>
  </si>
  <si>
    <t>The consumer-oriented aspect of a university drug and poison information center is described. The University of Cincinnati Medical Center began its 24-hour consumer drug information telephone service in 1972. It is staffed by seven full-time employees, and pharmacists and pharmacy residents of nearby hospitals handle evening and weekend calls. All participating personnel are trained in structured programs. The $78,000 annual budget for the consumer drug information service is funded exclusively from external sources such as mental health agencies, foundations, and donations. Of 40,719 calls handled by the center in 1979, 83% were from the public. The total annual call volume has increased by 250% since 1972. In telephone follow-up of consumer calls, 73% of persons claimed they followed verbatim the advice given. Of calls during 1972, 1974, 1977, and 1979, 32.2% concerned drug abuse; 28.6%, identification of ingredients; and 10.9%, efficacy. Data from a three-month study in 1979 showed that the goal perceived by the information provider was to satisfy the curiosity of the caller 63.6% of the time (35.6% of the time immediate action was indicated). The authors believe that the center promotes appropriate use of physicians and pharmacists as sources of information for consumers.</t>
  </si>
  <si>
    <t>J2: Am J Hosp Pharm; Sigell, L T Piascik, M F Parker, R E Nelson, E D Williams, R B T01 DA 01812 (United States NIDA NIH HHS); ID: 724</t>
  </si>
  <si>
    <t>http://ovidsp.ovid.com/ovidweb.cgi?T=JS&amp;CSC=Y&amp;NEWS=N&amp;PAGE=fulltext&amp;D=med2&amp;AN=7416175</t>
  </si>
  <si>
    <t>MEDLINE; Ovid Technologies; Consumer focus of a university drug and poison information center</t>
  </si>
  <si>
    <t>Simmons,J. C.;Rushton,W. F.;King,J. D.;Charlton,N. P.;Author,Addresses;University,of;Virginia,Charlottesville United States;Correspondence,Address;JC Simmons, University of Virginia Charlottesville,United States</t>
  </si>
  <si>
    <t>Ability of senior medical students to identify common serotonergic agents when treating serotonin syndrome</t>
  </si>
  <si>
    <t>Journal of Medical Toxicology</t>
  </si>
  <si>
    <t>(MAJOR FOCUS);serotonin agonist;antiinfective agent;cefepime;cocaine;dexmedetomidine;dextromethorphan;fentanyl;linezolid;lithium;lysergide;midazolam;monoamine oxidase inhibitor;pethidine;propofol;quetiapine;serotonin uptake inhibitor;sertraline;tramadol;xenobiotic agent;human;medical student;serotonin syndrome;abuse;adolescent;adverse drug reaction;drug therapy;education;male;medical care;medical school;mushroom;patient;pharmacology;student;toxicology;vignette</t>
  </si>
  <si>
    <t>Background: Serotonergic agents have become ubiquitous throughout medical care and include drugs such as selective serotonin reuptake inhibitors (SSRI), monoamine oxidase inhibitors, select opioids (tramadol, fentanyl, and meperidine), antimicrobials (linezolid), over-the-counter preparations (dextromethorphan), lithium, and drugs of abuse (MDMA, LSD, cocaine, mushrooms). Despite the frequent prescribing pattern of serotonergic medications, medical students have often been unable to identify serotonergic medications during their medical toxicology rotation. The object of this study is to determine if senior medical students are cognizant of drugs that have high serotonergic activity and could potentiate serotonin syndrome. Methods: A clinical vignette regarding an adolescent male who daily takes an SSRI and who presented with fulminant serotonin syndrome after abusing dextromethorphan was distributed to a fourth year medical school class at one institution. Students were given a list of drugs commonly used in the ICU setting and asked to identify which were known to increase serotonergic activity and thus be avoided in the management of this patient. Response to the survey was entirely voluntary and two reminder emails were sent to increase responses. Results: One hundred twenty participants replied out of a class of 155 for a 77.4% response rate. The following agents were correctly identified for their potential to increase serotonergic activity: 87.5 % sertraline, 50.8 % meperidine, 35.8 % linezolid, 18.3 % fentanyl, and 16.7 % lithium. The following agents were incorrectly identified as worsening serotonin syndrome: 45 % quetiapine, 12.5 % dexmedetomidine, 5 % propofol, 3.3 % midazolam, and 0 % cefepime. Discussion: Our results demonstrate significant gaps in understanding of serotonergic agents among fourth year medical students. While 87.5 % were able to identify that sertraline would worsen the syndrome, only 50 % identified meperidine as serotonergic despite the historical implications of this interaction. Also concerning was the belief that quetiapine had serotonin agonist activity reflecting failure to understand the mechanism of this commonly prescribed xenobiotic. Conclusion: Senior medical students require increased education on the pharmacology of commonly used serotonergic drugs in the ICU setting to avoid worsening serotonin syndrome or causing an iatrogenic adverse drug reaction.</t>
  </si>
  <si>
    <t>(Simmons J.C.; Rushton W.F.; King J.D.; Charlton N.P.) 2014 ACMT Annual Scientific Meeting Phoenix, AZ, United States 2014-03-28 to 2014-03-30 Springer New York LLC; ID: 914</t>
  </si>
  <si>
    <t>1556-9039</t>
  </si>
  <si>
    <t>Singer,M.;Baer,H. A.;Scott,G.;Horowitz,S.;Weinstein,B.</t>
  </si>
  <si>
    <t>PMC1307730; Pharmacy access to syringes among injecting drug users: follow-up findings from Hartford, Connecticut</t>
  </si>
  <si>
    <t>Centers for Disease Control and Prevention (U.S.);Drug Prescriptions;Follow-Up Studies;*HIV Infections/pc Prevention &amp; Control];*HIV Infections/tm Transmission];Humans;*Pharmacies/lj Legislation &amp; Jurisprudence];*Substance-Related Disorders/co Complications];*Syringes/sd Supply &amp; Distribution];United States</t>
  </si>
  <si>
    <t>OBJECTIVE: To break the link between drug use and the human immunodeficiency virus (HIV), in 1992 the state of Connecticut rescinded a 14-year ban on pharmacy sales of syringes without a physician's prescription. In 1993, the Center for Disease Control and Prevention (CDC) evaluated the impact of the new legislation on access to syringes among injecting drug users (IDUs) and found an initial pattern of expanded access. However, it also found that some pharmacies, after negative experiences with IDU customers, reverted to requiring a prescription. This chapter reports findings from a four-year follow-up study of current IDU access to over-the-counter (OTC) pharmacy syringes in Hartford, Connecticut. METHODS: Through structured interviews, brief telephone interviews, and mailed surveys, data on nonprescription syringe sale practices were collected on 27 pharmacies, including 18 of the 21 pharmacies in Hartford and none from pharmacies in contiguous towns, during June and July 1997. Interview data on pharmacy syringe purchase from two sample of IDUs, a group of out-of-treatment injectors recruited through street outreach, and a sample of users of the Hartford Needle Exchange Program, also are reported. RESULTS: The study found that, while market trends as well as negative experiences have further limited pharmacy availability of nonprescription syringes, pharmacies remain an important source of sterile syringes for IDUs. However, the distribution of access in not even; in some areas of the city it is much easier to purchase nonprescription syringes than in other. All of the seven pharmacies located on the north end of Hartford reported that they had a policy of selling OTC syringes, whereas only six (54.5%) of the II pharmacies located on the south end have such a policy. Overt racial discrimination was not found to be a barrier to OTC access to syringes. CONCLUSIONS: To further decrease acquired immunodeficiency syndrome (AIDS) risk among IDUs, there is a need for public education to counter empirically unsupported stereotypes about IDUs that diminish their access to health care and AIDS prevention resources and services. In states or cities where pharmacy sale of nonprescription syringes is illegal, policy makers should examine the benefits of removing existing barriers to sterile syringe acquisition. In cases in which pharmacy sale of nonprescription syringes is legal, local health departments should implement educational programs to inform pharmacy staff and management about the critically important role low-cost (or cost-free), sterile syringe access can play in HIV prevention.</t>
  </si>
  <si>
    <t>J2: Public Health Rep; Singer, M Baer, H A Scott, G Horowitz, S Weinstein, B R0I DA09224 (United States NIDA NIH HHS); ID: 585</t>
  </si>
  <si>
    <t>Singer,M. Hispanic Health Council, Hartford, CT 06106, USA. anthro8566@aol.com</t>
  </si>
  <si>
    <t>http://ovidsp.ovid.com/ovidweb.cgi?T=JS&amp;CSC=Y&amp;NEWS=N&amp;PAGE=fulltext&amp;D=med4&amp;AN=9722813</t>
  </si>
  <si>
    <t>MEDLINE; Ovid Technologies; Pharmacy access to syringes among injecting drug users: follow-up findings from Hartford, Connecticut</t>
  </si>
  <si>
    <t>Singh,H.;Kumar,B. N.;Sinha,T.;Dulhani,N.</t>
  </si>
  <si>
    <t>PMC3117563; The incidence and nature of drug-related hospital admission: A 6-month observational study in a tertiary health care hospital</t>
  </si>
  <si>
    <t>Journal of Pharmacology &amp; Pharmacotherapeutics</t>
  </si>
  <si>
    <t>OBJECTIVE: To assess and evaluate the frequency, severity and classification of drug-related problems (DRP) resulting in hospitalization in an internal medicine department of a large tertiary care hospital and to identify any patient, prescriber, drug, and system factors associated with these events. MATERIALS AND METHODS: A prospective and descriptive study carried out in Department of Medicine, Government Medical College, Jagdalpur. The DRP and relevant data were recorded on the personal record of every individual patient, filled during the course of treatment. RESULT: A total of 3560 patient's records were analyzed. Among them118 admissions were due to DRP. The most common DRP noted was noncompliance in part of patient's i.e 55 (46.6%). Statistically significant correlations were found in the number of prescribed drugs and over the counter drugs (OTC) used by patients. CONCLUSION: The DRP that attributed to hospital admission are mostly avoidable through proper patient education and strengthening the need of pharmacovigilance with little more vigilance in patient care.</t>
  </si>
  <si>
    <t>J2: J Pharmacol Pharmacother; Singh, Harminder Kumar, Bithika Nel Sinha, Tiku Dulhani, Navin; ID: 249</t>
  </si>
  <si>
    <t>0976-5018</t>
  </si>
  <si>
    <t>Singh,Harminder. Department of Pharmacology, Govt. Medical College, Jagdalpur, Chhattisgarh, India.</t>
  </si>
  <si>
    <t>http://ovidsp.ovid.com/ovidweb.cgi?T=JS&amp;CSC=Y&amp;NEWS=N&amp;PAGE=fulltext&amp;D=prem&amp;AN=21701641</t>
  </si>
  <si>
    <t>http://dx.doi.org/10.4103/0976-500X.77095</t>
  </si>
  <si>
    <t>MEDLINE; Ovid Technologies; The incidence and nature of drug-related hospital admission: A 6-month observational study in a tertiary health care hospital</t>
  </si>
  <si>
    <t>Singh,I.;Bard,I.;Jackson,J.;Author,Addresses;Department of,Social Science;Medicine,Kings College London London United Kingdom;Department of Methodology, London School,of Economics;and Political Science, London,United Kingdom;Correspondence,Address;Singh, Department of Social Science Health,I.;Medicine,Kings College;London,London United Kingdom</t>
  </si>
  <si>
    <t>25356917; Robust resilience and substantial interest: A survey of pharmacological cognitive enhancement among university students in the UK and Ireland</t>
  </si>
  <si>
    <t>9:10 Article Number: e105969.</t>
  </si>
  <si>
    <t>3,4 methylenedioxymethamphetamine;4' methylmethcathinone;alcohol;amphetamine plus dexamphetamine;analgesic agent;atomoxetine;caffeine;cannabis;cocaine;diamorphine;donepezil;ephedrine;ketamine;lysergide;methamphetamine;methylphenidate;modafinil;piracetam;tranquilizer;vitamin;drug abuse;pharmacological cognitive enhancement;university student;adolescent;adult;age;alcohol consumption;attention deficit disorder;attitude;British citizen;cannabis use;controlled study;energy drink;ethics;female;human;Ireland;male;prediction;prevalence;review;tobacco;United Kingdom;3,4 methylenedioxymethamphetamine (42542-10-9);alcohol (64-17-5);atomoxetine (82248-59-7, 82857-39-4, 82857-40-7, 83015-26-3);caffeine (58-08-2);cannabis (8001-45-4, 8063-14-7);cocaine (50-36-2, 53-21-4, 5937-29-1);diamorphine (1502-95-0, 561-27-3);donepezil (120011-70-3, 120014-06-4, 142057-77-0);ephedrine (299-42-3, 50-98-6);ketamine (1867-66-9, 6740-88-1, 81771-21-3);lysergide (50-37-3);methamphetamine (28297-73-6, 51-57-0, 537-46-2, 7632-10-2);methylphenidate (113-45-1, 298-59-9);modafinil (68693-11-8);piracetam (7491-74-9);Public Health, Social Medicine and Epidemiology (17);Drug Dependence, Alcohol Abuse and Alcoholism (40)</t>
  </si>
  <si>
    <t>Use of 'smart drugs' among UK students is described in frequent media reports as a rapidly increasing phenomenon. This article reports findings from the first large-scale survey of pharmacological cognitive enhancement (PCE) among students in the UK and Ireland. Conducted from February to September 2012, a survey of a convenience sample of 877 students measured PCE prevalence, attitudes, sources, purposes and ethics. Descriptive and logistic regression statistical methods were used to analyse the data. Lifetime prevalence of PCE using modafinil, methylphenidate or Adderall was under 10%, while past regular and current PCE users of these substances made up between 0.3%-4% of the survey population. A substantial majority of students was unaware of and/or uninterested in PCE; however about one third of students were interested in PCE. PCE users were more likely to be male, British and older students; predictors of PCE use included awareness of other students using PCEs, ADHD symptomatology, ethical concerns, and alcohol and cannabis use. The survey addresses the need for better evidence about PCE prevalence and practices among university students in the UK. We recommend PCE-related strategies for universities based on the survey findings. Copyright:</t>
  </si>
  <si>
    <t>(Singh I., ilina.singh@kcl.ac.uk) (Bard I.; Jackson J.) Public Library of Science, plos@plos.org; ID: 876</t>
  </si>
  <si>
    <t>http://www.ncbi.nlm.nih.gov/pubmed/25356917</t>
  </si>
  <si>
    <t>Robust resilience and substantial interest: A survey of pharmacological cognitive enhancement among university students in the UK and Ireland</t>
  </si>
  <si>
    <t>Sinha,D. N.;Singh,G.;Gupta,P. C.;Pednekar,M.;Warrn,C. W.;Asma,S.;Lee,J.</t>
  </si>
  <si>
    <t>Linking India Global Health Professions Student Survey data to the World Health Organization Framework Convention on Tobacco Control</t>
  </si>
  <si>
    <t>Indian journal of cancer</t>
  </si>
  <si>
    <t>Indian J.Cancer</t>
  </si>
  <si>
    <t>47 Suppl 1</t>
  </si>
  <si>
    <t>Counseling;*Health Occupations;*Health Surveys;Humans;India/ep Epidemiology];Smoking/ep Epidemiology];*Smoking/pc Prevention &amp; Control];*Students/px Psychology];*Tobacco Industry/lj Legislation &amp; Jurisprudence];*Tobacco Use Disorder/pc Prevention &amp; Control];*World Health Organization</t>
  </si>
  <si>
    <t>The 2003 India Tobacco Control Act (ITCA) includes provisions designed to reduce tobacco consumption and protect citizens from exposure to secondhand smoke. India ratified the World Health Organization Framework Convention on Tobacco Control (WHO FCTC) on February 27, 2005. The WHO FCTC is the world's first public health treaty that aims to promote and protect public health and reduce the devastating health and economic impact of tobacco. The Global Health Professions Student Survey (GHPSS) was developed to track tobacco use among third-year dental, medical, nursing, and pharmacy students across countries. Data from the dental (2005), medical (2006), nursing(2007), and pharmacy (2008) GHPSS conducted in India showed high prevalence of tobacco use and a general lack of training by health professionals in patient cessation counseling techniques. The Ministry of Health and Family Welfare could use this information to monitor and evaluate the existing tobacco control program effort in India as well as to develop and implement new tobacco control program initiatives.</t>
  </si>
  <si>
    <t>J2: Indian J Cancer; Sinha, D N Singh, G Gupta, P C Pednekar, M Warrn, C W Asma, S Lee, J; ID: 281</t>
  </si>
  <si>
    <t>1998-4774</t>
  </si>
  <si>
    <t>Sinha,D N. School of Preventive Oncology, Patna, India.</t>
  </si>
  <si>
    <t>http://ovidsp.ovid.com/ovidweb.cgi?T=JS&amp;CSC=Y&amp;NEWS=N&amp;PAGE=fulltext&amp;D=med5&amp;AN=20622411</t>
  </si>
  <si>
    <t>http://dx.doi.org/10.4103/0019-509X.65177</t>
  </si>
  <si>
    <t>MEDLINE; Ovid Technologies; Linking India Global Health Professions Student Survey data to the World Health Organization Framework Convention on Tobacco Control</t>
  </si>
  <si>
    <t>Sipple,L. J.;Stewart,A. L.;Author,Addresses;Duquesne University,Pittsburgh,United States;Correspondence,Address;LJ Sipple, Duquesne University Pittsburgh,United States</t>
  </si>
  <si>
    <t>Community pharmacists' perceptions and knowledge of medication disposal</t>
  </si>
  <si>
    <t>e294</t>
  </si>
  <si>
    <t>prescription drug;clinical pharmacy;college;community;drug therapy;human;pharmacist;drug abuse;inferential statistics;ingestion;intoxication;patient;physician;public health problem;responsibility;social medicine</t>
  </si>
  <si>
    <t>PURPOSE: Medication disposal is an emerging topic of concern due to potential ecological consequences, prescription drug abuse, and accidental ingestion and poisoning within homes. The primary objective of this study is to describe pharmacist knowledge and attitudes towards medication disposal and confidence in the ability to counsel patients on appropriate medication disposal. METHODS: A 16-item survey was distributed via Survey- MonkeyTM to practicing community pharmacists. Data were analyzed using descriptive and inferential statistics. Pearson's Test for Correlation was used to explore relationships between variables. Nominal variables were compared using Chi-squared test. RESULTS: Surveys were sent to approximately 250 community pharmacists of which there were 132 complete, usable responses. 43.2% of respondents indicated they counsel on medication disposal 2-3 times per month with 73.5% indicating confidence in this ability. Seventy-eight of respondents identified pharmacists as a Œì√á¬£good resourceŒì√á¬• for information on medication disposal, and 72% identified it as a professional responsibility. Self-reported knowledge of disposal guidelines and take back programs is low, with only 56.1% and 54.5% of pharmacists responding in agreement. In general, the number of years in practice did not correlate with knowledge of confidence. However, new practitioners (those practicing 5 years or less), were 40% less likely to view inappropriate disposal of medicine as a significant public health problem compared with experienced practitioners (Chi Square = 0.037). CONCLUSIONS: Appropriate medication disposal is a topic of concern for pharmacists and the public. Despite recognizing appropriate medication disposal as a responsibility and area of expertise of pharmacists, knowledge of appropriate practices is relatively low. This may be related to the overall indifference towards the impact of inappropriate disposal on the environment and public health.</t>
  </si>
  <si>
    <t>(Sipple L.J.; Stewart A.L.) 2012 Annual Meeting of the American College of Clinical Pharmacy, ACCP 2012 Hollywood, FL, United States 2012-10-21 to 2012-10-24 Pharmacotherapy Publications Inc.; ID: 1102</t>
  </si>
  <si>
    <t>Siragusa,R.;Passarino,G.;Mollo,F.;Tappero,P.</t>
  </si>
  <si>
    <t>HCV positivity at postmortem among 793 heroin addicts examined in Piedmont (Italy)</t>
  </si>
  <si>
    <t>Panminerva medica</t>
  </si>
  <si>
    <t>Panminerva Med.</t>
  </si>
  <si>
    <t>Adult;Cadaver;Female;*Hepatitis C Antibodies/an Analysis];*Heroin Dependence/im Immunology];Humans;Italy;Male;Retrospective Studies;0 (Hepatitis C Antibodies)</t>
  </si>
  <si>
    <t>BACKGROUND: During a wider study in progress at the Turin University with the cooperation of the Departments of Anatomy, Pharmacology and Forensic Medicine, and of Biomedical Sciences and Human Oncology, anti-HCV antibodies were determined in the blood of drug-addicts submitted to judicial autopsy. METHODS: This investigation was carried out on blood samples taken at postmortem from 793 subjects submitted to judicial autopsy in Piedmont from 1977 to 1996. This is a retrospective investigation and these cases represented 93.9% of the total autopsies, and 98.6% of them came from Turin and province. RESULTS: The percentage of subjects for whom the search for anti-HCV antibodies proved positive was 75.8% (74.5% among males, and 86.5% among females). These data remained relatively unchanged through the years, with a range 64.3% to 85.3%. They are close to those recorded in the international literature with regard to living subjects admitted to public health institutions for the prevention and treatment of drug addiction. CONCLUSIONS: As the positivity related to age, lower values were found among the 15-20-year olds as compared to the older ones: 57.1% among the former, and 85.5% among the latter. This difference may be due to a longer period of drug addiction among subjects deceased at an older age, with a more prolonged risk of infection.</t>
  </si>
  <si>
    <t>J2: Panminerva Med; Siragusa, R Passarino, G Mollo, F Tappero, P; ID: 536</t>
  </si>
  <si>
    <t>0031-0808</t>
  </si>
  <si>
    <t>Siragusa,R. Department of Anatomy, Pharmacology and Forensic Medicine, Section of Forensic Medicine, University of Turin, Turin, Italy.</t>
  </si>
  <si>
    <t>http://ovidsp.ovid.com/ovidweb.cgi?T=JS&amp;CSC=Y&amp;NEWS=N&amp;PAGE=fulltext&amp;D=med4&amp;AN=11449183</t>
  </si>
  <si>
    <t>MEDLINE; Ovid Technologies; HCV positivity at postmortem among 793 heroin addicts examined in Piedmont (Italy)</t>
  </si>
  <si>
    <t>Skalli,S.;Dalzotto,M.;Cois,M.;Peix,P.;Lacombe,A.;Carouge,P.;Loureiro,M.;Guerin,S.;Aitichou,M.;Parat,S.;Thivolet,C.;Rioufol,C.;Author,Addresses;D‚îú‚åêpartement de Pharmacie Clinique et,du M.;D‚îú‚åêpartement d'Endocrinologie Nutrition, Groupement Hospitalier,Sud Lyon;France;Universit‚îú‚åê Claude Bernard Lyon,,E.M.R.Lyon France;Correspondence,Address;Skalli, D‚îú‚åêpartement de Pharmacie Clinique et du M‚îú‚åêdicament Lyon France,S.</t>
  </si>
  <si>
    <t>Nominative daily delivering: How can we improve this approach?</t>
  </si>
  <si>
    <t>antihypertensive agent;clinical pharmacy;central nervous system;drug synthesis;endocrinology;France;health care;hospitalization;human;nurse;nursing;observational study;pharmacist;pharmacy;pharmacy technician;pill;prescription;responsibility;safety;satisfaction;teaching hospital;university</t>
  </si>
  <si>
    <t>Introduction Clinical pharmacy deployment involves drug supply chain safety from prescription to administration. One of the key steps of this process implies nominative daily delivery (NDD). However, this approach, supposed rational and easy, doesn't provide complete satisfaction. In fact, little is known about the current incidence of drugs related problems due to NDD. We aimed to describe main errors identified by Endocrinology healthcare team, which has since November 2010 a pharmacy staff including two pharmacy technicians, one resident and one senior pharmacist. Materials &amp; Methods We designed a prospective observational study, during 6 months from January to June 2011, in 2 care units, conventional (21 beds) and weekly (16 beds) hospitalization, in Endocrinology department in University Teaching Hospital Lyon Sud, Lyon, France. Errors were reported by the medical team on the basis of prepared drugs versus prescribed ones (missed pills, excess dosing error, and drugs error). They were analyzed by the pharmacy team and classified into: possibly attributable to pharmacy team responsibility ones or none. Results Over the period of the study, 132 errors occurred and were reported by 15 nurses and distributed as follows: 90 reported in the conventional unit and 42 in the weekly hospitalization one. These errors affected mainly antihypertensives drugs (28.0%), central nervous system drugs (12.12%) and oral antidiabetics (11.3%). After analysis, 28.0% of the errors were explained and involved pharmacy team responsibility within 22.4% reported in conventional hospitalization and 35.71% in weekly hospitalization. These errors were mainly missed pills (66.6%). None of them had clinical significance or impact. Discussions, Conclusion This study highlights one of iatrogenic aspects of nominative daily distribution, and shows that the final check by the nursing team remains needed to address them. However, knowing error characteristics was helpful in designing initiatives to reduce them. We designed pharmacy technicians specialized in Endocrinology area allowing better prescriptions follows up from hospitalization to discharge and better knowledge of the specific requirements of medical team. We also double checked NDD once a week. Discussions are underway on a systematic pharmaceutical analysis and implementation of a plan drug preparation with clearer visibility.</t>
  </si>
  <si>
    <t>(Skalli S.; Dalzotto M.; Cois M.; Aitichou M.; Parat S.; Rioufol C.) (Peix P.; Lacombe A.; Carouge P.; Loureiro M.; Guerin S.; Thivolet C.) (Rioufol C.) ESCP 40th International Symposium on Clinical Pharmacy. Clinical Pharmacy: Connecting Care and Outcomes Dublin, Ireland 2011-10-19 to 2011-10-21 Springer Netherlands; ID: 1194</t>
  </si>
  <si>
    <t>Skowron,A.;Dymek,J.;Golda,A.;Pelka,P.;Author,Addresses;Department of Social Pharmacy, Faculty of Pharmacy,Jagiellonian University;Krakow,Poland;Correspondence,Address;Skowron, Department of Social Pharmacy Faculty of Pharmacy Jagiellonian,A.;University,Krakow Poland Email jdymek cm-uj krakow pl</t>
  </si>
  <si>
    <t>Drug relation problems in Polish patients with chronic illness</t>
  </si>
  <si>
    <t>chronic disease;human;patient;advertizing;asthma;classification;coughing;diabetes mellitus;diagnosis;diet supplementation;drug dose;drug therapy;education;Europe;gastrointestinal tract;hypertension;interview;pharmaceutical care;pharmacist;pharmacy;Poland;polypharmacy;population;prescription;qualitative analysis;quantitative analysis;safety;self control;side effect</t>
  </si>
  <si>
    <t>Background The medication consumption in Poland per patient is one of the highest in Europe. Its increase is connected to medication advertisement and expand list of drugs available without a prescription that the patient can also purchase outside the pharmacy. Purpose The aim of the study was quantitative and qualitative analysis of drug related problems and their causes occurring in hypertensive, diabetic and asthma/COPD population. Method The study has been carried out between 2008 and 2011. The pharmacists could include patient with hypertension, or diabetes, or asthma and/or COPD. The data about diagnosis, results of self-control and medication and diet supplements were gathered during the face to face interview. All gathered data were used in qualitative and quantitative analysis of DRP. We use the PCNE classification v.5.01. Findings 267 patients, who met including criteria were involved in the study. The average age of the patients was 63 years (24-88) and BMI 28.4 (17.8-44.3). Most patients suffered (73.3 %) from one chronic disease, about 84.3 % of all respondents had hypertension and nearly 30 % had diabetes. More than five medication were used chronically and about four temporally per an average patient. About seven problems detected per and average patient. One medication caused of nearly 1.5 DRPs. Most commonly detected DRP were: potential interaction P4.1 (60.7 %), drug dose too low or dosage regime not frequent enough P3.1 (12.0 %) and side effect suffered (non-allergic) P1.1 (11.2 %). Patients most often reported as adverse symptoms from the gastrointestinal tract (28 %) and cough (12 %). Conclusion Results of the study indicate that polypharmacy is a common problem among patients with chronic diseases in Poland. Almost every medication can cause a DRP. Pharmacists should focus on medication reviews and pharmaceutical care programs, including patients education, to improve effectiveness and safety of pharmacotherapy.</t>
  </si>
  <si>
    <t>(Skowron A., jdymek@cm-uj.krakow.pl; Dymek J.; Golda A.; Pelka P.) PCNE Working Symposium 2014 Sliema, Malta 2014-03-14 to 2014-03-15 Kluwer Academic Publishers; ID: 896</t>
  </si>
  <si>
    <t>Skowron,A.;Polak,S.;Brandys,J.</t>
  </si>
  <si>
    <t>PMC3969835; The impact of pharmaceutical care on patients with hypertension and their pharmacists</t>
  </si>
  <si>
    <t>OBJECTIVE: The purpose of the study was to assess the influence of pharmaceutical care on patients' knowledge, quality of life and blood pressure and to determine whether new type of pharmaceutical services changes the pharmacists' satisfaction and knowledge. METHODS: Community pharmacies were randomly assigned to study and control group and pharmacists from both groups included patients with hypertension, who meet inclusion and exclusion criteria. Study group provided the pharmaceutical care (education, pharmacotherapy monitoring, detecting and solving drug related problems) for their patients, while the control group provided the standard pharmaceutical services (dispensing medicines with or without counseling). At the beginning and the end of the study pharmacists and patients filled in the knowledge test. Pharmacists fulfilled also satisfaction questionnaire. RESULTS: Survey data were collected from 28 and 56 patients from community pharmacies in study and control group respectively. At the last meeting the normal blood pressure achieved 79% and 55% patients in study and control group, respectively (p&gt;0,05). The pharmaceutical care improved patients' knowledge about disease. Pharmacists from study group, who provided pharmaceutical care, had higher level of pharmacotherapy knowledge and professional satisfaction than the control group. CONCLUSIONS: Implementation of pharmaceutical care into the pharmacy practice benefits both, patients and pharmacists.</t>
  </si>
  <si>
    <t>J2: Pharm; Skowron, Agnieszka Polak, Sebastian Brandys, Jerzy; ID: 107</t>
  </si>
  <si>
    <t>Skowron,Agnieszka. Jagiellonian University , School of Medicine, Faculty of Pharmacy, Department of Pharmacoepidemiology and Pharmacoeconomics, Krakow ( Poland ). Polak,Sebastian. Jagiellonian University , School of Medicine, Faculty of Pharmacy, Department of Pharmacoepidemiology and Pharmacoeconomics, Krakow ( Poland ). Brandys,Jerzy. Jagiellonian University , School of Medicine, Faculty of Pharmacy, Department of Pharmacoepidemiology and Pharmacoeconomics, Krakow ( Poland ).</t>
  </si>
  <si>
    <t>http://ovidsp.ovid.com/ovidweb.cgi?T=JS&amp;CSC=Y&amp;NEWS=N&amp;PAGE=fulltext&amp;D=prem&amp;AN=24688618</t>
  </si>
  <si>
    <t>MEDLINE; Ovid Technologies; The impact of pharmaceutical care on patients with hypertension and their pharmacists</t>
  </si>
  <si>
    <t>Sloan,P. A.;Montgomery,C.;Musick,D.</t>
  </si>
  <si>
    <t>Medical student knowledge of morphine for the management of cancer pain</t>
  </si>
  <si>
    <t>*Analgesics, Opioid/tu Therapeutic Use];Data Collection;Humans;*Morphine/tu Therapeutic Use];*Neoplasms/co Complications];*Pain, Intractable/dt Drug Therapy];Pain, Intractable/et Etiology];Students, Medical;0 (Analgesics, Opioid);76I7G6D29C (Morphine)</t>
  </si>
  <si>
    <t>Inadequate training of physicians contributes to the undertreatment of cancer pain. To address these concerns, the University of Kentucky has introduced a 4-week course for final-year medical students that teaches the principles of clinical pharmacology and pain management. The purposes of this study are to assess the knowledge deficits of final-year medical students about the use of morphine for cancer pain and to assess the efficacy of a short course on cancer pain management. Eighty-six final-year medical students completed a 22-item questionnaire assessing their knowledge and attitudes toward the use of morphine for cancer pain. Students indicated their agreement with each statement on a four-point scale (one, strongly disagree; four, strongly agree). All students then completed a compulsory short course on pain management. The course content included a 1-hr lecture on chronic nonmalignant pain, a 1-hr lecture on acute pain management, and a 1-hr lecture on cancer pain management. In addition, students completed small-group, problem-based learning modules on several aspects of pain management. After the course, all students completed the same 22-item survey. The alpha reliability score of the pretest instrument was 0.55, and the posttest reliability was 0.86. Upon course completion, students agreed most strongly (mean +/- SEM) that morphine should be given on a regular schedule for cancer pain (3.41 +/- 0.08), that cancer pain management frequently requires co-analgesics (3.36 +/- 0.06), and that patients with good pain relief function better than those with continuing pain (3.39 +/- 0.08). A comparison of pretest and posttest means on specific items suggested that the greatest amount of learning took place in the following content areas: morphine is a good oral analgesic; increases in cancer pain should be treated by increasing the morphine dose; respiratory depression is not a concern for cancer pain patients; and morphine can be used over a wide range of doses. The regular use of morphine was recognized as the treatment drug of choice for cancer pain. The students showed improved knowledge scores on ten of the 22 items on the posttest survey. A significant increase in learning occurred on six knowledge and attitude items. On only one item (nausea as a side effect of morphine) did the knowledge scores decrease on the posttest. A significant minority (40%) of senior medical students had deficits in knowledge about the use of morphine for cancer pain. The risk of addiction, respiratory depression, and tolerance were misunderstood by a significant minority (25%) of students.</t>
  </si>
  <si>
    <t>J2: J Pain Symptom Manage; Sloan, P A Montgomery, C Musick, D; ID: 587</t>
  </si>
  <si>
    <t>0885-3924</t>
  </si>
  <si>
    <t>Sloan,P A. Department of Anesthesiology, University of Kentucky College of Medicine, Lexington, USA.</t>
  </si>
  <si>
    <t>http://ovidsp.ovid.com/ovidweb.cgi?T=JS&amp;CSC=Y&amp;NEWS=N&amp;PAGE=fulltext&amp;D=med4&amp;AN=9670636</t>
  </si>
  <si>
    <t>MEDLINE; Ovid Technologies; Medical student knowledge of morphine for the management of cancer pain</t>
  </si>
  <si>
    <t>Small,R. E.;James,C. W.</t>
  </si>
  <si>
    <t>Smoking cessation: pharmacists helping patients kick the habit</t>
  </si>
  <si>
    <t>Humans;Nicotine/tu Therapeutic Use];*Pharmaceutical Services/ut Utilization];Pharmacists/ut Utilization];*Smoking Cessation/mt Methods];6M3C89ZY6R (Nicotine)</t>
  </si>
  <si>
    <t>Nicotine is just as habit forming as "harder" drugs, and more deaths occur due to tobacco than other substances of abuse. Several treatments are available for pharmacists to recommend or dispense to patients attempting to stop smoking. The health benefits of quitting tobacco far outweigh the potential obstacles when beginning a smoking-cessation program. Pharmacists need to evaluate patients and their level of commitment to the program, provide education about behavioral modification, and follow-up with patients to support their efforts to quit smoking.</t>
  </si>
  <si>
    <t>J2: J Am Pharm Assoc (2003); Small, Ralph E James, Christopher W; ID: 493</t>
  </si>
  <si>
    <t>Small,Ralph E. School of Pharmacy, Medical College of Virginia, Virginia Commonwealth University, Richmond, USA.</t>
  </si>
  <si>
    <t>http://ovidsp.ovid.com/ovidweb.cgi?T=JS&amp;CSC=Y&amp;NEWS=N&amp;PAGE=fulltext&amp;D=med4&amp;AN=14626521</t>
  </si>
  <si>
    <t>MEDLINE; Ovid Technologies; Smoking cessation: pharmacists helping patients kick the habit</t>
  </si>
  <si>
    <t>Smigiel,J.;Ouyang,S.;Author,Addresses;Salem Veterans Affairs,Medical Center;States;Correspondence,Address;Smigiel, Salem Veterans Affairs Medical Center Salem United States,J.</t>
  </si>
  <si>
    <t>Comparison of symptom-triggered vs. Fixed-Schedule dosing of benzodiazepine to treat ethanol withdrawal symptoms in an inpatient psychiatric setting</t>
  </si>
  <si>
    <t>(MAJOR FOCUS);alcohol;benzodiazepine;benzodiazepine derivative;college;hospital patient;human;pharmacist;withdrawal syndrome;alcohol withdrawal;cohort analysis;dependent variable;independent variable;length of stay;mental health;mental patient;patient;population;psychiatric department;psychiatric treatment;psychosis;seizure;Student t test;substance abuse;therapy</t>
  </si>
  <si>
    <t>Type: Work in Progress. Background: Numerous literature sources have established the effectiveness of symptom-triggered benzodiazepine therapy for alcohol withdrawal symptoms (AWS) commonly under CIWA-Ar protocol. A large number of earlier studies have demonstrated clinical advantages of reduced total benzodiazepine dose and reduced length of stay with symptom triggered (ST) over fixed schedule (FS) dosing, but there have been some recent studies that show a reduced advantage and sometimes, no difference at all between ST and FS dosing. Furthermore, the vast majority of these studies have excluded patients receiving psychiatric treatment. Substance abuse is highly prevalent in the mental health population. This study will compare and measure the relative success of ST versus FS dosing of benzodiazepines for the treatment of AWS in psychiatric patients. Methods: This study will be a retrospective cohort study measuring total dose of benzodiazepine consumed and time to discontinuation of CIWA protocol while each patient is on the inpatient psychiatric unit. We will also examine differences in the rate of escalation of care between the two groups. Data will be collected from January 2010 to March 2011. The inclusion criteria will be anyone over age of 18, anyone who has had their last drink within 72 hours, and anyone admitted to the psychiatric unit for alcohol withdrawal. Exclusion criteria will be anyone with active seizures, active psychosis, and long term benzodiazepine use (continuous use of benzodiazepines greater than 2 weeks). After separation into FS versus ST groups, patient's total dose of benzodiazepines consumed during time of admission until time of CIWA protocol discontinuation will be documented for comparison. Similarly, time to CIWA protocol discontinuation will also be documented for comparison. Outcomes: The independent variables measured will be total dose of benzodiazepines used and time to discontinuation of CIWA protocol. The dependent variables measured will include average CIWA score. The data will be analyzed by a student's t-test. Demographic data will be compared using chi-squared or Fisher's exact.1.</t>
  </si>
  <si>
    <t>(Smigiel J.; Ouyang S.) 16th Annual Meeting of the College of Psychiatric and Neurologic Pharmacists, CPNP 2013 Colorado Springs, CO, United States 2013-04-21 to 2013-04-24 SAGE Publications Inc.; ID: 1024</t>
  </si>
  <si>
    <t>Smith,A. L.;MacDonald,N.;Thavarajah,K.;DiGiovine,B.;Kalus,J. S.;Author,Addresses;Department of Pharmacy Practice, Wayne,State University;Detroit,United States;Henry Ford Hospital, Detroit,United States;Department of Pulmonology, Henry Ford,Hospital Detroit;United,States;Division,of Pulmonary;Sleep,Medicine;Henry Ford Hospital, Detroit,United States;Correspondence,Address;AL Smith, Department of Pharmacy Practice Wayne,State University;Detroit,United States</t>
  </si>
  <si>
    <t>Development and implementation of clinical pharmacy services within an outpatient pulmonary clinic</t>
  </si>
  <si>
    <t>e232</t>
  </si>
  <si>
    <t>e233</t>
  </si>
  <si>
    <t>American;clinical pharmacy;college;hospital;hospital department;human;outpatient;ambulatory care;chronic obstructive lung disease;drug therapy;education;electronic medical record;health;health care;health literacy;hospital readmission;information processing;inhaler;leadership;medication therapy management;model;non profit organization;patient;patient care;patient education;pharmacist;pharmacy;physician;society;therapy;tobacco dependence</t>
  </si>
  <si>
    <t>PURPOSE: The 2014 American Society of Health System Pharmacist (ASHP) Foundation's Pharmacy Forecast Report encouraged pharmacy practice leaders to develop and establish roles for pharmacists in ambulatory care settings. Additional publications address the need for pharmacist's collaboration in managing chronic obstructive pulmonary disease (COPD) to improve health outcomes and reduce readmissions. Historically, pharmacists have practiced in ambulatory care clinics at Henry Ford Hospital (HFH). In order to advance the practice model at HFH and improve care coordination, a collaborative care model was developed within an outpatient pulmonary clinic to complement and reinforce existing health care team provider roles. METHODS: Clinical pharmacists and providers in the pulmonary department at HFH developed a new COPD patient care model with the purpose of improving care, reducing exacerbations, and achieving optimal outcomes through adherence assessment, medication optimization, and patient education. A collaborative practice agreement was developed and submitted to hospital leadership for approval. The supervising physicians and the clinical pharmacist approved the clinic structure and presented the model at the Pulmonary Department Meeting in May 2014. RESULTS: Clinical pharmacy services are currently offered three half-days a week. Providers either request therapy recommendations or refer patients to the clinical pharmacist for face-to-face visits. Referral criteria includes, but is not limited to: patients with newly diagnosed COPD, two or more COPD exacerbations in the last 6 months, active tobacco dependence, and identified adherence barriers (i.e., low health literacy, complicated medication regimens, documented non-adherence, or need for inhaler education). Visits with the clinical pharmacist can include adherence assessment, medication reconciliation, patient education, and medication therapy co-management. Therapy recommendations are communicated to the provider and all encounters are documented in the electronic medical record. CONCLUSIONS: Prospective data collection is ongoing to evaluate clinical pharmacist interventions and identify quality measures that demonstrate improved care and optimal outcomes.</t>
  </si>
  <si>
    <t>(Smith A.L.) (MacDonald N.; Kalus J.S.) (Thavarajah K.) (DiGiovine B.) 2014 Annual Meeting of the American College of Clinical Pharmacy, ACCP 2014 Austin, TX, United States 2014-10-12 to 2014-10-15 Pharmacotherapy Publications Inc.; ID: 886</t>
  </si>
  <si>
    <t>Smith,J. L.;Cervero,R. M.;Valentine,T.</t>
  </si>
  <si>
    <t>Impact of commercial support on continuing pharmacy education</t>
  </si>
  <si>
    <t>Conflict of Interest;*Drug Industry;*Education, Pharmacy, Continuing;Humans;Program Evaluation;Surveys and Questionnaires;United States</t>
  </si>
  <si>
    <t>INTRODUCTION: There is a serious debate over the involvement of the pharmaceutical industry in continuing education. Policies that govern the planning of continuing education for pharmacists center on the potential conflict of interest when there is commercial support for programs. The purpose of this study was to investigate the impact of commercial support on the provision and perceived outcomes of continuing pharmacy education. METHODS: A survey was administered online to a national sample of accredited providers of continuing pharmacy education, resulting in 134 responses. The 64-item survey was developed to measure the planning practices of these providers and their perceptions of the educational and noneducational consequences of commercial support for continuing education. RESULTS: One hundred thirty-four usable questionnaires (34%) were received from 386 leaders in pharmacy education. Approximately 86% of providers and 43% of programs received commercial support. Although the Accreditation Council for Pharmacy Education requires that providers review instructional content and materials for commercially supported programs before delivery, only 43% always did so. Commercial support was perceived to have consequences for provider organizations, pharmacists, and patients, such as increased cost and use of drugs and financial dependency of providers and participants on industry support. DISCUSSION: The results of our study lead to the conclusions that commercial support of continuing education is widespread, affects continuing education programs, and is perceived to have significant educational and noneducational consequences. The profession should ensure that continuing education guidelines are unambiguous related to specific practices that are allowable and unallowable when receiving commercial support. Future research should study the consequences of commercial support behaviorally by examining the effects on pharmacy professionals' practice and pharmaceutical care.</t>
  </si>
  <si>
    <t>J2: J Contin Educ Health Prof; Smith, Jayne L Cervero, Ronald M Valentine, Thomas; ID: 410</t>
  </si>
  <si>
    <t>0894-1912</t>
  </si>
  <si>
    <t>Smith,Jayne L. Office of Faculty Affairs, University of Georgia, Athens, GA 30602, USA.</t>
  </si>
  <si>
    <t>http://ovidsp.ovid.com/ovidweb.cgi?T=JS&amp;CSC=Y&amp;NEWS=N&amp;PAGE=fulltext&amp;D=med5&amp;AN=17163494</t>
  </si>
  <si>
    <t>MEDLINE; Ovid Technologies; Impact of commercial support on continuing pharmacy education</t>
  </si>
  <si>
    <t>Smith,K. M.;Romanelli,F.</t>
  </si>
  <si>
    <t>Recreational use and misuse of phosphodiesterase 5 inhibitors</t>
  </si>
  <si>
    <t>72; quiz 73-5</t>
  </si>
  <si>
    <t>Education, Pharmacy, Continuing/mt Methods];Humans;*Phosphodiesterase Inhibitors/ad Administration &amp; Dosage];Phosphodiesterase Inhibitors/ae Adverse Effects];*Recreation;Substance-Related Disorders/ep Epidemiology];*Substance-Related Disorders/pp Physiopathology];Surveys and Questionnaires;0 (Phosphodiesterase Inhibitors)</t>
  </si>
  <si>
    <t>OBJECTIVE: To characterize the rationale for and extent of phosphodiesterase (PDE) 5 inhibitor use in recreational settings, describe risks from such misuse, and discuss postexposure clinical management strategies. DATA SOURCES: Published articles identified by searches through Medline, EMBASE, International Pharmaceutical Abstracts, and Toxline, from 1990 to March 2004, using the search terms sildenafil, tadalafil, vardenafil, phosphodiesterase inhibitor, abuse, overdose, adverse effects, recreational, and street drugs. Additional references identified within articles and information from the Internet were included. STUDY SELECTION: Clinical trials, epidemiologic reviews, case reports, and news releases concerning the misuse of sildenafil. DATA EXTRACTION: By the authors. DATA SYNTHESIS: PDE5 inhibitors, indicated for treatment of erectile dysfunction, can produce several adverse effects, including potentially fatal cardiovascular events. Reports of recreational use and misuse of sildenafil appear in the medical literature and the media. The potential for abuse also exists for the two more recently approved drugs in this class, vardenafil and tadalafil. Increasing access to these drugs via the Internet may facilitate such misuse. Use in social settings has gained popularity, both in young, healthy patients, as well as those with chronic medical conditions, including human immunodeficiency virus infections. In these settings, the PDE5 inhibitors are sometimes used concomitantly with "club drugs" such as ketamine and amyl nitrite, leading to potentially harmful or fatal drug interactions. CONCLUSION: Pharmacists should be cognizant of the potential for PDE5 inhibitors to be misused, particularly in patients who are at greater risk of cardiovascular complications, and should advise patients and other health care professionals accordingly. References: 56]</t>
  </si>
  <si>
    <t>J2: J Am Pharm Assoc (2003); Smith, Kelly M Romanelli, Frank; ID: 451</t>
  </si>
  <si>
    <t>Smith,Kelly M. Drug Information Center, College of Pharmacy, University of Kentucky, Lexington, 40536-0293, USA. ksmit1@email.uky.edu</t>
  </si>
  <si>
    <t>http://ovidsp.ovid.com/ovidweb.cgi?T=JS&amp;CSC=Y&amp;NEWS=N&amp;PAGE=fulltext&amp;D=med5&amp;AN=15730119</t>
  </si>
  <si>
    <t>MEDLINE; Ovid Technologies; Recreational use and misuse of phosphodiesterase 5 inhibitors</t>
  </si>
  <si>
    <t>Smith,L.;Hawley,J.;Vest,B.;Wood,R.;Author,Addresses;Salem,Veterans Affairs;Center,Salem United States;Correspondence,Address;Smith, Salem Veterans Affairs Medical Center Salem United,L.;States</t>
  </si>
  <si>
    <t>Long-term smoking cessation outcomes in a veteran population</t>
  </si>
  <si>
    <t>amfebutamone;nicotine;varenicline;college;pharmacist;population;smoking cessation;veteran;abstinence;adolescent;chi square test;child;counseling;follow up;habit;health;hospital;human;long term care;lozenge;open study;patient;physician;smoke;smoking;surgeon;tablet;tobacco dependence</t>
  </si>
  <si>
    <t>Abstract Type: Work in Progress. Background: Smoking is an addictive habit that can be detrimental to patients' health. About 20.9% of the American population smokes and almost 4000 children and adolescents become addicted to nicotine products daily. When a person becomes addicted to nicotine it is common for a person to try and quit 3 to 4 times before being successful. There are many first line agents used by practitioners and patients for smoking cessation such as nicotine replacement (patch, gum, and lozenge), bupropion tablets, and varenicline tablets to treat tobacco use disorders. Recently, there have been new scientific findings that led to a change in smoking cessation recommendations from the Surgeon General. The US Department of Health and Human Services released updated recommendations that state NRT used for a period of &gt;14 weeks is highly effective. Additionally, the update includes counseling and behavioral modifications that should be used in smoking cessation. This study will evaluate the clinical outcome of long-term therapy options by comparing three different interventions for smoking cessation in the veteran population. Objectives: To evaluate various treatment interventions in a veteran population. Methods: This is an open study of patients who attend Salem Veterans Affairs Medical Center smoking cessation clinic between October 2009 and February 2010 who accept participation in the survey study. Patients included in the survey study will be treated with one of the following regimens: varenicline for 12 weeks, nicotine replacement combination for 18 weeks, or nicotine replacement combination bupropion for 18 weeks. Subjects will be contacted and monitored monthly with phone visits to complete followup surveys for a period of 18 weeks. The primary outcome of the study is abstinence from smoking versus continued smoking and will be analyzed using chi square test with a Bonferoni correction. Additionally the study will assess stressors and early stoppage of treatment as secondary parameters. Outcomes: We will report the percent of participants within each treatment group that were successful with smoking cessation at 18 weeks. We will also report any stressors that were found in the veteran population that contributed to the difficulty of smoking cessation.</t>
  </si>
  <si>
    <t>(Smith L.; Hawley J.; Vest B.; Wood R.) (VAMC) 13th Annual Meeting of the College of Psychiatric and Neurologic Pharmacists, CPNP 2010 San Antonio, TX, United States 2010-04-18 to 2010-04-21 SAGE Publications Inc.; ID: 1359</t>
  </si>
  <si>
    <t>Smith,S. A.;McKee,J. R.</t>
  </si>
  <si>
    <t>Impact of new-generation agents on antiepileptic drug prescribing patterns in a residential ICF-MR facility</t>
  </si>
  <si>
    <t>OBJECTIVE: Describe the impact of newer antiepileptic drugs (AEDs) on prescribing practices in a large, residential intermediate-care facility for the mentally retarded (ICF-MR), with onsite clinical pharmacist support services, over a 15-year period. DESIGN: All residents at the facility receiving AEDs for management of seizure disorder were included in this retrospective assessment. Number and type of AEDs used per individual were recorded and analyzed over the 15-year interval. Current prescribing practices were evaluated regarding rational polytherapy prescribing trends. SETTING: 400-bed residential ICF-MR for the severe to profoundly mentally retarded. PATIENTS/PARTICIPANTS: All individuals residing at the ICF-MR facility receiving AED therapy for a seizure disorder. Residents were primarily in the severe to profound range of developmental disability, with multiple medical comorbidities. INTERVENTIONS: Clinical pharmacists actively participate in all treatment teams and monthly neurology clinic to promote and encourage rational pharmacotherapy. MAIN OUTCOME MEASURES: Prescribing trends related to AED therapy were followed over a 15-year period. Comparisons were made regarding monotherapy and polytherapy at multiple-year intervals, with specific emphasis on how the newer generation AEDs have affected use of older medications. RESULTS: Overall trend from 1988 suggests more monotherapy and less use of barbiturates. Introduction of a new generation of AEDs has not affected the overall trend toward one- or two-drug regimens over the period in review. CONCLUSION: The relative stability of the number of AEDs per resident during the introduction of a new generation of AEDs suggests that as new drugs are added, ineffective or problem-prone drugs are discontinued.</t>
  </si>
  <si>
    <t>J2: Consult Pharm; Smith, Stacey Allison McKee, Jerry R; ID: 394</t>
  </si>
  <si>
    <t>Smith,Stacey Allison. Indian Health Service, Albuquerque, NM, USA.</t>
  </si>
  <si>
    <t>http://ovidsp.ovid.com/ovidweb.cgi?T=JS&amp;CSC=Y&amp;NEWS=N&amp;PAGE=fulltext&amp;D=prem&amp;AN=16553469</t>
  </si>
  <si>
    <t>MEDLINE; Ovid Technologies; Impact of new-generation agents on antiepileptic drug prescribing patterns in a residential ICF-MR facility</t>
  </si>
  <si>
    <t>Smith,W. E.;Author,Addresses</t>
  </si>
  <si>
    <t>6829578; Clinical pharmacy in the 1980s</t>
  </si>
  <si>
    <t>clinical pharmacy;drug cost;hospital care;economic aspect;human;short survey;therapy;Clinical and Experimental Pharmacology (30)</t>
  </si>
  <si>
    <t>The advances of clinical pharmacy services over the past 20 years are reviewed, and measures to ensure that clinical pharmacy services are provided to all hospital patients who need them in the 1980s are outlined. Over the past 20 years, hospital pharmacists demonstrated that clinical pharmacy programs are cost effective and will improve the quality of patient care in hospitals by reducing drug-related problems. Other health professionals will support clinical pharmacy programs. Experience has shown that well-educated and committed pharmacists, as well as competent managers, are needed for a successful program. Implementation and expansion of clinical pharmacy services in the 1980s will be challenged by governmental cost controls, new technology, new drugs, and a physician surplus. The expansion of clinical pharmacy services to all hospital patients who need them in this era of price competition is a goal that presents challenges and opportunities for pharmacists. To meet this goal, each hospital pharmacy society should develop a strategic plan committed to the implementation of clinical services for patients within its specific geographical area. Before implementing additional services, each hospital should define the services to be provided, as well as the expected benefits for patients, physicians, and nurses. Since comprehensive clinical pharmacy services require the use of pharmacy technicians, the profession must resolve the question of technician role and training. Pharmacy education should provide knowledge, research experience, and teaching sites with role models providing clinical pharmacy services. Hospital pharmacy management is a specialty within pharmacy, and pharmacy schools should provide management courses. In addition, management residencies should be fostered.</t>
  </si>
  <si>
    <t>(Smith W.E.); ID: 1759</t>
  </si>
  <si>
    <t>http://www.ncbi.nlm.nih.gov/pubmed/6829578</t>
  </si>
  <si>
    <t>Clinical pharmacy in the 1980s</t>
  </si>
  <si>
    <t>Snodgrass,J.;Schontz,M.;Stewart,A.;Author,Addresses;Duquesne University,United States;Correspondence,Address;Snodgrass, Duquesne University United States Email,J.;joshua.snodgrass15@gmail.com</t>
  </si>
  <si>
    <t>Impact of student-run medication reconciliation service on the identification of drug-related problems</t>
  </si>
  <si>
    <t>e55</t>
  </si>
  <si>
    <t>human;medication therapy management;student;adult;ambulatory care;data analysis;documentation;drug information;drug therapy;education;electronic spreadsheet;health care;hospital department;learning;lowest income group;medically uninsured;model;monitoring;pharmacist;pharmacy;retrospective study;safety;statistics</t>
  </si>
  <si>
    <t>Objective: This study seeks to: (1) describe a model of care in which student pharmacists are engaged in medication reconciliation services; and (2) document the impact of this model on the identification of drug therapy-related problems. Methods: This is an observational, retrospective study of clinical interventions documented by fourth-year students involved in advanced pharmacy practice experiences throughout the course of a 5-week required ambulatory care rotation. The rotation site is a health care center providing free care to uninsured low-income adults. Medication reconciliation is an established pharmacy service at the site, primarily conducted by student pharmacists. Students are required to document their interventions as part of the learning objectives and educational methods used in the rotation. Data were collected from an electronic spreadsheet of student interventions from May 2011 to May 2012. Students identified the type of intervention using the following categories: Compliance, Appropriate Indication, Untreated Indication, Safety, Efficacy, Monitoring, Referral, Education, Drug Information, or Other. Documentation also included the type of recommendation and the outcome (accepted, rejected, or other). Data analysis will include the use of descriptive statistics to report on the types and frequencies of clinical interventions documented.</t>
  </si>
  <si>
    <t>(Snodgrass J., joshua.snodgrass15@gmail.com; Schontz M.; Stewart A.) APhA2013 Los Angeles, CA, United States 2013-03-01 to 2013-03-04 American Pharmacists Association; ID: 1069</t>
  </si>
  <si>
    <t>Soderstrom,K.;Johnson,F.</t>
  </si>
  <si>
    <t>Zebra finch CB1 cannabinoid receptor: pharmacology and in vivo and in vitro effects of activation</t>
  </si>
  <si>
    <t>Journal of Pharmacology &amp; Experimental Therapeutics</t>
  </si>
  <si>
    <t>Adenine/me Metabolism];Amino Acid Sequence;Animals;Behavior, Animal/de Drug Effects];Benzoxazines;*Birds/ph Physiology];CHO Cells;Cricetinae;Cyclohexanols/me Metabolism];Male;Molecular Sequence Data;Morpholines/pd Pharmacology];Naphthalenes/pd Pharmacology];Receptors, Cannabinoid;Receptors, Drug/de Drug Effects];Receptors, Drug/ge Genetics];*Receptors, Drug/ph Physiology];*Vocalization, Animal;0 (Benzoxazines);0 (Cyclohexanols);0 (Morpholines);0 (Naphthalenes);0 (Receptors, Cannabinoid);0 (Receptors, Drug);134959-51-6 (Win 55212-2);83003-12-7 (3-(2-hydroxy-4-(1,1-dimethylheptyl)phenyl)-4-(3-hydroxypropyl)cyclohexanol);JAC85A2161 (Adenine)</t>
  </si>
  <si>
    <t>Zebra finches (Taeniopygia guttata) learn vocal behavior during sensitive developmental periods, similar to the way in which human language is acquired. As adults, they recite the learned song pattern in a stereotyped manner. Previously, we demonstrated that central nervous system-associated cannabinoid receptors (CB1) are expressed in brain regions known to control both juvenile song learning and adult recitation of song. Here we extend these findings by establishing the zebra finch as a behavioral model to study cannabinoid pharmacology, showing that the cannabinoid agonist WIN55212-2 inhibits both adult song production and locomotor activity, effects that are antagonist-reversed. Through radioligand binding assays we investigated the pharmacology of a number of cannabinoid ligands representing all structural classes and established an affinity profile that can be compared with that of other species. To begin to characterize signal transduction mechanisms we isolated cDNA encoding the receptor protein. The zebra finch CB1 receptor (ZFCB1) is highly expressed in brain with amino acid sequence 92% identical to human CB1 receptor. Establishment of a Chinese hamster ovary cell line stably expressing ZFCB1 allowed demonstration that the cannabinoid agonist WIN55212-2 dose dependently and potently inhibits forskolin-stimulated adenylate cyclase activity (IC(50) = 9.0 nM, maximum inhibition = 49% at 100 nM WIN55212-2, reversed by 1 mM SR141716A). Cyclase inhibition indicates that ZFCB1-mediated signal transduction is consistent with that of mammalian CB1 receptors. Overall, cannabinoid inhibition of adult song production and conserved pharmacology render the zebra finch a promising model to investigate cannabinoid effects on learning by juveniles.</t>
  </si>
  <si>
    <t>J2: J Pharmacol Exp Ther; Soderstrom, K Johnson, F DA05986 (United States NIDA NIH HHS) DC02035 (United States NIDCD NIH HHS); ID: 543</t>
  </si>
  <si>
    <t>0022-3565</t>
  </si>
  <si>
    <t>Soderstrom,K. Florida State University, Department of Psychology, Tallahassee, FL 32306-1270, USA. soderstrom@psy.fsu.edu</t>
  </si>
  <si>
    <t>http://ovidsp.ovid.com/ovidweb.cgi?T=JS&amp;CSC=Y&amp;NEWS=N&amp;PAGE=fulltext&amp;D=med4&amp;AN=11259544</t>
  </si>
  <si>
    <t>MEDLINE; Ovid Technologies; Zebra finch CB1 cannabinoid receptor: pharmacology and in vivo and in vitro effects of activation</t>
  </si>
  <si>
    <t>Solomon,S. S.;Desai,M.;Srikrishnan,A. K.;Thamburaj,E.;Vasudevan,C. K.;Kumar,M. S.;Solomon,S.;Celentano,D. D.;Mehta,S. H.</t>
  </si>
  <si>
    <t>NIHMS227435 PMC2924430; The profile of injection drug users in Chennai, India: identification of risk behaviours and implications for interventions</t>
  </si>
  <si>
    <t>Adult;Age Factors;Cohort Studies;Demography;*Drug Users/px Psychology];Drug Users/sn Statistics &amp; Numerical Data];Female;Humans;India;Male;Risk-Taking;Socioeconomic Factors;*Substance Abuse, Intravenous/px Psychology];Unsafe Sex/sn Statistics &amp; Numerical Data]</t>
  </si>
  <si>
    <t>We characterize the demographics, injection practices and risk behaviours of 1,158 injection drug users (IDUs) in Chennai, the capital of Tamil Nadu in southern India, who were recruited during 2005-2006 by community outreach. The median age was 35 years; the majority of IDUs were male, of Tamil ethnicity and married, and earning less than US$75 per month. Most (76%) had injected in the prior month. The median age at first injection was 25 years; the most common drug injected was heroin (80%) followed by buprenorphine. High risk behaviours were common and included needle-sharing, unsafe disposal, and inappropriate cleaning of needles as well as limited condom use. IDUs in India need to be educated on harm reduction and safe-injection practices; Pharmacies could serve as potential venues for HIV prevention interventions among IDUs in India, as most IDUs obtain their needles from pharmacies without prescription.</t>
  </si>
  <si>
    <t>J2: Subst Use Misuse; Solomon, Sunil S Desai, Monica Srikrishnan, A K Thamburaj, Easter Vasudevan, C K Kumar, M Suresh Solomon, Suniti Celentano, David D Mehta, Shruti H 2D43 TW000010-20 (United States FIC NIH HHS) D43 TW000010 (United States FIC NIH HHS) D43 TW000010-20 (United States FIC NIH HHS) DA12568 (United States NIDA NIH HHS) DA15616 (United States NIDA NIH HHS) DA18577 (United States NIDA NIH HHS) K23 DA015616 (United States NIDA NIH HHS) K23 DA015616-04 (United States NIDA NIH HHS) R01 DA012568 (United States NIDA NIH HHS) R01 DA012568-09S1 (United States NIDA NIH HHS) R01 DA018577 (United States NIDA NIH HHS) R01 DA018577-03S1 (United States NIDA NIH HHS); ID: 307</t>
  </si>
  <si>
    <t>1532-2491</t>
  </si>
  <si>
    <t>Solomon,Sunil S. Johns Hopkins School of Public Health, Baltimore, Maryland, USA.</t>
  </si>
  <si>
    <t>http://ovidsp.ovid.com/ovidweb.cgi?T=JS&amp;CSC=Y&amp;NEWS=N&amp;PAGE=fulltext&amp;D=med5&amp;AN=20141452</t>
  </si>
  <si>
    <t>http://dx.doi.org/10.3109/10826080903452447</t>
  </si>
  <si>
    <t>MEDLINE; Ovid Technologies; The profile of injection drug users in Chennai, India: identification of risk behaviours and implications for interventions</t>
  </si>
  <si>
    <t>Somers,A.;Mallet,L.;van,der Cammen;Robays,H.;Petrovic,M.</t>
  </si>
  <si>
    <t>Applicability of an adapted medication appropriateness index for detection of drug-related problems in geriatric inpatients</t>
  </si>
  <si>
    <t>Aged;Aged, 80 and over;Drug Interactions;Female;Geriatrics/og Organization &amp; Administration];*Hospitalization/sn Statistics &amp; Numerical Data];Humans;*Inpatients;Male;Observer Variation;Patient Admission;Pharmacists/og Organization &amp; Administration];Prescription Drugs/ad Administration &amp; Dosage];Prescription Drugs/ae Adverse Effects];*Prescription Drugs/tu Therapeutic Use];Reproducibility of Results;Retrospective Studies;0 (Prescription Drugs)</t>
  </si>
  <si>
    <t>BACKGROUND: High drug consumption by older patients and the presence of many drug-related problems require careful assessment of drug therapy, for which a structured approach is recommended. OBJECTIVE: The purpose of our study was to evaluate the applicability of an adapted version of the Medication Appropriateness Index (MAI) in 50 geriatric inpatients at the time of admission. METHODS: We reviewed, for 432 prescribed drugs, indication, right choice, dosage, directions, drug-disease interactions, drug-drug interactions, and duration of therapy. In addition, adverse drug reactions were evaluated, resulting in 8 questions per drug. MAI scores were attributed independently by a geriatrician and by a clinical pharmacist, and differences between them were assessed. Furthermore, the relationship between MAI score and drug-related hospital admission was explored. RESULTS: Mean summed MAI scores of 13.7 according to the geriatrician and 13.6 according to the pharmacist were obtained. The highest scores were found for drugs for the central nervous and the urinary tract system; the highest scores per question were detected for right choice, adverse drug reactions, and drug-drug interactions. A good agreement between the scores of the geriatrician and the pharmacist was found: intraclass correlation coefficient was 0.91 and overall kappa value was 0.71. A significantly higher MAI score was found for drug-related hospital admissions (P = 0.04 for the geriatrician and P = 0.03 for the pharmacist). CONCLUSIONS: This adapted MAI score seems useful for detection of drug-related problems in geriatric inpatients and reliable with a low inter-rater variability and positive correlation between high score and drug-related hospital admission. We consider further application of the adapted MAI for teaching and training of clinical pharmacists, and as a systematic approach for detection of drug-related problems by the clinical pharmacists in our hospital.Copyright ‚î¨‚åê 2012 Elsevier HS Journals, Inc. All rights reserved.</t>
  </si>
  <si>
    <t>J2: Am J Geriatr Pharmacother; Somers, Annemie Mallet, Louise van der Cammen, Tischa Robays, Hugo Petrovic, Mirko; ID: 209</t>
  </si>
  <si>
    <t>1876-7761</t>
  </si>
  <si>
    <t>Somers,Annemie. Department of Pharmacy, Ghent University Hospital, Gent, Belgium.</t>
  </si>
  <si>
    <t>http://ovidsp.ovid.com/ovidweb.cgi?T=JS&amp;CSC=Y&amp;NEWS=N&amp;PAGE=fulltext&amp;D=medl&amp;AN=22304791</t>
  </si>
  <si>
    <t>http://dx.doi.org/10.1016/j.amjopharm.2012.01.003</t>
  </si>
  <si>
    <t>MEDLINE; Ovid Technologies; Applicability of an adapted medication appropriateness index for detection of drug-related problems in geriatric inpatients</t>
  </si>
  <si>
    <t>Somers,A.;Robays,H.;De Paepe,P.;Van Maele,G.;Perehudoff,K.;Petrovic,M.</t>
  </si>
  <si>
    <t>PMC3686245; Evaluation of clinical pharmacist recommendations in the geriatric ward of a Belgian university hospital</t>
  </si>
  <si>
    <t>Clinical Interventions In Aging</t>
  </si>
  <si>
    <t>Aged, 80 and over;Belgium;Drug Interactions;*Drug Utilization Review;Female;*Geriatrics/st Standards];Hospitals, University;Humans;Inappropriate Prescribing;Inpatients;Male;*Pharmaceutical Services/st Standards];*Pharmacists/st Standards];Quality Indicators, Health Care;Retrospective Studies;Statistics, Nonparametric</t>
  </si>
  <si>
    <t>OBJECTIVE: To evaluate the type, acceptance rate, and clinical relevance of clinical pharmacist recommendations at the geriatric ward of the Ghent university hospital. METHODS: The clinical pharmacist evaluated drug use during a weekly 2-hour visit for a period of 4 months and, if needed, made recommendations to the prescribing physician. The recommendations were classified according to type, acceptance by the physician, prescribed medication, and underlying drug-related problem. Appropriateness of prescribing was assessed using the Medication Appropriateness Index (MAI) before and after the recommendations were made. Two clinical pharmacologists and two clinical pharmacists independently and retrospectively evaluated the clinical relevance of the recommendations and rated their own acceptance of them. RESULTS: The clinical pharmacist recommended 304 drug therapy changes for 100 patients taking a total of 1137 drugs. The most common underlying drug-related problems concerned incorrect dose, drug-drug interaction, and adverse drug reaction, which appeared most frequently for cardiovascular drugs, drugs for the central nervous system, and drugs for the gastrointestinal tract. The most common type of recommendation concerned adapting the dose, and stopping or changing a drug. In total, 59.7% of the recommendations were accepted by the treating physician. The acceptance rate by the evaluators ranged between 92.4% and 97.0%. The mean clinical relevance of the recommendations was assessed as possibly important (53.4%), possibly low relevance (38.1%), and possibly very important (4.2%). A low interrater agreement concerning clinical relevance between the evaluators was found: kappa values ranged between 0.15 and 0.25. Summated MAI scores significantly improved after the pharmacist recommendations, with mean values decreasing from 9.3 to 6.2 (P &lt; 0.001). CONCLUSION: In this study, the clinical pharmacist identified a high number of potential drug-related problems in older patients; however, the acceptance of the pharmacotherapy recommendations by the treating physician was lower than by a panel of evaluators. This panel, however, rated most recommendations as possibly important and as possibly having low relevance, with low interrater reliability. As the appropriateness of prescribing seemed to improve with decreased MAI scores, clinical pharmacy services may contribute to the optimization of drug therapy in older inpatients.</t>
  </si>
  <si>
    <t>J2: Clin Interv Aging; Somers, Annemie Robays, Hugo De Paepe, Peter Van Maele, Georges Perehudoff, Katrina Petrovic, Mirko; ID: 141</t>
  </si>
  <si>
    <t>1178-1998</t>
  </si>
  <si>
    <t>Somers,Annemie. Department of Pharmacy, Ghent University Hospital, Ghent, Belgium. annemie.somers@uzgent.be</t>
  </si>
  <si>
    <t>http://ovidsp.ovid.com/ovidweb.cgi?T=JS&amp;CSC=Y&amp;NEWS=N&amp;PAGE=fulltext&amp;D=medl&amp;AN=23807844</t>
  </si>
  <si>
    <t>http://dx.doi.org/10.2147/CIA.S42162</t>
  </si>
  <si>
    <t>MEDLINE; Ovid Technologies; Evaluation of clinical pharmacist recommendations in the geriatric ward of a Belgian university hospital</t>
  </si>
  <si>
    <t>Son,H. J.;Laurich,A. A.;Patterson,K. D.;Earley,A. E.;Shipp,M. M.;Walls,K. B.;Smith,F. L.;Yates,K. M.;Kissack,J. C.;Author,Addresses;Harding University,College of;Pharmacy,Searcy United States;Correspondence,Address;HJ Son, Harding University College of Pharmacy Searcy,United States</t>
  </si>
  <si>
    <t>Comparison of the top-10 most problematic pediatric medications ranked by pediatric pharmacists and pediatric prescribers</t>
  </si>
  <si>
    <t>amiodarone;amphotericin B;anticoagulant agent;digoxin;electrolyte;fentanyl;gentamicin;heparin;insulin;methadone;morphine;potassium chloride;potassium dihydrogen phosphate;sedative agent;vancomycin;warfarin;American;clinical pharmacy;college;drug therapy;human;pharmacist;adverse drug reaction;Canadian;consensus;medication error;nurse practitioner;patient safety;pediatric hospital;pediatric ward;pediatrician;physician assistant;United States</t>
  </si>
  <si>
    <t>PURPOSE: This survey measured the consensus opinion of pediatric pharmacists compared to pediatric prescribers (pediatricians, physician assistants, and nurse practitioners) on ranking medication categories from least to most problematic regarding patient safety, and the top-10 most problematic pediatric medications. METHODS: Participants ranked the top-10 from a list of 50 medications for three areas: problems in dosing, adverse effects and medication errors. Medications from each area were summed and ranked from 1 to 50 to identify the top-10 list. The 11 medication categories and 50 medications were drawn from expert consensus, the Institute for Safe Medication Practice high-alert medication list, and medication alerts/reviews of pediatric literature. RESULTS: The survey was completed by 232 pharmacists and 56 prescribers. Primary practice sites of participants were mainly children's hospitals (64%) and pediatric units (20%) in 38 states plus the District of Columbia and 3 Canadian provinces. Regarding overall pediatric patient safety, pharmacists ranked anticoagulants as most problematic, and opioids and electrolytes ranked equally as moderately problematic. The most problematic medications, according to pharmacists, from first to tenth were: 1-insulin, 2- vancomycin, 3-warfarin, 4-heparin, 5-methadone, 6-digoxin, 7- morphine, 8-gentamicin, 9- potassium phosphate and 10-(tied) amphotericin B &amp; fentanyl. In comparison, prescribers ranked opioids as most problematic and sedatives as moderately problematic. The most problematic medications, according to prescribers, from first to tenth were: 1-insulin, 2-heparin, 3-morphine, 4-digoxin, 5- warfarin, 6-fentanyl, 7-vancomycin, 8-amphotericin B, 9-potassium chloride, and 10-amiodarone. Both pharmacists and prescribers ranked gastrointestinal medications as least problematic. CONCLUSION: When overall results were compared, pharmacists and prescribers ranked problematic medications very similarly. Although there was slight disparity in the ranking order, both top-10 lists contained 80% of the same medications. Survey participants identified six medications identical to the top-10 high-alert medications surveyed in a pediatric ICU by Franke et al. in 2009.</t>
  </si>
  <si>
    <t>(Son H.J.; Laurich A.A.; Patterson K.D.; Earley A.E.; Shipp M.M.; Walls K.B.; Smith F.L.; Yates K.M.; Kissack J.C.) 2013 Annual Meeting of the American College of Clinical Pharmacy, ACCP 2013 Albuquerque, NM, United States 2013-10-13 to 2013-10-16 Pharmacotherapy Publications Inc.; ID: 983</t>
  </si>
  <si>
    <t>Sondergaard,J.;Foged,A.;Kragstrup,J.;Gaist,D.;Gram,L. F.;Sindrup,S. H.;Muckadell,H. U.;Larsen,B. O.;Herborg,H.;Andersen,M.</t>
  </si>
  <si>
    <t>Intensive community pharmacy intervention had little impact on triptan consumption: a randomized controlled trial</t>
  </si>
  <si>
    <t>Scandinavian journal of primary health care</t>
  </si>
  <si>
    <t>Scand.J.Prim.Health Care</t>
  </si>
  <si>
    <t>Adult;Denmark;Drug Prescriptions/sn Statistics &amp; Numerical Data];*Drug Prescriptions;Drug Utilization/sn Statistics &amp; Numerical Data];*Drug Utilization;Education, Pharmacy, Continuing;Female;*Headache Disorders/dt Drug Therapy];Humans;Male;Middle Aged;*Migraine Disorders/dt Drug Therapy];Patient Education as Topic;Pharmacies;Pharmacists;Practice Patterns, Physicians';Professional-Patient Relations;*Serotonin Receptor Agonists/ad Administration &amp; Dosage];Serotonin Receptor Agonists/ae Adverse Effects];*Sumatriptan/ad Administration &amp; Dosage];Sumatriptan/ae Adverse Effects];Surveys and Questionnaires;*Vasoconstrictor Agents/ad Administration &amp; Dosage];Vasoconstrictor Agents/ae Adverse Effects];0 (Serotonin Receptor Agonists);0 (Vasoconstrictor Agents);8R78F6L9VO (Sumatriptan)</t>
  </si>
  <si>
    <t>OBJECTIVE: To evaluate the impact of an intensive pharmaceutical care campaign targeting inappropriate use of triptans. DESIGN: Randomized controlled trial. SETTING: 22 community pharmacies in the County of Funen, Denmark. SUBJECTS: A total of 1123 triptan users at intervention pharmacies and 1340 at control pharmacies. INTERVENTION: Intervention pharmacy staff received information on migraine and other types of headache, detection of inappropriate triptan use and other drug-related problems, and techniques for establishing a dialogue with patients. Intervention consisted of a folder and a structured dialogue with the pharmacy staff. The folder included questions aimed at detecting overuse and inappropriate triptan use. MAIN OUTCOME MEASURES: Change in average triptan consumption in doses per month measured by means of a prescription database with information on all purchases of reimbursed drugs at the level of the individual patient. RESULTS: Overall, intervention had no statistically significant short-term impact on patients' consumption of triptans either among incident users (intervention/control ratio 1.02; 95% confidence interval 0.95 to 1.12), or among prevalent users (1.02; 0.97 to 1.08). No effects were observed after 6 and 9 months, apart from a possible borderline effect after 9 months among prevalent users with intermediate triptan consumption (0.93; 0.87 to 1.00). CONCLUSION: The pharmaceutical care campaign did not reduce the use of triptans.</t>
  </si>
  <si>
    <t>J2: Scand J Prim Health Care; Sondergaard, Jens Foged, Annette Kragstrup, Jakob Gaist, David Gram, Lars Freng Sindrup, Soren Hein Muckadell, Hans Ulrik Schaffalizky de Larsen, Bente Overgaard Herborg, Hanne Andersen, Morten; ID: 434</t>
  </si>
  <si>
    <t>0281-3432</t>
  </si>
  <si>
    <t>Sondergaard,Jens. Research Unit for General Practice, University of Aarhus, Aarhus, Denmark. js@alm.au.dk</t>
  </si>
  <si>
    <t>http://ovidsp.ovid.com/ovidweb.cgi?T=JS&amp;CSC=Y&amp;NEWS=N&amp;PAGE=fulltext&amp;D=med5&amp;AN=16464810</t>
  </si>
  <si>
    <t>MEDLINE; Ovid Technologies; Intensive community pharmacy intervention had little impact on triptan consumption: a randomized controlled trial</t>
  </si>
  <si>
    <t>Song,P.;Li,W.;Zhou,Q.</t>
  </si>
  <si>
    <t>PMC3937530; An outpatient antibacterial stewardship intervention during the journey to JCI accreditation</t>
  </si>
  <si>
    <t>Accreditation;Anti-Bacterial Agents/ec Economics];*Anti-Bacterial Agents/tu Therapeutic Use];China;Drug Costs/sn Statistics &amp; Numerical Data];Drug Prescriptions/ec Economics];Drug Prescriptions/sn Statistics &amp; Numerical Data];Hospitals, University/ec Economics];Hospitals, University/st Standards];*Hospitals, University/sn Statistics &amp; Numerical Data];Humans;Outpatients/sn Statistics &amp; Numerical Data];Pharmacy Service, Hospital/ec Economics];Pharmacy Service, Hospital/st Standards];*Pharmacy Service, Hospital/sn Statistics &amp; Numerical Data];*Practice Patterns, Physicians'/sn Statistics &amp; Numerical Data];0 (Anti-Bacterial Agents)</t>
  </si>
  <si>
    <t>BACKGROUND: Antibacterial overuse, misuse and resistance have become a major global threat. The Joint Commission International (JCI) accreditation standards include quality improvement and patient safety, which is exemplified by antimicrobial stewardship. There are currently few reports on interventions to improve the quality of outpatient antibacterial prescribing. METHODS: A before-after intervention study, aiming at antibacterial use in outpatients, was performed in a university-affiliated hospital with 2.8 million outpatient visits annually during the journey to JCI accreditation (March of 2012 - March of 2013). Comprehensive intervention measures included formulary adjustment, classification management, motivational, information technological, educational and organizational measures. A defined daily dose (DDD) methodology was applied. Pharmacoeconomic data and drug-related problems (DRPs) were statistically compared between the two phases. RESULTS: The variety of antibacterials available in outpatient pharmacy decreased from 38 to 16. The proportion of antibacterial prescriptions significantly decreased (12.7% versus 9.9%, P&lt;0.01). The proportion of prescriptions containing the restricted antibacterials was 30.4% in the second phase, significantly lower than the value of 44.7% in the first phase (P&lt;0.01). The overall proportion of oral versus all antibacterial prescriptions increased (94.0% to 100%, P&lt;0.01) when measured as defined daily doses. Statistically significant increases in relative percentage of DDDs of oral antibacterials (i.e., DDDs of individual oral antibacterial divided by the sum of DDDs of all antibacterials) were observed with moxifloxacin, levofloxacin, cefuroxime axetil, ornidazole, clindamycin palmitate, cefaclor, amoxicillin and clarithromycin. Occurrence rate of DRPs decreased from 13.6% to 4.0% (P&lt;0.01), with a larger decrease seen in surgical clinics (surgical: 19.5% versus 5.6%; internal medicine: 8.4% versus 2.8%, P&lt;0.01). The total expenditure on antibacterials for outpatients decreased by 34.7% and the intervention program saved about 6 million Chinese Yuan Renminbi (CNY) annually. CONCLUSION: The one-year intervention program on outpatient antibacterial use during the journey to JCI accreditation reduced the expenditure on antibacterials, improved the appropriateness of antibacterial prescriptions. Quality improvements need integrated multifaceted intervention measures and long-term adherence to the antibiotic stewardship. Approach of i.v. to oral antibacterial switch, classification management, and motivational measures may play the most efficient role in changing antibacterial prescription practices.</t>
  </si>
  <si>
    <t>J2: BMC Pharmacol Toxicol; Song, Ping Li, Wei Zhou, Quan; ID: 77</t>
  </si>
  <si>
    <t>Zhou,Quan. Department of Pharmacy, the Second Affiliated Hospital, School of Medicine, Zhejiang University, Jiefang Road No, 88, Hangzhou, Zhejiang 310009, China. zhouquan142602@zju.edu.cn.</t>
  </si>
  <si>
    <t>http://ovidsp.ovid.com/ovidweb.cgi?T=JS&amp;CSC=Y&amp;NEWS=N&amp;PAGE=fulltext&amp;D=medl&amp;AN=24568120</t>
  </si>
  <si>
    <t>http://dx.doi.org/10.1186/2050-6511-15-8</t>
  </si>
  <si>
    <t>MEDLINE; Ovid Technologies; An outpatient antibacterial stewardship intervention during the journey to JCI accreditation</t>
  </si>
  <si>
    <t>Soong,K.;Zlokas,D. A.;Tyagi,S.;Hodes,D. Z.;Gennari,A.;Ruby,C. M.;Author,Addresses;University,of Pittsburgh;Pharmacy,Pittsburgh United States;Upmc,Shadyside Hospital Pittsburgh;United,States;Correspondence,Address;Soong, University of Pittsburgh School of Pharmacy Pittsburgh United,K.;States</t>
  </si>
  <si>
    <t>Impact of a pharmacist as a member of an interprofessional team to identify and reduce medication related problems during transitions of care from skilled nursing facilities (SNFs) to home</t>
  </si>
  <si>
    <t>426e</t>
  </si>
  <si>
    <t>clinical pharmacy;college;drug therapy;human;nursing home;pharmacist;commercial phenomena;counseling;electronic medical record;geriatric hospital;geriatric patient;hospital;hospitalization;hypertension;medication therapy management;morbidity;osteoporosis;outpatient;pain;patient;patient care;pharmacy;pharmacy student;physician;social worker;telephone</t>
  </si>
  <si>
    <t>PURPOSE: Transitions of care may involve multiple medication changes that lead to uncertainty about medication regimens and potential errors. This project addressed medication related problems identified during telephone calls to patients discharged from three SNFs. METHODS: An interprofessional team, centered in an outpatient geriatric clinic, composed of a pharmacist, social worker, and physician collaborated with three SNFs to develop a protocol to improve continuity of care for returning clinic patients. Information from the recent hospitalization and SNF stay included: discharge medication lists/summaries and medication administration records. Within 3 business days of discharge, a pharmacist and pharmacy student contacted patients or family representatives via telephone to identify drug therapy problems, perform medication reconciliation, and update the electronic medical record (EMR). Referrals were made to the social worker if necessary. Therapeutic recommendations were documented in the EMR and communicated to the interprofessional team. RESULTS: The pharmacy team contacted 10 patients, of which 8 had &gt; 10 medications. All 10 patients (100%) were found to have medication related problems, with the most frequent problems being unnecessary drug therapy (50%) and adherence issues (50%). The pharmacist identified 26 medication-related problems (mean 2.6 per patient), made 17 recommendations and provided 22 counseling points. Common co-morbidities included: hypertension (70%), osteoporosis (50%), and pain (30%). Only 1 patient required hospitalization within 30 days after the encounter which was due to an infectious process unrelated to the previous admission. CONCLUSIONS: Pharmacists have a crucial role as part of an interprofessional team to identify and reduce the number of medication related problems in geriatric patients during transitions of care.</t>
  </si>
  <si>
    <t>(Soong K.; Zlokas D.A.; Ruby C.M.) (Tyagi S.; Hodes D.Z.; Gennari A.) 2011 Annual Meeting of the American College of Clinical Pharmacy Pittsburgh, PA, United States 2011-10-16 to 2011-10-19 Pharmacotherapy Publications Inc.; ID: 1228</t>
  </si>
  <si>
    <t>Soronson,Bryan M.;Shaw,Diana V.</t>
  </si>
  <si>
    <t>The Joys of Clinical Trials: A Case Study of a Multicenter Pharmaceutical Trial</t>
  </si>
  <si>
    <t>SRA Journal of the Society of Research Administrators</t>
  </si>
  <si>
    <t>Case Studies;Drug Therapy;Higher Education;Industry;Medical Research;(Major): Experiments;Pharmacy;Research Administration;School Business Relationship;Teaching Hospitals;Identifier: Sponsored Research</t>
  </si>
  <si>
    <t>A discussion of clinical trials in the pharmaceutical industry describes typical processes and administrative issues, then presents a case in which a foreign pharmaceutical company negotiated with a university for sponsorship of a multicenter clinical trial of a new drug therapy. Problems and important considerations in clinical trials are outlined. (MSE)</t>
  </si>
  <si>
    <t>FirstSearch indicates your institution subscribes to this publication. Libraries worldwide that own item: 265 University of Michigan Library Search the Mirlyn catalog at the University of MichiganLocal Holdings Information: 26-31; 1994-1999; 1991-1999 Article (EJ); ID: 2083</t>
  </si>
  <si>
    <t>1062-8142</t>
  </si>
  <si>
    <t>EJ479661</t>
  </si>
  <si>
    <t>ERIC; OCLC; The Joys of Clinical Trials: A Case Study of a Multicenter Pharmaceutical Trial</t>
  </si>
  <si>
    <t>Soumerai,S. B.;McLaughlin,T. J.;Avorn,J.</t>
  </si>
  <si>
    <t>Quality assurance for drug prescribing</t>
  </si>
  <si>
    <t>Quality Assurance in Health Care</t>
  </si>
  <si>
    <t>Drug Information Services/ut Utilization];Drug Prescriptions;*Drug Therapy/st Standards];Drug Utilization/st Standards];Health Services Research/mt Methods];Humans;Practice Patterns, Physicians'/st Standards];Primary Health Care/st Standards];*Quality Assurance, Health Care;Teaching Materials;United States</t>
  </si>
  <si>
    <t>This article reports the results of a critical analysis of English-language studies describing programs designed to improve physician prescribing behavior in primary care settings. Only 64% of studies met minimum research design standards, and are the basis for the results reported. The overall findings of the review confirm the conclusions of a previous evaluation of hospital-based studies. (1) The simple dissemination of printed educational materials had no detectable effect on prescribing practice when used alone in well-controlled studies. However, such educational materials do lay a necessary foundation for more personalized educational efforts. (2) Merely distributing computerized listings of patient-specific medication profiles, without specific recommendations for change, is ineffective in reducing overall drug costs or use of inappropriate drugs. Their lack of effect may be due to the large quantity and clinical irrelevance of such data. (3) Continuous computerized reminder systems have been shown to prevent omission of essential care, although such systems are effective only as long as reminders continue. This strategy has not been evaluated for its potential to reduce excessive or inappropriate drug prescribing. (4) Repeated feedback to physicians with specific suggestions for alternative agents has been shown to increase use of generic drugs in academic group practice settings. No adequate studies have tested whether this approach might reduce other types of misprescribing. Also in academic primary care settings, small group tutorials have been shown to improve use of antibiotics and hypertension treatment control. (5) A substantial literature in the U.S. and Canada supports the conclusion that brief, face-to-face educational outreach visits, conducted by either specially trained clinical pharmacists or physician "counsellors" and "opinion leaders", are effective in reducing prescribing of inefficient or contraindicated drugs in pediatric and adult primary care settings. These face-to-face approaches emphasize a tactful, supportive and facilitative role; in some cases, emphasis is put on helping physicians overcome barriers to appropriate prescribing (e.g. patient demand or addiction to minor tranquilizers). Most effective programs also utilize professionally credible sponsors and high-quality educational materials. In addition to improving quality, some programs have been found to produce savings in drug use which exceed the operational costs of the program. References: 57]</t>
  </si>
  <si>
    <t>J2: Qual Assur Health Care; Soumerai, S B McLaughlin, T J Avorn, J; ID: 668</t>
  </si>
  <si>
    <t>1040-6166</t>
  </si>
  <si>
    <t>Soumerai,S B. Harvard Medical School, Department of Social Medicine, Boston, MA 02115.</t>
  </si>
  <si>
    <t>http://ovidsp.ovid.com/ovidweb.cgi?T=JS&amp;CSC=Y&amp;NEWS=N&amp;PAGE=fulltext&amp;D=med3&amp;AN=2103870</t>
  </si>
  <si>
    <t>MEDLINE; Ovid Technologies; Quality assurance for drug prescribing</t>
  </si>
  <si>
    <t>Spaulding,A. M.</t>
  </si>
  <si>
    <t>A pharmacotherapeutic approach to the management of chronic posttraumatic stress disorder</t>
  </si>
  <si>
    <t>Anti-Anxiety Agents/ae Adverse Effects];Anti-Anxiety Agents/tu Therapeutic Use];Anticonvulsants/ae Adverse Effects];Anticonvulsants/tu Therapeutic Use];Antidepressive Agents/ae Adverse Effects];Antidepressive Agents/tu Therapeutic Use];Antipsychotic Agents/ae Adverse Effects];Antipsychotic Agents/tu Therapeutic Use];Cognitive Therapy;Combined Modality Therapy;Comorbidity;Drug Monitoring;Drug Therapy, Combination/ae Adverse Effects];Female;Humans;Male;Medication Adherence;Patient Education as Topic;Pharmacists;Prevalence;Professional Role;Referral and Consultation;Sex Distribution;Stress Disorders, Post-Traumatic/di Diagnosis];Stress Disorders, Post-Traumatic/ep Epidemiology];Stress Disorders, Post-Traumatic/pp Physiopathology];*Stress Disorders, Post-Traumatic/th Therapy];0 (Anti-Anxiety Agents);0 (Anticonvulsants);0 (Antidepressive Agents);0 (Antipsychotic Agents)</t>
  </si>
  <si>
    <t>Due to relatively recent and ongoing world events (eg, terrorist attacks, wars, and natural disasters), there has been a shift in attention from some of the more common psychiatric illnesses to one of the more elusive, namely, posttraumatic stress disorder (PTSD). PTSD is a severe, and often chronic, condition that can lead to significant morbidity and mortality. Although originally a condition seen primarily among war veterans, PTSD is now becoming more prevalent in the general community. PTSD often presents concurrently with other conditions, such as depression, bipolar, anxiety/panic disorders, and alcohol and drug abuse. Because of this, PTSD often goes unrecognized and is underdiagnosed in clinical practice. Thus, an opportunity for pharmacist intervention exists, both in the institution and in the community. With proper education and training, pharmacists can be efficient in screening for signs and symptoms of PTSD, triaging appropriate patients, and can play an integral role in managing the diverse array of drug therapy options for PTSD.</t>
  </si>
  <si>
    <t>J2: J Pharm Pract; Spaulding, Adam Michael; ID: 172</t>
  </si>
  <si>
    <t>1531-1937</t>
  </si>
  <si>
    <t>Spaulding,Adam Michael. Albany College of Pharmacy and Health Sciences, 106New Scotland Avenue, Albany, NY 12208, USA. spauldia@acphs.edu</t>
  </si>
  <si>
    <t>http://ovidsp.ovid.com/ovidweb.cgi?T=JS&amp;CSC=Y&amp;NEWS=N&amp;PAGE=fulltext&amp;D=medl&amp;AN=22544623</t>
  </si>
  <si>
    <t>MEDLINE; Ovid Technologies; A pharmacotherapeutic approach to the management of chronic posttraumatic stress disorder</t>
  </si>
  <si>
    <t>Spencer,R.</t>
  </si>
  <si>
    <t>Registered nurses' knowledge of pharmacological concepts related to the management of postoperative pain in adults</t>
  </si>
  <si>
    <t>Nursing Monograph</t>
  </si>
  <si>
    <t>2p</t>
  </si>
  <si>
    <t>2p 1p</t>
  </si>
  <si>
    <t>Nursing Knowledge -- Evaluation;Pharmacy and Pharmacology;Postoperative Pain -- Drug Therapy;Content Validity;Face Validity;Questionnaires;Human</t>
  </si>
  <si>
    <t>This study investigated registered nurses knowledge of pharmacological concepts related to the management of postoperative pain in adults. To measure this knowledge a valid and reliable research instrument was developed.The process of instrument development included conducting a survey to ascertain what experts in the field of acute pain management believed registered nurses should know about pharmacology in order to effectively manage postoperative pain. The information from the survey was used to formulate a questionnaire which assessed for face and content validity and a field test was undertaken. A pilot study was conducted and the data was used to assess the reliability of the questionnaire. The questionnaire was then applied to a sample of registered nurses to measure their knowledge of pharmacological concepts related to postoperative pain.Findings showed that registered nurses in the sample lacked knowledge of many pharmacological concepts deemed important by pain management experts. The most outstanding were concepts related to mechanisms and duration of action of drugs, pethidine toxicity and the daily dosage range of paracetamol. An encouraging result was that registered nurses' knowledge of addiction may be improving in the postoperative setting. The findings also demonstrated that neither years of experience in a postoperative setting nor attendance at pain management education sessions in the last five years had any significant bearing on registered nurses overall knowledge scores.The results indicate the need for further pain management education for registered nurses. In particular, basic pharmacological principles need to be addressed in both undergraduate and continuing nursing education. To improve pain management practices, registered nurses' knowledge of important pharmacological concepts need to be improved.</t>
  </si>
  <si>
    <t>Entry Date: 20051209. Revision Date: 20150711. Publication Type: Journal Article; abstract; research. Journal Subset: Australia &amp; New Zealand; Editorial Board Reviewed; Expert Peer Reviewed; Nursing; Peer Reviewed.; ID: 2016</t>
  </si>
  <si>
    <t>1328-6137</t>
  </si>
  <si>
    <t>Intensive Therapy Unit, St. Vincent's Hospital</t>
  </si>
  <si>
    <t>http://proxy.lib.umich.edu/login?url=http://search.ebscohost.com/login.aspx?direct=true&amp;db=ccm&amp;AN=106550305&amp;site=ehost-live&amp;scope=site</t>
  </si>
  <si>
    <t>ccm; EBSCOhost; Registered nurses' knowledge of pharmacological concepts related to the management of postoperative pain in adults</t>
  </si>
  <si>
    <t>Spitzig,D.;Shaw,K.;Author,Addresses;College of,Physicians;Surgeons of,Saskatchewan;Saskatoon,Canada;Correspondence,Address;Spitzig,College of Physicians,D.;Surgeons,of Saskatchewan;Canada</t>
  </si>
  <si>
    <t>The prescription review program of Saskatchewan</t>
  </si>
  <si>
    <t>Pain Research and Management</t>
  </si>
  <si>
    <t>May-June</t>
  </si>
  <si>
    <t>prescription drug;Canada;pain;prescription;society;abuse;college;drug therapy;health;human;inappropriate prescribing;pharmacist;physician;professional standard;registered nurse;surgeon</t>
  </si>
  <si>
    <t>The Prescription Review Program was formerly known as the Triplicate Prescription Program because the program formerly relied upon specially designed multiple copy prescription pads to gather data regarding a panel of drugs subject to abuse and/or diversion. Use of these special prescription pads is no longer necessary since the data required to operate the program is now captured electronically. PROGRAM PARTNERS: Saskatchewan College of Pharmacists, College of Physicians and Surgeons of Saskatchewan,College of Dental Surgeons of Saskatchewan, The Saskatchewan Registered Nurses' Association, and Saskatchewan Health. OBJECTIVE: To reduce the abuse and diversion of a select panel of prescription drugs, and to reduce their misuse. THE PROGRAM: 1. Alerts prescribers to possible inappropriate prescribing or use of medications to which the Prescription Review Program applies. 2. May seek an explanation to the relevant professional regulatory body where the data indicates prescribing and/or dispensing practices not consistent with acceptable professional standards; and 3. Encourages appropriate prescribing and dispensing practices by providing professional guidance to both prescribers and dispensers. 4. Recommends additional drugs to be added to the program.</t>
  </si>
  <si>
    <t>(Spitzig D.; Shaw K.) 2012 Annual Conference of the Canadian Pain Society Whistler, BC, Canada 2012-05-23 to 2012-05-26 Pulsus Group Inc.; ID: 1148</t>
  </si>
  <si>
    <t>1203-6765</t>
  </si>
  <si>
    <t>Sproule,B.;Liu,K. W.;Chundamala,J.;Author,Addresses;Centre for,Addiction;Mental;Health,Toronto Canada;University,of Toronto;Correspondence,Address;Sproule,Centre for Addiction,B.;Mental Health,Toronto Canada</t>
  </si>
  <si>
    <t>Early evaluation of the experiences and opinions of pharmacists towards the Ontario Narcotics Monitoring System</t>
  </si>
  <si>
    <t>e106</t>
  </si>
  <si>
    <t>(MAJOR FOCUS);narcotic agent;opiate;prescription drug;Canada;college;drug dependence;human;monitoring;pharmacist;drug use;evidence based practice;female;interpersonal communication;laryngeal mask;patient;pharmacy;physician;prescription;program impact</t>
  </si>
  <si>
    <t>Aims: Ontario recently implemented a prescription monitoring program which features a unique system of alerts to pharmacists which are triggered when dispensing prescriptions for monitoring drugs based on previous prescription data indicating multiple prescribers, multiple pharmacies, duplicate prescriptions and early or late refills. The purpose of this study was to evaluate the experiences and opinions of pharmacists in relation to the implementation of Ontario's Narcotic Monitoring System, particularly as it pertains to the alert feature. Methods: An electronic survey was sent to all pharmacists in Ontario 6 months after implementation of the program. The survey included items related to demographics, practice setting, descriptions of significant alert-related patient encounters, positive and negative opinions, and suggestions for improvement. Results: Of the 972 respondents, 89% (n = 867, 52% female) had received an alert since the inception of the program. The majority of pharmacists (90%) indicated receiving the multiple doctors, multiple pharmacies and duplicate drug alerts at least 1-2 days per week. A range of 53-72% of pharmacists rated most types of alerts as very useful. Pharmacists described over 1300 significant alert-related encounters, with over one-half triggered when filling an opioid prescription. With most (&gt;70%) of these encounters further communication was made with the patient, pharmacists, and prescribe. Pharmacists indicated the program conferred improved monitoring of prescription drug use, however, conflicts with patients was the most common negative outcome identified (19%). Conclusions: The new Ontario Narcotics Monitoring System is frequently alerting pharmacists to potentially problematic dispensing patterns that require further inquiry and intervention to resolve. There were generally positive opinions about the system with some limitations identified. Further evaluation is underway to provide program implementers with evidence-based suggestions to optimize program impact.</t>
  </si>
  <si>
    <t>(Sproule B.; Liu K.-W.; Chundamala J.) (Sproule B.; Liu K.-W.) 2014 Annual Meeting of the College on Problems of Drug Dependence San Juan, Puerto Rico 2014-06-14 to 2014-06-19 Elsevier Ireland Ltd; ID: 857</t>
  </si>
  <si>
    <t>Sridhar,S.;Shwetha,H.;Shwetha,A. M.;Author,Addresses;College,M. S. R.;Bangalore,India;Correspondence,Address;Ramaiah Medical College Bangalore India,S.Sridhar, M.S.</t>
  </si>
  <si>
    <t>Pharmacovigilance is essential-Safety comes first</t>
  </si>
  <si>
    <t>Indian journal of physiology and pharmacology</t>
  </si>
  <si>
    <t>Indian J.Physiol.Pharmacol.</t>
  </si>
  <si>
    <t>new drug;drug surveillance program;India;safety;adverse drug reaction;drug approval;drug monitoring;education;health;human;Indian;medical education;morbidity;mortality;non implantable urine incontinence electrical stimulator;patient;patient care;population;prevention;risk;self medication;therapy;workshop</t>
  </si>
  <si>
    <t>Adverse drug reactions are considered one among the leading causes of morbidity and mortality adding to spiraling costs of medical treatment. Pharmacovigilance is the science and activities that deals with detection, evaluation, understanding and prevention of adverse drug reactions or any other drug related problems. Large, diversified genetic pool of patients, increasing number of new drug approvals, self-medication, alternative systems of medicine and lack of awareness and our own data on adverse drug reactions calls for the need of Pharmacovigilance in India. Unfortunately, inspite of presence of well organized centers for drug monitoring in the country, the number of reports sent annually is dismal. This warrants an urgent need to reinforce pharmacovigilance activities through continuing medical education and workshops to create awareness among clinicians and public education on dangerous outcomes of self medication. Need of the hour is to emphasize on effective reporting at all levels of patient care and to ensure that the benefits of use of medicine outweighs the risks and thus safeguard the health of the Indian population.</t>
  </si>
  <si>
    <t>(Sridhar S.; Shwetha H.; Shwetha A.M.) 59th Annual Conference of Association of Physiologists and Pharmacologists of India, APPI 2013 Bengaluru, India 2013-11-28 to 2013-11-30 Association of Physiologists and Pharmacologists of India; ID: 1061</t>
  </si>
  <si>
    <t>0019-5499</t>
  </si>
  <si>
    <t>St Dennis,C. D.</t>
  </si>
  <si>
    <t>Perspectives on the development and implementation of an undergraduate general-university class dealing with mind altering drugs and their use in today's society</t>
  </si>
  <si>
    <t>*Education, Pharmacy;Evaluation Studies as Topic;Humans;Organization and Administration;*Psychotropic Drugs;*Substance-Related Disorders/ed Education];Washington;0 (Psychotropic Drugs)</t>
  </si>
  <si>
    <t>J2: Am J Pharm Educ; St Dennis, C D; ID: 728</t>
  </si>
  <si>
    <t>http://ovidsp.ovid.com/ovidweb.cgi?T=JS&amp;CSC=Y&amp;NEWS=N&amp;PAGE=fulltext&amp;D=med1&amp;AN=10316657</t>
  </si>
  <si>
    <t>MEDLINE; Ovid Technologies; Perspectives on the development and implementation of an undergraduate general-university class dealing with mind altering drugs and their use in today's society</t>
  </si>
  <si>
    <t>Stafford,L.;Stafford,A.;Hughes,J.;Angley,M.;Bereznicki,L.;Peterson,G.</t>
  </si>
  <si>
    <t>Drug-related problems identified in post-discharge medication reviews for patients taking warfarin</t>
  </si>
  <si>
    <t>Cohort Studies;Community Pharmacy Services/st Standards];*Community Pharmacy Services;Drug Interactions;*Drug Utilization Review/mt Methods];Drug Utilization Review/st Standards];*Drug-Related Side Effects and Adverse Reactions/di Diagnosis];Drug-Related Side Effects and Adverse Reactions/ep Epidemiology];Humans;Patient Discharge/st Standards];*Patient Discharge;Pharmacists/st Standards];*Pharmacists;Professional Role;Prospective Studies;*Warfarin/ae Adverse Effects];5Q7ZVV76EI (Warfarin)</t>
  </si>
  <si>
    <t>OBJECTIVE: To characterise the nature of the drug-related problems with warfarin therapy identified in pharmacist-conducted medication reviews during a collaborative post-discharge warfarin management service, with a focus on potentially serious drug interactions. SETTING: Australian community pharmacy practice. METHOD: Medication review reports submitted by pharmacists to patients' general practitioners as part of the service were reviewed and the type and clinical significance of the warfarin-associated drug-related problems, and the pharmacists' recommendations were classified. The prevalence of prescribing of 'potentially hazardous' warfarin drug interactions was investigated and compared with the frequency of documentation of these interactions in the medication review reports. MAIN OUTCOME MEASURE: The number and nature of warfarin-associated drug-related problems identified and the rate of documentation of 'potentially hazardous' warfarin drug interactions in the reports from pharmacist-conducted medication reviews. RESULTS: A total of 157 warfarin-associated drug-related problems were documented in 109 medication review reports (mean 1.4 per patient, 95% CI 1.3-1.6, range 0-5). Drug selection and Education or information were the most commonly identified warfarin-associated drug-related problems; most drug-related problems were of moderate clinical significance. Eight of 23 potentially serious warfarin drug interactions (34.8%) were identified in the medication review reports. CONCLUSION: Pharmacists addressing drug selection and warfarin education drug-related problems during medication reviews may have contributed to the positive outcomes of the post-discharge service. Warfarin drug interactions were frequently identified; however, well-recognised potentially hazardous interactions were under-reported. Improved communication along the continuum of care would permit improved targeting of drug-related problem reporting, especially in relation to preventable drug interactions.</t>
  </si>
  <si>
    <t>J2: Int J Clin Pharm; Stafford, Leanne Stafford, Andrew Hughes, Josephine Angley, Manya Bereznicki, Luke Peterson, Gregory; ID: 218</t>
  </si>
  <si>
    <t>Stafford,Leanne. Unit for Medication Outcomes Research and Education, School of Pharmacy, University of Tasmania, Private Bag 26, Hobart Tasmania 7001, Australia. leannes2@utas.edu.au</t>
  </si>
  <si>
    <t>http://ovidsp.ovid.com/ovidweb.cgi?T=JS&amp;CSC=Y&amp;NEWS=N&amp;PAGE=fulltext&amp;D=med5&amp;AN=21594591</t>
  </si>
  <si>
    <t>http://dx.doi.org/10.1007/s11096-011-9515-0</t>
  </si>
  <si>
    <t>MEDLINE; Ovid Technologies; Drug-related problems identified in post-discharge medication reviews for patients taking warfarin</t>
  </si>
  <si>
    <t>Stanton,A.;Grimshaw,G.</t>
  </si>
  <si>
    <t>Tobacco cessation interventions for young people</t>
  </si>
  <si>
    <t>CD003289</t>
  </si>
  <si>
    <t>Adolescent;Cognitive Therapy;Controlled Clinical Trials as Topic;Humans;Randomized Controlled Trials as Topic;*Tobacco Use Cessation/mt Methods];Tobacco Use Cessation/px Psychology];Young Adult</t>
  </si>
  <si>
    <t>BACKGROUND: Most tobacco control programmes for adolescents are based around prevention of uptake, but teenage smoking is still common. It is unclear if interventions that are effective for adults can also help adolescents to quit. This is the second update of a Cochrane review first published in 2006. OBJECTIVES: To evaluate the effectiveness of strategies that help young people to stop smoking tobacco. SEARCH METHODS: We searched the Cochrane Tobacco Addiction Group's Specialized Register in February 2013. This includes reports for trials identified in the Cochrane Central Register of Controlled Trials (CENTRAL), MEDLINE, EMBASE and PsyclNFO. SELECTION CRITERIA: We included randomized controlled trials, cluster-randomized controlled trials and other controlled trials recruiting young people, aged less than 20, who were regular tobacco smokers. We included any interventions; these could include pharmacotherapy, psycho-social interventions and complex programmes targeting families, schools or communities. We excluded programmes primarily aimed at prevention of uptake. The primary outcome was smoking status after at least six months follow-up among those who smoked at baseline. DATA COLLECTION AND ANALYSIS: Both authors independently assessed the eligibility of candidate trials and extracted data. Included studies were evaluated for risk of bias using standard Cochrane methodology. Where meta-analysis was appropriate, we estimated pooled risk ratios using a Mantel-Haenszel fixed-effect method, based on the quit rates at longest follow-up. MAIN RESULTS: Twenty-eight trials involving approximately 6000 young people met our inclusion criteria (12 cluster-randomized controlled trials, 14 randomized controlled trials and 2 controlled trials). The majority of studies were judged to be at high or unclear risk of bias in at least one domain. Many studies combined components from various theoretical backgrounds to form complex interventions.The majority used some form of motivational enhancement combined with psychological support such as cognitive behavioural therapy (CBT) and some were tailored to stage of change using the transtheoretical model (TTM). Three trials based mainly on TTM interventions achieved moderate long-term success, with a pooled risk ratio (RR) of 1.56 at one year (95% confidence interval (CI) 1.21 to 2.01). The 12 trials that included some form of motivational enhancement gave an estimated RR of 1.60 (95% CI 1.28 to 2.01). None of the 13 individual trials of complex interventions that included cognitive behavioural therapy achieved statistically significant results, and results were not pooled due to clinical heterogeneity. There was a marginally significant effect of pooling six studies of the Not on Tobacco programme (RR of 1.31, 95% CI 1.01 to 1.71), although three of the trials used abstinence for as little as 24 hours at six months as the cessation outcome. A small trial testing nicotine replacement therapy did not detect a statistically significant effect. Two trials of bupropion, one testing two doses and one testing it as an adjunct to NRT, did not detect significant effects. Studies of pharmacotherapies reported some adverse events considered related to study treatment, though most were mild, whereas no adverse events were reported in studies of behavioural interventions. AUTHORS' CONCLUSIONS: Complex approaches show promise, with some persistence of abstinence (30 days point prevalence abstinence or continuous abstinence at six months), especially those incorporating elements sensitive to stage of change and using motivational enhancement and CBT. Given the episodic nature of adolescent smoking, more data is needed on sustained quitting. There were few trials with evidence about pharmacological interventions (nicotine replacement and bupropion), and none demonstrated effectiveness for adolescent smokers. There is not yet sufficient evidence to recommend widespread implementation of any one model. There continues to be a need for well-designed adequately powered randomized controlled trials of interventions for this population of smokers.</t>
  </si>
  <si>
    <t>J2: Cochrane Database Syst Rev; Stanton, Alan Grimshaw, Gill; ID: 117</t>
  </si>
  <si>
    <t>Stanton,Alan. Heart of England Foundation Trust, 3, The Green, Shirley, UK, B90 4LA.</t>
  </si>
  <si>
    <t>http://ovidsp.ovid.com/ovidweb.cgi?T=JS&amp;CSC=Y&amp;NEWS=N&amp;PAGE=fulltext&amp;D=medl&amp;AN=23975659</t>
  </si>
  <si>
    <t>http://dx.doi.org/10.1002/14651858.CD003289.pub5</t>
  </si>
  <si>
    <t>MEDLINE; Ovid Technologies; Tobacco cessation interventions for young people</t>
  </si>
  <si>
    <t>Stark,C.;Gibson,H.;Travers,K.;Gardner,B.</t>
  </si>
  <si>
    <t>Drug action team strategies in Scotland</t>
  </si>
  <si>
    <t>Health bulletin</t>
  </si>
  <si>
    <t>Health Bull.</t>
  </si>
  <si>
    <t>Adolescent;Adult;Child;*Community Health Planning/og Organization &amp; Administration];*Drug and Narcotic Control/og Organization &amp; Administration];Governing Board;Humans;*Institutional Management Teams;Interinstitutional Relations;Planning Techniques;Police;Schools;Scotland;Social Work;*Substance-Related Disorders/pc Prevention &amp; Control];Universities</t>
  </si>
  <si>
    <t>OBJECTIVE: To compare the Strategic Plans of Scottish Drug Action Teams (DATs) to the recommendations of the Scottish Office Ministerial Task Force Report. DESIGN: Extraction of information from the strategic plans of DATs. SETTING: All 15 Scottish DATs 1995-96. RESULTS: Five DATs did not include a membership list in their Strategy, and two stated the organisations represented, but not the identity of individual members. Where individuals were identified, Health Boards, Social Work departments, Education and Police were always members. The median number of members was 12 (range 4-16). Most areas had plans to improve information on drug misuse. Every plan mentioned preventive work with young people. In Criminal Justice settings, use of Children's Hearings (20% of plans), substitute prescribing linked to probation (13%) and prison aftercare schemes (33%) were mentioned less commonly. Substitute prescribing (87% of DATs), the role of General Practitioners (100%) and monitoring mechanisms (87%) were the service issues mentioned most often. Of other service issues in the Ministerial Report, those mentioned least by DATs were childcare linked to services (20%); services for people from ethnic minorities (33%); education on dangers of injecting to existing drug users (33%); women--only residential services (33%); services for women (46%) and role of pharmacists (53%). CONCLUSION: Membership was from a core of statutory agencies. Young people were the priority of most DATs. Criminal Justice arrangements and services for special groups of people were not well developed in many plans. DATs should review their focus on these groups.</t>
  </si>
  <si>
    <t>J2: Health Bull (Edinb); Stark, C Gibson, H Travers, K Gardner, B; ID: 501</t>
  </si>
  <si>
    <t>0374-8014</t>
  </si>
  <si>
    <t>Stark,C. Highland Health Board, Beechwood Park, Inverness.</t>
  </si>
  <si>
    <t>http://ovidsp.ovid.com/ovidweb.cgi?T=JS&amp;CSC=Y&amp;NEWS=N&amp;PAGE=fulltext&amp;D=med4&amp;AN=12813853</t>
  </si>
  <si>
    <t>MEDLINE; Ovid Technologies; Drug action team strategies in Scotland</t>
  </si>
  <si>
    <t>Stemer,G.;Lemmens-Gruber,R.</t>
  </si>
  <si>
    <t>PMC3166893; Clinical pharmacy activities in chronic kidney disease and end-stage renal disease patients: a systematic literature review</t>
  </si>
  <si>
    <t>BMC Nephrology</t>
  </si>
  <si>
    <t>*Disease Progression;Humans;*Kidney Failure, Chronic/dt Drug Therapy];Kidney Failure, Chronic/ep Epidemiology];Kidney Failure, Chronic/et Etiology];*Pharmacists;*Pharmacy Service, Hospital/mt Methods];Randomized Controlled Trials as Topic/mt Methods];Renal Insufficiency, Chronic/co Complications];Renal Insufficiency, Chronic/dt Drug Therapy];Renal Insufficiency, Chronic/ep Epidemiology]</t>
  </si>
  <si>
    <t>BACKGROUND: Chronic kidney disease (CKD) and end-stage renal disease (ESRD) represent worldwide health problems with an epidemic extent. Therefore, attention must be given to the optimisation of patient care, as gaps in the care of CKD and ESRD patients are well documented. As part of a multidisciplinary patient care strategy, clinical pharmacy services have led to improvements in patient care. The purpose of this study was to summarise the available evidence regarding the role and impact of clinical pharmacy services for these patient populations. METHODS: A literature search was conducted using the Medline, Embase and International Pharmaceutical Abstracts databases to identify relevant studies on the impact of clinical pharmacists on CKD and ESRD patients, regarding disease-oriented and patient-oriented outcomes, and clinical pharmacist interventions on drug-related problems. RESULTS: Among a total of 21 studies, only four (19%) were controlled trials. The majority of studies were descriptive (67%) and before-after studies (14%). Interventions comprised general clinical pharmacy services with a focus on detecting, resolving and preventing drug-related problems, clinical pharmacy services with a focus on disease management, or clinical pharmacy services with a focus on patient education in order to increase medication knowledge. Anaemia was the most common comorbidity managed by clinical pharmacists, and their involvement led to significant improvement in investigated disease-oriented outcomes, for example, haemoglobin levels. Only four of the studies (including three controlled trials) presented data on patient-oriented outcomes, for example, quality of life and length of hospitalisation. Studies investigating the number and type of clinical pharmacist interventions and physician acceptance rates reported a mean acceptance rate of 79%. The most common reported drug-related problems were incorrect dosing, the need for additional pharmacotherapy, and medical record discrepancies. CONCLUSIONS: Few high-quality trials addressing the benefit and impact of clinical pharmacy services in CKD and ESRD patients have been published. However, all available studies reported some positive impact resulting from clinical pharmacist involvement, including various investigated outcome measures that could be improved. Additional randomised controlled trials investigating patient-oriented outcomes are needed to further determine the role of clinical pharmacists and the benefits of clinical pharmacy services to CKD and ESRD patients.</t>
  </si>
  <si>
    <t>J2: BMC Nephrol; Stemer, Gunar Lemmens-Gruber, Rosa; ID: 217</t>
  </si>
  <si>
    <t>1471-2369</t>
  </si>
  <si>
    <t>Stemer,Gunar. Department of Pharmacology and Toxicology, University of Vienna, Althanstrase 14, 1090 Vienna, Austria. gunar.stemer@akhwien.at</t>
  </si>
  <si>
    <t>http://ovidsp.ovid.com/ovidweb.cgi?T=JS&amp;CSC=Y&amp;NEWS=N&amp;PAGE=fulltext&amp;D=med5&amp;AN=21777480</t>
  </si>
  <si>
    <t>http://dx.doi.org/10.1186/1471-2369-12-35</t>
  </si>
  <si>
    <t>MEDLINE; Ovid Technologies; Clinical pharmacy activities in chronic kidney disease and end-stage renal disease patients: a systematic literature review</t>
  </si>
  <si>
    <t>Stenmark,D. E.;Kinder,B. N.;Milne,L. D.;Author,Addresses;Dept. Psychol,Univ South;Carolina,Columbia S. C.;Correspondence,Address;Dept Psychol, Univ South Carolina,Columbia S.</t>
  </si>
  <si>
    <t>863558; Drug related attitudes and knowledge of pharmacy students and college undergraduates</t>
  </si>
  <si>
    <t>attitude;drug abuse;education;pharmacy;epidemiology;major clinical study;Psychiatry (32);Public Health, Social Medicine and Epidemiology (17);Drug Dependence, Alcohol Abuse and Alcoholism (40)</t>
  </si>
  <si>
    <t>A drug related education appears to increase factual knowledge but has few effects upon attitudes even when the education has been of several years duration.</t>
  </si>
  <si>
    <t>(Stenmark D.E.; Kinder B.N.; Milne L.D.); ID: 1784</t>
  </si>
  <si>
    <t>http://www.ncbi.nlm.nih.gov/pubmed/863558</t>
  </si>
  <si>
    <t>Drug related attitudes and knowledge of pharmacy students and college undergraduates</t>
  </si>
  <si>
    <t>Stevens,B.;Johnson,K.;O'Brien,K.;Begley,K.;Castillo,S.;Author,Addresses;Creigh-Ton University,United States;Correspondence,Address;Stevens, Creigh-Ton University United States,B.</t>
  </si>
  <si>
    <t>Pharmacist's role in a dental clinic: Setting up an interprofessional education site</t>
  </si>
  <si>
    <t>e172</t>
  </si>
  <si>
    <t>dental clinic;education;human;pharmacist;adverse drug reaction;curriculum;dental education;dental patient;dental procedure;dental student;dentist;drug choice;drug interaction;drug therapy;education program;environment;follow up;health;hospital;medically uninsured;medication therapy management;patient;patient care;physician</t>
  </si>
  <si>
    <t>Objective: The primary objectives were to develop and pilot an interprofessional education program in which a pharmacist provides medication therapy management services in a dental school clinic. Secondary objectives were to assess the number of interventions made by the pharmacist and assess the number of dental students the pharmacist assisted in completing medication histories. Methods: As part of the dental school's curriculum, 172 dental students in their third and fourth year hold clinic hours, accepting both insured and uninsured patients. During a 7-week time frame, the pharmacist worked closely with the dental students to educate them on the importance of identifying, resolving, and preventing drug-related problems. Results: A descriptive analysis sorted the pharmacist's interventions in the dental clinic into six categories: adverse reactions or drug interactions, drug choice problems, dosing problems, patient- related problems, medication history assistance, and medication prescribed recommendations. The data showed the pharmacist intervened in 47 adverse reaction/ drug interaction cases, 2 drug choice problems, 5 dosing problems, and 13 patient-related problems; the pharmacist also assisted 45 dental students with medication histories and had 2 medication recommendations accepted by the dentist or the physician. Conclusion: Dental patients often have complex medication regimens for multiple disease states. These medications and disease states affect dental treatment and follow-up in the dental clinic environment. Pharmacists have the opportunity to make a positive impact on patient outcomes by conducting thorough health and medication histories and by communicating with both dental and medical providers involved in a patient's care.</t>
  </si>
  <si>
    <t>(Stevens B.; Johnson K., kalinjohnson@creighton.edu; O'Brien K.; Begley K.; Castillo S.) APhA2015 San Diego, CA, United States 2015-03-27 to 2015-03-30 American Pharmacists Association; ID: 836</t>
  </si>
  <si>
    <t>Stewart,A. L.;Snodgrass,J.;Schontz,M.;Parekh,M.;Author,Addresses;Bayer,Learning Center;University,Mylan School of Pharmacy Forbes Avenue Pittsburgh United;States;Va Butler Healthcare, Butler,United States;Allegheny Health Network, Pittsburgh,United States;Duquesne University, Mylan School of,Pharmacy Pittsburgh;United,States;Correspondence,Address;AL Stewart, Bayer Learning Center Duquesne University,Mylan School;of Pharmacy, Forbes Avenue Pittsburgh,United States</t>
  </si>
  <si>
    <t>A student pharmacist-led medication reconciliation service and its impact on the identification of drug-related problems in an ambulatory clinic</t>
  </si>
  <si>
    <t>adverse drug reaction;ambulatory care;medication therapy management;pharmacist;article;diabetes mellitus;electronic medical record;human;hypertension;immunization;patient care;pharmacy;priority journal;Public Health, Social Medicine and Epidemiology (17)</t>
  </si>
  <si>
    <t>Introduction: Describe a model of care in which student pharmacists are engaged in medication reconciliation services and document the impact of this model on the identification of drug therapy-related problems. Material and methods: Student pharmacists in the PY4 year completing a required Advanced Ambulatory Care Pharmacy Practice Experience at a free clinic for indigent, uninsured adults conducted medication reconciliation services immediately prior to the patientsU+05F3] scheduled medical appointment with their physician. Following each encounter, students updated the medication list in the electronic medical record, clarified discrepancies, and identified the presence of drug therapy problems with the patientU+05F3]s physician. The main outcome measures included the presence of drug therapy-related problems, clinical interventions recommended to the provider, and recommendation acceptance rates. Recommendations were further categorized by disease state. Results: Students documented 673 clinical interventions. The most common type of problem identified was an untreated indication. Providers accepted 89% of the student pharmacistsU+05F3] recommendations. Interventions related to immunizations, hypertension, and diabetes were the most frequent. Discussion: Student pharmacists can participate in medication reconciliation services in primary care settings at a level that contributes to the identification and resolution of drug-related problems. The utilization of students in this role is an effective strategy for the implementation of medication reconciliation services when resources are limited.</t>
  </si>
  <si>
    <t>(Stewart A.L., stewar14@duq.edu) (Snodgrass J.) (Schontz M.) (Parekh M.) Elsevier Inc., usjcs@elsevier.com; ID: 868</t>
  </si>
  <si>
    <t>2015236162 FULL TEXT LINK http://dx.doi.org/10.1016/j.cptl.2015.06.020</t>
  </si>
  <si>
    <t>Stewart,E.;Holloway,P.;Author,Addresses;Fac. Pharm,Univ Toronto;Correspondence,Address;Fac. Pharm,Univ Toronto</t>
  </si>
  <si>
    <t>Nonprescription medications: A need for information</t>
  </si>
  <si>
    <t>On Continuing Practice</t>
  </si>
  <si>
    <t>(MAJOR FOCUS);alcohol;allopurinol;amitriptyline;amphetamine derivative;analgesic agent;anticoagulant agent;barbituric acid derivative;bromine derivative;cholinergic receptor blocking agent;diuretic agent;erythromycin;expectorant agent;laxative;lithium carbonate;paracetamol;penicillin G;pheniramine maleate;quinine;salicylamide;salicylic acid derivative;sulfanilamide derivative;vitamin;calcium bromolactate;diphenhydramine;dozex;nite kaps;persomnia;restabs;unclassified drug;adverse drug reaction;drug abuse;drug information;drug marketing;drug therapy;health education;law;pharmacist;prescription;self medication;legal aspect;prevention;therapy;DRUG TRADE NAMES;nytol;sominex;alcohol (64-17-5);allopurinol (315-30-0);amitriptyline (50-48-6, 549-18-8);diphenhydramine (147-24-0, 58-73-1);erythromycin (114-07-8, 70536-18-4);lithium carbonate (554-13-2);paracetamol (103-90-2);penicillin G (1406-05-9, 61-33-6);pheniramine maleate (132-20-7);quinine (130-89-2, 130-95-0, 14358-44-2, 549-48-4, 549-49-5, 60-93-5,;7549-43-1);salicylamide (65-45-2);Drug Literature Index (37)</t>
  </si>
  <si>
    <t>(Stewart E.; Holloway P.); ID: 1778</t>
  </si>
  <si>
    <t>0315-1042</t>
  </si>
  <si>
    <t>Stewart,Heather;Malinowski,Alexandra;Ochs,Leslie;Jaramillo,Jeanie;McCall Iii,Kenneth;Sullivan,Meghan</t>
  </si>
  <si>
    <t>Inside MaineŒì√á√ñs Medicine Cabinet: Findings From the Drug Enforcement AdministrationŒì√á√ñs Medication Take-Back Events</t>
  </si>
  <si>
    <t>e65</t>
  </si>
  <si>
    <t>71 1p</t>
  </si>
  <si>
    <t>Drug Enforcement Administration;Substance Abuse;Collection Development;Human;Maine;Multicenter Studies;Outcomes Research;Drugs -- Classification</t>
  </si>
  <si>
    <t>Objectives. We evaluated the quantity and type of medications obtained in unused-medications return programs and the proportion of medication waste. Methods. We analyzed data collected in 11 Maine cities in 2011 to 2013 during 6 Drug Enforcement Administration (DEA) national medication take-back events. Pharmacy doctoral student volunteers collected data under the supervision of law enforcement, independent of the DEA. Data entry into the Pharmaceutical Collection Monitoring System, through its interface with Micromedex, allowed for analysis of medication classification, controlled substance category, therapeutic class, and percentage of medication waste (units returned/units dispensed). Results. Medication take-back events resulted in return of 13 599 individual medications from 1049 participants. We cataloged 553 019 units (capsules, tablets, milliliters, patches, or grams), representing 69.7% medication waste. Noncontrolled prescription medications accounted for 56.4% of returns, followed by over-the- counter medications (31.4%) and controlled prescription medications (9.1%). Conclusions. The significant quantities of medications, including controlled substances, returned and high degree of medication waste emphasize the need for medication collection programs to further public health research and improve health in our communities.</t>
  </si>
  <si>
    <t>Entry Date: 20141219. Revision Date: 20150710. Publication Type: Journal Article; research; tables/charts. Journal Subset: Biomedical; Core Nursing; Double Blind Peer Reviewed; Nursing; Peer Reviewed; Public Health; USA. Special Interest: Public Health. NLM UID: 1254074.; ID: 1924</t>
  </si>
  <si>
    <t>Department of Pharmacy Practice, College of Pharmacy, University of New England, Portland, ME Medication Cleanout, Texas Panhandle Poison Center, Amarillo</t>
  </si>
  <si>
    <t>http://proxy.lib.umich.edu/login?url=http://search.ebscohost.com/login.aspx?direct=true&amp;db=ccm&amp;AN=103926689&amp;site=ehost-live&amp;scope=site</t>
  </si>
  <si>
    <t>10.2105/AJPH.2014.302207</t>
  </si>
  <si>
    <t>ccm; EBSCOhost; Inside MaineŒì√á√ñs Medicine Cabinet: Findings From the Drug Enforcement AdministrationŒì√á√ñs Medication Take-Back Events</t>
  </si>
  <si>
    <t>Stollman,M.;Author,Addresses;Correspondence,Address;Stollman,M.</t>
  </si>
  <si>
    <t>10932449; Successful temporary nonsmoker?</t>
  </si>
  <si>
    <t>(2000) 40</t>
  </si>
  <si>
    <t>health promotion;pharmacist;pharmacy;smoking cessation;addiction;human;note;psychological aspect</t>
  </si>
  <si>
    <t>(Stollman M.); ID: 1637</t>
  </si>
  <si>
    <t>http://www.ncbi.nlm.nih.gov/pubmed/10932449</t>
  </si>
  <si>
    <t>Successful temporary nonsmoker?</t>
  </si>
  <si>
    <t>Storm,A.;Author,Addresses;Hospital Pharmacy,of Troms;Correspondence,Address;Storm, Hospital Pharmacy of Troms‚îú‚ïï Troms‚îú‚ïï Norway Email,A.;ann.storm@unn.no</t>
  </si>
  <si>
    <t>Clinical Pharmacist at a geriatric ward</t>
  </si>
  <si>
    <t>geriatrics;hospital pharmacy;pharmacist;ward;workshop;aged;classification;drug therapy;hospital;hospital patient;human;kidney disease;monitoring;Norway;nurse;patient;pharmacodynamics;pharmacokinetics;physician;physiology;polypharmacy;quality control;questionnaire;risk;university hospital</t>
  </si>
  <si>
    <t>Background and Objective The Hospital Pharmacy of Troms‚îú‚ïï wants to expand the use of clinical pharmacists at the University Hospital of North Norway (UNN). A clinical pharmacist (hereafter pharmacist) worked at the geriatric ward for a 6 months study period. The geriatric ward was chosen because polypharmacy combined with altered pharmacokinetics, pharmacodynamics and physiology of the elderly increase the risk of drug-related problems (DRP). Aim of the study: Identify the need for a pharmacist at the geriatric ward Determine the future tasks of the pharmacist Design A pharmacist formed part of the interdisciplinary team at the geriatric ward in a 20% position during the period 1.3.2010 to 31.8.2010. The pharmacist performed medication review for admitted patients once a week. Identified DRPs were classified in accordance with the Norwegian DRP classification system (1). The DRPs were discussed with nurses and physicians in patient discussion meetings once a week. The pharmacist also supported the quality assurance on system level in terms of literature review on drug-related questions and lectures related to medication use at the physicians' morning meetings. The project was evaluated by nurses and physicians in a questionnaire at the end of the study period. Setting University Hospital of North Norway (UNN). Main Outcome Measures Drug related problems: Characteristics, frequency and response to pharmacist advice AND Physicians' and nurses' experience on pharmacist participation in the multidisciplinary team. Results Among 90 patients, 184 DRPs were identified in 68 patients (76%), i.e. on average 2 (SD 1.8) DRP per patient. The pharmacist advice was taken into account for a total of 141 (77%) DRPs. For 32 (17%), advices were taken notice of and 11 (6%) were not agreed upon. The three most frequent DRPs were 'drug selection' (n = 40), 'dosage' (n = 39) and need or lack of monitoring (n = 38). Two physicians (100%) and four nurses (100%) answered the questionnaire and reported that they had benefited from the clinical pharmacist. They also believed that the pharmacist could contribute to quality assurance, both on a patient and a system level. Conclusions A pharmacist participating in the multidisciplinary team uncovered and prevented DRPs at the geriatric ward. In addition, advices on pharmaceutical topics were provided. Physicians as well as nurses recognized the benefits of a pharmacist and were positive to include the pharmacist in the multidisciplinary team. After the project period, the pharmacist has been employed by the hospital in a 20% position at the geriatric ward. The following tasks for the pharmacist are defined as: - Medication review and participation in weekly meetings with the multidisciplinary team - Availability during normal working hours by phone, mail and Paging - Pharmaceutical professional posts at morning meetings once a Month In addition, the gastric and kidney disease ward requested a 30% clinical pharmacist position.</t>
  </si>
  <si>
    <t>(Storm A., ann.storm@unn.no) ESCP International Workshop on Geriatrics, 2011 Utrecht, Netherlands 2011-05-05 to 2011-05-06 Springer Netherlands; ID: 1248</t>
  </si>
  <si>
    <t>Strain,E. C.;Preston,K. L.;Liebson,I. A.;Bigelow,G. E.</t>
  </si>
  <si>
    <t>Opioid antagonist effects of dezocine in opioid-dependent humans</t>
  </si>
  <si>
    <t>Adult;Bicyclo Compounds, Heterocyclic;Cognition/de Drug Effects];*Cycloparaffins/pd Pharmacology];Humans;Hydromorphone/pd Pharmacology];Male;Monitoring, Physiologic;Naloxone/pd Pharmacology];*Narcotic Antagonists/pd Pharmacology];Narcotics/pd Pharmacology];Opioid-Related Disorders/pp Physiopathology];Opioid-Related Disorders/px Psychology];*Opioid-Related Disorders;Psychomotor Performance/de Drug Effects];Surveys and Questionnaires;Tetrahydronaphthalenes;0 (Bicyclo Compounds, Heterocyclic);0 (Cycloparaffins);0 (Narcotic Antagonists);0 (Narcotics);0 (Tetrahydronaphthalenes);36B82AMQ7N (Naloxone);53648-55-8 (dezocine);Q812464R06 (Hydromorphone)</t>
  </si>
  <si>
    <t>Dezocine is an opioid mu-partial agonist recently approved for use as an analgesic in the United States. This study characterized the relative agonist versus antagonist effects of dezocine in comparison to naloxone (an opioid antagonist), hydromorphone (an opioid mu-agonist), and placebo (saline solution) in opioid-dependent volunteers. In a residential laboratory, six volunteer male opioid abusers maintained on 30 mg/day oral methadone underwent pharmacologic challenges two to three times per week, 20 hours after the last dose of methadone. Challenges consisted of a double-blind intramuscular injection of dezocine (dose range, 7.5 to 60 mg), hydromorphone (5 and 10 mg), naloxone (0.1 and 0.2 mg), or saline solution. Measures included physiologic indexes, self-reports of drug effects, and observer ratings of drug effects. Naloxone and hydromorphone produced characteristic antagonist-like and agonist-like effects, respectively. Dezocine acted as an opioid antagonist, precipitating a withdrawal syndrome only slightly different from that produced by naloxone. Dezocine's antagonist effects were not directly dose related, but peaked at intermediate doses and declined at higher doses.</t>
  </si>
  <si>
    <t>J2: Clin Pharmacol Ther; Strain, E C Preston, K L Liebson, I A Bigelow, G E K05 DA00050 (United States NIDA NIH HHS) K20 DA00166 (United States NIDA NIH HHS) R01 DA08045 (United States NIDA NIH HHS) etc.; ID: 616</t>
  </si>
  <si>
    <t>Strain,E C. Department of Psychiatry and Behavioral Sciences, Johns Hopkins University School of Medicine, Baltimore, MD, USA.</t>
  </si>
  <si>
    <t>http://ovidsp.ovid.com/ovidweb.cgi?T=JS&amp;CSC=Y&amp;NEWS=N&amp;PAGE=fulltext&amp;D=med4&amp;AN=8823239</t>
  </si>
  <si>
    <t>MEDLINE; Ovid Technologies; Opioid antagonist effects of dezocine in opioid-dependent humans</t>
  </si>
  <si>
    <t>Acute effects of buprenorphine, hydromorphone and naloxone in methadone-maintained volunteers</t>
  </si>
  <si>
    <t>Adult;*Buprenorphine/pd Pharmacology];*Cognition/de Drug Effects];Drug Interactions;Hemodynamics/de Drug Effects];Humans;*Hydromorphone/pd Pharmacology];Injections, Intramuscular;Male;*Methadone/tu Therapeutic Use];*Naloxone/pd Pharmacology];*Psychomotor Performance/de Drug Effects];Substance Abuse Treatment Centers;*Substance-Related Disorders/dt Drug Therapy];36B82AMQ7N (Naloxone);40D3SCR4GZ (Buprenorphine);Q812464R06 (Hydromorphone);UC6VBE7V1Z (Methadone)</t>
  </si>
  <si>
    <t>Buprenorphine is an opioid agonist-antagonist being evaluated for treatment of opioid dependence. This study characterized the effects of buprenorphine in comparison to naloxone, hydromorphone and saline, in methadone-dependent volunteers. In a residential laboratory, 6 volunteer male opioid abusers maintained on 30 mg of methadone daily underwent pharmacological challenges 2 to 3 times per week. Pharmacological challenges consisted of a double-blind i.m. injection of: buprenorphine (dose range 0.5-8.0 mg), hydromorphone (5 and 10 mg), naloxone (0.1 and 0.2 mg) or saline. Injections were given 20 hr after the last dose of methadone. Measures included physiologic indices, and self-report and observer ratings of drug effects. Naloxone and hydromorphone produced characteristic antagonist-like and agonist-like effects, respectively, on subjective, observer and physiologic indices. None of the doses of buprenorphine were consistently or systematically identified as an opioid agonist or antagonist on any of the measures. Thus buprenorphine produced minimal effects in methadone-dependent patients. The lack of agonist effects suggests buprenorphine has a low abuse potential in methadone-dependent patients. The lack of antagonist effects suggests buprenorphine can be administered safely to subjects dependent on a low dose of methadone. This lack of effect of buprenorphine distinguishes it from other mixed agonist antagonists previously tested, which produced antagonist effects in this procedure.</t>
  </si>
  <si>
    <t>J2: J Pharmacol Exp Ther; Strain, E C Preston, K L Liebson, I A Bigelow, G E K02 DA00050 (United States NIDA NIH HHS) R01 DA04089 (United States NIDA NIH HHS) T32 DA07209 (United States NIDA NIH HHS); ID: 657</t>
  </si>
  <si>
    <t>Strain,E C. Department of Psychiatry and Behavioral Sciences, Johns Hopkins University School of Medicine, Baltimore, Maryland.</t>
  </si>
  <si>
    <t>http://ovidsp.ovid.com/ovidweb.cgi?T=JS&amp;CSC=Y&amp;NEWS=N&amp;PAGE=fulltext&amp;D=med3&amp;AN=1376362</t>
  </si>
  <si>
    <t>MEDLINE; Ovid Technologies; Acute effects of buprenorphine, hydromorphone and naloxone in methadone-maintained volunteers</t>
  </si>
  <si>
    <t>Strain,E. C.;Walsh,S. L.;Preston,K. L.;Liebson,I. A.;Bigelow,G. E.</t>
  </si>
  <si>
    <t>The effects of buprenorphine in buprenorphine-maintained volunteers</t>
  </si>
  <si>
    <t>Adult;Buprenorphine/ad Administration &amp; Dosage];*Buprenorphine/pd Pharmacology];Female;Humans;Hydromorphone/ad Administration &amp; Dosage];*Hydromorphone/pd Pharmacology];Male;Neuropsychological Tests;Substance-Related Disorders;40D3SCR4GZ (Buprenorphine);Q812464R06 (Hydromorphone)</t>
  </si>
  <si>
    <t>Buprenorphine is a mu opioid partial agonist currently used as an analgesic, and being developed for the treatment of opioid dependence. The purpose of this study was to determine the abuse liability of parenteral buprenorphine in volunteers maintained on daily sublingual (SL) buprenorphine (8 mg). In a residential laboratory, eight volunteers underwent pharmacologic challenges two times per week. Medication challenges were 16 h after the daily dose of buprenorphine, and consisted of double-blind IM injections of buprenorphine (4, 8, 16 mg), the prototypic mu opioid agonist hydromorphone (9 and 18 mg), or saline. Assessments consisted of physiologic monitoring, subjects' self-reports, and a trained observer's ratings of drug effects, and were collected for 0.5 h before and 2.0 h following injection. Supplemental doses of IM buprenorphine produced opioid agonist-like effects, indicating some abuse potential of parenteral buprenorphine in buprenorphine-maintained patients. There was incomplete cross-tolerance to the effects of hydromorphone, suggesting that higher maintenance doses of buprenorphine may be needed to maximize clinical efficacy. However, there was a lack of graded dose-effects for hydromorphone, suggesting that buprenorphine's combination of partial agonist effects and high affinity for opioid receptors may limit the magnitude of effects of supplemental full agonists. Finally, participants tolerated cumulative doses of maintenance buprenorphine plus challenge buprenorphine without adverse effects, suggesting higher doses of buprenorphine can be safely administered to opioid dependent patients.</t>
  </si>
  <si>
    <t>J2: Psychopharmacology (Berl); Strain, E C Walsh, S L Preston, K L Liebson, I A Bigelow, G E K05 DA00050 (United States NIDA NIH HHS) K20 DA00166 (United States NIDA NIH HHS) R01 DA08045 (United States NIDA NIH HHS) etc.; ID: 608</t>
  </si>
  <si>
    <t>Strain,E C. Department of Psychiatry and Behavioral Sciences, John Hopkins University School of Medicine, Baltimore, MD 21224, USA.</t>
  </si>
  <si>
    <t>http://ovidsp.ovid.com/ovidweb.cgi?T=JS&amp;CSC=Y&amp;NEWS=N&amp;PAGE=fulltext&amp;D=med4&amp;AN=9085402</t>
  </si>
  <si>
    <t>MEDLINE; Ovid Technologies; The effects of buprenorphine in buprenorphine-maintained volunteers</t>
  </si>
  <si>
    <t>Strait,R.;Stephens,K.;Bloodworth,L.;Dikun,J.;Author,Addresses;University,of Mississippi;Correspondence,Address;Strait, University of Mississippi United States Email,R.;rachelcstrait@gmail.com</t>
  </si>
  <si>
    <t>Knowledge and perception of prescription medication abuse among college freshman enrolled in a first-year experience course</t>
  </si>
  <si>
    <t>prescription drug;abuse;college;drug therapy;prescription;American;book;curriculum;demography;drug abuse;education;health promotion;human;inferential statistics;institutional review;methodology;pharmacist;prevention;program effectiveness;student;United States;university;writing</t>
  </si>
  <si>
    <t>Objective: This study is designed to measure the effectiveness of an American Pharmacists Association (APhA)- Academy of Student Pharmacists (ASP)- sponsored Generation Rx program delivered by student pharmacists through assessments of knowledge, perceptions, and willingness to intervene upon college freshman enrolled in the First-Year Experience Course (EDHE 101) at The University of Mississippi. Methods: An instrument was developed and adapted to allow a pre- and post-survey methodology to measure overall program effectiveness. Knowledge- based assessments were developed utilizing Generation Rx Initiative materials, with presentations subsequently developed and presenters trained to ensure consistent delivery of knowledge domain content. Subscales for perception and intervention domains were both adapted from a validated instrument. Domains will be assessed on key demography for comparison. Observations will be directly utilized in programmatic assessment to ensure quality and appropriateness of the local Generation Rx program. All descriptive and inferential statistics of this exploratory work will be performed and assessed. This study was submitted to The University of Mississippi Institutional Review Board. Results: Results are forthcoming and will be presented at the APhA Annual Meeting and Exposition. Course offerings will be late September/early October. In collaboration with The University of Mississippi's Office of Health Promotions, student pharmacists will be responsible for writing the textbook chapter on prescription drug education and prevention of prescription drug abuse utilized in the EDHE 101 curriculum for the following academic year. The data will directly affect how the material is prepared, delivered, and assessed.</t>
  </si>
  <si>
    <t>(Strait R., rachelcstrait@gmail.com; Stephens K.; Bloodworth L.; Dikun J.) APhA2015 San Diego, CA, United States 2015-03-27 to 2015-03-30 American Pharmacists Association; ID: 839</t>
  </si>
  <si>
    <t>Strand,L. M.;Cipolle,R. J.;Morley,P. C.;Frakes,M. J.;Author,Addresses;Peters;Inst of Pharmaceutical Care, College of Pharmacy University,of Minnesota;Harvard Street Se, Minneapolis,M.N.United States;Correspondence,Address;LM Strand, Peters Inst of Pharmaceutical Care College,of Pharmacy;University of Minnesota, Harvard Street,S.E.Minneapolis M.;United States Email, pipc,umn edu</t>
  </si>
  <si>
    <t>15579084; The impact of pharmaceutical care practice on the practitioner and the patient in the ambulatory practice setting: Twenty-five years of experience</t>
  </si>
  <si>
    <t>Current pharmaceutical design</t>
  </si>
  <si>
    <t>Curr.Pharm.Des.</t>
  </si>
  <si>
    <t>acetylsalicylic acid (adverse drug reaction);alendronic acid (drug therapy);amfebutamone (drug therapy);amitriptyline (drug therapy);atenolol (adverse drug reaction, drug therapy);atorvastatin (adverse drug reaction, drug therapy);calcium (adverse drug reaction, drug therapy);captopril (adverse drug reaction, drug therapy);conjugated estrogen (drug therapy);estradiol (drug therapy);furosemide (drug therapy);gemfibrozil (drug therapy);glibenclamide (drug therapy);hydrochlorothiazide (drug therapy);insulin (adverse drug reaction, drug therapy);lansoprazole (adverse drug reaction, drug therapy);levothyroxine (drug therapy);loratadine (drug therapy);metformin (drug therapy);mometasone furoate (drug therapy);nicotinic acid (drug therapy);nifedipine (drug therapy);raloxifene (drug therapy);ranitidine (drug therapy);rosiglitazone (drug therapy);sertraline (drug therapy);trazodone (drug therapy);unindexed drug;valsartan (drug therapy);zolpidem (drug therapy);pharmaceutical care;allergic rhinitis (drug therapy);ambulatory care;clinical practice;computer program;continuing education;cooperation;cost control;depression (drug therapy);diabetes mellitus (drug therapy);drug efficacy;drug indication;economic aspect;education program;esophagitis (drug therapy);experience;follow up;gastritis (drug therapy);health care cost;health care delivery;health care planning;health care quality;health status;human;hyperlipidemia (drug therapy);hypertension (drug therapy);hypothyroidism (drug therapy);insomnia (drug therapy);medical assessment;medical decision making;medical documentation;medical education;medical ethics;medical research;menopausal syndrome (drug therapy);osteoporosis (drug therapy);outcomes research;patient care;patient compliance;patient referral;pharmacist;physician;priority journal;resource allocation;review;side effect (side effect);time;treatment failure;acetylsalicylic acid (493-53-8, 50-78-2, 53663-74-4, 53664-49-6, 63781-77-1);alendronic acid (66376-36-1);amfebutamone (31677-93-7, 34911-55-2);amitriptyline (50-48-6, 549-18-8);atenolol (29122-68-7);atorvastatin (134523-00-5, 134523-03-8);calcium (14092-94-5, 7440-70-2);captopril (62571-86-2);estradiol (50-28-2);furosemide (54-31-9);gemfibrozil (25812-30-0);glibenclamide (10238-21-8);hydrochlorothiazide (58-93-5);insulin (9004-10-8);lansoprazole (103577-45-3, 138530-94-6, 138530-95-7);levothyroxine (51-48-9);loratadine (79794-75-5);metformin (1115-70-4, 657-24-9);mometasone furoate (105102-22-5, 83919-23-7);nicotinic acid (54-86-4, 59-67-6);nifedipine (21829-25-4);raloxifene (82640-04-8, 84449-90-1);ranitidine (66357-35-5, 66357-59-3);rosiglitazone (122320-73-4, 155141-29-0);sertraline (79617-96-2);trazodone (19794-93-5, 25332-39-2);valsartan (137862-53-4);zolpidem (82626-48-0);Public Health, Social Medicine and Epidemiology (17);Health Policy, Economics and Management (36);Drug Literature Index (37);Adverse Reactions Titles (38)</t>
  </si>
  <si>
    <t>This manuscript reviews 25 years of experience that include developing the practice of pharmaceutical care and initiating new practices. The impact this practice has on practitioners in the ambulatory setting is described as well as data that reflect its clinical and economic impact. There is a great need to prepare new practitioners to provide pharmaceutical care. A focused training program was developed and delivered to over 300 practitioners. The practitioners were prepared by providing direct patient care. They learned the philosophy of pharmaceutical care practice, to identify, resolve and prevent drug therapy problems, to document care using a specially designed software program called the Assurance Pharmaceutical Care‚î¨‚åê program. The practitioners who participated in the training program reported that the average amount of time spent with patients increased three-fold, they now see four times more patients than prior to training, and the number of new patients referred by physicians increased nine-fold as a result of the program. These practitioners have now provided care to more than 25,000 patients in their practices. These data have now been consolidated and analyzed, and a portion of these results is reported here. The clinical and economic outcomes from 2,985 adult patients, who received pharmaceutical care between January, 2000 and December, 2003, are presented. At the first assessment by the pharmaceutical care practitioner, 61% of the patients had one or more drug therapy problems identified and resolved. This resulted in an improvement in the clinical status or maintaining a stable status in 83% of the patients. The health care savings realized from pharmaceutical care were $1,134,162. This represented a benefit to cost ratio of 2:1. Physicians who collaborate with pharmaceutical care practitioners have validated the work of the practitioners, and patients are recognizing the benefits of pharmaceutical care. ‚î¨‚åê 2004 Bentham Science Publishers Ltd.</t>
  </si>
  <si>
    <t>(Strand L.M., pipc@umn.edu; Cipolle R.J.; Morley P.C.; Frakes M.J.) Bentham Science Publishers B.V., P.O. Box 294, Bussum, Netherlands.; ID: 1555</t>
  </si>
  <si>
    <t>1381-6128</t>
  </si>
  <si>
    <t>http://www.ncbi.nlm.nih.gov/pubmed/15579084</t>
  </si>
  <si>
    <t>The impact of pharmaceutical care practice on the practitioner and the patient in the ambulatory practice setting: Twenty-five years of experience</t>
  </si>
  <si>
    <t>Stratton,H.;Wu,J.;Whiteaker,P.;Author,Addresses;Division,of Neurobiology;Neurological Institute,Phoenix,United States;Correspondence,Address;Stratton, Division of Neurobiology Barrow Neurological Institute,H.;Phoenix,United States</t>
  </si>
  <si>
    <t>The effects of subunit stoichiometry on channel responses to ligand exposure in SH-EP1 cells expressing a4b2 neuronal nicotine receptors</t>
  </si>
  <si>
    <t>(MAJOR FOCUS);ligand;nicotinic receptor;3 (2 azetidinylmethoxy)pyridine;acetylcholine;cytisine;mecamylamine;neurotransmitter;nicotine;receptor;college;exposure;human;pharmacist;stoichiometry;agonist;Alzheimer disease;binding site;cell line;central nervous system;cognition;desensitization;dose response;kinetics;male;mammal;model;modulation;mouse;nerve cell;neuropathology;Parkinson disease;population;thalamus;tobacco dependence;voltage clamp technique;whole cell</t>
  </si>
  <si>
    <t>Background: Neuronal nicotinic acetylcholine receptors (nAChRs) are potent neuromodulators implicated in a wide range of normal cognitive functions. They also play critical roles in several neuropathologies including Parkinson's disease, Alzheimer's disease, and nicotine addiction. The a4b2 nAChR is ubiquitously expressed in the CNS and is the predominant high-affinity nicotine-binding site. a4b2 nAChRs exist in 2 pentameric isoforms, with (a4)2(b2)3 and (a4)3(b2)2 stoichiometries, and high- and low-sensitivity (HS/LS) agonist activation affinities, respectively. Objectives: (1) We will demonstrate differences in agonist potency and efficacy between the isoforms when expressed in a model human SH-EP1 cell line. (2) The expression characteristics of HS vs LS receptors will be determined in single, mechanically dissociated, cortical and thalamic mammalian neurons using isoform-selective agonists. Methods: Whole-cell voltage clamp studies of SH-EP1 cells stably expressing homogenous populations of HS and LS receptors will be performed to determine differences in ligand activity. These experiments will be performed using a variety of ligands, at a range of concentrations, to determine the dose-response and desensitization kinetics of the receptor isoforms. The ligands to be used include the agonists acetylcholine, nicotine, TC-2559, A-85380, cytisine, and the antagonists mecamylamine and dihydro-b-erythroidine. Thin (50 um) cortical and thalamic slices will be collected from young male mice using a vibratome and enzymatically treated. Small regions of the slice from the cortex or thalamus will be mechanically agitated under high magnification to isolate single neurons. This preparation is suitable because it preserves presynaptic boutons for investigations of firing activity by modulation of native neurotransmitter. The single neurons will be assessed using whole-cell voltage clamp under the application of the above ligands to determine the functional contribution of</t>
  </si>
  <si>
    <t>(Stratton H.; Wu J.; Whiteaker P.) 14th Annual Meeting of the College of Psychiatric and Neurologic Pharmacists, CPNP 2011 Phoenix, AZ, United States 2011-05-01 to 2011-05-04 Sage Publications; ID: 1277</t>
  </si>
  <si>
    <t>Stratton,T. P.;Cernohous,T.;Hager,K.;Bumgardner,M.;Traynor,A.;Worley,M. M.;Isetts,B. J.;Larson,T.;Seifert,R.</t>
  </si>
  <si>
    <t>College of pharmacy-based medication therapy management program for a university system</t>
  </si>
  <si>
    <t>Adolescent;Adult;Aged;Aged, 80 and over;Child;Female;*Health Benefit Plans, Employee/og Organization &amp; Administration];Humans;Male;*Medication Therapy Management/og Organization &amp; Administration];Middle Aged;Needs Assessment;*Schools, Pharmacy/og Organization &amp; Administration];*Universities/og Organization &amp; Administration];Young Adult</t>
  </si>
  <si>
    <t>OBJECTIVE: To document and evaluate the design and operation of a medication therapy management (MTM) benefit and associated MTM clinic developed by the University of Minnesota College of Pharmacy as a covered health plan benefit for University of Minnesota, Duluth (UMD) employees, early retirees, and their dependents. SETTING: Office-based, nondispensing pharmacy at UMD. PRACTICE DESCRIPTION: College of Pharmacy, Duluth faculty developed and provided MTM services as a covered health benefit for UMD beneficiaries. PRACTICE INNOVATION: Partnership between a university campus and a college of pharmacy to design and implement an MTM benefit as part of the university health plan covering current employees, early retirees, and dependents. MAIN OUTCOME MEASURES: MTM benefit design, MTM clinic implementation, patient complexity comparisons, and drug therapy problems identified and addressed. RESULTS: Of 1,000 eligible beneficiaries, 68 (~7%) took advantage of the MTM benefit, consistent with national participation rates but lower than the 25% goal for participation. Beneficiaries receiving MTM services were three times more complex in terms of health resource use than the "typical" UMD beneficiary and were experiencing 7.22 drug therapy problems per patient. CONCLUSION: The UMD MTM clinic was successful in providing UMD beneficiaries access to MTM services. The MTM benefit was subsequently offered throughout the entire University of Minnesota system (Crookston, Duluth, Minneapolis-St. Paul, and Morris).</t>
  </si>
  <si>
    <t>J2: J Am Pharm Assoc (2003); Stratton, Timothy P Cernohous, Tim Hager, Keri Bumgardner, Melissa Traynor, Andrew Worley, Marcia M Isetts, Brian J Larson, Tom Seifert, Randall; ID: 173</t>
  </si>
  <si>
    <t>Stratton,Timothy P. College of Pharmacy, University of Minnesota-Duluth, 1110 Kirby Dr., Duluth, MN 55812, USA. stratto@d.umn.edu</t>
  </si>
  <si>
    <t>http://ovidsp.ovid.com/ovidweb.cgi?T=JS&amp;CSC=Y&amp;NEWS=N&amp;PAGE=fulltext&amp;D=medl&amp;AN=23023847</t>
  </si>
  <si>
    <t>MEDLINE; Ovid Technologies; College of pharmacy-based medication therapy management program for a university system</t>
  </si>
  <si>
    <t>Strauss,S. M.;Astone,J. M.;Munoz-Plaza,C.;Hagan,H.;Des Jarlais,D.</t>
  </si>
  <si>
    <t>Residential substance user treatment programs as venues for HCV pharmacological treatment: client and staff perspectives</t>
  </si>
  <si>
    <t>Adult;*Antiviral Agents/tu Therapeutic Use];*Communication;Female;*Health Personnel;Health Promotion;*Hepatitis C/dt Drug Therapy];*Hepatitis C/ep Epidemiology];Hepatitis C/pc Prevention &amp; Control];Humans;Male;Middle Aged;Patient Compliance/sn Statistics &amp; Numerical Data];*Professional-Patient Relations;*Residential Treatment;*Substance-Related Disorders/ep Epidemiology];*Substance-Related Disorders/rh Rehabilitation];0 (Antiviral Agents)</t>
  </si>
  <si>
    <t>Hepatitis C virus (HCV) infection is highly prevalent among drug users. While there are antiviral medications available to combat the virus, the medication regimen is quite arduous, presenting special issues for drug users. We examined the challenges and benefits of using residential substance user treatment programs as venues for clients to undergo HCV medication regimens. Analyses of qualitative data collected from clients and staff in 2003 at four residential substance user treatment programs in the U.S. indicate that challenges primarily include issues involving the medications' side effects, and both financial and communication concerns. Benefits especially involve clients' feelings that they are being proactive in addressing health issues in an environment that provides much-needed support. Findings illuminate the complex issues involved for both clients and the programs, and some steps that programs can take to better support HCV-infected clients regarding HCV medication concerns.</t>
  </si>
  <si>
    <t>J2: Subst Use Misuse; Strauss, Shiela M Astone, Janetta M Munoz-Plaza, Corrine Hagan, Holly Des Jarlais, Don 1-R01 DA13409 (United States NIDA NIH HHS); ID: 437</t>
  </si>
  <si>
    <t>Strauss,Shiela M. National Development and Research Institutes, Inc., 71 West 23rd Street, 8th floor, New York, New York 10010, USA. strauss@ndri.org</t>
  </si>
  <si>
    <t>http://ovidsp.ovid.com/ovidweb.cgi?T=JS&amp;CSC=Y&amp;NEWS=N&amp;PAGE=fulltext&amp;D=med5&amp;AN=16419558</t>
  </si>
  <si>
    <t>MEDLINE; Ovid Technologies; Residential substance user treatment programs as venues for HCV pharmacological treatment: client and staff perspectives</t>
  </si>
  <si>
    <t>Stuijt,C. C.;Franssen,E. J.;Egberts,A. C.;Hudson,S. A.</t>
  </si>
  <si>
    <t>Appropriateness of prescribing among elderly patients in a Dutch residential home: observational study of outcomes after a pharmacist-led medication review</t>
  </si>
  <si>
    <t>*Aged/sn Statistics &amp; Numerical Data];Aged, 80 and over;Data Interpretation, Statistical;Drug Interactions;*Drug Utilization Review/mt Methods];Female;Health Personnel;Humans;Male;Netherlands;Pharmaceutical Services/st Standards];Pharmacies;*Pharmacists;Physicians, Family;*Prescriptions/st Standards];Residential Facilities/ma Manpower];*Residential Facilities/sn Statistics &amp; Numerical Data]</t>
  </si>
  <si>
    <t>BACKGROUND: Clinically significant pharmacokinetic and pharmacodynamic changes occurring with age make older patients more prone to the consequences of inappropriate prescribing. The combination of higher use of medicines resulting from a higher disease burden with suboptimal treatment monitoring results in a higher risk of unwanted drug effects from sometimes inappropriate choice of drugs, doses and durations of treatment. Pharmacy services are increasingly being targeted to minimize the overall number of unnecessary and potential harmful medicines. OBJECTIVE: To investigate the impact of a pharmacist-led medication review on quality of prescribing by a healthcare professional team consisting of a general practitioner (GP), care home staff and a pharmacist. METHODS: This observational study compared outcome measurements before and after a pharmacist-led review of medications for patients under the care of a healthcare professional team consisting of a GP, care home staff and pharmacist. The procedure for conducting and recording the medication review consisted of the preparation of a patient medication profile, which combined the patient's medical records with his or her complete prescription record (current and previous last 3 years] medication history) and pharmaceutical record (electronic journal entries for the patient over the same period). Laboratory values were evaluated in clinical context. Recommendations for the pharmaceutical plan were discussed at a conference involving the clinical pharmacist and other healthcare team members. Patients were recruited for medication review over the 12-month period 1 April 2003 to 1 April 2004. Medication appropriateness was assessed by an independent panel of clinical pharmacists using the Medication Appropriateness Index (MAI). RESULTS: A total of 54 patients were eligible according to the inclusion criteria, of whom 24 were subsequently excluded for various reasons; thus, 30 patients were eligible for assessment on the MAI. There was a statistically significant difference between overall pre- and post-intervention summed MAI scores (p=0.013). The pharmacist identified 115 drug-related problems, and the total number of accepted recommendations was 78 (67.8%). Use of a medication review as an intervention by a clinical pharmacist was associated with an improvement in appropriateness of prescribing. CONCLUSION: This study provides evidence supporting the formal integration of a clinical pharmacist into the healthcare team with the aim of improving prescribing appropriateness for institutionalized elderly Dutch patients. Overall MAI scores for all long-term medications used by a group of elderly patients improved significantly after a pharmacist-led medication review. This is an important finding because quality of prescribing is assuming increasing importance as a means of preventing avoidable medication-related harm.</t>
  </si>
  <si>
    <t>J2: Drugs Aging; Stuijt, Clementine C M Franssen, Eric J F Egberts, Antoine C G Hudson, Steve A; ID: 347</t>
  </si>
  <si>
    <t>1170-229X</t>
  </si>
  <si>
    <t>Stuijt,Clementine C M. Department of Pharmacy, Onze Lieve Vrouwe Gasthuis, Amsterdam, the Netherlands. ccmstuijt@hetnet.nl</t>
  </si>
  <si>
    <t>http://ovidsp.ovid.com/ovidweb.cgi?T=JS&amp;CSC=Y&amp;NEWS=N&amp;PAGE=fulltext&amp;D=med5&amp;AN=18947262</t>
  </si>
  <si>
    <t>http://dx.doi.org/10.2165/0002512-200825110-00005</t>
  </si>
  <si>
    <t>MEDLINE; Ovid Technologies; Appropriateness of prescribing among elderly patients in a Dutch residential home: observational study of outcomes after a pharmacist-led medication review</t>
  </si>
  <si>
    <t>Stuurman-Bieze,A.;de Boer,W. O.;Kokenberg,M. E.;Hugtenburg,J. G.;de Jong-van,den Berg;Tromp,T. F.</t>
  </si>
  <si>
    <t>Complex pharmaceutical care intervention in pulmonary care: part A. The process and pharmacists' professional satisfaction</t>
  </si>
  <si>
    <t>Adolescent;Adult;Aged;Clinical Trials as Topic;*Community Pharmacy Services;Drug Prescriptions;Humans;Middle Aged;Nebulizers and Vaporizers;Netherlands;Outcome Assessment (Health Care);Patient Compliance;Patient Education as Topic;*Pharmacists;*Physicians;Practice Guidelines as Topic;Professional Role;*Respiratory Tract Diseases/dt Drug Therapy]</t>
  </si>
  <si>
    <t>OBJECTIVE: In the IPMP study (Interventions on the principle of Pulmonary Medication Profiles), tailored pharmaceutical care interventions were provided to pulmonary patients selected because of drug use that deviates from Dutch guidelines. The aims were to solve drug-related problems and to improve patients' drug use. This article describes the pharmaceutical care process tailored to the individual problems of patients in the intervention arm of a randomized controlled trial and defines the package of care. METHODS: After a preliminary selection of the patients with the help of the algorithmic IPMP computer instrument, instructed Dutch community pharmacists had structured consultations with patients (aged 13-70 years) in the intervention arm to identify behaviour and specific problems with their medication. Based on this identification process, a tailored intervention was constructed that could comprise one or more of six pharmaceutical care modules. Modules were clustered in sets describing the complete programme of care provided to one patient. If necessary, pharmacists consulted the patients' physicians to improve the prescribed therapy. After the interventions, medication changes were evaluated with the patients. The prescribed medication and the refill rate were monitored in the pharmacy computer during 1 year. All activities and results were extensively monitored and documented. MAIN OUTCOME MEASURE: Process description, i.e. number of provided pharmaceutical care modules and medication changes. Pharmacists' satisfaction. RESULTS: Tailored interventions were provided to 199 patients at risk of sub-optimal drug therapy. In all 813 pharmaceutical care modules were performed and documented, and clustered in four different programmes. In addition to education and motivation to adhere to prescribed medication for all 199 patients, a medication change was suggested in 124 cases. Patients and physicians agreed upon a change in 94 cases. Device change was agreed upon in 58 of 64 cases, often simultaneously with medication change. Pharmacists consulted physicians concerning 100 patients. Pharmacists reported satisfaction with the pharmaceutical care approach. CONCLUSION: Because of the extensive documentation, interventions could be described completely. Pharmacists observed a better drug use after educating patients or by solving their drug-related problems. In collaboration with physicians drug treatment could be improved.</t>
  </si>
  <si>
    <t>J2: Pharm World Sci; Stuurman-Bieze, Ada G G de Boer, Willem O Kokenberg, Mirjam E A P Hugtenburg, Jacqueline G de Jong-van den Berg, Lolkje T W Tromp, Th F J; ID: 405</t>
  </si>
  <si>
    <t>Stuurman-Bieze,Ada G G. Quality Institute for Pharmaceutical Care, Lelystraat 80, 8265 BE Kampen, The Netherlands. adastuurman@planet.nl</t>
  </si>
  <si>
    <t>http://ovidsp.ovid.com/ovidweb.cgi?T=JS&amp;CSC=Y&amp;NEWS=N&amp;PAGE=fulltext&amp;D=med5&amp;AN=16341744</t>
  </si>
  <si>
    <t>MEDLINE; Ovid Technologies; Complex pharmaceutical care intervention in pulmonary care: part A. The process and pharmacists' professional satisfaction</t>
  </si>
  <si>
    <t>Su,H. C.;Chen,C. H.;Lin,C. A.;Juang,S. Y.;Liang,T. C.;Chan,A. L.;Author,Addresses;Chi,Mei;Medical Center,Tainan Taiwan;Correspondence,Address;HC Su, Chi-Mei Medical Center,Tainan Taiwan</t>
  </si>
  <si>
    <t>Drug cost reduction in long-term care patients with chronic disease</t>
  </si>
  <si>
    <t>A545</t>
  </si>
  <si>
    <t>Asia;chronic disease;drug cost;nursing home patient;adverse drug reaction;aged;confidence interval;data base;drug administration;drug administration route;drug interaction;drug therapy;drug use;education;home care;human;long term care;outpatient;patient;pharmacist;physician;polypharmacy;prescription;professional practice;telephone</t>
  </si>
  <si>
    <t>OBJECTIVES: The aim of this study was to assess the potential benefit of pharmacist home care visit for elderly patients who have at least one or more than one chronic diseases at long term care. METHODS: Using the claim database of Chi-Mei Medical Center from 2007 to 2008, patients aged 65 years and treated with over five medications were recruited. Pharmacists visited their home once a month to give them education on drug administration, drug interaction, duplicated drug use, adverse drug reaction etc and then followed up by telephone to see their condition after education. Pharmacists were created drug profile for each patient and recorded the items of education and discussed with their visiting physicians about their drug regimen in case there were inappropriated drug usage. RESULTS: At first visit, the average number of drugs prescribed to one patient was 5.89. There were 43.07% (28/65) and 27.69% (18/65) patients treated with poly-pharmacy and inappropriate drug use, respectively. The association of polypharmacy and inappropriate medication was significant. (P &lt; 0.001; 95% confidence interval: 82.56). The most common medication-related problems were the use of medication without proper indication (38.46%, 25/85), inappropriate administration route (34.85%, 22/65), poor compliance (55.38%, 36/65). The potential adverse drug reactions and drug interactions appeared in 8 patients and 12 patients, respectively. The outcome of pharmacist home care services include the reduction rate of outpatient visit from 1.38 times to 0.98 times every month; the decrease of items of drugs prescribed in one prescription was from 5.89 to 3.21; The average drug cost was reduced about</t>
  </si>
  <si>
    <t>(Su H.C.; Chen C.H.; Lin C.A.; Juang S.Y.; Liang T.C.; Chan A.L.) ISPOR 4th Asia-Pacific Conference Phuket, Thailand 2010-09-05 to 2010-09-07 Elsevier Ltd; ID: 1327</t>
  </si>
  <si>
    <t>Su,V.;Ng,K.;Murphy,L.;Author,Addresses;Correspondence,Address;Su,V.</t>
  </si>
  <si>
    <t>Ambulatory pharmacy services specializing in chronic pain and opioid management</t>
  </si>
  <si>
    <t>(MAJOR FOCUS);opiate;buprenorphine;methadone;morphine;chronic pain;hospital department;human;pharmacist;addiction;Canada;cancer pain;clinical pharmacy;consultation;diseases;drug therapy;education;funding;health;hospital;hospital patient;information processing;maintenance therapy;mental health;monitoring;motivation;patient;pharmacy;physician;primary medical care;psychiatrist;university;videoconferencing</t>
  </si>
  <si>
    <t>ISSUE: Innovative clinical pharmacy services provide medication management for patients with chronic non-cancer pain at Altum Health, an interprofessional ambulatory clinic funded through third-party payers. Pharmacists complete assessments in collaboration with consultant physicians and psychiatrists at the request of the payer, focusing on chronic pain, opioid dependence and mental health disorders. Services include a report outlining an opioid management plan with other medication recommendations for implementation by the patients' primary care provider. SOLUTION AND HOW</t>
  </si>
  <si>
    <t>(Su V.; Ng K.; Murphy L.) Canadian Pharmacists Association Conference, CPhA 2012 Whistler, BC, Canada 2012-06-01 to 2012-06-04 Canadian Pharmacists Association; ID: 1132</t>
  </si>
  <si>
    <t>Sullivan,C.;Lorenz,K.;Author,Addresses;Orlando Health, South Seminole,Hospital United;States;Correspondence,Address;Sullivan, Orlando Health South Seminole Hospital United States,C.</t>
  </si>
  <si>
    <t>The financial impact of supportive care vs supportive care plus buprenorphine/naloxone for inpatient opiate detoxification</t>
  </si>
  <si>
    <t>(MAJOR FOCUS);opiate;clonidine;dicycloverine;hydroxyzine;ibuprofen;loperamide;methocarbamol;naloxone;pseudoephedrine;trimethobenzamide;college;detoxification;hospital patient;human;pharmacist;abuse;diagnosis;electronic medical record;government;health center;hospital;insurance;length of stay;medicaid;medical record review;medicare;patient;statistics</t>
  </si>
  <si>
    <t>Type: Work in Progress. Background: Each year, South Seminole Hospital provides intensive inpatient opiate detoxification to approximately 1,000 patients. Patients are detoxed using one of two pharmacologic regimens: as needed symptom-driven supportive care using a standard order set comprised of clonidine, dicyclomine, hydroxyzine, ibuprofen, loperamide, methocarbamol, pseudoephedrine, and trimethobenzamide OR supportive care plus scheduled buprenorphine/ naloxone. Previous research indicates that both options are safe and effective for opiate detoxification. Objective: The objective of this study is to compare the financial impact of two commonly used treatment regimens for opiate detoxification. Methods: This retrospective chart review includes patients over the age of 18 admitted to any behavioral health unit with a diagnosis of opioid abuse or dependence seeking detoxification. Data will be retrieved via electronic medical records from 2008 to 2012 and includes primary insurance coverage, average hospital length of stay, average direct cost per patient, average variable cost per patient, and overall percentage of patients who received buprenorphine/ naloxone. Descriptive statistics will be provided. Outcomes: The number and percent of patients who were treated for opiate detoxification with and without buprenorphine/naloxone, along with the number of patients with each insurance type (commercial, medicaid, medicare, other government payers, and self-pay), the average hospital length of stay, and average direct and variable costs be reported.</t>
  </si>
  <si>
    <t>(Sullivan C.; Lorenz K.) 16th Annual Meeting of the College of Psychiatric and Neurologic Pharmacists, CPNP 2013 Colorado Springs, CO, United States 2013-04-21 to 2013-04-24 SAGE Publications Inc.; ID: 1042</t>
  </si>
  <si>
    <t>Sullivan,J. T.;Becker,P. M.;Preston,K. L.;Wise,R. A.;Wigely,F. M.;Testa,M. P.;Jasinski,D. R.</t>
  </si>
  <si>
    <t>Cocaine effects on digital blood flow and diffusing capacity for carbon monoxide among chronic cocaine users</t>
  </si>
  <si>
    <t>American Journal of Medicine</t>
  </si>
  <si>
    <t>Am.J.Med.</t>
  </si>
  <si>
    <t>Adult;*Carbon Monoxide/me Metabolism];Chronic Disease;Cocaine/ad Administration &amp; Dosage];*Cocaine/pd Pharmacology];Dose-Response Relationship, Drug;Double-Blind Method;*Fingers/bs Blood Supply];Humans;Infant, Newborn;Laser-Doppler Flowmetry/mt Methods];Laser-Doppler Flowmetry/sn Statistics &amp; Numerical Data];Male;Narcotics/ad Administration &amp; Dosage];*Narcotics/pd Pharmacology];*Pulmonary Diffusing Capacity/de Drug Effects];Regional Blood Flow/de Drug Effects];*Skin/bs Blood Supply];*Skin/de Drug Effects];*Substance-Related Disorders/pp Physiopathology];Surveys and Questionnaires;Time Factors;Vasoconstrictor Agents/ad Administration &amp; Dosage];*Vasoconstrictor Agents/pd Pharmacology];0 (Narcotics);0 (Vasoconstrictor Agents);7U1EE4V452 (Carbon Monoxide);I5Y540LHVR (Cocaine)</t>
  </si>
  <si>
    <t>PURPOSE: To determine the acute effects of intravenous (i.v.) cocaine on primarily digital skin blood flow and diffusion capacity for carbon monoxide (CO), and secondarily on subjective and cardiovascular measures. PATIENTS AND METHODS: A double-blind, Latin-square, placebo-controlled, dose-response study was conducted in an inpatient general clinical research center and clinical pharmacology unit of a university teaching hospital. Twelve adult males with histories of illicit drug use including i.v. cocaine received 0, 25, and 50 mg of i.v. cocaine given as 1-minute infusions, on 3 consecutive test days. Digital cutaneous blood flow was determined via laser doppler flowmetry and skin temperature. Diffusing capacity for carbon monoxide (DCO) was measured with standard techniques. Subjective responses were measured by oral report of a numerical ranking of strength of drug effect. Heart rate and blood pressure responses were measured by electronic sphygmomanometer. RESULTS: A maximal decrease in skin blood flow occurred at 2 to 3 minutes after infusion, and was not distinguished among drug conditions. Blood flow returned to baseline more rapidly after placebo than after cocaine: 7 minutes (placebo), 35 minutes (25 mg cocaine), 50 minutes (50 mg cocaine). Skin temperature decreased by 1.25 degrees C after placebo and by 2.75 and 3.25 degrees C after 25 and 50 mg of cocaine, respectively. DCO changed by -1.02 (mean) +/- 0.25 (standard deviation), 0.16 +/- 1.22, and 0.21 +/- 1.63 ml/min/mm Hg following placebo, 25, and 50 mg of cocaine, respectively. Typical subjective, chronotropic, and pressor responses to cocaine were demonstrated, and these occurred in close temporal relationship to digital blood flow and skin temperature responses. CONCLUSIONS: The digital cutaneous circulation is highly sensitive to vasoconstrictor effects of cocaine. Pulmonary blood volume tends to be preserved after i.v. cocaine. Subjective effects and cardiovascular responses occur in concert with peripheral blood flow changes. The peripheral vasoconstrictor effects have implications for cocaine users with concurrent vasospastic or vasculopathic disorders.</t>
  </si>
  <si>
    <t>J2: Am J Med; Sullivan, J T Becker, P M Preston, K L Wise, R A Wigely, F M Testa, M P Jasinski, D R 5 MO1 RR02719 (United States NCRR NIH HHS) DA 06120 (United States NIDA NIH HHS); ID: 606</t>
  </si>
  <si>
    <t>Sullivan,J T. Department of Medicine, Johns Hopkins University School of Medicine, Baltimore, Maryland, USA.</t>
  </si>
  <si>
    <t>http://ovidsp.ovid.com/ovidweb.cgi?T=JS&amp;CSC=Y&amp;NEWS=N&amp;PAGE=fulltext&amp;D=med4&amp;AN=9217590</t>
  </si>
  <si>
    <t>MEDLINE; Ovid Technologies; Cocaine effects on digital blood flow and diffusing capacity for carbon monoxide among chronic cocaine users</t>
  </si>
  <si>
    <t>Sullivan,Timothy J.</t>
  </si>
  <si>
    <t>A Novel Use of Computer Simulation in an Applied Pharmacokinetics Course</t>
  </si>
  <si>
    <t>Drug Therapy;Higher Education;Instructional Innovation;Online Systems;Program Evaluation;(Major): Computer Assisted Instruction;Computer Programs;Pharmaceutical Education;Pharmacology;Simulation</t>
  </si>
  <si>
    <t>The use of a package of interactive computer programs designed to simulate pharmacokinetic monitoring of drug therapy in a required undergraduate applied pharmacokinetics course is described. Students were assigned the problem of maintaining therapeutic drug concentrations in a computer generated "patient" as an adjunct to classroom instruction. (Author/MLW)</t>
  </si>
  <si>
    <t>Connect to the Mirlyn catalog at the University of Michigan Article (EJ); ID: 2102</t>
  </si>
  <si>
    <t>EJ264521</t>
  </si>
  <si>
    <t>ERIC; OCLC; A Novel Use of Computer Simulation in an Applied Pharmacokinetics Course</t>
  </si>
  <si>
    <t>Surani,N. S.;Pednekar,M. S.;Sinha,D. N.;Singh,G.;Warren,C. W.;Asma,S.;Gupta,P. C.;Singh,P. K.</t>
  </si>
  <si>
    <t>Tobacco use and cessation counseling in India-data from the Global Health Professions Students Survey, 2005-09</t>
  </si>
  <si>
    <t>Adolescent;Counseling;Cross-Sectional Studies;Data Collection;Female;Government Regulation;Health Occupations;Health Plan Implementation;Humans;India;Male;Prevalence;Sex Factors;*Smoking/ep Epidemiology];Smoking/pc Prevention &amp; Control];Students, Medical;*Tobacco Use Cessation/sn Statistics &amp; Numerical Data];*Tobacco Use Disorder/ep Epidemiology];Tobacco Use Disorder/pc Prevention &amp; Control];Young Adult</t>
  </si>
  <si>
    <t>CONTEXT: Tobacco use by health professionals reflects the failure of healthcare systems in protecting not only beneficiaries of the system but also those involved in health care delivery. AIM: The aim of this study was to report findings from the Global Health Professions Students Survey (GHPSS) conducted in medical, dental, nursing and pharmacy schools in India. SETTINGS AND DESIGN: A cross-sectional survey was conducted in Indian dental and medical schools (in 2009), nursing (in 2007), and pharmacy (in 2008) schools. MATERIALS AND METHODS: Anonymous, self-administered GHPSS questionnaire covering demographics, tobacco use prevalence, secondhand smoke (SHS) exposure, desire to quit smoking and training received to provide cessation counseling to patients was used. STATISTICAL ANALYSIS: Proportions and prevalence were computed using SUDAAN and SPSS 15.0. RESULTS: Current cigarette smoking and other tobacco use ranged from 3.4-13.4% and 4.5-11.6% respectively, in the four health professional schools, with the highest numbers for medical schools and males. Enforcement of smoking ban in medical schools was low (53%) compared to nursing (86.4%), pharmacy (85.5%), and dental (90.8%) schools. Ninety percent students thought health professionals have a role in giving smoking cessation advice to their patients. Three out of five current smokers wanted to quit. However, one out of two reported receiving help/advice to quit. Although all expressed the need, 29.1-54.8% students received cessation training in their schools. CONCLUSION: Tobacco control policy, cessation training and initiatives to help students quit smoking should be undertaken.</t>
  </si>
  <si>
    <t>J2: Indian J Cancer; Surani, N S Pednekar, M S Sinha, D N Singh, G Warren, C W Asma, S Gupta, P C Singh, P K; ID: 134</t>
  </si>
  <si>
    <t>Surani,N S. Healis-Sekhsaria Institute for Public Health, Navi Mumbai, India.</t>
  </si>
  <si>
    <t>http://ovidsp.ovid.com/ovidweb.cgi?T=JS&amp;CSC=Y&amp;NEWS=N&amp;PAGE=fulltext&amp;D=medl&amp;AN=23442408</t>
  </si>
  <si>
    <t>http://dx.doi.org/10.4103/0019-509X.107751</t>
  </si>
  <si>
    <t>MEDLINE; Ovid Technologies; Tobacco use and cessation counseling in India-data from the Global Health Professions Students Survey, 2005-09</t>
  </si>
  <si>
    <t>Surratt,Christopher K.;Desselle,Shane P.</t>
  </si>
  <si>
    <t>The Neuroscience Behind Drugs of Abuse: A PharmD Service-Learning Project</t>
  </si>
  <si>
    <t>8 8p</t>
  </si>
  <si>
    <t>Entry Date: 20130301. Revision Date: 20150711. Publication Type: Journal Article. Journal Subset: Biomedical; USA.; ID: 2050</t>
  </si>
  <si>
    <t>Mylan School of Pharmacy, Duquesne University</t>
  </si>
  <si>
    <t>http://proxy.lib.umich.edu/login?url=http://search.ebscohost.com/login.aspx?direct=true&amp;db=ccm&amp;AN=104337195&amp;site=ehost-live&amp;scope=site</t>
  </si>
  <si>
    <t>ccm; EBSCOhost; The Neuroscience Behind Drugs of Abuse: A PharmD Service-Learning Project</t>
  </si>
  <si>
    <t>Susan,L.;Serban,C.;Ancusa,V.;Banciu,C.;Gotia,S.;Pacurari,A.;Mavritsakis,N.;Romosan,I.;Author,Addresses;Clinic,I. V.;University of,Medicine;Pharmacy,Timi‚îº∆íoara Romania;Pathophysiology Department,University,of Medicine;Pharmacy;Œì√á¬£Victor BabesŒì√á¬•,Timisoara Romania;University Œì√á¬£PolitehnicaŒì√á¬•,Timisoara Romania;Physiology Department,University,of Medicine;Pharmacy;Œì√á¬£Victor BabesŒì√á¬•,Timisoara Romania;County Hopital,Alba Iulia;Correspondence,Address;Susan, IVth Medical Clinic University of Medicine,L.;Pharmacy;Timi‚îº∆íoara,Romania</t>
  </si>
  <si>
    <t>Incidence of chronic pancreatitis due to chronic alcohol abuse</t>
  </si>
  <si>
    <t>alcohol;alcohol abuse;chronic pancreatitis;aged;alcohol consumption;cholelithiasis;etiology;female;hospital;pancreas;pancreatitis;patient;pharmacy;risk;smoking;ultrasound;university</t>
  </si>
  <si>
    <t>Introduction: Although the association between alcohol and pancreatitis has been recognized, the precise magnitude of the impact of alcohol remains poorly quantified. Chronic pancreatitis represents a diverse group of lesions of various etiologies and the most frequent cause is ethanol and biliary lithiasis. Objectives: The aim of our study was to evaluate the incidence of chronic pancreatitis due to alcohol abuse in a group of patients hospitalized in one year period in IVth Medical Clinic of University of Medicine and Pharmacy Victor Babes Timisoara. Patients and Methods: We performed a total of 2262 abdominal echographies between January 2008 and January 2009. All the patients were complete clinically and paraclinically investigated. We performed in all patients an abdominal ultrasound using an Aloka ProSound 4400 ultrasound system with a 3.5 MHz transceiver. Results: The sex repartition of the patients was: 1320 men (58.35%) and 942 women (41.64%). The patients were aged between 18-85 years (mean age 51.5 years). 56% of the patients were from rural medium and 46% were from urban medium. 422 patients (18.65%) presented echographic modifications of the pancreas: 342 patients had chronic pancreatitis (81.4%), 23 patients had acutized chronic pancreatitis (5.45%) and 53 patients (12.55%) had tumoral modification. 88% of the patients with chronic pancreatitis had an alcohol consumption between 50 ml/day and 500 ml/day and 82% of them were smokers. Conclusion: Overall, these findings suggest an increased chronic pancreatitis risk for persons with a high ethanol intake. Smoking seems to be a remarkable co-factor together with alcohol in the development of chronic pancreatitis.</t>
  </si>
  <si>
    <t>(Susan L.; Banciu C.; Pacurari A.; Romosan I.) (Serban C.) (Ancusa V.) (Gotia S.) (Mavritsakis N.) 41st European Pancreatic Club (EPC) Meeting Szeged, Hungary 2009-07-01 to 2009-07-04 CONFERENCE EDITORS Hegyi P. Takacs T. Venglovecz V. Takacs T. Rakonczay Z. Takacs T. Venglovecz V. Takacs T. S. Karger AG; ID: 1435</t>
  </si>
  <si>
    <t>Sussman,S.;Leventhal,A.</t>
  </si>
  <si>
    <t>NIHMS629738 PMC4181563; Substance misuse prevention: addressing anhedonia</t>
  </si>
  <si>
    <t>New Directions for Youth Development</t>
  </si>
  <si>
    <t>56, 10</t>
  </si>
  <si>
    <t>Adolescent;*Anhedonia;Humans;*Program Development/st Standards];*Schools/og Organization &amp; Administration];*Substance-Related Disorders/pc Prevention &amp; Control]</t>
  </si>
  <si>
    <t>Anhedonia refers to the inability of experiencing pleasure in positive life events. It has been conceptualized as a stable yet malleable characteristic and is associated with hypoactivity in the mesolimbic and mesocortical dopaminergic systems. Very recently, it has been posited as an etiologic factor associated with drug addiction onset, escalation, and relapse. Prevention programming could be developed to counteract the harmful impact of anhedonia, so as to minimize its impact on drug misuse. Remedial efforts are those that either (1) permit the individual to tolerate low levels of pleasure without resorting to drug misuse or other maladaptive behaviors that may unhealthily besot pleasure (for example, through normalization, structuring time, or meditation) or (2) counteract anhedonia by enhancing ones capability to experience pleasure (for example, behavioral activation, positive psychology, pharmacotherapy, or pursuit of positive addictions). School-based activities could be developed that can be completed by individuals, small workgroups, or the whole classroom. The concept of anhedonia is described in this chapter, and possible prevention strategies that might be utilized in schools as well as other contexts are discussed. Copyright ‚î¨‚åê WILEY PERIODICALS, INC.</t>
  </si>
  <si>
    <t>J2: New Dir Youth Dev; Sussman, Steve Leventhal, Adam DA020138 (United States NIDA NIH HHS) R01 DA020138 (United States NIDA NIH HHS); ID: 39</t>
  </si>
  <si>
    <t>1537-5781</t>
  </si>
  <si>
    <t>Sussman,Steve. Preventive Medicine and Psychology, University of Southern California.</t>
  </si>
  <si>
    <t>http://ovidsp.ovid.com/ovidweb.cgi?T=JS&amp;CSC=Y&amp;NEWS=N&amp;PAGE=fulltext&amp;D=medl&amp;AN=24753277</t>
  </si>
  <si>
    <t>http://dx.doi.org/10.1002/yd.20085</t>
  </si>
  <si>
    <t>MEDLINE; Ovid Technologies; Substance misuse prevention: addressing anhedonia</t>
  </si>
  <si>
    <t>Swank,S.;Metzger,A.;Luder,H.;Author,Addresses;University,of;Cincinnati,United States;Correspondence,Address;Swank, University of Cincinnati United States Email srxswank gmail com,S.</t>
  </si>
  <si>
    <t>Impact of a pharmacist in a transitional care clinic on readmission rates and adherence</t>
  </si>
  <si>
    <t>e133</t>
  </si>
  <si>
    <t>e134</t>
  </si>
  <si>
    <t>hospital;hospital readmission;human;pharmacist;ambulatory care;arm;clinical handover;cohort analysis;computer program;consensus;counseling;data analysis software;drug therapy;education;electronic medical record;emergency ward;general practitioner;health center;hospitalization;institutional review;medical record review;medication compliance;medication therapy management;monitoring;outpatient;outpatient department;patient;pharmacy;physician;statistical analysis</t>
  </si>
  <si>
    <t>Objective: Research on factors affecting care of patient handoffs from a transitional care outpatient clinic (TCOC) visit to primary care physician (PCP) visit is limited. The Transitions of Care Consensus Conference recognizes the importance of outpatient transitions. The objective of this study is to assess the impact of interventions made by an ambulatory care pharmacist collaborating with a TCOC physician and community pharmacists to bridge the gap from TCOC to establishment of the initial PCP visit for patients recently discharged from the hospital. Methods: This is a prospective, sin- gle-center, cohort study of all patients seen in a TCOC at a federally qualified health center. TCOC meets on Tuesdays (physician visit only) and Thursdays (physician and pharmacist visit). The interventional arm will include 50 patients seen by the physician and pharmacist. These patients will receive pharmacistled chart review of recent hospitalization, medication reconciliation, phone calls to patient and pharmacy, education and adherence counseling, and recommendations on drug therapy problems and monitoring. Pillbox, medication reminder, and med-card with illustrative directions also will be provided. The control arm will be composed of 50 patients participating in a physician-only visit at TCOC. Data will be collected from the electronic medical record, TCOC visit, and pharmacy records and will include demographics, readmission and emergency department (ED) visit dates, fill history, drug therapy problems, and pharmacist interventions. The primary study outcome is all-cause 30-day readmission/ ED visit. Secondary outcomes include 30-day readmission/ED visit for reason of index hospitalization and medication adherence. Other outcomes are time duration of interventions and drug therapy problems and pharmacist interventions to mitigate these problems. Statistical analysis will utilize SPSS software. Study is pending institutional review board approval.</t>
  </si>
  <si>
    <t>(Swank S., srxswank@gmail.com; Metzger A.; Luder H.) APhA2015 San Diego, CA, United States 2015-03-27 to 2015-03-30 American Pharmacists Association; ID: 844</t>
  </si>
  <si>
    <t>Swartz,S. H.;Cowan,T. M.;DePue,J.;Goldstein,M. G.</t>
  </si>
  <si>
    <t>Academic profiling of tobacco-related performance measures in primary care</t>
  </si>
  <si>
    <t>4 Suppl 1</t>
  </si>
  <si>
    <t>S38</t>
  </si>
  <si>
    <t>Adult;Diagnosis-Related Groups/sn Statistics &amp; Numerical Data];Feasibility Studies;Feedback;Female;*Health Promotion/ut Utilization];Humans;Maine/ep Epidemiology];Male;Medical Records;Nicotine/tu Therapeutic Use];*Outcome and Process Assessment (Health Care);Patient Education as Topic/mt Methods];Pilot Projects;*Primary Health Care/st Standards];*Smoking Cessation/sn Statistics &amp; Numerical Data];*Tobacco Use Disorder/pc Prevention &amp; Control];6M3C89ZY6R (Nicotine)</t>
  </si>
  <si>
    <t>Academic detailing and data feedback are two methods that have been used to change provider behavior. Academic profiling is proposed as an intervention that combines provider educational outreach and peer-comparison feedback of data generated from chart reviews and health plans. This project assessed the feasibility of academic profiling, using baseline measures to assess provider performance in identifying and treating patients who smoke. The pilot study was undertaken with four primary care practices in Maine. Two health plans shared administrative claims data on adult patients of participating providers. Two educational sessions were conducted: one including feedback of tobacco-related chart documentation and claims for nicotine replacement and bupropion (Zyban), and the other, coding for tobacco use (ICD-9 305.1) in adults enrolled in two health plans during 1998. A mailed survey assessed provider attitudes following the intervention. Among 24 providers, 80% attended the first session and 70% attended the second session. Provider documentation of tobacco status in the medical records varied from 68% to 100%. The frequency of tobacco pharmacotherapy claims for adult health plan enrollees having a provider visit in 1998 varied from 0% to 4.6% (mean 1.5%) by provider. The frequency of tobacco use diagnosis claims (ICD-9 305.1) varied from 0% to 19.8% by provider. More than 90% of the providers who reviewed the profiling graphs found the data were understandable, and 66% reported that the sessions helped them improve the ways they interact with patients who smoke. Practices vary in tobacco-related documentation, the prescribing of tobacco pharmacotherapy, and the coding for tobacco use. Providers are willing to participate in educational outreach using peer-comparison feedback, presenting opportunities to improve performance in the treatment of tobacco dependence.</t>
  </si>
  <si>
    <t>J2: Nicotine Tob Res; Swartz, Susan H Cowan, Timothy M DePue, Judy Goldstein, Michael G; ID: 526</t>
  </si>
  <si>
    <t>Swartz,Susan H. Maine Medical Assessment Foundation, Manchester, Maine, USA. swarts@mmc.org</t>
  </si>
  <si>
    <t>http://ovidsp.ovid.com/ovidweb.cgi?T=JS&amp;CSC=Y&amp;NEWS=N&amp;PAGE=fulltext&amp;D=med4&amp;AN=11945218</t>
  </si>
  <si>
    <t>MEDLINE; Ovid Technologies; Academic profiling of tobacco-related performance measures in primary care</t>
  </si>
  <si>
    <t>Switzer,J. A.;Jaglal,S.;Bogoch,E. R.</t>
  </si>
  <si>
    <t>Overcoming barriers to osteoporosis care in vulnerable elderly patients with hip fractures</t>
  </si>
  <si>
    <t>Journal of orthopaedic trauma</t>
  </si>
  <si>
    <t>J.Orthop.Trauma</t>
  </si>
  <si>
    <t>Aged;Aged, 80 and over;*Evidence-Based Medicine;Female;Femoral Neck Fractures/co Complications];*Femoral Neck Fractures/di Diagnosis];*Femoral Neck Fractures/th Therapy];*Geriatric Assessment/mt Methods];Humans;Male;Osteoporosis/co Complications];*Osteoporosis/di Diagnosis];*Osteoporosis/th Therapy];Risk Assessment</t>
  </si>
  <si>
    <t>Indications for and benefits of providing osteoporosis (OP) care for hip fracture patients have become widely understood. The hip fracture patient is frequently over age 80 years, minimally ambulatory, has multiple medical comorbidities, and has cognitive impairment. Patient barriers to initiation of effective OP treatment include: age, dementia, medical comorbidities, polypharmacy, lack of adherence with treatment, alcohol abuse, postoperative delirium, language barriers, inadequate social support, and socioeconomic status. In a large teaching hospital, 244 patients presented with hip fracture over 2 years: 72% were female and 64% were over age 80. Forty percent had been diagnosed with dementia; another 29% had other severe medical comorbidities.Opportunities for OP diagnosis and treatment are numerous. In acute care hospitals, coordinator facilitated programs are effective for identification, education, assessment, referral, and treatment of underlying OP in fracture patients. System modifications may include an automated care path or automatic specialist referral for hip fracture patients. In the rehabilitation hospital, the patients are in a more stable condition, there is a focus on the recent fracture, and there are opportunities to initiate OP treatment and to promote adherence. In long-term care, dietary intake including calcium and vitamin D supplementation and persistence with pharmacotherapy can be monitored. Patient education and referral to the family physician for osteoporosis investigation and treatment have improved patient knowledge and diagnosis, but the reported impact on treatment has been limited.Effective OP care for the vulnerable hip fracture patient should be initiated early but may be complex and require coordination. In addition to calcium and vitamin D supplementation, most patients in this category have an indication for aminobisphosphonate therapy. Liaison between the orthopaedic team and the discharge destination caregivers, an established discharge diagnosis of osteoporosis, and ensuring patients are discharged on supplements and medication will promote patient, caregiver, and primary care physician awareness of the patient's OP care needs. Education programs may provide benefits at later stages, to improve adherence with treatment. References: 74]</t>
  </si>
  <si>
    <t>J2: J Orthop Trauma; Switzer, Julie A Jaglal, Susan Bogoch, Earl R; ID: 327</t>
  </si>
  <si>
    <t>1531-2291</t>
  </si>
  <si>
    <t>Switzer,Julie A. Department of Orthopaedic Surgery, University of Minnesota, Minneapolis, MN 55101, USA. julie.a.switzer@healthpartners.com</t>
  </si>
  <si>
    <t>http://ovidsp.ovid.com/ovidweb.cgi?T=JS&amp;CSC=Y&amp;NEWS=N&amp;PAGE=fulltext&amp;D=med5&amp;AN=19550234</t>
  </si>
  <si>
    <t>http://dx.doi.org/10.1097/BOT.0b013e31815e92d2</t>
  </si>
  <si>
    <t>MEDLINE; Ovid Technologies; Overcoming barriers to osteoporosis care in vulnerable elderly patients with hip fractures</t>
  </si>
  <si>
    <t>Szeinbach,Sheryl L.;Banahan,Benjamin F., I.,II</t>
  </si>
  <si>
    <t>Pharmacy Students Attitudes toward the Need for University Implemented Policies Regarding Alcohol and Illicit Drug Use</t>
  </si>
  <si>
    <t>Sum</t>
  </si>
  <si>
    <t>College Students;Demography;Drug Use;Higher Education;Pharmaceutical Education;Pharmacy;Questionnaires;School Health Services;Surveys;(Major): Alcohol Abuse;Drug Abuse;Student Attitudes;Student Personnel Services;Identifier: University of Michigan;University of Mississippi</t>
  </si>
  <si>
    <t>The study examined the extent of alcohol and illicit drug use by pharmacy students (N=1440) in eight schools of pharmacy in the southeastern United States. Reported drug use was low, but almost 70 percent of students perceived a need for substance abuse and awareness programs. (Author/MLW)</t>
  </si>
  <si>
    <t>Connect to the Mirlyn catalog at the University of Michigan Article (EJ); ID: 2078</t>
  </si>
  <si>
    <t>EJ412037</t>
  </si>
  <si>
    <t>ERIC; OCLC; Pharmacy Students Attitudes toward the Need for University Implemented Policies Regarding Alcohol and Illicit Drug Use</t>
  </si>
  <si>
    <t>Szumlinski,K. K.;Dehoff,M. H.;Kang,S. H.;Frys,K. A.;Lominac,K. D.;Klugmann,M.;Rohrer,J.;Griffin,W., 3;Toda,S.;Champtiaux,N. P.;Berry,T.;Tu,J. C.;Shealy,S. E.;During,M. J.;Middaugh,L. D.;Worley,P. F.;Kalivas,P. W.</t>
  </si>
  <si>
    <t>Homer proteins regulate sensitivity to cocaine</t>
  </si>
  <si>
    <t>Neuron</t>
  </si>
  <si>
    <t>Animals;Carrier Proteins/bi Biosynthesis];Carrier Proteins/ge Genetics];*Carrier Proteins/ph Physiology];*Cocaine/ad Administration &amp; Dosage];Cocaine-Related Disorders/ge Genetics];*Cocaine-Related Disorders/me Metabolism];Conditioning (Psychology)/de Drug Effects];Conditioning (Psychology)/ph Physiology];Dose-Response Relationship, Drug;Glutamic Acid/me Metabolism];Locomotion/de Drug Effects];Locomotion/ph Physiology];Mice;Mice, Inbred BALB C;Mice, Inbred C57BL;Mice, Knockout;Nucleus Accumbens/de Drug Effects];Nucleus Accumbens/me Metabolism];Self Administration;0 (Carrier Proteins);0 (Homer protein);3KX376GY7L (Glutamic Acid);I5Y540LHVR (Cocaine)</t>
  </si>
  <si>
    <t>Drug addiction involves complex interactions between pharmacology and learning in genetically susceptible individuals. Members of the Homer gene family are regulated by acute and chronic cocaine administration. Here, we report that deletion of Homer1 or Homer2 in mice caused the same increase in sensitivity to cocaine-induced locomotion, conditioned reward, and augmented extracellular glutamate in nucleus accumbens as that elicited by withdrawal from repeated cocaine administration. Moreover, adeno-associated virus-mediated restoration of Homer2 in the accumbens of Homer2 KO mice reversed the cocaine-sensitized phenotype. Further analysis of Homer2 KO mice revealed extensive additional behavioral and neurochemical similarities to cocaine-sensitized animals, including accelerated acquisition of cocaine self-administration and altered regulation of glutamate by metabotropic glutamate receptors and cystine/glutamate exchange. These data show that Homer deletion mimics the behavioral and neurochemical phenotype produced by repeated cocaine administration and implicate Homer in regulating addiction to cocaine.Copyright 2004 Cell Press</t>
  </si>
  <si>
    <t>J2: Neuron; Szumlinski, Karen K Dehoff, Marlin H Kang, Shin H Frys, Kelly A Lominac, Kevin D Klugmann, Matthias Rohrer, Jason Griffin, William 3rd Toda, Shigenobu Champtiaux, Nicolas P Berry, Thomas Tu, Jian C Shealy, Stephanie E During, Matthew J Middaugh, Lawrence D Worley, Paul F Kalivas, Peter W DA-03906 (United States NIDA NIH HHS) DA-10309 (United States NIDA NIH HHS) DA-11742 (United States NIDA NIH HHS) DA-14185 (United States NIDA NIH HHS) DA-14185-01 (United States NIDA NIH HHS) KO2-MH01152 (United States NIMH NIH HHS) MH-40817 (United States NIMH NIH HHS); ID: 471</t>
  </si>
  <si>
    <t>0896-6273</t>
  </si>
  <si>
    <t>Szumlinski,Karen K. Department of Physiology and Neuroscience, Medical University of South Carolina, Charleston, SC 29425, USA. szumlink@musc.edu</t>
  </si>
  <si>
    <t>http://ovidsp.ovid.com/ovidweb.cgi?T=JS&amp;CSC=Y&amp;NEWS=N&amp;PAGE=fulltext&amp;D=med5&amp;AN=15294147</t>
  </si>
  <si>
    <t>MEDLINE; Ovid Technologies; Homer proteins regulate sensitivity to cocaine</t>
  </si>
  <si>
    <t>Taha,Nur Akmar;Tee,Ooi Guat</t>
  </si>
  <si>
    <t>Tobacco Cessation through Community Pharmacies: Knowledge, Attitudes, Practices and Perceived Barriers among Pharmacists in Penang</t>
  </si>
  <si>
    <t>Health education journal</t>
  </si>
  <si>
    <t>Health Educ.J.</t>
  </si>
  <si>
    <t>Smoking;Health Promotion;Health Behavior;Knowledge Level;Barriers;Pharmacy;Professional Personnel;Community Programs;Drug Therapy;Counseling Techniques;Intervention;Questionnaires;Foreign Countries;Surveys;Attitude Measures;Statistical Analysis;Addictive Behavior;Identifier: Malaysia</t>
  </si>
  <si>
    <t>Objectives: Tobacco cessation is the primary goal of tobacco control measures. Community pharmacists are possible providers of tobacco cessation counselling due to their close contact with the public and the availability of non-prescription nicotine replacement therapies in pharmacies. However, community pharmacists often do not provide tobacco cessation interventions. This study aimed to assess the knowledge, attitudes, practices and perceived barriers to tobacco cessation counselling among community pharmacists in Penang, Malaysia. Design: Cross-sectional study. Setting: Community pharmacies on Penang Island. Methods: A self-administered questionnaire was distributed to 107 registered pharmacists practising in community settings on Penang Island. Results: The response rate was 79.4% (85/107), with very few (16/85, 18.8%) reporting participation in the certified tobacco cessation training. Among the respondents, 27.1% had high, 44.7% had moderate and 28.2% had high levels of knowledge, and those who attended the certified training displayed higher levels of knowledge of nicotine replacement therapies (p?&lt;?0.05). Most respondents showed positive attitudes towards tobacco cessation. However, the practice of tobacco cessation counselling based on the 5 As method was limited mainly to advising patients to quit smoking. The main barriers to tobacco cessation counselling included a lack of patient demand (71.8%), lack of education materials (69.4%) and lack of time (68.2%). Conclusions: More effort should be made to increase participation of community pharmacists in tobacco cessation continuing education, and strategies should be formulated to overcome barriers to tobacco cessation practice.</t>
  </si>
  <si>
    <t>FirstSearch indicates your institution subscribes to this publication. Libraries worldwide that own item: 783 University of Michigan Library INDEPENDENT U-M LIBRARIES Search the Mirlyn catalog at the University of MichiganLocal Holdings Information: 15-30,32-68; 1957-2009; 1943- 10 pages Article (EJ); ID: 2109</t>
  </si>
  <si>
    <t>0017-8969</t>
  </si>
  <si>
    <t>SAGE Publications. 2455 Teller Road, Thousand Oaks, CA 91320. Tel: 800-818-7243; Tel: 805-499-9774; Fax: 800-583-2665; e-mail: journals@sagepub.com; Web site: http://sagepub.com; http://dx.doi.org/10.1177/0017896914558643</t>
  </si>
  <si>
    <t>EJ1078007</t>
  </si>
  <si>
    <t>ERIC; OCLC; Tobacco Cessation through Community Pharmacies: Knowledge, Attitudes, Practices and Perceived Barriers among Pharmacists in Penang</t>
  </si>
  <si>
    <t>Taherkhani,R.;Farshadpour,F.;Makvandi,M.;Author,Addresses;Infectious;Tropical Diseases,Research Center;University of,Medical Sciences;Department of Medical Virology, School of Medicine,Ahvaz Jundishapur;University of,Medical Sciences;Correspondence,Address;Makvandi, Department of Medical Virology School of Medicine Ahvaz,M.;Jundishapur University of Medical Sciences, Ahvaz,Iran Email;manoochehrmakvandi29@yahoo.com</t>
  </si>
  <si>
    <t>In vitro anti-rotaviral activity of Achillea kellalensis</t>
  </si>
  <si>
    <t>(MAJOR FOCUS);achillea kellalensis extract (pharmacology);antivirus agent (pharmacology);plant extract (pharmacology);alcohol;crystal violet;hot water;neutral red;trypan blue;unclassified drug;Achillea;Achillea kellalensis;antirotaviral activity;antiviral activity;article;cell viability;concentration response;drug cytotoxicity;in vitro study;MTT assay;virus attachment;virus inhibition;virus replication;virus titration;alcohol (64-17-5);crystal violet (467-63-0, 548-62-9);neutral red (553-24-2);trypan blue (72-57-1);Microbiology: Bacteriology, Mycology, Parasitology and Virology (4);Drug Literature Index (37)</t>
  </si>
  <si>
    <t>Background: Achillea kellalensis, which is frequently used by Chaharmahal va Bakhtiarians residing in, Southwest of Iran, as a traditional herbal medicine for the treatment of acute diarrhea, has been selected to examine its antiviral activities against bovine rotavirus and cell toxicity activity in MA-104 cells. Objectives: The aim of this study was to evaluate the in vitro cytotoxic and anti-rotavirus properties of crude extracts of A. kellalensis. Materials and Methods: The dried and powdered flowers of Achillea kellalensis were extracted with hot water and ethanol 50% (v/v). The cell viability and toxicity of the extracts were evaluated on MA-104 cells using four methods; trypan blue dye, NR, crystal violet and MTT assay. The in vitro anti-rotavirus properties were determined via four different assays, in order to evaluate the direct inhibition and/or the inhibition of viral replication. Results: Cytotoxicity of two A. kellalensis extracts showed different concentrations. Hydro-alcoholic extract had low CC50 at 600 ‚ï¨‚ïùg/mL by the NR assay while the aqueous extract had high CC50 at 1000‚ï¨‚ïùg/mL by the crystal violet method. In the simultaneous treatment assay and post treatment assay, the extracts were able to prevent viral replication and inhibit the viral CPE on MA-104 cells at 10 TCID50, but the extracts did not exhibit direct antiviral activity on rotavirus adsorption. The effective concentration (EC50) of both extracts was observed to be 100 ‚ï¨‚ïùg/mL. Conclusions: These results indicate that A. kellalensis extracts exert potent anti-rotaviral activity only after viral adsorption. The two extracts from A. kellalensis showed a good selectivity index. Also these results suggest that extracts prepared from the flowers of A. kellalensis may be potential anti-rotaviral agents in vivo and be useful in veterinary medicine. ‚î¨‚åê 2013, School of Pharmacy, Ahvaz Jundishapur University of Medical Sciences; Licensee DocS Ltd.</t>
  </si>
  <si>
    <t>(Taherkhani R.; Farshadpour F.; Makvandi M., manoochehrmakvandi29@yahoo.com) Ahvaz Jundishapur University of Medical Sciences, PO Box 61357-33184, Ahvaz, Tehran, Iran.; ID: 1008</t>
  </si>
  <si>
    <t>1735-7780 2228-7876 (electronic)</t>
  </si>
  <si>
    <t>Tallian,K. B.;Hirsch,J. D.;Kuo,G. M.;Chang,C. A.;Gilmer,T.;Messinger,M.;Chan,P.;Daniels,C. E.;Lee,K. C.;Author,Addresses;University of California San Diego,Medical Center;Ca,United States;Scripps Memorial Hospital, San Diego,C.A.United States;Health Sciences Department, Skaggs School of,Pharmacy and;Pharmaceutical Sciences, University of California San Diego San,Diego C.;United,States;Department of Clinical Pharmacy, Skaggs School of,Pharmacy and;Pharmaceutical Sciences, University of California San Diego San,Diego C.;United,States;Skaggs School,of;Pharmacy;Pharmaceutical Sciences, University of California,San Diego</t>
  </si>
  <si>
    <t>23229987; Development of a pharmacist-psychiatrist collaborative medication therapy management clinic</t>
  </si>
  <si>
    <t>November-December</t>
  </si>
  <si>
    <t>antidepressant agent (pharmacoeconomics);mood stabilizer (pharmacoeconomics);ziprasidone (pharmacoeconomics);medication therapy management;pharmacist;psychiatrist;accreditation;article;bipolar disorder (disease management);certification;Clinical Global Impression scale;clinical protocol;counseling;drug monitoring;follow up;government;health care personnel;hospital;hospital billing;human;licensing;major depression (disease management);medical documentation;medical education;mental health center;mental health service;mood disorder (disease management);needs assessment;outcome assessment;outpatient care;patient care;patient dropouts;physician self-referral;practice act;prospective payment;reimbursement;schizoaffective psychosis (disease management);schizophrenia (disease management);substance abuse;teamwork;university hospital;ziprasidone (118289-78-4, 122883-93-6, 138982-67-9, 199191-69-0);Public Health, Social Medicine and Epidemiology (17);Psychiatry (32);Health Policy, Economics and Management (36);Drug Literature Index (37);Pharmacy (39)</t>
  </si>
  <si>
    <t>Objective: To describe a needs assessment, practice description, practice innovation and reimbursement of a psychiatric pharmacist medication therapy management (MTM) clinic with related challenges and opportunities. Setting: An MTM clinic established in collaboration with the Outpatient Psychiatric Services (OPS) at the University of California San Diego (UCSD), under contract with the San Diego County Health and Human Services Agency Adult and Older Adult Mental Health Services (A/OAMHS). Practice description: Two board-certified psychiatric pharmacists provided direct patient care using a collaborative practice protocol 3 days per week. Clinical services included pharmacotherapy management, laboratory monitoring, medication counseling, and psychosocial referrals to other providers. Practice innovation: Payment to UCSD OPS for clinical services was based on a contract between the San Diego County A/OAMHS and the clinic. Two pharmacists co-managed mental health patients and billed for medication management based on face-to-face contact time (medication minutes) and documentation time with each patient. Main outcome measures: Number of patients comanaged, dropout rates, visit duration, and billed minutes. Results: From May 2009 to December 2010, two pharmacists comanaged 68 patients, mean (‚î¨‚ñí SD) age 48.6 ‚î¨‚ñí 11.6 years, diagnosed with major depressive, schizophrenic, schizoaffective, and/or bipolar disorder. A total of 56 (82.3%) patients were clinically stable and remained on the pharmacist caseload, but 12 (17.6%) patients were lost to follow-up (10 lost contact, 1 moved, 1 expired). On average, patients had 7.7 patient visits, for 491 total visits (with an average of 26 minutes per visit) that were billed at a rate of $4.82 per minute for medication minutes, translating to 884.542.80. Conclusion: With provider education and appropriate physician champions, pharmacists are able to work collaboratively with psychiatrists in a mental health clinic.</t>
  </si>
  <si>
    <t>(Tallian K.B.) (Hirsch J.D.; Kuo G.M.; Daniels C.E.; Lee K.C., kellylee@ucsd.edu) (Chang C.A.; Messinger M.; Lee K.C., kellylee@ucsd.edu) American Pharmacists Association, 2215 Constitution Avenue NW, Washington, United States.; ID: 1097</t>
  </si>
  <si>
    <t>http://www.ncbi.nlm.nih.gov/pubmed/23229987</t>
  </si>
  <si>
    <t>Development of a pharmacist-psychiatrist collaborative medication therapy management clinic</t>
  </si>
  <si>
    <t>Tanabe,P.</t>
  </si>
  <si>
    <t>Commentary on Nursing knowledge: acute postoperative pain management in the elderly original article by Brockopp DY et al appears in J GERONTOL NURS 1993;19(11):31-7]</t>
  </si>
  <si>
    <t>ENA'S Nursing Scan in Emergency Care</t>
  </si>
  <si>
    <t>21 1p</t>
  </si>
  <si>
    <t>Postoperative Pain -- Drug Therapy -- In Old Age;Nursing Knowledge -- Evaluation;Students, Nursing;Medical-Surgical Nursing;Questionnaires;Content Validity;Comparative Studies;Adult;Middle Age;Aged;Aged, 80 and Over</t>
  </si>
  <si>
    <t>The literature has demonstrated extensively the problem of inadequate pain management, but there has been insufficient research among the elderly population. The authors developed and administered the Acute Postoperative Pain Inventory: Elderly Patients to investigate the baseline pain-management knowledge of 65 staff nurses, RNs with 2 or more years of acute care experience, and 70 student nurses. The tool measures basic pharmacologic concepts, potential for addiction, and the goals of pain medication as applied to the elderly population. Staff nurses scored significantly higher than student nurses. However, both groups scored very low on the questionnaire indicating a significant (p&lt;O.OOl) deficit in nursing knowledge of pain-management concepts in the elderly. Original article accession number: 1994176559 (research, tables/charts)]</t>
  </si>
  <si>
    <t>Entry Date: 19950901. Revision Date: 20150711. Publication Type: Journal Article; abstract; brief item; commentary. Journal Subset: Nursing; Peer Reviewed; USA. NLM UID: 9207215.; ID: 1850</t>
  </si>
  <si>
    <t>1056-7062</t>
  </si>
  <si>
    <t>http://proxy.lib.umich.edu/login?url=http://search.ebscohost.com/login.aspx?direct=true&amp;db=ccm&amp;AN=107420161&amp;site=ehost-live&amp;scope=site</t>
  </si>
  <si>
    <t>ccm; EBSCOhost; Commentary on Nursing knowledge: acute postoperative pain management in the elderly [original article by Brockopp DY et al appears in J GERONTOL NURS 1993;19(11):31-7]</t>
  </si>
  <si>
    <t>Tang,D. H.;Warholak,T. L.;Slack,M. K.;Malone,D. C.;Gau,C. S.</t>
  </si>
  <si>
    <t>PMC3279028; Science of safety topic coverage in experiential education in US and Taiwan colleges and schools of pharmacy</t>
  </si>
  <si>
    <t>Adverse Drug Reaction Reporting Systems;*Consumer Product Safety;Curriculum;*Drug-Related Side Effects and Adverse Reactions;*Education, Pharmacy/mt Methods];Faculty;*Health Knowledge, Attitudes, Practice;Humans;Internet;*Perception;Preceptorship;*Problem-Based Learning;Professional Competence;Risk Assessment;*Schools, Pharmacy;Surveys and Questionnaires;Taiwan;United States</t>
  </si>
  <si>
    <t>OBJECTIVE: To compare the science of safety (SoS) topic coverage and associated student competencies in the experiential education curricula of colleges and schools of pharmacy in the United States and Taiwan. METHODS: The experiential education director, assistant director, or coordinator at a random sample of 34 US colleges and schools of pharmacy and all 7 Taiwan schools of pharmacy were interviewed and then asked to complete an Internet-based survey instrument. RESULTS: Faculty members in both countries perceived that experiential curricula were focused on the postmarketing phase of the SoS, and that there is a need for the pharmacy experiential curricula to be standardized in order to fill SoS coverage gaps. Inter-country differences in experiential SoS coverage were noted in topics included for safety biomarkers that signal potential for drug-induced problems and pharmacogenomics. CONCLUSIONS: Experiential SoS topic coverage and student ability gaps were perceived within and between US and Taiwan colleges and schools of pharmacy.</t>
  </si>
  <si>
    <t>J2: Am J Pharm Educ; Tang, Derek H Warholak, Terri L Slack, Marion K Malone, Daniel C Gau, Churn-Shiouh; ID: 213</t>
  </si>
  <si>
    <t>Tang,Derek H. Department of Pharmacy Practice and Science, The University of Arizona College of Pharmacy, 1295 N. Martin, PO Box 210202, Tucson, AZ 85721, USA. dtang@pharmacy.arizona.edu</t>
  </si>
  <si>
    <t>http://ovidsp.ovid.com/ovidweb.cgi?T=JS&amp;CSC=Y&amp;NEWS=N&amp;PAGE=fulltext&amp;D=med5&amp;AN=22345721</t>
  </si>
  <si>
    <t>http://dx.doi.org/10.5688/ajpe7510202</t>
  </si>
  <si>
    <t>MEDLINE; Ovid Technologies; Science of safety topic coverage in experiential education in US and Taiwan colleges and schools of pharmacy</t>
  </si>
  <si>
    <t>Tangiisuran,B.;Gozzoli,M. P.;Davies,J. G.;Rajkumar,C.</t>
  </si>
  <si>
    <t>Adverse drug reactions in older people</t>
  </si>
  <si>
    <t>Reviews in Clinical Gerontology</t>
  </si>
  <si>
    <t>259 14p</t>
  </si>
  <si>
    <t>Adverse Drug Event -- In Old Age;Adverse Drug Event -- Classification;Medication Errors;Adverse Drug Event -- Risk Factors;Adverse Drug Event -- Economics;Aging -- Physiology;Polypharmacy -- Adverse Effects;Adverse Drug Event -- Prevention and Control;Drug Therapy, Computer Assisted;Pharmacists;Voluntary Reporting;Aged;Adverse Drug Event -- Epidemiology</t>
  </si>
  <si>
    <t>Adverse drug reactions (ADR) pose significant health-related problems for the older person. Many studies from around the world report a significant incidence of ADR in general and in elderly people in particular, resulting in an increase in drug-related morbidity and mortality. Older people appear to be particularly at risk of experiencing an ADR due to a range of factors, which include polypharmacy, altered drug pharmacokinetic profiles and pharmacodynamic responses, drug interactions and cognitive problems that increase the risk in this patient group. Certain drug classes, such as hypoglycaemic agents and cardiovascular active medicines, have been identified as common causes of ADR. Many studies suggest that the majority of ADR are preventable, so that several different approaches have been tried in an attempt to limit this problem, such as the use of computerized systems to communicate routine issues of patient care, interventions made by pharmacists, spontaneous reporting and continuous education of health care professionals. Whilst all have been shown to reduce drug-related events, identifying individuals at high risk of developing ADR at the point of prescribing by using a risk stratification model could improve the identification and prevention of ADR. This article discusses the clinical impact of ADR in older people and the relative merits of the various approaches tested to date before suggesting areas that require further research.</t>
  </si>
  <si>
    <t>Entry Date: 20101005. Revision Date: 20150711. Publication Type: Journal Article; review; tables/charts. Journal Subset: Biomedical; Europe; Peer Reviewed; UK &amp; Ireland. Special Interest: Gerontologic Care. NLM UID: 9114340.; ID: 1812</t>
  </si>
  <si>
    <t>0959-2598</t>
  </si>
  <si>
    <t>Department of Medicine, Brighton and Sussex Medical School, University of Sussex, Falmer, UK</t>
  </si>
  <si>
    <t>http://proxy.lib.umich.edu/login?url=http://search.ebscohost.com/login.aspx?direct=true&amp;db=ccm&amp;AN=105088816&amp;site=ehost-live&amp;scope=site</t>
  </si>
  <si>
    <t>10.1017/S0959259810000171</t>
  </si>
  <si>
    <t>ccm; EBSCOhost; Adverse drug reactions in older people</t>
  </si>
  <si>
    <t>Tarral,A.;Dostert,P.;Guillevic,Y.;Fabbri,L.;Rondelli,I.;Mariotti,F.;Imbimbo,B. P.;Author,Addresses;Biotrial,Technopole Atalante;Villejean,Rennes France;Research;Development;Department,Chiesi Farmaceutici Parma Italy;Research;Development Department,Chiesi,Farmaceutici Via;Palermo 26/A,Parma Italy;Correspondence,Address;B.P. Imbimbo,Research;Development Department,Chiesi,Farmaceutici Via;Palermo 26/A,Parma Italy</t>
  </si>
  <si>
    <t>12953347; Safety, pharmacokinetics, and pharmacodynamics of CHF 3381, a novel N-methyl-D-aspartate antagonist, after single oral doses in healthy subjects</t>
  </si>
  <si>
    <t>(MAJOR FOCUS);indantadol (adverse drug reaction, clinical trial, drug administration, drug;analysis, drug dose, oral drug administration, pharmacokinetics,;pharmacology);n methyl dextro aspartic acid receptor blocking agent (adverse drug;reaction, clinical trial, drug administration, drug analysis, drug dose,;oral drug administration, pharmacokinetics, pharmacology);2 aminoindan (drug analysis, drug concentration);chf 3567;drug metabolite (drug analysis, drug concentration);indantadol;n (2 indan 2 yl)glycine (drug analysis, drug concentration);unclassified drug;drug safety;pharmacodynamics;pharmacokinetics;single drug dose;accommodation;adult;area under the curve;article;asthenia (side effect);attention;body temperature;cardiovascular effect;clinical trial;cognitive defect (side effect);controlled clinical trial;controlled study;double blind procedure;drug absorption;drug blood level;drug clearance;drug effect;drug half life;drug structure;drug tolerability;drug urine level;eye disease (side effect);food drug interaction;high performance liquid chromatography;human;malaise (side effect);male;maximum tolerated dose;memory;nausea (side effect);normal human;randomized controlled trial;somnolence (side effect);urinary excretion;vertigo (side effect);DRUG TRADE NAMES;chf 3381 , ItalyChiesi;chf 3567 , ItalyChiesi;DRUG MANUFACTURERS;(Italy)Chiesi;2 aminoindan (2975-41-9);Clinical and Experimental Pharmacology (30);Drug Literature Index (37);Adverse Reactions Titles (38)</t>
  </si>
  <si>
    <t>A double-blind, randomized, placebo-controlled study was performed to assess the safety, tolerability, and pharmacokinetics of single oral doses of CHF 3381 in 56 young healthy male volunteers. The central nervous system effects of CHF 3381 were also evaluated, as well as the effect of food on the rate and extent of CHF 3381 absorption. Seven doses of CHF 3381 (25, 50, 100, 200, 300, 450, and 600 mg) were evaluated in an escalating order. At each dose level, 6 subjects were given CHF 3381, and 2 subjects were given placebo. Safety and tolerability evaluation included adverse events, physical examination, vital functions, electrocardiogram, laboratory tests, and 24-hour Holter (100-mg and 450-mg dose panels). Plasma and urinary concentrations of CHF 3381 and its two main metabolites (CHF 3567 and 2-aminoindane) were measured with a validated high-performance liquid chromatography method. Central nervous system effects were evaluated with the simple reaction time (SRT); learning memory task (LMT); Bond &amp; Lader Visual Analog Scale for alertness, contentedness, and calmness; Addiction Research Center Inventory (ARCI); and electroencephalogram. There were no serious adverse events; the most frequent adverse events were dizziness, abnormal thinking, and asthenia. The number of adverse events with moderate intensity increased sharply with the dose, with no or few events up to 450 mg and 17 events with 600 mg. Therefore, 600 mg was defined as the maximum tolerated dose. There were no significant treatment effects on cardiovascular function and electrocardiogram parameters at any CHF 3381 dose or on oral temperature or laboratory tests. There were no clinically significant changes in laboratory variables. CHF 3381 was absorbed rapidly (t(max) = 0.5-2 h) and cleared from plasma with a half-life of 3 to 4 hours. Plasma levels of CHF 3381 and its two major metabolites were found to be proportional to the dose. 2-Aminoindane formed slowly and reached much lower concentrations compared to the parent compound and the other metabolite (CHF 3567). Within 48 hours after dosing, 2% to 6% of the administered dose was found in the urine as unchanged drug, about 50% to 55% as the acid derivative (CHF 3567), and 2% to 3% as 2-aminoindane. Ingestion of food did not affect the extent of absorption of the drug, while the rate of absorption was considerably reduced (t(max) = 4 h). No significant effects of CHF 3381 were observed on attention (SRT) or memory (LMT). Visual analog scales revealed a decreasing effect of CHF 3381 on alertness at 1 hour that reached statistical significance at 300 and 600 mg. EEG spectral analysis revealed minor decreasing effects of the 200-mg dose on total electric power measured at 2 hours. A stimulant effect was detected by the ARCI scale 24 hours after the 300-mg dose and might be related to the slow formation of the 2-aminoindane metabolite. In conclusion, this study has shown that the maximum tolerated dose of CHF 3381 after single oral administration in young healthy male volunteers is 600 mg. CHF 3381 displays linear pharmacokinetics in the dose range of 25 to 600 mg. The compound is rapidly absorbed and cleared from plasma with a half-life of 3 to 4 hours. The ingestion of food seems to not affect the extent of absorption of the drug. Minor effects on the central nervous system were detected at doses equal to or greater than 300 mg. ‚î¨‚åê 2003 The American College of Clinical Pharmacology.</t>
  </si>
  <si>
    <t>(Tarral A.; Dostert P.; Guillevic Y.) (Fabbri L.; Rondelli I.; Mariotti F.; Imbimbo B.P.) (Imbimbo B.P.) SAGE Publications Inc., 2455 Teller Road, Thousand Oaks, United States.; ID: 1587</t>
  </si>
  <si>
    <t>http://www.ncbi.nlm.nih.gov/pubmed/12953347</t>
  </si>
  <si>
    <t>Safety, pharmacokinetics, and pharmacodynamics of CHF 3381, a novel N-methyl-D-aspartate antagonist, after single oral doses in healthy subjects</t>
  </si>
  <si>
    <t>Taskila,T.;Macaskill,S.;Coleman,T.;Etter,J. F.;Patel,M.;Clarke,S.;Bridson,R.;Aveyard,P.;Author,Addresses;Uk Centre for Tobacco Control Studies, Primary,Care Clinical;Sciences,School of Health;Population Sciences,Primary,Care Clinical;Sciences building, University of Birmingham,Birmingham B.;Correspondence,Address;Centre for Tobacco Control Studies Primary Care Clinical,T.Taskila, U.K.;Sciences,School of Health;Population Sciences,Primary,Care Clinical;Sciences building, University of Birmingham,Birmingham B.;t.k.taskila@bham.ac.uk</t>
  </si>
  <si>
    <t>22410103; A randomised trial of nicotine assisted reduction to stop in pharmacies - the RedPharm study</t>
  </si>
  <si>
    <t>BMC public health</t>
  </si>
  <si>
    <t>BMC Public Health</t>
  </si>
  <si>
    <t>(MAJOR FOCUS);nicotine gum;counseling;patient education;pharmacy;smoking (prevention);smoking cessation;adolescent;adult;article;clinical trial;controlled clinical trial;controlled study;feasibility study;human;methodology;pilot study;randomized controlled trial;treatment outcome;United Kingdom;nicotine gum (96055-45-7)</t>
  </si>
  <si>
    <t>Public policy and clinical treatment in tobacco addiction in the UK has focused on cessation: an abrupt attempt to stop all cigarettes. However, recent evidence suggests that allowing more gradual withdrawal from tobacco or even permanent partial substitution by nicotine replacement therapy (NRT) could lead to net benefits to public health. No jurisdiction has introduced smoking reduction programmes in normal clinical care and the best methods for their implementation is uncertain. Community pharmacists offering smoking cessation services in the UK are ideally placed to implement reduction programmes.This pilot study aims therefore to examine the feasibility of implementing smoking reduction programme in pharmacies, and also to see if behavioural support and a longer treatment affect the success rate for cessation. This is a 2 ‚îú√π 2 randomised factorial trial of behavioural support versus no support and short versus standard length reduction programme. The pharmacists will recruit 16 patients per pharmacy, 160 smokers altogether. Pharmacists will randomise each participant by sealed envelopes. In a standard supported programme, the pharmacist will give support for 34 weeks, inviting participants to set a treatment goal and providing advice on how to reduce cigarette use. Participants in the short programme will be given the same advice on how to reduce but will reduce smoking over four weeks. Participants in the no support arms will be given a leaflet that describes the reduction programmes in 4-week and 34-week format. All participants are encouraged to use of NRT to support the reduction. These processes will be measured by recording the number of recruited smokers; percentage of those who reduce and sustain their consumption to at least 50% of baseline value, and the proportion of people who attain 4 weeks abstinence and 6 months abstinence. Interviews will assess smokers' and pharmacists' views on the way the programme ran. This is a pilot study to assess the feasibility of offering smoking reduction programme within pharmacies that offer naturalistic setting to show population benefit from these programmes. Findings from this trial will inform the development of evidence-based treatment for smokers who want to reduce and best approaches to engage reluctant quitters onto the programme. Current Controlled Trials ISRCTN 2010-019259-24.</t>
  </si>
  <si>
    <t>(Taskila T.) (Macaskill S.; Coleman T.; Etter J.F.; Patel M.; Clarke S.; Bridson R.; Aveyard P.); ID: 1122</t>
  </si>
  <si>
    <t>1471-2458 (electronic)</t>
  </si>
  <si>
    <t>http://www.ncbi.nlm.nih.gov/pubmed/22410103</t>
  </si>
  <si>
    <t>A randomised trial of nicotine assisted reduction to stop in pharmacies - the RedPharm study</t>
  </si>
  <si>
    <t>Taussig,J.;Junge,B.;Burris,S.;Jones,T. S.;Sterk,C. E.</t>
  </si>
  <si>
    <t>Individual and structural influences shaping pharmacists' decisions to sell syringes to injection drug users in Atlanta, Georgia</t>
  </si>
  <si>
    <t>S40</t>
  </si>
  <si>
    <t>African Americans;Attitude of Health Personnel;Georgia;Humans;Interviews as Topic;*Pharmacists/px Psychology];*Substance Abuse, Intravenous;*Syringes/sd Supply &amp; Distribution]</t>
  </si>
  <si>
    <t>OBJECTIVE: To better understand the individual (e.g., attitudes and beliefs) and structural (e.g., laws and regulations) factors that influence and shape pharmacists' decisions about selling syringes to injection drug users (IDUs). DESIGN: Qualitative research. SETTING: Metropolitan Atlanta. PARICIPANTS: 20 practicing pharmacists who work in or near areas of high drug use in Atlanta, and nine pharmacists who are considered leaders in their profession in Georgia. INTERVENTIONS: Semistructured, in-depth interviews. MAIN OUTCOME MEASURES: Individual and structural factors that influence pharmacists' decisions about selling syringes to IDUs. RESULTS: Pharmacists reported that they use their professional discretion in making syringe sale decisions and that these decisions are influenced by individuals factors such as their personal attitudes and beliefs about the nature and causes of drug use, and by structural factors such as the Georgia Board of Pharmacy regulation stating that syringes cannot be sold if they will be used for an "unlawful purpose." CONCLUSIONS: IDUs' access to sterile syringes from pharmacies in Atlanta, would likely be increased by (1) providing practicing pharmacists with professional education programs that describe the broad professional support for IDU access to sterile syringes and why blood-borne infection prevention is a legitimate medical purpose for selling syringes and (2) removing or modifying the restrictive Board of Pharmacy regulation governing syringe sales.</t>
  </si>
  <si>
    <t>J2: J Am Pharm Assoc (Wash); Taussig, Jennifer Junge, Benjamin Burris, Scott Jones, T Stephen Sterk, Claire E; ID: 510</t>
  </si>
  <si>
    <t>Taussig,Jennifer. Georgia Department of Corrections, Atlanta 30334, USA. taussj00@dcor.state.ga.us</t>
  </si>
  <si>
    <t>http://ovidsp.ovid.com/ovidweb.cgi?T=JS&amp;CSC=Y&amp;NEWS=N&amp;PAGE=fulltext&amp;D=med4&amp;AN=12489614</t>
  </si>
  <si>
    <t>MEDLINE; Ovid Technologies; Individual and structural influences shaping pharmacists' decisions to sell syringes to injection drug users in Atlanta, Georgia</t>
  </si>
  <si>
    <t>Tebbett,I. R.;Author,Addresses;Forensic Science Program, College of Pharmacy,University of;Florida,Gainesville F. L. United States;Correspondence,Address;IR Tebbett, Forensic Science Program College of Pharmacy,University of;Florida,Gainesville F. L. United States</t>
  </si>
  <si>
    <t>Continuing education: Drugs of abuse: A pharmacist's guide</t>
  </si>
  <si>
    <t>amphetamine derivative (drug comparison, pharmacology);anandamide;atropine;barbituric acid derivative (adverse drug reaction, drug toxicity, oral drug;administration, parenteral drug administration, pharmacokinetics);benzodiazepine derivative (adverse drug reaction, drug therapy);cannabis (drug therapy, pharmacology);chlordiazepoxide (drug comparison);cocaine (drug comparison);codeine (drug therapy);dextromethorphan (drug therapy);dextropropoxyphene (drug therapy);diamorphine (drug interaction, drug therapy, pharmacokinetics, subcutaneous;drug administration);diazepam (drug comparison, drug interaction);dihydrocodeine (drug therapy);diphenoxylate (drug therapy);dronabinol (pharmacology);ketamine (drug comparison, intravenous drug administration, oral drug;administration);lorazepam (drug comparison);meprobamate;methadone (drug therapy, pharmacokinetics);morphine (buccal drug administration, drug interaction, drug therapy,;intramuscular drug administration, intranasal drug administration,;intraspinal drug administration, intravaginal drug administration, oral drug;administration, pharmacokinetics, rectal drug administration, subcutaneous;drug administration, sublingual drug administration);nalorphine (drug interaction);naloxone (drug interaction);opiate (adverse drug reaction, drug interaction, drug therapy, intravenous;drug administration, oral drug administration, pharmacokinetics,;pharmacology, transdermal drug administration);oxycodone (drug therapy);pethidine (drug therapy);phencyclidine (drug comparison, oral drug administration, pharmacokinetics);sedative agent (pharmacology);triazolam (drug comparison);unindexed drug;drug abuse;drug dependence;anxiety disorder (drug therapy);constipation (side effect);coughing (drug therapy);diarrhea (drug therapy);drug control;drug mechanism;drug metabolism;drug safety;glaucoma (drug therapy);human;lung edema (drug therapy);pain (drug therapy);pharmacist;review;withdrawal syndrome (side effect);DRUG TRADE NAMES;marinol;anandamide (94421-68-8);atropine (51-55-8, 55-48-1);cannabis (8001-45-4, 8063-14-7);chlordiazepoxide (438-41-5, 58-25-3);cocaine (50-36-2, 53-21-4, 5937-29-1);codeine (76-57-3);dextromethorphan (125-69-9, 125-71-3);dextropropoxyphene (1639-60-7, 469-62-5);diamorphine (1502-95-0, 561-27-3);diazepam (439-14-5);dihydrocodeine (125-28-0, 24204-13-5, 5965-13-9);diphenoxylate (3810-80-8, 915-30-0);dronabinol (7663-50-5);ketamine (1867-66-9, 6740-88-1, 81771-21-3);lorazepam (846-49-1);meprobamate (57-53-4);methadone (1095-90-5, 125-56-4, 23142-53-2, 297-88-1, 76-99-3);morphine (52-26-6, 57-27-2);nalorphine (1041-90-3, 57-29-4, 62-67-9);naloxone (357-08-4, 465-65-6);opiate (53663-61-9, 8002-76-4, 8008-60-4);oxycodone (124-90-3, 76-42-6);pethidine (28097-96-3, 50-13-5, 57-42-1);phencyclidine (77-10-1, 956-90-1);triazolam (28911-01-5);Clinical and Experimental Pharmacology (30);Drug Literature Index (37);Adverse Reactions Titles (38);Drug Dependence, Alcohol Abuse and Alcoholism (40)</t>
  </si>
  <si>
    <t>Drugs have been abused throughout history, suggesting that efforts to eradicate drug abuse will never be completely successful. One only has to look at tobacco as an example of a drug that everyone knows is harmful and addictive, and yet millions still use it. However, the good news is that, through education, fewer young people are choosing to smoke than in previous generations, but the cost to society through health care is still enormous. Similarly, attempts to legislate against drug use are not a solution. The prohibition of alcohol in the 1920s and '30s in the United States did little to prevent alcohol use and instead resulted in an increase in organized crime. Only through understanding the causes of drug abuse, identifying the symptoms and consequences, and educating the public can we make an impact on the numbers of lives affected by drug misuse. Pharmacists, tasked with filling prescriptions and counseling patients on drug use, are in an ideal position for identifying potential drug abuse and misuse, and as a resource as well for other healthcare professionals on the effects and dangers of drug misuse.</t>
  </si>
  <si>
    <t>(Tebbett I.R.) Advanstar Communications, One Park Avenue, New York, United States.; ID: 1503</t>
  </si>
  <si>
    <t>Tee,C.;Ngai,M.;Tang,S.;Yeoh,S. F.;Li,J.;Author,Addresses;Correspondence,Address;Tee,C.</t>
  </si>
  <si>
    <t>Evaluation and potential impact of critical care pharmacists' interventions in singapore</t>
  </si>
  <si>
    <t>human;intensive care;pharmacist;Singapore;society;adult;adverse drug reaction;alternative medicine;cardiovascular system;drug cost;drug dose regimen;drug use;glycemic control;infection;intensive care unit;learning;length of stay;mortality;North America;patient;prevention;teaching hospital;therapy;university</t>
  </si>
  <si>
    <t>Learning Objectives: Critical care pharmacists have been recognized to be an integral part of the multidisciplinary Intensive-Care Unit (ICU) team. However, studies evaluating the impact of having dedicated ICU pharmacists are largely limited to North America. We aim to characterize the critical care pharmacists' contributions in a university teaching hospital in Singapore. Methods: This is a retrospective evaluation of the critical care pharmacists' interventions in a single university teaching hospital (1228-bed) over 6 mo from January to June 2015. The adult ICUs (54-beds) included were the medical, surgical and cardio-thoracic ICUs. Potential impact of the interventions were analysed based on the primary outcomes of cost avoidance, prevention of adverse effects and optimization of therapy. These interventions were further classified according to FASTHUG categories and drug-related problems (DRPs). Results: Of the 1378 patients admitted to the 3 ICUs during the 6-month study period, 45% of them had pharmacist interventions. A total of 1705 interventions were made, with an average of 12.9 interventions per work day and 2.8 interventions per patient. Majority of the interventions were targeted at the prevention of adverse effects (55.1%), followed by the optimization of therapy (37.8%) and cost avoidance (7%). The most common interventions were related to infectious diseases (34.1%), glycemic control (8.8%) and the cardiovascular system (8.7%). The top 3 interventions based on DRPs were dosage regimen (51.7%), recommendation of alternative therapies (14.2%) and drug use without indication (10.9%). Conclusions: To our knowledge this is the first published data characterizing critical care pharmacists' interventions in Singapore. Substantial interventions were made across various clinical areas, the majority of which is to prevent adverse effects. This can serve as background knowledge on identifying the current gaps in ICU management and implementing appropriate guidelines. Future studies are needed to evaluate how these interventions impact ICU length of stay, mortality and drug costs.</t>
  </si>
  <si>
    <t>(Tee C.; Ngai M.; Tang S.; Yeoh S.F.; Li J.) 45th Critical Care Congress of the Society of Critical Care Medicine, SCCM 2015 Orlando, FL, United States 2016-02-20 to 2016-02-24 Lippincott Williams and Wilkins; ID: 786</t>
  </si>
  <si>
    <t>Tesoriero,J. M.;Battles,H. B.;Klein,S. J.;Kaufman,E.;Birkhead,G. S.</t>
  </si>
  <si>
    <t>Expanding access to sterile syringes through pharmacies: assessment of New York's Expanded Syringe Access Program</t>
  </si>
  <si>
    <t>Attitude of Health Personnel;Data Collection;Education, Pharmacy, Continuing;Harm Reduction;*Health Services Accessibility/og Organization &amp; Administration];Humans;Longitudinal Studies;*Needle-Exchange Programs/og Organization &amp; Administration];New York;*Pharmaceutical Services/og Organization &amp; Administration];*Pharmacists/og Organization &amp; Administration];Refuse Disposal;Substance Abuse, Intravenous/co Complications];Syringes/sd Supply &amp; Distribution];Time Factors</t>
  </si>
  <si>
    <t>OBJECTIVES: To investigate the evolution of pharmacist practices, attitudes, and experiences with the Expanded Syringe Access Program (ESAP), which permits over-the-counter sale of syringes by registered pharmacies in New York State. DESIGN: Longitudinal study. SETTING: New York State in 2002 and 2006. PARTICIPANTS: 506 (2002) and 682 (2006) managing pharmacists (response rates approximately 70%) at ESAP-registered pharmacies (n = 346 in both years). INTERVENTION: Mailed surveys (2002 and 2006). MAIN OUTCOME MEASURES: Pharmacist practices, attitudes, and experiences with ESAP over time. RESULTS: Approximately 75% of pharmacists reported that ESAP had facilitated timely/emergency access to syringes, and more than 90% in each year reported no problems or very few problems administering ESAP. The practice of placing additional requirements on the sale of syringes decreased from 2002 (51.4%) to 2006 (45.1%), while a 55% increase in syringe sales was reported between 2002 (43.3/month) and 2006 (67.1/month). The sale of sharps containers also increased between 2002 (85.2%) and 2006 (92.8%). Community independent pharmacies and those located outside New York City generally expressed more favorable attitudes and experiences with ESAP, although these differences decreased over time. CONCLUSION: Pharmacy-based syringe access is a viable harm-reduction alternative in the fight against blood-borne diseases, with ESAP now equaling the number of syringes being distributed by syringe exchange programs in New York State. Continued education/training is necessary to increase participation in ESAP and to further reduce barriers to ESAP use.</t>
  </si>
  <si>
    <t>J2: J Am Pharm Assoc (2003); Tesoriero, James M Battles, Haven B Klein, Susan J Kaufman, Erin Birkhead, Guthrie S R06/CCR223388 (United States PHS HHS); ID: 337</t>
  </si>
  <si>
    <t>Tesoriero,James M. Office of Program Evaluation and Research, AIDS Institute, New York State Department of Health, Riverview Center, Suite 516, 150 Broadway, Menands, NY 12204, USA. jmt07@health.state.ny.us</t>
  </si>
  <si>
    <t>http://ovidsp.ovid.com/ovidweb.cgi?T=JS&amp;CSC=Y&amp;NEWS=N&amp;PAGE=fulltext&amp;D=med5&amp;AN=19443321</t>
  </si>
  <si>
    <t>http://dx.doi.org/10.1331/JAPhA.2009.07127</t>
  </si>
  <si>
    <t>MEDLINE; Ovid Technologies; Expanding access to sterile syringes through pharmacies: assessment of New York's Expanded Syringe Access Program</t>
  </si>
  <si>
    <t>Testa,M.;Parks,K. A.;Hoffman,J. H.;Crane,C. A.;Leonard,K. E.;Author,Addresses;Research;Institute on Addictions, University at Bualo Buffalo,United States;Correspondence,Address;Testa, Research Institute on Addictions University at Bualo Buffalo,M.;United,States</t>
  </si>
  <si>
    <t>The temporal association between drinking and sexual aggression in college men</t>
  </si>
  <si>
    <t>332A</t>
  </si>
  <si>
    <t>alcohol;alcoholism;college;drinking;human;male;sexual violence;society;aggression;alcohol consumption;consensual sex;female;intoxication;model;persuasive communication;prevention;sexual assault;sexual behavior</t>
  </si>
  <si>
    <t>Although alcohol consumption has been associated with sexual aggression in college samples, few studies have considered the temporal, proximal relationship between drinking and subsequent perpetration of sexual aggression.We examined whether drinking episodes increased the odds of subsequent sexual aggression using 56 days of online daily reports from 429 college freshman males. Each day, participants were asked whether they drank alcohol and if so, the time of occurrence, number of drinks, context, and intoxication. They were also asked whether they engaged in any penetrative or non-penetrative sexual activity, including hookups, that day. If so, they recorded the time of occurrence and the extent to which they used verbal persuasion, physical force, and encouragement of intoxication (on 0-6 scales) as strategies to obtain sex. Sexual episodes that included use of any strategy (32% of sexual episodes) were considered sexually aggressive; those with none were considered consensual.We used a generalized linearmodel with a multinomial model and logit link function to predict 4models, with no sex days as the reference category. These outcomes were: 1) consensual sex with regular partner, 2) consensual sex with casual partner, 3) sexual aggression with regular partner, 4) sexual aggression with casual partner. After controlling for average drinking levels, drinks prior to sex increased the odds of both consensual sex with a casual partner and sexual aggression with a casual partner. Drinking had no impact on the odds of sexual aggression with a regular partner and reduced the odds of consensual sex with a regular partner. The pattern of results was consistent when the three strategies (verbal, physical, encourage to drink) were considered separately and when higher thresholds for aggression were used. Moreover, the pattern of results remained when differentmeasures of alcohol use were substituted (e.g., any alcohol use, any heavy episodic drinking, drinks 5 hours before sex). The event-level associations between drinking episodes and subsequent sexual activity with casual partnersmay reflect both pharmacological and context effects, since collegemen drink in social settings that include drinking women. Nonetheless, the robust relationships suggest that college drinking events are a potential target for sexual assault prevention efforts.</t>
  </si>
  <si>
    <t>(Testa M.; Parks K.A.; Hoffman J.H.; Crane C.A.; Leonard K.E.) 37th Annual Scientific Meeting of the Research Society on Alcoholism, RSA 2014 Bellevue, WA, United States 2014-06-21 to 2014-06-25 Blackwell Publishing Ltd; ID: 905</t>
  </si>
  <si>
    <t>Tetrault,J. M.;Holt,S.;Cavallo,D.;Fiellin,D. A.;Author,Addresses;Yale University,New,Haven United;States;Yale University, School of Medicine New,Haven United;States;Correspondence,Address;JM Tetrault, Yale University School of Medicine New,Haven United;States</t>
  </si>
  <si>
    <t>The addiction recovery clinic: A novel primary care-based approach to teaching addiction medicine</t>
  </si>
  <si>
    <t>S509</t>
  </si>
  <si>
    <t>acamprosate;buprenorphine;cannabis;cocaine;disulfiram;naltrexone;opiate;addiction;hospital;internal medicine;primary medical care;society;teaching;abuse;adult;alcohol use disorder;alcohol withdrawal;chronic disease;clinical practice;counseling;diagnosis;disease management;diseases;drug therapy;follow up;hospital patient;human;maintenance therapy;model;outpatient;patient;patient referral;patient satisfaction;physician;prevalence;prevention;psychologist;public health;satisfaction;skill;smoking cessation;social worker;student;substance abuse;substance use;United States</t>
  </si>
  <si>
    <t>NEEDS AND OBJECTIVES: Substance use is prevalent in the U.S. resulting in major public health burdens. Despite the high prevalence of substance use in Internal Medicine (IM) practice, little curricular time is devoted to training IM residents in Addiction Medicine (AM) and evaluating their skills in identification, diagnosis, treatment and prevention of substance use and substance use disorders. We developed and launched the Yale Addiction Recovery Clinic (ARC), intended to meet this educational deficit while also providing an outpatient clinical service to patients with addictive disorders, based upon the chronic disease management model. The educational objectives of the ARC include providing IM residents with knowledge of the biologic basis for addiction, and educating residents about available pharmacologic and behavioral interventions. SETTING AND PARTICIPANTS: The ARC is embedded within our outpatient adult Primary Care Residency Clinic and is staffed by two to three IM trainees per block, two AM-certified attending physicians, one AM Fellow, one social worker and a licensed behavioral psychologist and provides comprehensive care to patients with addiction. During their ambulatory rotation, trainees spend 1/2day per week for four consecutive weeks at the ARC seeing new and established patients. DESCRIPTION: Patient referrals are made from both the outpatient Primary Care Residency Clinic, and the inpatient service. Inpatient consults are evaluated by the ARC team during the inpatient stay, treatment is initiated, and follow up with the ARC is then arranged. Once patients are stabilized at the ARC, residents are encouraged to transition the patients' care back into their longitudinal primary care practice, utilizing the skills obtained during their ARC rotation. Services provided within the clinic include: treatment of opioid use disorder with buprenorphine induction, maintenance therapy, and behavioral counseling; treatment of alcohol use disorder with pharmacotherapy (naltrexone, disulfiram, acamprosate) and behavioral counseling, outpatient management of alcohol withdrawal, consultative services for other drugs of abuse (e.g. marijuana, cocaine), smoking cessation pharmacotherapy and counseling, and direct referral to local addiction treatment facilities for patients who cannot be safely managed within the ARC. EVALUATION: We developed a multi-level evaluation system. Clinical practice is evaluated by visit numbers and patient satisfaction surveys. Between August 2014 and December 2014, a total of 156 visits were seen with an average of 2 new patients and 7 follow-up patients were seen during each half-day session. Fifty percent of patients were treated for opioid use disorder, 30% for alcohol use disorder and 20% for other substance use disorder. Patient satisfaction surveys are currently being collected and analyzed. Residents are evaluated using a novel Entrus table Professional Activity (EPA) based system specifically designed for this rotation, which includes three specific EPAs across ten different domains. Overall, the rotation has been highly regarded by the residents as assessed by qualitative evaluation data. DISCUSSION / REFLECTION / LESSONS LEARNED: The ARC offers a unique primary care-based approach to teaching IM residents the knowledge and skills to identify, diagnose, treat and prevent addiction throughout the disease spectrum, in keeping with the chronic disease management model. A multilevel assessment system is used to evaluate the overall clinical practice, resident performance and skill acquisition through an EPA based system, and resident satisfaction with the educational experience.</t>
  </si>
  <si>
    <t>(Holt S.; Cavallo D.; Fiellin D.A.) (Tetrault J.M.) 38th Annual Meeting of the Society of General Internal Medicine Toronto, ON, Canada 2015-04-22 to 2015-04-25 Springer New York LLC; ID: 824</t>
  </si>
  <si>
    <t>Tfelt-Hansen,P.;Steiner,T. J.;Author,Addresses;Department,of Neurology;Copenhagen,Glostrup Hospital Glostrup Denmark;Division of,Neuroscience;Mental Health,Imperial College;London,London United Kingdom;Department,of Neurology;Hospital,D. K. G.;Correspondence,Address;K.,P.Tfelt-Hansen, Department of Neurology Glostrup Hospital D.;Glostrup,Denmark Email tfelt inet uni dk</t>
  </si>
  <si>
    <t>17927293; Over-the-counter triptans for migraine: What are the implications?</t>
  </si>
  <si>
    <t>(MAJOR FOCUS);naratriptan (drug comparison, drug therapy, pharmacoeconomics);sumatriptan (drug comparison, drug therapy, oral drug administration,;pharmacoeconomics);eletriptan (drug comparison, drug therapy);non prescription drug (drug therapy, pharmacoeconomics);rizatriptan (drug comparison, drug therapy);triptan derivative (drug therapy, pharmacoeconomics);migraine (drug therapy);analgesic agent abuse;clinical practice;cost control;disability;disease severity;drug bioavailability;drug cost;drug safety;Europe;evidence based practice;headache (drug therapy);health care cost;health care system;human;pharmacist;priority journal;productivity;review;United Kingdom;United States;DRUG MANUFACTURERS;Glaxo SmithKline;eletriptan (143322-58-1, 177834-92-3);naratriptan (121679-13-8, 143388-64-1);rizatriptan (144034-80-0, 145202-66-0);sumatriptan (103628-46-2);Internal Medicine (6);Neurology and Neurosurgery (8);Public Health, Social Medicine and Epidemiology (17);Health Policy, Economics and Management (36);Drug Literature Index (37)</t>
  </si>
  <si>
    <t>In 2006, the triptans sumatriptan 50mg and naratriptan 2.5mg were approved as over-the-counter (OTC) drugs in pharmacies in the UK and Germany, respectively. Both drugs have been used in a large number of patients with migraine and are considered to have good safety profiles. The implications of OTC triptan availability for clinical practice are that more migraine patients will use a triptan and will tend to medicate early when their headache is still mild, which should be beneficial. The problem with OTC access to triptans is medication overuse; therefore, patients should be warned of this and advised to use a triptan on fewer than 10 days per month. Pharmacists should be educated regarding migraine types and symptoms and on contraindications to triptans, so they are then able to discern the patients who should receive triptans and, as importantly, those who should not. The annual cost of migraine is Œì√©¬º27 billion in Europe, $US1.4 billion in the UK and $US16.6 billion in the US. By far the greatest opportunity for cost-savings comes from the potential to reduce costs associated with lost productivity from migraine. OTC availability of triptans will inevitably result in easier access to these medications, which, in turn, may result in improved treatment and lower migraine-related disability. There is currently a lack of empirical evidence that treating migraine effectively does in fact recover lost productivity; well designed studies are required to show this. The availability of triptans OTC is a logical development for the better management of a common, benign, self-limiting but nonetheless burdensome disorder that is currently grossly undertreated. We welcome this development, but recognise that advice at the point of sale is crucial for effective and safe use of these drugs. ‚î¨‚åê 2007 Adis Data Information BV. All rights reserved.</t>
  </si>
  <si>
    <t>(Tfelt-Hansen P., tfelt@inet.uni2.dk) (Steiner T.J.) Adis International Ltd, 41 Centorian Drive, Private Bag 65901, Mairangi Bay, Auckland 10, New Zealand.; ID: 1486</t>
  </si>
  <si>
    <t>http://www.ncbi.nlm.nih.gov/pubmed/17927293</t>
  </si>
  <si>
    <t>Over-the-counter triptans for migraine: What are the implications?</t>
  </si>
  <si>
    <t>Thein,H.;Denoe,M.;van Beek,I.;Dore,G.;MacDonald,M.</t>
  </si>
  <si>
    <t>Injecting behaviour of injecting drug users at needle and syringe programmes and pharmacies in Australia</t>
  </si>
  <si>
    <t>430 6p</t>
  </si>
  <si>
    <t>Needle Exchange Programs;Pharmacy, Retail;Substance Abuse, Intravenous -- Evaluation -- Australia;Syringes -- Economics;Adolescence;Adult;Australia;Comparative Studies;Data Analysis, Statistical;Female;Male;Middle Age;Questionnaires;Risk Taking Behavior;Human</t>
  </si>
  <si>
    <t>Objective: To compare demographic and injecting characteristics of clients collecting needle syringes from needle syringe programmes (NSPs) and pharmacies. Methods: Clients obtaining needle syringes from three NSPs and one pharmacy in the same geographic area during one and four weeks, respectively were asked to complete a self-administered questionnaire. Results: Approximately half the 336 NSP (56%) and 63 pharmacy (49%) respondents reported using both NSPs and pharmacies in the past month. NSP and pharmacy respondents were similar on many characteristics: male gender (60 and 62%, respectively); median age (30 years for both groups); median age at first injection (18 years both groups); history of methadone treatment (62 and 53%); and heroin as the last drug injected (60 and 59%). NSP respondents were more likely than pharmacy respondents to report imprisonment in the previous year (20% versus 8%, P=0.05), daily injection (67% versus 56%, P=0.09) and re-use of more than one other person's needle syringe in the previous month (27% versus 7% of 52 and 15 reporting needle syringe re-use). Pharmacy respondents were more likely than NSP respondents to report amphetamine use (32% versus 10%, P&lt;0.001), shared use of tourniquets (24% versus 12%, P=0.01), spoons (43% versus 32%, P=0.09), filters (22% versus 15%, P=0.1), or drug mix (16% versus 9%, P=0.1), and difficulty finding a vein (73% versus 26%, P&lt;0.001). Conclusion: The risk profile of IDUs (Injecting Drug Users) recruited at various sites provides important information for behavioural surveillance and health promotion efforts. Increased convenience of needle syringe access enhances HIV prevention efforts, however, appropriate education is required for people obtaining needle syringes at pharmacies to reduce sharing of injecting equipment other than needle syringes.</t>
  </si>
  <si>
    <t>Entry Date: 20040813. Revision Date: 20150711. Publication Type: Journal Article; research; tables/charts. Journal Subset: Biomedical; Europe; Peer Reviewed; UK &amp; Ireland. NLM UID: 9014759.; ID: 1922</t>
  </si>
  <si>
    <t>National Centre in HIV Epidemiology and Clinical Research Level 2, 376 Victoria Street, Darlinghurst, NSW 2010, Australia; rthein@nchecr.unsw.edu.au</t>
  </si>
  <si>
    <t>http://proxy.lib.umich.edu/login?url=http://search.ebscohost.com/login.aspx?direct=true&amp;db=ccm&amp;AN=106765447&amp;site=ehost-live&amp;scope=site</t>
  </si>
  <si>
    <t>ccm; EBSCOhost; Injecting behaviour of injecting drug users at needle and syringe programmes and pharmacies in Australia</t>
  </si>
  <si>
    <t>Thomas,C.;Noel,C.;Houser,J.;Author,Addresses;Chillicothe Department,of Veterans;Medical Center,United States;Correspondence,Address;Thomas, Chillicothe Department of Veterans Affairs Medical Center United,C.;States</t>
  </si>
  <si>
    <t>Management of hyperlipidemia and hypertension in dementia patients taking atypical antipsychotics</t>
  </si>
  <si>
    <t>(MAJOR FOCUS);atypical antipsychotic agent;antihypertensive agent;cholesterol;cholinesterase inhibitor;low density lipoprotein;low density lipoprotein cholesterol;neuroleptic agent;college;dementia;human;hyperlipidemia;hypertension;patient;pharmacist;aged;aggression;agitation;blood pressure;cardiovascular risk;chronic kidney disease;death;diabetes mellitus;Framingham risk score;hypothesis;medical society;null hypothesis;reading;risk;risk assessment;substance abuse</t>
  </si>
  <si>
    <t>Background: Hypertension and hyperlipidemia are modifiable disease states that increase the risk of cardiovascular death. In 2005 and 2008, black box warnings for increased risk of death were added to both atypical and typical antipsychotics. Despite the warnings associated with antipsychotics and their use in elderly dementia patients, they are still being used to manage agitation and aggression. This study will determine if hypertension and hyperlipidemia (cardiovascular risk factors) are controlled effectively in patients taking an atypical antipsychotic. Objective: To further examine the potential cause of cardiovascular death in dementia patients focusing on those treated with an atypical antipsychotic versus those patients who are not. Methods: The charts of patients meeting inclusion criteria will be reviewed to assess the primary objective. Data collected will include age, sex, name/strength of cholinesterase inhibitor, atypical antipsychotic, antihyperlipidemic and/or antihypertensive agent, refill history, substance abuse history, blood pressure, and LDL cholesterol readings. Patients who are at their blood pressure goal will be defined as less than 140/90 mm Hg (or less than 130/80 mm Hg for patients with diabetes or chronic kidney disease) according to American Heart Association (AHA) guidelines. Patients who are low-density lipoprotein (LDL) goal will be defined by the Framingham Risk Assessment Tool. At least 240 patients are required to be able to reject the null hypothesis with probability (power) 0.8 and type I error of 0.05. An uncorrected chi-squared statistic will be used to evaluate the null hypothesis. Outcomes: Our hypothesis is that hypertension and hyperlipidemia are being neglected because agitation and aggression are visibly treatable symptoms of dementia that take treatment priority. The primary outcome we will report on is the number of patients at their respective goals for blood pressure or cholesterol. These results will be used to compare those patients on an atypical antipsychotic to those who are not and result in acceptance or rejection of the null hypothesis.</t>
  </si>
  <si>
    <t>(Thomas C.; Noel C.; Houser J.) 15th Annual Meeting of the College of Psychiatric and Neurologic Pharmacists, CPNP 2012 Tampa, FL, United States 2012-04-29 to 2012-05-02 SAGE Publications Inc.; ID: 1158</t>
  </si>
  <si>
    <t>Thomas,C. J.;Noel,C.;Houser,J.;Author,Addresses;Chillicothe Department,of Veterans;Medical Center,United States;Correspondence,Address;CJ Thomas, Chillicothe Department of Veterans Affairs,Medical Center;United,States</t>
  </si>
  <si>
    <t>Management of hypertension in dementia patients taking atypical antipsychotics</t>
  </si>
  <si>
    <t>(MAJOR FOCUS);atypical antipsychotic agent;antihypertensive agent;cholesterol;cholinesterase inhibitor;low density lipoprotein;low density lipoprotein cholesterol;neuroleptic agent;college;dementia;human;hypertension;patient;pharmacist;aged;aggression;agitation;blood pressure;cardiovascular risk;chronic kidney disease;death;diabetes mellitus;Framingham risk score;hyperlipidemia;hypothesis;medical society;null hypothesis;reading;risk;risk assessment;substance abuse</t>
  </si>
  <si>
    <t>Background: Hypertension and hyperlipidemia are modifiable disease states that increase the risk of cardiovascular death. In 2005 and 2008, black box warnings for increased risk of death were added to both atypical and typical antipsychotics. Despite the warnings associated with antipsychotics and their use in elderly dementia patients, they are still being used to manage agitation and aggression. This study will determine if hypertension and hyperlipidemia (cardiovascular risk factors) are controlled effectively in patients taking an atypical antipsychotic. Objective: To further examine the potential cause of cardiovascular death in dementia patients focusing on those treated with an atypical antipsychotic versus those patients who are not. Methods: The charts of patients meeting inclusion criteria will be reviewed to assess the primary objective. Data collected will include age, sex, name/strength of cholinesterase inhibitor, atypical antipsychotic, antihyperlipidemic and/ or antihypertensive agent, refill history, substance abuse history, blood pressure, and LDL cholesterol readings. Patients who are at their blood pressure goal will be defined as less than 140/90 mm Hg (or less than 130/80 mm Hg for patients with diabetes or chronic kidney disease) according to American Heart Association (AHA) guidelines. Patients who are low-density lipoprotein (LDL) goal will be defined by the Framingham Risk Assessment Tool. At least 240 patients are required to be able to reject the null hypothesis with probability (power) 0.8 and type I error of 0.05. An uncorrected chi-squared statistic will be used to evaluate the null hypothesis. This abstract and poster will focus on hypertension. My coresident's poster will focus on hyperlipidemia. Outcomes: Our hypothesis is that hypertension and hyperlipidemia are being neglected because agitation and aggression are visibly treatable symptoms of dementia that take treatment priority. The primary outcome we will report on is the number of patients at their respective goals for blood pressure or cholesterol. These results will be used to compare those patients on an atypical antipsychotic to those who are not and result in acceptance or rejection of the null hypothesis.</t>
  </si>
  <si>
    <t>(Thomas C.J.; Noel C.; Houser J.) 15th Annual Meeting of the College of Psychiatric and Neurologic Pharmacists, CPNP 2012 Tampa, FL, United States 2012-04-29 to 2012-05-02 SAGE Publications Inc.; ID: 1160</t>
  </si>
  <si>
    <t>Thomas,D.;Abramson,M. J.;Bonevski,B.;Taylor,S.;Poole,S. G.;Paul,E.;Weeks,G. R.;Dooley,M. J.;George,J.</t>
  </si>
  <si>
    <t>Integrating smoking cessation into routine care in hospitals--a randomized controlled trial</t>
  </si>
  <si>
    <t>723 10p</t>
  </si>
  <si>
    <t>Smoking Cessation;Inpatients;Smoking -- Drug Therapy;Hospital Programs;Pharmacists -- Manpower;Randomized Controlled Trials;Hospitals, Public -- Australia;Multicenter Studies;Australia;Human;Female;Male;Adult;Middle Age;Descriptive Statistics;Data Analysis Software;P-Value;Confidence Intervals;Odds Ratio;Single-Blind Studies;Scales;Smoking Cessation -- Education;Pharmacists -- Education;Patient Education;Drug Therapy -- Education;Support, Psychosocial;Self-Efficacy;Questionnaires;Logistic Regression;Aged;Socioeconomic Factors;Carbon Monoxide -- Blood;Pretest-Posttest Design;Funding Source</t>
  </si>
  <si>
    <t>Entry Date: 20160331. Revision Date: 20160331. Publication Type: Article. Journal Subset: Biomedical; Europe; Peer Reviewed; UK &amp; Ireland. Instrumentation: Self-Efficacy Scale (SES); Short Form 8 Health Survey (SF-8); Charlson Comorbidity Index (CCI); Heaviness of Smoking Index (HSI); Patient Health Questionnaire (PHQ). Grant Information: Support provided by a Cancer Institute NSW Career Development Fellowship. This work was supported by the Australian Research Council through the Linkage Scheme (LP110200724) with The Alfred, Austin Health and Barwon Health as partner organizations, and an investigator-initiated research (IIR) grant from Pfizer.. NLM UID: 9304118.; ID: 1926</t>
  </si>
  <si>
    <t>Centre for Medicine Use and Safety, Monash University, Melbourne, Victoria Australia Department of Epidemiology and Preventive Medicine, Monash University, Alfred, Melbourne, Victoria Australia School of Medicine and Public Health, University of Newcastle, Callaghan, New South Wales Australia Pharmacy Department, Austin Health, Melbourne, Victoria Australia Pharmacy Department, Alfred Health, Melbourne, Victoria Australia Clinical Haematology Department, Alfred, Melbourne, Victoria Australia Pharmacy Department, Barwon Health, Geelong, Victoria Australia</t>
  </si>
  <si>
    <t>http://proxy.lib.umich.edu/login?url=http://search.ebscohost.com/login.aspx?direct=true&amp;db=ccm&amp;AN=113883518&amp;site=ehost-live&amp;scope=site</t>
  </si>
  <si>
    <t>10.1111/add.13239</t>
  </si>
  <si>
    <t>ccm; EBSCOhost; Integrating smoking cessation into routine care in hospitals--a randomized controlled trial</t>
  </si>
  <si>
    <t>Thomas,R. A.;Voytilla,R.;Knutson,A. R.</t>
  </si>
  <si>
    <t>APhA2010 House of Delegates: paving the way for the profession's best practices</t>
  </si>
  <si>
    <t>Advertising as Topic;Biological Products/ec Economics];Confidentiality/es Ethics];Education, Pharmacy/mt Methods];Education, Pharmacy/st Standards];Electronic Prescribing/st Standards];Government Regulation;Health Promotion/mt Methods];Health Records, Personal;Humans;Pharmacists/es Ethics];Pharmacists/lj Legislation &amp; Jurisprudence];*Pharmacists;Pharmacogenetics/mt Methods];Precision Medicine;*Professional Practice/st Standards];Professional Practice/td Trends];*Professional Role;*Societies, Pharmaceutical;Substance-Related Disorders;Tobacco Industry/ec Economics];Tobacco Industry/es Ethics];United States;0 (Biological Products)</t>
  </si>
  <si>
    <t>J2: J Am Pharm Assoc (2003); Thomas, Renee Ahrens Voytilla, Randall Knutson, Alison R; ID: 280</t>
  </si>
  <si>
    <t>Thomas,Renee Ahrens. RBT Consulting, Herndon, VA, USA. rthomasrx@gmail.com</t>
  </si>
  <si>
    <t>http://ovidsp.ovid.com/ovidweb.cgi?T=JS&amp;CSC=Y&amp;NEWS=N&amp;PAGE=fulltext&amp;D=med5&amp;AN=20621859</t>
  </si>
  <si>
    <t>http://dx.doi.org/10.1331/JAPhA.2010.10522</t>
  </si>
  <si>
    <t>MEDLINE; Ovid Technologies; APhA2010 House of Delegates: paving the way for the profession's best practices</t>
  </si>
  <si>
    <t>Thomas,S. E.;Miller,P. M.</t>
  </si>
  <si>
    <t>Knowledge and attitudes about pharmacotherapy for alcoholism: a survey of counselors and administrators in community-based addiction treatment centres</t>
  </si>
  <si>
    <t>Adult;Aged;*Alcohol Deterrents/tu Therapeutic Use];*Alcoholism/rh Rehabilitation];*Attitude of Health Personnel;Combined Modality Therapy;*Community Health Services;*Counseling;Data Collection;Female;*Health Knowledge, Attitudes, Practice;Humans;Inservice Training;Male;Middle Aged;*Naltrexone/tu Therapeutic Use];South Carolina;*Substance Abuse Treatment Centers;0 (Alcohol Deterrents);5S6W795CQM (Naltrexone)</t>
  </si>
  <si>
    <t>AIMS: Medications, when combined with psychosocial therapy, can improve treatment outcomes in alcoholics; however, medications are not widely utilized in community-based addiction treatment centres. Of interest is how non-medical addiction treatment professionals in these facilities view adjunctive pharmacotherapies for alcoholism. The present report focuses on baseline data collected during the course of an educational intervention project and explores predictors of positive attitudes about adjunctive pharmacotherapies among community addiction counselors and administrators. METHODS: Questionnaires were administered to 84 counselors and administrators at six community-based addiction treatment centres in South Carolina. Demographic data were collected, and knowledge and attitudes regarding the value of pharmacotherapies in the treatment of alcoholism were assessed. Correlation coefficients were explored, and follow-up multiple regression analyses were conducted to examine variables that predict scores reflecting the degree to which one values adjunctive pharmacotherapies for alcoholism. RESULTS: Respondents had little knowledge of naltrexone, with average test scores reflecting no better than chance performance. In addition, most participants believed that adjunctive pharmacotherapy is ineffectual. Higher valuation of adjunctive pharmacotherapy was related to knowledge about naltrexone, having a post-baccalaureate degree, and years of experience in the addictions treatment field. CONCLUSIONS: These data support that more widespread use of adjunctive pharmacotherapy for alcoholism may be impeded by the fact that addictions counselors, who are often the first contact for treatment-seeking individuals, have a lack of knowledge and a lack of confidence in the effectiveness of such treatments. Directed educational interventions are warranted for this population.</t>
  </si>
  <si>
    <t>J2: Alcohol Alcohol; Thomas, Suzanne E Miller, Peter M AA015065 (United States NIAAA NIH HHS); ID: 390</t>
  </si>
  <si>
    <t>Thomas,Suzanne E. Center for Drug and Alcohol Programs, Department of Psychiatry and Behavioral Sciences, Medical University of South Carolina Charleston, SC 29425, USA. thomass@musc.edu</t>
  </si>
  <si>
    <t>http://ovidsp.ovid.com/ovidweb.cgi?T=JS&amp;CSC=Y&amp;NEWS=N&amp;PAGE=fulltext&amp;D=med5&amp;AN=17172258</t>
  </si>
  <si>
    <t>MEDLINE; Ovid Technologies; Knowledge and attitudes about pharmacotherapy for alcoholism: a survey of counselors and administrators in community-based addiction treatment centres</t>
  </si>
  <si>
    <t>Thompson,T. L.;Bonnel,W. B.</t>
  </si>
  <si>
    <t>Integration of high-fidelity patient simulation in an undergraduate pharmacology course</t>
  </si>
  <si>
    <t>Journal of Nursing Education</t>
  </si>
  <si>
    <t>J.Nurs.Educ.</t>
  </si>
  <si>
    <t>Drug Overdose;*Education, Nursing, Baccalaureate;Humans;*Manikins;Narcotics/ad Administration &amp; Dosage];Narcotics/ae Adverse Effects];Nursing Assessment;Pain/dt Drug Therapy];*Pharmacology, Clinical/ed Education];Urolithiasis/co Complications];0 (Narcotics)</t>
  </si>
  <si>
    <t>High-fidelity patient simulations provide unique learning opportunities in undergraduate pharmacology. Every year, adverse drug events in the clinical setting affect thousands of patients. Pharmacology content is often taught independently without a clinical application component. Students have difficulty making the connections between learned content and clinical application; high-fidelity patient simulations provide students with the opportunity to make these connections in a safe environment. Implementing a pharmacological simulation with novice nursing students provides an applied learning experience that promotes knowledge retention, improves clinical judgment, and can produce safe practitioners in the clinical setting. This article discusses high-fidelity patient simulations and provides a pharmacology-based case scenario.</t>
  </si>
  <si>
    <t>J2: J Nurs Educ; Thompson, Teri L Bonnel, Wanda B; ID: 346</t>
  </si>
  <si>
    <t>0148-4834</t>
  </si>
  <si>
    <t>Thompson,Teri L. School of Nursing, University of Missouri Kansas City, 64108-2718, USA. thompsonte@umkc.edu</t>
  </si>
  <si>
    <t>http://ovidsp.ovid.com/ovidweb.cgi?T=JS&amp;CSC=Y&amp;NEWS=N&amp;PAGE=fulltext&amp;D=med5&amp;AN=19010051</t>
  </si>
  <si>
    <t>MEDLINE; Ovid Technologies; Integration of high-fidelity patient simulation in an undergraduate pharmacology course</t>
  </si>
  <si>
    <t>Tilney,N. L.;Guttmann,R. D.;Daar,A. S.;Hoffenberg,R.;Kennedy,I.;Lock,M.;Radcliffe-Richards,J.;Sells,R. A.</t>
  </si>
  <si>
    <t>The new chimaera: the industrialization of organ transplantation. International Forum for Transplant Ethics</t>
  </si>
  <si>
    <t>Transplantation</t>
  </si>
  <si>
    <t>*Drug Industry/td Trends];Humans;*Organ Transplantation/td Trends];Research Support as Topic</t>
  </si>
  <si>
    <t>Clinical organ transplantation has evolved through advances in patient care in parallel with investigations in associated biologies. It has developed from a cottage industry to an important medical specialty driven increasingly by the availability of newer and more effective immunosuppressive drugs, and dependent on consistently close collaborations between university-based clinical scientists and the pharmaceutical industry. Particularly during the past decade, however, this industry has undergone striking changes, consolidating into huge multi-national corporations, each competing for patients, their doctors, and for support of the allied hospitals. Because of the growth of "Big Pharma," the relationship between academia and industry has changed. There have been many advantages to such mutually dependent interactions. A combination of university-based expertise and the specialized knowledge and resources of industry have produced important scientific gains in drug development. Commercial sponsorship of applied research has been crucial. The orchestration of multicenter controlled clinical drug trials has provided invaluable information about the effectiveness of newer agents. But there are also disadvantages of increasing concern. Indeed, the power of "Big Pharma" in many medical fields including transplantation is such that presentation of data can be delayed, adverse results withheld, and individual investigations hampered. Clinical trials may be protracted to stifle competition. Monetary considerations may transcend common sense. Several measures to enhance the clinical relationship between the pharmaceutical industry and those involved with organ transplantation are suggested, particularly the use of third party advisors in the production of clinical trials, support for more basic research and in the dissemination of results. In this way, the increasingly problematic phenomenon of commercialization of the field of transplantation can be tempered and controlled.</t>
  </si>
  <si>
    <t>J2: Transplantation; Tilney, N L Guttmann, R D Daar, A S Hoffenberg, R Kennedy, I Lock, M Radcliffe-Richards, J Sells, R A; ID: 544</t>
  </si>
  <si>
    <t>0041-1337</t>
  </si>
  <si>
    <t>Tilney,N L. Brigham and Women's Hospital, Boston, MA 02115, USA.</t>
  </si>
  <si>
    <t>http://ovidsp.ovid.com/ovidweb.cgi?T=JS&amp;CSC=Y&amp;NEWS=N&amp;PAGE=fulltext&amp;D=med4&amp;AN=11292284</t>
  </si>
  <si>
    <t>MEDLINE; Ovid Technologies; The new chimaera: the industrialization of organ transplantation. International Forum for Transplant Ethics</t>
  </si>
  <si>
    <t>Tishler,L.;Matthews,M.;Ross,E.;Jamison,R.;Author,Addresses;Brigham;Women's,Hospital;Boston,United States;Mass,College of;Health Sciences,Boston United;States;Correspondence,Address;Tishler,Brigham,L.;Women's Hospital,Boston,United States</t>
  </si>
  <si>
    <t>A successful role for a Œì√á¬£Pain pharmacistŒì√á¬• in a large academic teaching practice</t>
  </si>
  <si>
    <t>27 SUPPL. 2</t>
  </si>
  <si>
    <t>S514</t>
  </si>
  <si>
    <t>human;internal medicine;pain;pharmacist;society;teaching;addiction;behavior disorder;chronic disease;chronic pain;consultation;e-mail;embedding;general practitioner;hospital patient;interpersonal communication;intervention study;model;monitoring;patient;physician;primary medical care;urine</t>
  </si>
  <si>
    <t>STATEMENT OF PROBLEM OR QUESTION (ONE SENTENCE): How can teaching practices help residents and staff learn the best practices for caring for patients with chronic pain? OBJECTIVES OF PROGRAM/INTERVENTION (NO MORE THAN THREE OBJECTIVES): 1. To help patients with chronic pain in a familiar setting. 2. To help residents and faculty learn best practices for monitoring patients on opioids. 3. To facilitate team-based care. DESCRIPTION OF PROGRAM/INTERVENTION, INCLUDING ORGANIZATIONAL CONTEXT (E.G. INPATIENT VS. OUTPATIENT, PRACTICE OR COMMUNITY CHARACTERISTICS): Our practice is a large academic teaching practice. Like many teaching practices, we are challenged by patients with chronic pain. Our desire to help treat their pain is balanced by our concerns about addiction, aberrant behavior, and drug diversion. While we have a wonderful consultative pain service, the care of these patients is often best done in the practice. Yet, particularly for newer physicians, at both the resident and faculty level, this care can be quite challenging. Working together with our pain service, we discussed ways that we might improve patient care.We have had success with a clinical pharmacist for co-management of chronic diseases and ultimately, the Jen Center and the pain service decided to try embedding a pharmacist with particular interest in chronic pain into our practice. Our Œì√á¬£pain pharmacistŒì√á¬• comes to the practice one afternoon/week, where she is free to meet with patients as well as consult with residents and staff. In her downtime in our practice, she is reviewing our log of patients on chronic opioids and helping tomake suggestions for better processes and protocols. When she is not in the practice, she easily and quickly consults with residents, faculty, and staff via phone or e-mail. She has integrated well and it's made a huge impact on our practice and resident experience. MEASURES OF SUCCESS (DISCUSS QUALITATIVE AND/OR QUANTITATIVE METRICSWHICHWILLBE USED TOEVALUATE PROGRAM/INTERVENTION): We will use the following measures to help us determine success of the program. These questions speak to both the need for improved knowledge and process. 1. Treatment of chronic pain is an issue in my practice (pretest response was 53/59 respondents agreed) 2. I am confident in my ability to manage chronic pain (pretest: 22/ 59 respondents agreed) 3. I always follow a defined protocol when I prescribe opioids. (pretest:14/59 respondents agreed) 4. I am afraid that my patients will become addicted if I prescribe chronic opioids (38/59 respondents agreed) FINDINGS TO DATE (IT IS NOT SUFFICIENT TO STATE Œì√á¬£FINDINGS WILL BE DISCUSSEDŒì√á¬•): While our post intervention study has not yet been completed, we have found that the embedded pain pharmacist has been quite successful in the following areas: 1. The availability of a real-time consultant has been extremely helpful in guiding us towards best practice. We see, for example, more appropriate use of urine screens and pain agreements in the practice. 2. As we move toward a PCMH model, the embedded pharmacist has been an excellent example of collaborative, team-based care. 3. An embedded pain pharmacist in primary care has helped enhance communications between our practice and the pain service. KEY LESSONS FOR DISSEMINATION (WHAT CAN OTHERS TAKE AWAY FOR IMPLEMENTATION TO THEIR PRACTICE OR COMMUNITY?): Key lessons from our project to date include: 1. There is tremendous value in working collaboratively with specialty services, but keeping care based within a primary care practice. 2. Without adding FTE resources, we can provide improved care for patients with chronic pain who use opioids. 3. There is tremendous need for improved care and communication to allow primary care physicians to manage opioids independently and competently.</t>
  </si>
  <si>
    <t>(Tishler L.; Matthews M.; Ross E.; Jamison R.) (Matthews M.) 35th Annual Meeting of the Society of General Internal Medicine, SGIM 2012 Orlando, FL, United States 2012-05-09 to 2012-05-12 Springer New York; ID: 1131</t>
  </si>
  <si>
    <t>Tkachuk,J. G.;Author,Addresses;Wayne,State Univ;Correspondence,Address;Wayne,State Univ</t>
  </si>
  <si>
    <t>Considerations regarding inservice education and hospital pharmacy practice</t>
  </si>
  <si>
    <t>Abstracts of Hospital Management Studies</t>
  </si>
  <si>
    <t>11275:53p.</t>
  </si>
  <si>
    <t>economic aspect;general hospital;hospital;paramedical profession;pharmacist;public hospital;teaching hospital;university hospital;Health Policy, Economics and Management (36)</t>
  </si>
  <si>
    <t>This essay reviews literature on inservice education and training, based primarily on experiences of the nursing profession, and reports a survey of hospital pharmacies in the metropolitan Detroit area, conducted through a mail questionnaire, to determine their current status in inservice education. Among findings: the small (60-110 bed) hospitals surveyed have more pharmacists per bed, and provide more unit dose dispensing and more pharmaceutical services through group practice; the large (360-1200 bed) hospitals have more routinely scheduled staff conferences, provide both more formalized on the job training for pharmacy technicians or supportive personnel, and more pharmacist involvement in drug abuse information.</t>
  </si>
  <si>
    <t>(Tkachuk J.G.); ID: 1787</t>
  </si>
  <si>
    <t>Todea,D. A.;Brinzaniuc,A.;Coman,A. C.;Herescu,A. C.;Rosca,L. E.;Author,Addresses;Pneumology,University of Medicine and;Pharmacy Iuliu Hatieganu Cluj-Napoca, Cluj,Napoca Romania;Correspondence,Address;DA Todea, Pneumology University,of Medicine;Pharmacy Iuliu,Hatieganu;Cluj-Napoca,Cluj</t>
  </si>
  <si>
    <t>Smoking cessation determinants in STOP smoking program from Cluj Napoca, Romania</t>
  </si>
  <si>
    <t>42 SUPPL. 57.</t>
  </si>
  <si>
    <t>amfebutamone;nicotine patch;varenicline;environment;European;quality of life;Romania;smoking;smoking cessation;society;art;counseling;diseases;female;human;male;medical history;outpatient;pharmacy;risk;tobacco dependence;university</t>
  </si>
  <si>
    <t>Cigarette smoking affects almost every system of the human body, thus causing multiple diseases. The risk of serious disease decreases rapidly after quitting. The aim of the study was to establish which were the determinants in smoking cessation process. Material and methods: We conducted a study from2008-2010. Study subjects included all smokers, outpatients, who visited Respiratory Medicine Department, University of Medicine and Pharmacy Iuliu Hatieganu Cluj Napoca in order to quit smoking. We collected Demographic data, detailed smoking history, detailed medical history with the presence of comorbidities, Fagerstr‚îú‚ï¢m test (FT) for nicotine dependence. Smoking history included pack-years (PYS), number of cigarettes per day, starting age, existence of quitting smoking attempt. The treatment options included counseling, bupropion SR, varenicline and nicotine patches. Results: From 441 subjects 52,6 % were males, 47,4 % females; mean age 39,4, median 39; 34,9 % had a disease, FT mean was 6,28, median 6,00; PYS mean was 23,66; median 20,00; number of cigarettes per day mean=23,75; median =20,00; starting age mean -18,39; median-18,00; and 58,7 % had an anterior smoking attempt. At the end of the treatment 54,2 % were nonsmokers and 45,8 smokers. From treatment options varenicline (OR= 6,4) was superior to bupropion SR (OR=2,55) and nicotine patches (OR=0,38); existence of quitting smoking attempt and starting age also influence the final outcome. Conclusions: The treatment but also other determinants are important in the smoking cessation process.</t>
  </si>
  <si>
    <t>(Brinzaniuc A., a-brinzaniuc@healthpolicy.ro; Coman A.C., dede.coman@yahoo.com; Herescu A.C., adasegarceanu@yahoo.com; Rosca L.E., loredanarosca@yahoo.com) (Todea D.A., doina_adina@yahoo.com) European Respiratory Society Annual Congress 2013 Barcelona, Spain 2013-09-07 to 2013-09-11 European Respiratory Society; ID: 1003</t>
  </si>
  <si>
    <t>Toklu,H. Z.</t>
  </si>
  <si>
    <t>Problem based pharmacotherapy teaching for pharmacy students and pharmacists</t>
  </si>
  <si>
    <t>Current Drug Delivery</t>
  </si>
  <si>
    <t>*Education, Pharmacy/mt Methods];Humans;Pharmacists;*Problem-Based Learning;Students, Pharmacy;Turkey</t>
  </si>
  <si>
    <t>Pharmacy profession also involves identifying, solving and preventing drug-related problems, as well as encouraging proper use of medications, thus improving clinical outcome of the treatment. Pharmacotherapy is usually thaught as lectures in pharmacy schools and many students have a difficulty in implementing the theoretical knowledge into practice. Therefore courses on "rational drug use or rational pharmacotherapy" should be given by problem based teaching methods. Since 2009, "Rational Drug Use" courses are given in Marmara University School of Pharmacy by such a method (based on simulated patients and dispensing score) developed by the 'Turkish Pharmacological Society'. The method enables problem based learning and it is also used in some of the pharmacy schools in Turkey and in Near East University in Northern Cyprus. This kind of learning will provide ability for critical thinking, improve problemsolving skills and decision making during pharmacotherapy.</t>
  </si>
  <si>
    <t>J2: Curr Drug Deliv; Toklu, Hale Zerrin; ID: 150</t>
  </si>
  <si>
    <t>1875-5704</t>
  </si>
  <si>
    <t>Toklu,Hale Zerrin. Marmara University School of Pharmacy, Department of Pharmacology, Tibbiye Cad. No: 49, 34668 Haydarpasa - Istanbul, Turkey. haletoklu@yahoo.com</t>
  </si>
  <si>
    <t>http://ovidsp.ovid.com/ovidweb.cgi?T=JS&amp;CSC=Y&amp;NEWS=N&amp;PAGE=fulltext&amp;D=medl&amp;AN=22998048</t>
  </si>
  <si>
    <t>MEDLINE; Ovid Technologies; Problem based pharmacotherapy teaching for pharmacy students and pharmacists</t>
  </si>
  <si>
    <t>Toklu,H. Z.;Demirdamar,R.;Author,Addresses;Marmara University,School,of Pharmacy;Istanbul,Turkey;Near East,University;Nicosia,Cyprus;Correspondence,Address;Toklu, Marmara University School of Pharmacy Istanbul Turkey,H.Z.;Email,haletoklu yahoo com</t>
  </si>
  <si>
    <t>The evaluation of prescription dispensing scores of the pharmacy students before and after the problem-based "rational drug use" course: Results of the two years' experience ORIGINAL (NON-ENGLISH) TITLE Eczaci{dotless}li{dotless}k fak‚îú‚ïùltesi ‚îú‚ï¢‚ïü¬∫rencilerinin re‚îú¬∫ete kar‚îº∆íi{dotless}lama skorlari{dotless}ni{dotless}n de‚ïü¬∫erlendirilmesiiki yi{dotless}lli{dotless}k deneyimin sonu‚îú¬∫lari{dotless}</t>
  </si>
  <si>
    <t>Marmara Pharmaceutical Journal</t>
  </si>
  <si>
    <t>drug use;pharmacy;prescription;rational drug use;article;checklist;clinical practice;communication skill;education program;human;medical school;pharmacist attitude;pharmacy student;problem solving;professional knowledge;questionnaire;vocational education;Pharmacy (39);Occupational Health and Industrial Medicine (35)</t>
  </si>
  <si>
    <t>Pharmacists have a crucial role in promoting rational use of drugs. Therefore, pharmacy schools should prepare a realistic program that is competent with the changing role of the pharmacist. Pharmacy education should provide ability for critical thinking, improve problem-solving skills and decision making during pharmacotherapy. Problem-based pharmacotherapy teaching methods help pharmacy students gain the skill to implement theoretical knowledge into practice. The present study evaluates the efficacy of a problem based "rational drug use course" in the pharmacy curriculum of Near East University and reviews the results of this two year experience. An elective practical rational pharmacotherapy course was given in 2011 and 2012, to 3rd year pharmacy students at Near East University by a method based on simulated patients and evaluation of dispensing scores. A pretest was conducted to evaluate the baseline dispensing score by OSPE (objective structured practical examination) and it was repeated at the end of the course (post-test). It was seen that the average dispensing score of group A (n=34) students was 34.26 ‚î¨‚ñí 13.6, whereas it was 34.94 ‚î¨‚ñí 11.6 for group B (n=17) in the pre-test (before the course). It increased almost twice to 62.18 ‚î¨‚ñí 13.0 and 67.06 ‚î¨‚ñí 15.6, respectively in Group A and B at the end of the semester (post-test). This improvement in the dispensing scores of the pharmacy students after the practical rational pharmacotherapy course were statistically significant (p&lt;0.001). Thus, the unique OSPE score sheet/ checklist (that has been developed by Turkish Pharmacological Society) seems user-friendly and useful.</t>
  </si>
  <si>
    <t>(Toklu H.Z., haletoklu@yahoo.com) (Toklu H.Z., haletoklu@yahoo.com; Demirdamar R.) Marmara University, Haydarpasa, Istanbul, Turkey.; ID: 976</t>
  </si>
  <si>
    <t>1309-0801 (electronic)</t>
  </si>
  <si>
    <t>English, Turkish</t>
  </si>
  <si>
    <t>The evaluation of prescription dispensing scores of the pharmacy students before and after the problem-based "rational drug use" course: Results of the two years' experience ORIGINAL (NON-ENGLISH) TITLE Eczaci{dotless}li{dotless}k fak‚îú‚ïùltesi(TRUNCATED)</t>
  </si>
  <si>
    <t>Tomko,J. R.;Giannetti,V. J.;Author,Addresses;Duquesne University Mylan, School,of Pharmacy;Division,of Clinical;Administrative Sciences,United States;Correspondence,Address;JR Tomko, Duquesne University Mylan School of Pharmacy,Division of;Clinical,Social;Administrative Sciences,United States</t>
  </si>
  <si>
    <t>Knowledge, attitudes, beliefs and practice of pharmacists regarding counseling of chemical dependent patients</t>
  </si>
  <si>
    <t>buprenorphine;opiate;college;counseling;patient;pharmacist;addiction;community;drug therapy;education;hospital department;patent;pharmacy;population;questionnaire;random sample;regression analysis;United States</t>
  </si>
  <si>
    <t>Abstract Type: Original Research. Background: With the availability of medications to treat chemical dependency in the ambulatory and community setting, such as buprenorphine, pharmacists are increasingly involved in delivering pharmacy services to chemically dependent populations. The objectives of this study were to assess the attitudes, beliefs, knowledge, and practice of pharmacists regarding the delivery of pharmacy services to drug dependent patients. In addition, the study sought to assess what factors predicted counseling of drug dependent patients by pharmacists. Methods: A questionnaire to assess attitudes, knowledge, beliefs, and practices of pharmacist regarding chemically dependent patients was developed. The knowledge section of the questionnaire did not focus specifically upon medication but attempted to assess the pharmacist's understanding of the overall treatment and disease state management of addictive disorders. Statements had a factual basis, and response confidence was rated on a 5-point Likert scale. The questionnaire was pre-tested upon eight pharmacists who were not included in the study and was revised based upon comments to improve clarity of the items. A random sample of 1000 Pennsylvania pharmacists taken from a list obtained from the Pennsylvania State Board of Pharmacy yielded a response rate of 11%. Results: Respondent mean score for knowledge was 38.5% correct. The response Œì√á¬£do not knowŒì√á¬• was counted as incorrect. Of incorrect responses, 48.1% endorsed Œì√á¬£do not knowŒì√á¬• as a response. Knowledge of chemical dependency treatment, frequency of dispensing of medications to treat chemical dependency, lack of negative attitudes toward chemical dependent patients, years in practice, and confidence in counseling patients were utilized in a regression analysis to predict both the practice of and confidence in counseling. Lack of negative attitudes (r = Œì√´√ë0.7; P = 0.006), knowledge of chemical dependency treatment (r = 0.22; P = 0.02), and frequency of dispensing medications to treat addictions (r = 0.22; P = 0.01) were factors that predicted pharmacist confidence in counseling chemically dependent patients. Only years in practice predicted pharmacist disease state management services to opioid-dependent patients (r = 0.297; P = 0.003). Conclusions: There is a need for more education of pharmacists in chemical dependency. However the most effective forms of education for chemical dependency appear to be actual experience with chemically dependent patents.</t>
  </si>
  <si>
    <t>(Tomko J.R.; Giannetti V.J.) 13th Annual Meeting of the College of Psychiatric and Neurologic Pharmacists, CPNP 2010 San Antonio, TX, United States 2010-04-18 to 2010-04-21 SAGE Publications Inc.; ID: 1357</t>
  </si>
  <si>
    <t>Torvi,J. R.;Hunashal,R.;Author,Addresses;Department of Pharmacology, Karnataka,Institute of;Medical Sciences,Hubli,Karnataka India;Correspondence,Address;JR Torvi, Department of Pharmacology Karnataka Institute,of Medical;Sciences,Hubli Karnataka India</t>
  </si>
  <si>
    <t>Pharmacovigilance</t>
  </si>
  <si>
    <t>International Journal of Pharma and Bio Sciences</t>
  </si>
  <si>
    <t>October-December</t>
  </si>
  <si>
    <t>drug surveillance program;adverse outcome;clinical practice;cost benefit analysis;cost effectiveness analysis;disease severity;drug efficacy;drug monitoring;drug safety;education program;health care policy;human;India;medical education;review;risk assessment;risk benefit analysis;signal detection;Public Health, Social Medicine and Epidemiology (17)</t>
  </si>
  <si>
    <t>Introduction India has more than half a million qualified doctors and 15,000 hospitals having bed strength of 6,24,000. Many new drugs are being introduced in our country. The development of a better system of reporting ADRs has been recommended as a top priority action to prevent ADRs and ADEs. According to WHO Pharmacovigilance is the science and activities relating to the detection, assessment, understanding and prevention of adverse effects and any other drug related problem. Nature of Work The ADR monitoring centre will prepare a plan and educate the pharmacovigilance staff with regard to data collection and verification, interpreting and coding of adverse reaction description, coding of drugs, case causality assessment, signal detection and risk management.The pharmacovigilance centre will conduct the seminars and workshops to educate and train all the healthcare professionals, who are the source of information in pharmacovigilance, Conclusion Greater integration of pharmacovigilance into clinical practice is still needed. Hence, active participation of all the healthcare professionals is very important to make pharmacovigilance, a successful national programme.</t>
  </si>
  <si>
    <t>(Torvi J.R.; Hunashal R.) International Journal of Pharma and Bio Sciences, 103, Bhagwan Towers, 7th Line, Muthyal Reddy Nagar,, Amaravathi Road, Guntur,, India.; ID: 1237</t>
  </si>
  <si>
    <t>0975-6299 (electronic)</t>
  </si>
  <si>
    <t>Touchette,D. R.;Masica,A. L.;Dolor,R. J.;Schumock,G. T.;Choi,Y. K.;Kim,Y.;Smith,S. R.</t>
  </si>
  <si>
    <t>Safety-focused medication therapy management: a randomized controlled trial</t>
  </si>
  <si>
    <t>*Academic Medical Centers/og Organization &amp; Administration];*Academic Medical Centers/sn Statistics &amp; Numerical Data];Aged;Aged, 80 and over;*Chronic Disease/dt Drug Therapy];Drug-Related Side Effects and Adverse Reactions;Female;Health Services/ut Utilization];Humans;Male;*Medication Therapy Management/og Organization &amp; Administration];*Medication Therapy Management/sn Statistics &amp; Numerical Data]</t>
  </si>
  <si>
    <t>OBJECTIVE: To evaluate the effect of a medication therapy management (MTM) intervention on adverse drug events (ADEs), health care visits, and drug-related problems (DRPs). DESIGN: Randomized, controlled, clinical trial. SETTING: Academic medical center community pharmacies and family medicine clinics at three U.S. sites between December 2007 and January 2010 PATIENTS: Individuals aged 65 years or older with three or more chronic illnesses, six or more prescription medications, and at risk for a DRP. INTERVENTION: At 0 and 3 months, pharmacists conducted comprehensive medication reviews and screened for and resolved DRPs through patient education and recommendations to physicians. MAIN OUTCOME MEASURES: Frequency of ADEs reported by patients and confirmed by clinical algorithm, health care visits at 3 and 6 months, and number of DRPs, pharmacist recommendations, and medication discrepancies. RESULTS: 637 participants enrolled. No differences were observed in potential ADEs or health care visits among the usual care and MTM groups. DRPs declined in both MTM intervention groups over time. Physicians responded to 54.6% of pharmacist recommendations. Enhanced MTM patients had fewer medication list discrepancies than basic MTM patients (33.8% vs. 47.1%, P &lt; 0.001). CONCLUSION: This specific design of MTM was associated with reduced DRPs but did not reduce potential ADEs or health care visits.</t>
  </si>
  <si>
    <t>J2: J Am Pharm Assoc (2003); Touchette, Daniel R Masica, Andrew L Dolor, Rowena J Schumock, Glen T Choi, Young Ku Kim, Yoonsang Smith, Scott R; ID: 174</t>
  </si>
  <si>
    <t>Touchette,Daniel R. College of Pharmacy, University of Illinois at Chicago, 833 S. Wood St., Chicago, IL 60612, USA. drtouche@uic.edu</t>
  </si>
  <si>
    <t>http://ovidsp.ovid.com/ovidweb.cgi?T=JS&amp;CSC=Y&amp;NEWS=N&amp;PAGE=fulltext&amp;D=medl&amp;AN=23023840</t>
  </si>
  <si>
    <t>MEDLINE; Ovid Technologies; Safety-focused medication therapy management: a randomized controlled trial</t>
  </si>
  <si>
    <t>Trang,C.;Lu,J.;Author,Addresses;Usc,School of Pharmacy United States;Correspondence,Address;School of Pharmacy United States Email cindyltr usc edu,C.Trang, U.S.C.</t>
  </si>
  <si>
    <t>Interprofessional student volunteers integrated into a medication reconciliation program serving university-affiliated clinics</t>
  </si>
  <si>
    <t>hospital;human;medication therapy management;student;university;volunteer;adverse drug reaction;drug therapy;health;occupation;patient;patient safety;pharmacist;safety;safety net hospital;school</t>
  </si>
  <si>
    <t>Objective: To (1) integrate trained student pharmacists into safety-net entities and perform medication reconciliation services, (2) improve medication safety by identifying and resolving potential adverse drug events (pADEs) and adverse drug events (ADEs), and (3) involve students from other health disciplines in the medication reconciliation process. Methods: Volunteer student pharmacists were trained on medication reconciliation, with the scope of each student's involvement dependent on the years of schooling completed. Under the supervision of a clinical pharmacist, these student pharmacists committed to performing medication reconciliation services for the university-affiliated safety net clinics and documenting medication safety interventions including potential adverse drug events and adverse drug events using intervention forms and categories aligned with national recognized standards. Students from other health professions were invited to participate and were trained on-site by student pharmacists. The impact of the program on patient safety (using the intervention form) and the changes in student perceptions of and attitudes about interdisciplinary care (using a validated health profession student survey) will be measured. Data will be aggregated to summarize the percentage of patients receiving medication reconciliation who had at least one drug-related problem identified, types of medication-related problems identified, medication safety interventions, severity of pADEs and ADEs, and actions taken to resolve medication-related problems.</t>
  </si>
  <si>
    <t>(Trang C., cindyltr@usc.edu; Lu J.) APhA2012 New Orleans, LA, United States 2012-03-09 to 2012-03-12 American Pharmacists Association; ID: 1185</t>
  </si>
  <si>
    <t>Trapskin,K.;Johnson,C.;Cory,P.;Sorum,S.;Decker,C.</t>
  </si>
  <si>
    <t>Forging a novel provider and payer partnership in Wisconsin to compensate pharmacists for quality-driven pharmacy and medication therapy management services</t>
  </si>
  <si>
    <t>*Community Pharmacy Services/ec Economics];*Cooperative Behavior;Health Plan Implementation/mt Methods];Humans;*Medication Therapy Management/ec Economics];Pilot Projects;Program Evaluation;Quality Assurance, Health Care/ec Economics];*Quality Assurance, Health Care;*Reimbursement Mechanisms/ec Economics];Wisconsin</t>
  </si>
  <si>
    <t>OBJECTIVE: To describe the Wisconsin Pharmacy Quality Collaborative (WPQC), a quality-based network of pharmacies and payers with the common goals of improving medication use and safety, reducing health care costs for payers and patients, and increasing professional recognition and compensation for pharmacist-provided services. SETTING: Wisconsin between 2006 and 2009. PRACTICE DESCRIPTION: Community (independent, chain, and health-system) pharmacies and private and public health care payers/purchasers with support from the McKesson Corporation. PRACTICE INNOVATION: This initiative aligns incentives for pharmacies and payers through implementation of 12 quality-based pharmacy requirements as conditions of pharmacy participation in a practice-advancement pilot. Payers compensate network pharmacies that meet the quality-based requirements for two levels of pharmacy professional services (level 1, intervention-based services; level 2, comprehensive medication review and assessment services). MAIN OUTCOME MEASURES: The pilot project is designed to measure the following outcomes: medication-use quality improvements, frequency and types of services provided, drug therapy problems, patient safety, cost savings, identification of factors that facilitate pharmacist participation, and patient satisfaction. RESULTS: The Pharmacy Society of Wisconsin created the WPQC network, which consists of 53 pharmacies, 106 trained pharmacists, 45 student pharmacists, 6 pharmacy technicians, and 2 initial payers. A quality assurance process is followed approximately quarterly to audit the 12 network quality requirements. An evaluation of this collaboration is being conducted. CONCLUSION: This program demonstrates that collaboration among payers and pharmacists is possible and can result in the development of an incentive-aligned program that stresses quality patient care, standardized services, and professional service compensation for pharmacists. This combination of a quality-based credentialing process with a professional services reimbursement schedule is unique and has the promise to enhance the ambulatory pharmacy practice model.</t>
  </si>
  <si>
    <t>J2: J Am Pharm Assoc (2003); Trapskin, Kari Johnson, Curtis Cory, Patrick Sorum, Sarah Decker, Chris; ID: 312</t>
  </si>
  <si>
    <t>Trapskin,Kari. Pharmacy Society of Wisconsin, Madison, WI 53717, USA. karit@pswi.org</t>
  </si>
  <si>
    <t>http://ovidsp.ovid.com/ovidweb.cgi?T=JS&amp;CSC=Y&amp;NEWS=N&amp;PAGE=fulltext&amp;D=med5&amp;AN=19748873</t>
  </si>
  <si>
    <t>http://dx.doi.org/10.1331/JAPhA.2009.08158</t>
  </si>
  <si>
    <t>MEDLINE; Ovid Technologies; Forging a novel provider and payer partnership in Wisconsin to compensate pharmacists for quality-driven pharmacy and medication therapy management services</t>
  </si>
  <si>
    <t>Tritz,T.;Paradis,M.;Lecoeur,A.;Lebas-Certain,M.;Le Mercier,F.;Author,Addresses;Pharmacie;Boulogne-Billancourt,France;Equipe Mobile D'addictologie, H‚îú‚î§pital,Ambroise Par;Boulogne-Billancourt,France;Correspondence,Address;Tritz,Pharmacie Boulogne-Billancourt France,T.</t>
  </si>
  <si>
    <t>Preliminary work before a professional practice assessment in the French alcohol withdrawal hospital care. The difficulty of establishing a complete data collection record</t>
  </si>
  <si>
    <t>benzodiazepine;alcohol withdrawal;clinical pharmacy;hospital care;information processing;professional practice;abstinence;addiction;alcohol consumption;astronomy;biological monitoring;consensus;diseases;drug dose reduction;drug therapy;Europe;France;hospital;hospitalization;human;medical specialist;methodology;morbidity;patient;patient identification;pharmacy;pharmacy student;physician;public health problem;social environment</t>
  </si>
  <si>
    <t>Introduction In France, there has been a regular decrease of the alcohol consumption over the last fifty years. Although this level has been halved, the french consumption is still the third one in Europe and stays a major public health problem. In order to harmonize practices of alcohol withdrawal during hospitalization, a consensus conference have been organized in Mars 1999. Despite its usefulness, the consensus left many questions unanswered. Materials &amp; Methods In order to run a professional practice assessment in our hospital, we decided to design a data collection record. The study took part in our internal medecine department during 2 months, from December to February 2011. To realize this preliminary work, several tasks needed to be done: Œì√á√≥ Creation, evaluation and optimization of the data collection record by using the consensus conference's recommendations Œì√á√≥ Redaction of a precise and reproductible methodology The collection record was made in collaboration with an addiction specialist doctor. The sections studied were: patient identification, history of addictive disorder, medication, therapeutic management and biological monitoring. The collections were made by a pharmaceutical team once the methodology explained. Results Twelve collections were completed by the pharmacy resident and 4 pharmacy students. Several findings were made with these first collections: Œì√á√≥ Most records were complete (8 over 12) Œì√á√≥ The lack of several fields regarding for example the social context or the co morbidities Œì√á√≥ The need of optimization of the sections Œì√á¬£history of addictive disorderŒì√á¬• (needed in 9 cases over 12) and Œì√á¬£therapeutic managementŒì√á¬• (10 cases over 12) Discussions, Conclusion Following these findings, the record has been optimized and completed to improve the quality of the survey and the subsequent analysis. Details of the social context of the patient were necessary, having a direct link with the project support offered to the patient. The Œì√á¬£history of addictive disorderŒì√á¬• was remodeled in tabular form, allowing the record of previous attempts to quit, and the length of abstinence. The Œì√á¬£therapeutic managementŒì√á¬• was also presented in tabular form in order to monitor dose adjustments, particularly the gradual dose's reduction of benzodiazepine used. The understanding and the feasibility of the survey were proved, most records being complete. Additional oral explanations of the record collection will be included to explain the methodology. The quality of the data collection record and the methodology is a very important step in the establishment of a professional practice assessment. The evaluation is planned for the second semester of 2011.</t>
  </si>
  <si>
    <t>(Tritz T.; Lecoeur A.; Lebas-Certain M.; Le Mercier F.) (Paradis M.) ESCP 40th International Symposium on Clinical Pharmacy. Clinical Pharmacy: Connecting Care and Outcomes Dublin, Ireland 2011-10-19 to 2011-10-21 Springer Netherlands; ID: 1192</t>
  </si>
  <si>
    <t>Troger,U.;Meyer,F. P.</t>
  </si>
  <si>
    <t>The regional drug-therapy consultation service centre - a conception that has been serving patients and physicians alike for 30 years in Magdeburg (Germany)</t>
  </si>
  <si>
    <t>Drug Information Services;Drug Monitoring/st Standards];*Drug Monitoring/td Trends];*Drug Therapy/st Standards];Education, Medical;Germany;Humans;*Patient-Centered Care/st Standards];Pharmacology, Clinical;Surveys and Questionnaires</t>
  </si>
  <si>
    <t>OBJECTIVES: Thirty years ago, a drug therapy consultation service centre was established simultaneously with the Institute of Clinical Pharmacology based at the university hospital in Magdeburg. The combination of therapeutic drug monitoring and a drug information service including individual patient-oriented drug dosage and bedside consultation permits an effective support of the treatment of drug related therapeutic problems. Currently, the service offers drug monitoring for 161 drugs and additional 46 metabolites. METHODS AND DISCUSSION: In a representative 2-year period (1997-1998), drug monitoring was performed for 6293 patients, and 569 drug-related inquiries were answered. The main categories of required drug information were: pharmacokinetics/metabolism/analytical problems (38%), adverse drug reactions/drug safety (24%), therapeutic drug use/drug indication (21%) and pharmaceuticals (9%). Further activities of the institute refer to teaching of undergraduates, continuing education of local physicians in recent aspects of drug therapy, providing therapeutic bulletins and conducting supporting clinical studies. References: 30]</t>
  </si>
  <si>
    <t>J2: Eur J Clin Pharmacol; Troger, U Meyer, F P; ID: 556</t>
  </si>
  <si>
    <t>Troger,U. University Hospital Magdeburg, Institute of Clinical Pharmacology, Medizinische Fakultat, Otto-von-Guericke-Universitat, Leipziger Str. 44, D-39120 Magdeburg, Germany. uwe.troeger@medizin.uni-magdeburg.de</t>
  </si>
  <si>
    <t>http://ovidsp.ovid.com/ovidweb.cgi?T=JS&amp;CSC=Y&amp;NEWS=N&amp;PAGE=fulltext&amp;D=med4&amp;AN=10663447</t>
  </si>
  <si>
    <t>MEDLINE; Ovid Technologies; The regional drug-therapy consultation service centre - a conception that has been serving patients and physicians alike for 30 years in Magdeburg (Germany)</t>
  </si>
  <si>
    <t>Trojackova,A.;Visnovsky,P.</t>
  </si>
  <si>
    <t>Alcohol use in Czech pharmacy students</t>
  </si>
  <si>
    <t>Central European journal of public health</t>
  </si>
  <si>
    <t>Cent.Eur.J.Public Health</t>
  </si>
  <si>
    <t>Adolescent;Adult;*Alcohol Drinking/ep Epidemiology];*Alcoholic Intoxication/ep Epidemiology];Czech Republic/ep Epidemiology];*Education, Pharmacy;Female;Humans;Male;Sex Factors;*Students;Surveys and Questionnaires;*Temperance/sn Statistics &amp; Numerical Data]</t>
  </si>
  <si>
    <t>In academic years 2002/3-2004/5, the use of alcohol was investigated by anonymous questionnaire in 1,032 first and third year pharmacy students in the Czech Republic. Frequencies of beer, wine and spirits use, the age of the first contact with alcoholic beverages, the age of the first drunkenness and the frequency of drunkenness in the last month were ascertained. Average age of the first contact with alcoholic beverages was 12.9 years. 40.5% and 10.9% of students reported regular and hazardous drinking, respectively, with significantly higher proportion of men than women. Hazardous alcohol drinking significantly increased between academic years 2002/3 and 2004/5, no significant differences were found in the proportion of non-drinkers and regular alcohol drinkers over the 3-year-period of the survey. Both regular and hazardous drinking patterns were significantly related to the financial situation of the students. Significant associations were also found between alcohol consumption and using of both licit and illicit drugs of abuse.</t>
  </si>
  <si>
    <t>J2: Cent Eur J Public Health; Trojackova, Alena Visnovsky, Peter; ID: 408</t>
  </si>
  <si>
    <t>1210-7778</t>
  </si>
  <si>
    <t>Trojackova,Alena. Faculty of Pharmacy in Hradec Kralove, Charles University in Prague, Hradec Kralove, Czech Republic. trojackova.alena@vlada.cz</t>
  </si>
  <si>
    <t>http://ovidsp.ovid.com/ovidweb.cgi?T=JS&amp;CSC=Y&amp;NEWS=N&amp;PAGE=fulltext&amp;D=med5&amp;AN=17152222</t>
  </si>
  <si>
    <t>MEDLINE; Ovid Technologies; Alcohol use in Czech pharmacy students</t>
  </si>
  <si>
    <t>Troum,O. M.;Crues,Iii J. V.;Author,Addresses;Department of Medicine, Keck,School of;Medicine,University of Southern California Los Angeles C.A.United States;Pronet Imaging Medical Group, Radnet Management,Inc Los;Angeles,C. A. U.;Santa Monica Blvd, Santa,Monica C.;States,United;Correspondence,Address;OM Troum, Santa Monica Blvd Santa,Monica C.;States Email,Otroum,yahoo com</t>
  </si>
  <si>
    <t>15043086; The Young Adult with Hip Pain: Diagnosis and Medical Treatment, Circa 2004</t>
  </si>
  <si>
    <t>Clinical orthopaedics and related research</t>
  </si>
  <si>
    <t>Clin.Orthop.</t>
  </si>
  <si>
    <t>analgesic agent (drug therapy);antibiotic agent (drug therapy);celecoxib (drug therapy);chondroitin sulfate (drug therapy);clonidine (drug therapy);corticosteroid (drug therapy, oral drug administration);cyclooxygenase 2 inhibitor (drug therapy);diclofenac (drug therapy);etanercept (drug therapy);fentanyl (drug therapy);glucosamine (drug therapy);hydroxychloroquine (drug therapy);ibuprofen (drug therapy);infliximab (drug therapy);leflunomide (drug therapy);methotrexate (drug therapy);morphine (drug therapy);naproxen (drug therapy);nonsteroid antiinflammatory agent (drug therapy);opiate (drug therapy);oxycodone (drug therapy);paracetamol (adverse drug reaction, drug therapy, drug toxicity);recombinant interleukin 1 receptor blocking agent (drug therapy);rofecoxib (drug therapy);salazosulfapyridine (drug therapy);terazosin (drug therapy);tramadol (drug therapy);unindexed drug;valdecoxib (drug therapy);hip disease (diagnosis, drug therapy, therapy);alcoholism;blood analysis;conference paper;fracture;gangrene;hip dysplasia;hip injury;human;infection;intravenous drug abuse;osteoarthritis;pain (diagnosis, drug therapy, therapy);patient education;physiotherapy;priority journal;rheumatoid arthritis;side effect (side effect);spondyloarthropathy;sport injury;synovial fluid;urinalysis;celecoxib (169590-42-5);chondroitin sulfate (9007-28-7, 9082-07-9);clonidine (4205-90-7, 4205-91-8, 57066-25-8);diclofenac (15307-79-6, 15307-86-5);etanercept (185243-69-0, 200013-86-1);fentanyl (437-38-7);glucosamine (3416-24-8, 4607-22-1);hydroxychloroquine (118-42-3, 525-31-5);ibuprofen (15687-27-1);infliximab (170277-31-3);leflunomide (75706-12-6);methotrexate (15475-56-6, 59-05-2, 7413-34-5);morphine (52-26-6, 57-27-2);naproxen (22204-53-1, 26159-34-2);opiate (53663-61-9, 8002-76-4, 8008-60-4);oxycodone (124-90-3, 76-42-6);paracetamol (103-90-2);recombinant interleukin 1 receptor blocking agent (143090-92-0);rofecoxib (162011-90-7, 186912-82-3);salazosulfapyridine (599-79-1);terazosin (63074-08-8, 63590-64-7);tramadol (27203-92-5, 36282-47-0);valdecoxib (181695-72-7);Orthopedic Surgery (33);Drug Literature Index (37);Adverse Reactions Titles (38)</t>
  </si>
  <si>
    <t>Hip pain in young adults (18-35 years old) often is characterized by nonspecific symptoms, normal imaging studies, and vague findings from the history and physical examination. In younger patients, pain is more likely to be caused by congenital hip dysplasia, athletic injuries, trauma, spondyloarthropathy, and by conditions that first appear during this stage of life, such as rheumatoid arthritis, osteoarthritis, intravenous drug use, alcoholism, or corticosteroid use. The history and physical examination may narrow the diagnosis to intraarticular, extraarticular, or referred sources of pain. Plain radiography and magnetic resonance imaging are the preferred initial imaging procedures. Analyses of the blood, urine, and synovial fluid can be helpful in diagnosing inflammation, infection, and systematic rheumatic disease. Fractures, infection, and ischemic necrosis should be ruled out early because they require immediate treatment to prevent damage to the joint. Hip trauma at a young age increases the risk of osteoarthritis with advancing age, and, unlike most older adults, young adults receiving total hip replacement can expect revision surgery. Medical treatment often involves patient education, physical therapy, and pharmacotherapy. Acetaminophen, nonsteroidal antiinflammatory drugs, and opioids for pain and antibiotics for infection are the most often prescribed drugs for this population.</t>
  </si>
  <si>
    <t>(Troum O.M., Otroum@yahoo.com) (Crues III J.V.) Springer New York LLC, 233 Springer Street, New York, United States.; ID: 1578</t>
  </si>
  <si>
    <t>0009-921X</t>
  </si>
  <si>
    <t>http://www.ncbi.nlm.nih.gov/pubmed/15043086</t>
  </si>
  <si>
    <t>The Young Adult with Hip Pain: Diagnosis and Medical Treatment, Circa 2004</t>
  </si>
  <si>
    <t>Trujillo,K. A.;Akil,H.</t>
  </si>
  <si>
    <t>Opiate tolerance and dependence: recent findings and synthesis</t>
  </si>
  <si>
    <t>New Biologist</t>
  </si>
  <si>
    <t>New Biol.</t>
  </si>
  <si>
    <t>Animals;Calcium/me Metabolism];Dizocilpine Maleate/pd Pharmacology];Drug Tolerance;Endorphins/ph Physiology];GTP-Binding Proteins/ph Physiology];Gene Expression Regulation/de Drug Effects];Humans;Learning/de Drug Effects];Learning/ph Physiology];Male;Models, Biological;Narcotics/ae Adverse Effects];Narcotics/me Metabolism];*Narcotics/pd Pharmacology];Narcotics/tu Therapeutic Use];Neuronal Plasticity;Opioid-Related Disorders/ge Genetics];Opioid-Related Disorders/me Metabolism];*Opioid-Related Disorders;Pro-Opiomelanocortin/bi Biosynthesis];Rats;Rats, Inbred Strains;Receptors, N-Methyl-D-Aspartate/ai Antagonists &amp; Inhibitors];Receptors, N-Methyl-D-Aspartate/de Drug Effects];Receptors, N-Methyl-D-Aspartate/ph Physiology];Receptors, Opioid/de Drug Effects];Receptors, Opioid/ge Genetics];Receptors, Opioid/ph Physiology];Second Messenger Systems/de Drug Effects];Substance Withdrawal Syndrome/ge Genetics];Substance Withdrawal Syndrome/me Metabolism];0 (Endorphins);0 (Narcotics);0 (Receptors, N-Methyl-D-Aspartate);0 (Receptors, Opioid);66796-54-1 (Pro-Opiomelanocortin);6LR8C1B66Q (Dizocilpine Maleate);EC 3-6-1 (GTP-Binding Proteins);SY7Q814VUP (Calcium)</t>
  </si>
  <si>
    <t>Recent studies have led to a greater understanding of the behavioral, cellular, and molecular mechanisms underlying opiate tolerance and physical dependence. Behavioral studies have demonstrated that both direct pharmacological effects and the learning of interactions between drug effects and environmental cues are important in these phenomena. Behavioral studies have also revealed that N-methyl-D-aspartate receptors may play a role in their development (or acquisition). Although in early cellular studies no consistent role was found for opioid receptors or endogenous opioid peptides in opiate tolerance and dependence, recent experiments suggest that beta-endorphin, enkephalin, and dynorphin neurons may indeed have a role. Finally, studies at the molecular level suggest that a functional decoupling of opioid receptors from GTP-binding proteins (G proteins) may be important. In this review, we discuss these disparate findings and present a synthesis that shows how they might together contribute to the phenomena of opiate tolerance and physical dependence. References: 80]</t>
  </si>
  <si>
    <t>J2: New Biol; Trujillo, K A Akil, H DA02265 (United States NIDA NIH HHS) DA05336 (United States NIDA NIH HHS); ID: 665</t>
  </si>
  <si>
    <t>1043-4674</t>
  </si>
  <si>
    <t>Trujillo,K A. Mental Health Research Institute, University of Michigan, Ann Arbor 48109-0720.</t>
  </si>
  <si>
    <t>http://ovidsp.ovid.com/ovidweb.cgi?T=JS&amp;CSC=Y&amp;NEWS=N&amp;PAGE=fulltext&amp;D=med3&amp;AN=1662985</t>
  </si>
  <si>
    <t>MEDLINE; Ovid Technologies; Opiate tolerance and dependence: recent findings and synthesis</t>
  </si>
  <si>
    <t>Trujillo,K. A.;Akil,H.;Author,Addresses;Mental Health,Research Institute;Michigan,Ann Arbor M. I.;Correspondence,Address;Mental Health Research Institute, University of Michigan Ann,Arbor M.</t>
  </si>
  <si>
    <t>Research review. Opiate tolerance and dependence: Recent findings and synthesis</t>
  </si>
  <si>
    <t>(MAJOR FOCUS);opiate;beta endorphin (endogenous compound);dynorphin (endogenous compound);enkephalin (endogenous compound);guanine nucleotide binding protein (endogenous compound);n methyl dextro aspartic acid receptor;opiate receptor;drug dependence;human;review;beta endorphin (59887-17-1);dynorphin (74913-18-1);opiate (53663-61-9, 8002-76-4, 8008-60-4);Clinical and Experimental Pharmacology (30);Drug Dependence, Alcohol Abuse and Alcoholism (40)</t>
  </si>
  <si>
    <t>Recent studies have led to a greater understanding of the behavioral, cellular, and molecular mechanisms underlying opiate tolerance and physical dependence. Behavioral studies have demonstrated that both direct pharmacological effects and the learning of interactions between drug effects and environmental cues are important in these phenomena. Behavioral studies have also revealed that N-methyl-D-aspartate receptors may play a role in their development (or acquisition). Although in early cellular studies no consistent role was found for opioid receptors or endogenous opioid peptides in opiate tolerance and dependence, recent experiments suggest that ‚ï¨‚ñì-endorphin, enkephalin, and dynorphin neurons may indeed have a role. Finally, studies at the molecular level suggest that a functional decoupling of opioid receptors from GTP-binding proteins (G proteins) may be important. In this review, we discuss these disparate findings and present a synthesis that shows how they might together contribute to the phenomena of opiate tolerance and physical dependence.</t>
  </si>
  <si>
    <t>(Trujillo K.A.; Akil H.); ID: 1717</t>
  </si>
  <si>
    <t>Tsega,B.;Bhagavathula,A. S.;Sarkar,B. R.;Melaku,T.;Shewamene,Z.</t>
  </si>
  <si>
    <t>PMC4445313; Impact of clerkship attachments on students' attitude toward pharmaceutical care in Ethiopia</t>
  </si>
  <si>
    <t>Advances in Medical Education &amp; Practice</t>
  </si>
  <si>
    <t>OBJECTIVE: The study objective is to investigate the impact of mandatory clinical clerkship courses on 5th-year pharmacy students' attitudes and perceived barriers toward providing pharmaceutical care (PC). METHODS: A cross-sectional survey was conducted among 5th-year pharmacy students undertaking mandatory clinical clerkship in the University of Gondar, Ethiopia. A pharmaceutical care attitudes survey (PCAS) questionnaire was used to assess the attitude (14 items), commonly identified drug-related problem/s (1 item) during clerkships, and perceived barriers (12 items) toward the provision of PC. Statistical analysis was conducted on the retrieved data. RESULTS: Out of the total of 69 clerkship students, 65 participated and completed the survey (94.2% response rate). Overall, 74.45% of participants opinioned a positive attitude toward PC provision. Almost all respondents agreed that the primary responsibility of pharmacists in the healthcare setting was to prevent and solve medication-related problems (98.5%), practice of PC was valuable (89.3%), and the PC movement will improve patient health (95.4%), respectively. Unnecessary drug therapy (43%), drug-drug interactions (33%), and non-adherence to medications (33%) were the most common drug-related problems identified in wards. Highly perceived barriers for PC provision included lack of a workplace for counseling in the pharmacy (75.4%), a poor image of pharmacist's role in wards (67.7%), and inadequate technology in the pharmacy (64.6%). Lack of access to a patient's medical record in the pharmacy had significant association (P&lt;0.05) with PC practice, performance of PC during clerkship, provision of PC as clinical pharmacists, and Ethiopian pharmacists benefiting by PC. CONCLUSION: Ethiopian clinical pharmacy students have a good attitude toward PC. Efforts should be targeted toward reducing these drug therapy issues, and aiding the integration of PC provision with pharmacy practice.</t>
  </si>
  <si>
    <t>J2: Adv Med Educ Pract; Tsega, Bayew Bhagavathula, Akshaya Srikanth Sarkar, Barun Ranjan Melaku, Tadesse Shewamene, Zewdneh; ID: 45</t>
  </si>
  <si>
    <t>1179-7258</t>
  </si>
  <si>
    <t>Tsega,Bayew. Department of Clinical Pharmacy, University of Gondar-College of Medicine and Health Sciences, Gondar, Ethiopia. Bhagavathula,Akshaya Srikanth. Department of Clinical Pharmacy, University of Gondar-College of Medicine and Health Sciences, Gondar, Ethiopia. Sarkar,Barun Ranjan. Department of Clinical Pharmacy, University of Gondar-College of Medicine and Health Sciences, Gondar, Ethiopia. Melaku,Tadesse. Department of Clinical Pharmacy, University of Gondar-College of Medicine and Health Sciences, Gondar, Ethiopia. Shewamene,Zewdneh. Department of Pharmacology, School of Pharmacy, University of Gondar-College of Medicine and Health Sciences, Gondar, Ethiopia.</t>
  </si>
  <si>
    <t>http://ovidsp.ovid.com/ovidweb.cgi?T=JS&amp;CSC=Y&amp;NEWS=N&amp;PAGE=fulltext&amp;D=prem&amp;AN=26056513</t>
  </si>
  <si>
    <t>http://dx.doi.org/10.2147/AMEP.S80802</t>
  </si>
  <si>
    <t>MEDLINE; Ovid Technologies; Impact of clerkship attachments on students' attitude toward pharmaceutical care in Ethiopia</t>
  </si>
  <si>
    <t>Tunstall,C. D.;Ginsberg,D.;Hall,S. M.</t>
  </si>
  <si>
    <t>Quitting smoking</t>
  </si>
  <si>
    <t>Jun-Jul</t>
  </si>
  <si>
    <t>African Americans/px Psychology];Behavior Therapy;Chewing Gum;Counseling;Environment;Extraversion (Psychology);Female;Humans;Leadership;Life Change Events;Male;Motivation;Nicotine/ad Administration &amp; Dosage];Patient Education as Topic;Pregnancy;Pregnancy Complications;Recurrence;Self Concept;Self-Help Groups;Sex Factors;Social Adjustment;Social Class;Social Support;Stress, Psychological/co Complications];Tobacco Use Disorder/et Etiology];Tobacco Use Disorder/px Psychology];*Tobacco Use Disorder/th Therapy];0 (Chewing Gum);6M3C89ZY6R (Nicotine)</t>
  </si>
  <si>
    <t>Four factors which influence smoking treatment outcome are identified: environmental variables, client characteristics, process variables, and specific treatment approaches. Important environmental factors are stress and social support. Of client characteristics, sex is the best predictor of treatment success. Men are more likely to quit and maintain abstinence than women. However, the majority of women alter their smoking habits during pregnancy. Low-income persons and ethnic minorities are underrepresented among subjects in treatment studies and have larger percentages of smokers in the population at large. Extraverted smokers are more likely to begin to smoke and have difficulty quitting. Also, the more anxious, poorly adjusted smoker has more trouble quitting than the less troubled smoker. The higher the client's sense of self-efficacy, the better the chance of that person entering treatment and doing well. Furthermore, smokers who take in lower levels of nicotine are more successful at quitting. Many process questions are suggested. Few have been approached empirically. The effectiveness of ex-smokers as therapists in smoking cessation programs has not been systematically investigated, even though the smoking history of therapists is a question frequently asked by clients. We suggest that the skill and empathy of group leaders is more important than smoking history. Smoking therapists should be aware of nonspecific treatment factors such as positive expectations, social reinforcement, and self-disclosure which may have a powerful influence on the efficacy of smoking treatment. Specific treatment approaches were classified into three categories: low-contact approaches, including educational, self-help, and minimal treatment approaches; psychological treatments; and pharmacological treatment. Education, self-help, and minimal treatment approaches are thought to be accretively effective when the large size of the audience is considered. Also, innovative treatments which address the influence of social support systems and physiological addition are promising treatments for individuals requiring a structured or intensive method of quitting. References: 86]</t>
  </si>
  <si>
    <t>J2: Int J Addict; Tunstall, C D Ginsberg, D Hall, S M DA02538 (United States NIDA NIH HHS); ID: 700</t>
  </si>
  <si>
    <t>http://ovidsp.ovid.com/ovidweb.cgi?T=JS&amp;CSC=Y&amp;NEWS=N&amp;PAGE=fulltext&amp;D=med2&amp;AN=3908337</t>
  </si>
  <si>
    <t>MEDLINE; Ovid Technologies; Quitting smoking</t>
  </si>
  <si>
    <t>Turncliff,R. Z.;Dunbar,J. L.;Dong,Q.;Silverman,B. L.;Ehrich,E. W.;Dilzer,S. C.;Lasseter,K. C.;Author,Addresses;Alkermes,Inc Cambridge M. A. United States;Sfbc International,Miami,F.L.United States;Alkermes,Inc Sidney;Street,Cambridge M. A. United States;Correspondence,Address;RZ Turncliff, Alkermes Inc Sidney Street,Cambridge M.;United States Email, Ryan Turncliff,Alkermes com</t>
  </si>
  <si>
    <t>16239359; Pharmacokinetics of long-acting naltrexone in subjects with mild to moderate hepatic impairment</t>
  </si>
  <si>
    <t>(MAJOR FOCUS);naltrexone (adverse drug reaction, drug concentration, drug dose, drug;therapy, intramuscular drug administration, pharmaceutics, pharmacokinetics);drug metabolite (adverse drug reaction, endogenous compound);naltrexol (endogenous compound);alcoholism (drug therapy);liver disease;adult;aged;area under the curve;article;clinical article;controlled release formulation;controlled study;disease severity;drug absorption;drug blood level;drug dose regimen;drug elimination;drug half life;drug safety;extended release formulation;female;headache (side effect);human;male;patient coding;slow drug release;naltrexol (20410-98-4, 49625-89-0);naltrexone (16590-41-3, 16676-29-2);Clinical and Experimental Pharmacology (30);Drug Literature Index (37);Adverse Reactions Titles (38);Pharmacy (39);Gastroenterology (48)</t>
  </si>
  <si>
    <t>Long-acting naltrexone is an extended-release formulation developed with the goal of continuous naltrexone exposure for 1 month for the treatment of alcohol dependence. The influence of mild and moderate hepatic impairment on naltrexone pharmacokinetics following long-acting naltrexone 190-mg administration was assessed. Subjects with mild (Child-Pugh grade A) and moderate (Child-Pugh grade B) hepatic impairment (n = 6 per group) and matched control subjects (n = 13) were enrolled. Naltrexone and 6‚ï¨‚ñì-naltrexol concentrations were determined over a period of 63 days following a single intramuscular dose. Naltrexone and 6‚ï¨‚ñì-naltrexol concentrations were detected in all subjects through 28 days. Total exposure (AUC (0-Œì√™‚Çß)) of naltrexone and 6‚ï¨‚ñì-naltrexol was similar across all groups. The long apparent half-lives of naltrexone and 6‚ï¨‚ñì-naltrexol (5-8 days) were attributed to the slow release of naltrexone (long-acting naltrexone exhibits absorption rate-limited elimination or "flip-flop" kinetics); elimination was not altered in subjects with hepatic impairment. Based on pharmacokinetic considerations, the dose of long-acting naltrexone does not need to be adjusted in patients with mild or moderate hepatic impairment. ‚î¨‚åê2005 the American College of Clinical Pharmacology.</t>
  </si>
  <si>
    <t>(Turncliff R.Z., Ryan.Turncliff@Alkermes.com; Dunbar J.L.; Dong Q.; Silverman B.L.; Ehrich E.W.) (Dilzer S.C.; Lasseter K.C.) (Turncliff R.Z., Ryan.Turncliff@Alkermes.com) SAGE Publications Inc., 2455 Teller Road, Thousand Oaks, United States.; ID: 1537</t>
  </si>
  <si>
    <t>http://www.ncbi.nlm.nih.gov/pubmed/16239359</t>
  </si>
  <si>
    <t>Pharmacokinetics of long-acting naltrexone in subjects with mild to moderate hepatic impairment</t>
  </si>
  <si>
    <t>Turner,T. L.;Rayfield,A. L.;Thomas,C. J.;Author,Addresses;Department,of Veterans;Medical Center,Chillicothe,United States;Correspondence,Address;TL Turner, Department of Veterans Affairs Medical,Center Chillicothe;United,States</t>
  </si>
  <si>
    <t>An evaluation of relapse with regards to dose and concomitant use of sedating medications in a veteran population prescribed buprenorphine/naloxone: A retrospective cohort study</t>
  </si>
  <si>
    <t>benzodiazepine derivative;buprenorphine;buprenorphine plus naloxone;illicit drug;methadone;naloxone;opiate;opiate agonist;partial agonist;trazodone;zolpidem;cohort analysis;college;drug therapy;human;pharmacist;population;relapse;veteran;abuse;analysis of variance;anxiety;computer;computer program;drug use;Fisher exact test;insomnia;maintenance therapy;patient;quality of life;recurrence risk;rehabilitation;social psychology;society;statistical significance</t>
  </si>
  <si>
    <t>Type: Work in Progress. Background: There is an estimated eight million people worldwide who abuse opiates. Opioid maintenance treatment is aimed at avoiding illicit drug use, not achieving a drug-free state. Additionally, maintenance treatment aims to improve quality of life and psychosocial functioning for the patient along with reducing harm and costs for society. Opioid agonists such as methadone, partial agonists such as buprenorphine, or agonist/antagonist combinations such as buprenorphine/ naloxone can be used in opioid maintenance treatment. There have currently been no studies looking at the most efficacious dose of buprenorphine/ naloxone in maintenance rehabilitation programs. It has been noted that patients may be prescribed benzodiazepines for anxiety, and zolpidem or trazodone for insomnia. Though these medications may help patients through the agony associated with acute withdrawal, their role in themaintenance period is questionable. Objectives: 1. Investigate the difference between relapse rates with use of buprenorphine/naloxone at 8 mg or less as compared to higher doses. 2. Investigate the difference in time to relapse with use of buprenorphine/naloxone at 8 mg or less as compared to higher doses. 3. Investigate the difference between relapse rates with use of buprenorphine/naloxone with and without concomitant use of sedatingmedications. 4. Investigate the difference in time to relapse with use of buprenorphine/ naloxone with and without concomitant use of sedating medications. Methods: This is a retrospective cohort study which will examine two independent variables.Patients willbeidentifiedthrough theVeterans Affairs computer charting system as having been enrolled in the Suboxone treatment group. A Fisher's Exact Test will be used to determine rates of relapse in both groups. ANOVA will be used to evaluate time to relapse. A pre-specified p value of 0.05 will indicate statistical significance. SPSS software will be used for all statistical calculations. Outcomes: We will report the difference in relapse rate and time to relapse for patients taking 8 mg or less as compared to higher doses, aswell as the difference in relapse rate and timeto relapse for patients taking a concomitant sedating medication.</t>
  </si>
  <si>
    <t>(Turner T.L.; Rayfield A.L.; Thomas C.J.) 16th Annual Meeting of the College of Psychiatric and Neurologic Pharmacists, CPNP 2013 Colorado Springs, CO, United States 2013-04-21 to 2013-04-24 SAGE Publications Inc.; ID: 1039</t>
  </si>
  <si>
    <t>Uchida,A.;Author,Addresses;Fitness,Tsukuba;Sports,Medicine;Laboratory,Kaname Tsukuba Ibaraki Japan;Correspondence,Address;Uchida,Tsukuba Fitness,A.;Sports,Medicine Laboratory;Tsukuba,Ibaraki Japan Email akikouchida nifty com</t>
  </si>
  <si>
    <t>22129871; Proposal to sports pharmacist as a sports doctor</t>
  </si>
  <si>
    <t>generic drug;pharmacist;physician;sport;article;Chinese medicine;competition;consultation;cycling;data base;doping;e-mail;education;human;Internet;mobile phone;Public Health, Social Medicine and Epidemiology (17)</t>
  </si>
  <si>
    <t>I am a team doctor of three competition groups including professional cycling team for ten years. The most troublesome issue as a sports doctor is the problem about doping. I cope thanks to a mobile telephone and an e-mail regardless of place and time, but introduce some examples because I still experience many doping "near miss" cases. In addition, there are problems in road competition spots as follows; 1) There are few team doctors. I am pressed by the consultation from plural teams, 2) An unexperienced doctor of the doping knowledge often prescribes prohibited drugs, 3) There are problems with no understanding of the medicine made in foreign countries, Chinese medicine, a generic drug, and supplements which obtained on the internet. I hope that anti-doping education in faculty of pharmaceutical sciences is made mandatory, sports pharmacists taken to the sports spot along increase, and a system and a database to teach local doctors and players quickly will be achieved in future. ‚î¨‚åê 2011 The Pharmaceutical Society of Japan.</t>
  </si>
  <si>
    <t>(Uchida A., akikouchida@nifty.com) Pharmaceutical Society of Japan, 2-12-15-201, Shibuya, Shibuya-ku, Tokyo, Japan.; ID: 1215</t>
  </si>
  <si>
    <t>http://www.ncbi.nlm.nih.gov/pubmed/22129871</t>
  </si>
  <si>
    <t>Proposal to sports pharmacist as a sports doctor</t>
  </si>
  <si>
    <t>Uebel,R. A.;Wium,C. A.</t>
  </si>
  <si>
    <t>Toxicological screening for drugs of abuse in samples adulterated with household chemicals</t>
  </si>
  <si>
    <t>South African Medical Journal.Suid-Afrikaanse Tydskrif Vir Geneeskunde</t>
  </si>
  <si>
    <t>Adult;Cannabis/ae Adverse Effects];*Cannabis/me Metabolism];*Detergents/an Analysis];Detergents/ch Chemistry];Diphenhydramine/an Analysis];*Diphenhydramine/ur Urine];Drug Combinations;*Drug Contamination;False Negative Reactions;False Positive Reactions;Female;Household Products;Humans;Male;Methaqualone/an Analysis];*Methaqualone/ur Urine];Sampling Studies;Sensitivity and Specificity;South Africa;*Substance Abuse Detection/mt Methods];Substance-Related Disorders/di Diagnosis];*Substance-Related Disorders/ur Urine];Urinalysis;0 (Detergents);0 (Drug Combinations);7ZKH8MQW6T (Methaqualone);8076-99-1 (Mandrax);8GTS82S83M (Diphenhydramine)</t>
  </si>
  <si>
    <t>OBJECTIVES: Urine samples that tested positive for two drugs of abuse, namely cannabis and methaqualone, were reassayed in the presence or absence of common household chemicals: Jik (sodium hypochlorite), Dettol (chloroxylenol), G-cide Plus (glutaraldehyde), Perle Hand Soap, ethanol, isopropanol and peroxide (20 volumes). These chemicals are frequently used for the adulteration of urine samples. SETTING: Department of Pharmacology, University of Stellenbosch. METHODS: Household chemicals, at three different concentrations, were added to urine samples that tested positive for methaqualone and cannabis. Samples were reanalysed on an ETS Plus Analyser (Syva Company, San Jose, Ca.) using Emit drugs-of-abuse urine test reagents. RESULTS: Most of the chemicals tested influenced the outcome of positive toxicological screening results for these drugs. G-cide (glutaraldehyde) and Perle Hand Soap had the largest effect (false-negative) on the methaqualone test. Dettol (chloroxylenol) and Perle Hand Soap had the largest effect on the cannabis test. Higher concentrations of the adulterant were not always an indication of the extent of modification of the test result. The addition of certain chemicals (ethanol, isopropanol and peroxide) to the urine samples tested for methaqualone interfered with the test to such an extent that it gave invalid test results.</t>
  </si>
  <si>
    <t>J2: Samj, S; Uebel, Reinhard A Wium, Cherylynn A; ID: 520</t>
  </si>
  <si>
    <t>0256-9574</t>
  </si>
  <si>
    <t>Uebel,Reinhard A. Department of Pharmacology, University of Stellenbosch, Tygerberg, W Cape.</t>
  </si>
  <si>
    <t>http://ovidsp.ovid.com/ovidweb.cgi?T=JS&amp;CSC=Y&amp;NEWS=N&amp;PAGE=fulltext&amp;D=med4&amp;AN=12197198</t>
  </si>
  <si>
    <t>MEDLINE; Ovid Technologies; Toxicological screening for drugs of abuse in samples adulterated with household chemicals</t>
  </si>
  <si>
    <t>Uhlyar,S.;Gutstein,S.;Rey,J. A.;Author,Addresses;Nova,Southeastern University;Pharmacy,Ft Lauderdale United States;Correspondence,Address;Uhlyar, Nova Southeastern University College of Pharmacy Ft,S.;Lauderdale,United States</t>
  </si>
  <si>
    <t>Retrospective analysis of patients receiving long acting injectable formulation antipsychotics vs. Oral formulation antipsychotics: A focus on 'as needed' use psychotropics with regards to adherence, efficacy, safety and costs</t>
  </si>
  <si>
    <t>antidepressant agent;benzodiazepine derivative;haloperidol;mood stabilizer;risperidone;college;human;patient;pharmacist;safety;drug therapy;hospital;hospital patient;medical record review;medication compliance;mental disease;population;side effect;United States</t>
  </si>
  <si>
    <t>Type: Work in Progress. Introduction: Medication adherence has always been a problem with drug therapy regimens, especially in the psychiatric population. Antipsychotics have a variety of undesirable side effects and are more prone to non-adherence. Along with antipsychotic medications, many patients with mental illness take numerous other psychotropics such as mood stabilizers, benzodiazepines, and antidepressants. Unfortunately, there are only a few long acting injectable (LAI) antipsychotics available in the United States, among which are haloperidol and risperidone. Purpose: The LAI formulated antipsychotics, which can be beneficial in a patient-specific regimen, and potentially cost effective when considering the possibility of needing to use 'one-time' or 'as needed' medications more often in a population treated with oral agents only. This question is the focus of this study. Methods: A retrospective analysis with de-identified data, will aid in evaluating adherence response and the necessity of additional 'one-time use' or 'as needed' (PRN) doses with patients receiving LAIs compared to patients receiving only oral agents in their treatment regimen. Using an analysis of data from a longterm inpatient psychiatric facility, medical records review from January 2011 to December 2012 will be conducted to identify certain outcomes. The outcomes to be assessed include regimen stability based on the use of PRN psychotropics between the two groups and medication selection within each group. Evaluation of the medication regimens of antipsychotics, antidepressants, and benzodiazepines will help assess and create an effectiveness profile. Results: The results of this study could be beneficial when suggesting and establishing patient-specific treatment regimens with the highest chance for a positive clinical outcome in regards to efficacy, cost of secondary medications and administration, and safety of staff in inpatient hospital settings. Results to be presented.</t>
  </si>
  <si>
    <t>(Uhlyar S.; Gutstein S.; Rey J.A.) 16th Annual Meeting of the College of Psychiatric and Neurologic Pharmacists, CPNP 2013 Colorado Springs, CO, United States 2013-04-21 to 2013-04-24 SAGE Publications Inc.; ID: 1040</t>
  </si>
  <si>
    <t>Uosukainen,H.;Bell,J. S.;Laitinen,K.;Tacke,U.;Ilomaki,J.;Turunen,J. H.</t>
  </si>
  <si>
    <t>First insights into community pharmacy based buprenorphine-naloxone dispensing in Finland</t>
  </si>
  <si>
    <t>*Attitude of Health Personnel;Buprenorphine/tu Therapeutic Use];*Community Pharmacy Services/og Organization &amp; Administration];Finland;Humans;Naloxone/tu Therapeutic Use];*Opiate Substitution Treatment/mt Methods];Opioid-Related Disorders/dt Drug Therapy];36B82AMQ7N (Naloxone);40D3SCR4GZ (Buprenorphine)</t>
  </si>
  <si>
    <t>BACKGROUND: Finnish community pharmacies have been permitted to dispense buprenorphine-naloxone since February 2008. This study explored the dispensing practices, service experiences, problems encountered and opportunities for future development. METHODS: In August 2011, a questionnaire was mailed to all Finnish community pharmacies dispensing buprenorphine-naloxone (n=69). RESULTS: Sixty-four pharmacies responded (93%), of which 54 had dispensed buprenorphine-naloxone to 155 clients since 2008. Forty-eight pharmacies had 108 current clients (10% of all buprenorphine-naloxone clients in Finland). Overall satisfaction with buprenorphine-naloxone dispensing was high, with all respondents indicating dispensing had gone 'well' or 'very well'. Fourteen pharmacies (26%) had experienced one or more problems, predominately in relation timing or non-collection of doses. Problems were more common in pharmacies with more than one buprenorphine-naloxone client (odds ratio 1.39, 95% confidence interval 1.05-1.86). Most pharmacies (n=43, 80%) identified opportunities for improvement, including the need for more education and financial remuneration. Forty-six pharmacies (85%) were willing to dispense buprenorphine-naloxone to more clients; however, 43 pharmacies (80%) perceived that supervision of buprenorphine-naloxone dosing is not a suitable task for pharmacists in Finland. CONCLUSION: Provision of buprenorphine-naloxone in Finnish community pharmacies has remained relatively small-scale. As experiences have been generally positive and problems rare, it may be possible to expand these services.Copyright ‚î¨‚åê 2013 Elsevier B.V. All rights reserved.</t>
  </si>
  <si>
    <t>J2: Int J Drug Policy; Uosukainen, Hanna Bell, J Simon Laitinen, Kirsti Tacke, Ulrich Ilomaki, Jenni Turunen, Juha H O S0955-3959(13)00016-9; ID: 103</t>
  </si>
  <si>
    <t>Uosukainen,Hanna. School of Pharmacy, Faculty of Health Sciences, University of Eastern Finland, Kuopio, Finland. Electronic address: hanna.uosukainen@uef.fi.</t>
  </si>
  <si>
    <t>http://ovidsp.ovid.com/ovidweb.cgi?T=JS&amp;CSC=Y&amp;NEWS=N&amp;PAGE=fulltext&amp;D=medl&amp;AN=23567099</t>
  </si>
  <si>
    <t>http://dx.doi.org/10.1016/j.drugpo.2013.02.004</t>
  </si>
  <si>
    <t>MEDLINE; Ovid Technologies; First insights into community pharmacy based buprenorphine-naloxone dispensing in Finland</t>
  </si>
  <si>
    <t>Urban,K. R.;Gao,W. J.</t>
  </si>
  <si>
    <t>PMC4026746; Performance enhancement at the cost of potential brain plasticity: neural ramifications of nootropic drugs in the healthy developing brain</t>
  </si>
  <si>
    <t>Cognitive enhancement is perhaps one of the most intriguing and controversial topics in neuroscience today. Currently, the main classes of drugs used as potential cognitive enhancers include psychostimulants (methylphenidate (MPH), amphetamine), but wakefulness-promoting agents (modafinil) and glutamate activators (ampakine) are also frequently used. Pharmacologically, substances that enhance the components of the memory/learning circuits-dopamine, glutamate (neuronal excitation), and/or norepinephrine-stand to improve brain function in healthy individuals beyond their baseline functioning. In particular, non-medical use of prescription stimulants such as MPH and illicit use of psychostimulants for cognitive enhancement have seen a recent rise among teens and young adults in schools and college campuses. However, this enhancement likely comes with a neuronal, as well as ethical, cost. Altering glutamate function via the use of psychostimulants may impair behavioral flexibility, leading to the development and/or potentiation of addictive behaviors. Furthermore, dopamine and norepinephrine do not display linear effects; instead, their modulation of cognitive and neuronal function maps on an inverted-U curve. Healthy individuals run the risk of pushing themselves beyond optimal levels into hyperdopaminergic and hypernoradrenergic states, thus vitiating the very behaviors they are striving to improve. Finally, recent studies have begun to highlight potential damaging effects of stimulant exposure in healthy juveniles. This review explains how the main classes of cognitive enhancing drugs affect the learning and memory circuits, and highlights the potential risks and concerns in healthy individuals, particularly juveniles and adolescents. We emphasize the performance enhancement at the potential cost of brain plasticity that is associated with the neural ramifications of nootropic drugs in the healthy developing brain.</t>
  </si>
  <si>
    <t>J2: Front Syst Neurosci; Urban, Kimberly R Gao, Wen-Jun R01 MH085666 (United States NIMH NIH HHS); ID: 95</t>
  </si>
  <si>
    <t>Urban,Kimberly R. Department of Psychology, University of Delaware Newark, DE, USA. Gao,Wen-Jun. Department of Neurobiology and Anatomy, Drexel University College of Medicine Philadelphia, PA, USA.</t>
  </si>
  <si>
    <t>http://ovidsp.ovid.com/ovidweb.cgi?T=JS&amp;CSC=Y&amp;NEWS=N&amp;PAGE=fulltext&amp;D=prem&amp;AN=24860437</t>
  </si>
  <si>
    <t>http://dx.doi.org/10.3389/fnsys.2014.00038</t>
  </si>
  <si>
    <t>MEDLINE; Ovid Technologies; Performance enhancement at the cost of potential brain plasticity: neural ramifications of nootropic drugs in the healthy developing brain</t>
  </si>
  <si>
    <t>Urban,R.;Rana,N.;Paloumpi,E.;Morgan,J.;Author,Addresses;University of,Bradford;Bradford,United Kingdom;Bradford Institute For Health Research, Bradford,United Kingdom;Correspondence,Address;Urban, University of Bradford Bradford United Kingdom,R.</t>
  </si>
  <si>
    <t>Medication changes: Who do community pharmacies in england receive information from?</t>
  </si>
  <si>
    <t>warfarin;drug therapy;health care organization;pharmacy;United Kingdom;drug misuse;ethics;fax;general practice;hospital;human;information technology;interpersonal communication;interview;nursing home;patient;patient safety;pharmacist;prescription;primary medical care;scientist;secondary health care;semi structured interview;student;therapy;writing</t>
  </si>
  <si>
    <t>Introduction Lack of communication to community pharmacy is a longstanding issue. Recently measures to improve communication have been introduced including guidance from the Royal Pharmaceutical Society (RPS)1 and the introduction the Discharge Medicines Review (DMR) service in Wales. Previous studies have shown that communication with community pharmacies can contribute toward effective, seamless care and reduce error, 2 however, there is little evidence which examines the range of different HCPs who currently liaise with community pharmacy. This study explored which HCPs communicate with community pharmacies regarding medication changes, the extent of the communication and solutions for improvement. Method A semi-structured interview schedule was compiled comprising three sections: information on current practice, pharmacist opinions and additional information. All pharmacies in one Yorkshire NHS Primary Care Trust (PCT) were invited to participate. The pharmacies were grouped into geographical areas; each area allocated two student researchers. One student asked questions of the pharmacist and both students recorded the responses in writing. Further questions were asked to clarify responses. Responses were then analysed and grouped according to the interview schedule. Ethics approval was granted by the NHS and local research committee. Results The fourteen community pharmacists who participated rarely received information regarding changes to patients' medication. Where they did, it was from various different HCPs including general practice (GPs and practice pharmacists), hospitals (namely hospital pharmacists), nursing homes, warfarin clinics and substance misuse teams. Information was reported to be 'ad hoc' and 'inconsistent', with some pharmacists suggesting that the communication relied on the conscientiousness of the individual or personal relationships. Information received from GPs usually occurred postdischarge; most commonly for patients who used monitored dosage systems (MDS). Occasionally changes to medication were suggested to the GP through Medicine Use Reviews; however often the only indication that these had been actioned was through the receipt of an edited prescription rather than direct communication. Most community pharmacies (12/14) had no communication with practice pharmacists, despite each GP practice employing them. There was intra and inter-hospital variability in the frequency of communication from the hospital to community pharmacy; usually via post or fax. Nursing homes frequently provided information when medication was stopped, started or changed by the GPor secondary care, although the community pharmacy was not always informed if the patient had been in hospital. Half (7/14) the pharmacies received calls from drug misuse teams regarding dose changes or patients newly initiated on therapy. In one case, the pharmacy received a monthly list of all medication changes for their substance misuse patients. Suggestions by the pharmacists interviewed to improve communication included standardised systems and processes together with improved information technology (IT) infrastructure. Discussion Community pharmacies seldom receive information regarding changes to patients' medication. Where they do, it is from a variety of HCPs, however, is infrequent and inconsistent. Communication is vitally important to increase patient safety and seamless care at transitions. Improvements and standardisation to systems and processes including increased IT would improve communication and eliminate some of the dependence on individuals. These qualitative results, whilst not necessarily more widely generalisable, provide an in depth picture of current practice and experiences of information transfer at transitions of care. Further work to confirm whether these findings are reflected through the UK and to establish the barriers to communication to community pharmacy need to be explored.</t>
  </si>
  <si>
    <t>(Urban R.; Rana N.; Paloumpi E.; Morgan J.) (Urban R.) Royal Pharmaceutical Society, RPS Annual Conference 2013 Birmingham, United Kingdom 2013-09-08 to 2013-09-09 Pharmaceutical Press; ID: 1001</t>
  </si>
  <si>
    <t>Urbina,O.;Ferrandez,O.;Luque,S.;Grau,S.;Mojal,S.;Pellicer,R.;Riu,M.;Salas,E.;Comin-Colet,J.</t>
  </si>
  <si>
    <t>PMC4275111; Patient risk factors for developing a drug-related problem in a cardiology ward</t>
  </si>
  <si>
    <t>BACKGROUND: Because of the high incidence of drug-related problems (DRPs) among hospitalized patients with cardiovascular diseases and their potential impact on morbidity and mortality, it is important to identify the most susceptible patients, who therefore require closer monitoring of drug therapy. PURPOSE: To identify the profile of patients at higher risk of developing at least one DRP during hospitalization in a cardiology ward. METHOD: We consecutively included all patients hospitalized in the cardiology ward of a teaching hospital in 2009. DRPs were identified through a computerized warning system designed by the pharmacy department and integrated into the electronic medical record. RESULTS: A total of 964 admissions were included, and at least one DRP was detected in 29.8%. The variables associated with a higher risk of these events were polypharmacy (odds ratio OR]=1.228; 95% confidence interval CI]=1.153-1.308), female sex (OR=1.496; 95% CI=1.026-2.180), and first admission (OR=1.494; 95% CI=1.005-2.221). CONCLUSION: Monitoring patients through a computerized warning system allowed the detection of at least one DRP in one-third of the patients. Knowledge of the risk factors for developing these problems in patients admitted to hospital for cardiovascular problems helps in identifying the most susceptible patients.</t>
  </si>
  <si>
    <t>J2: Ther Clin Risk Manag; Urbina, Olatz Ferrandez, Olivia Luque, Sonia Grau, Santiago Mojal, Sergi Pellicer, Rosa Riu, Marta Salas, Esther Comin-Colet, Josep; ID: 59</t>
  </si>
  <si>
    <t>Urbina,Olatz. Pharmacy Department, Hospital Universitari del Mar, Barcelona, Spain. Ferrandez,Olivia. Pharmacy Department, Hospital Universitari del Mar, Barcelona, Spain. Luque,Sonia. Pharmacy Department, Hospital Universitari del Mar, Barcelona, Spain. Grau,Santiago. Pharmacy Department, Hospital Universitari del Mar, Barcelona, Spain ; Universitat Autonoma de Barcelona, Barcelona, Spain. Mojal,Sergi. Department of Statistics, Institut Hospital del Mar d'Investigacions Mediques, Barcelona, Spain. Pellicer,Rosa. Pharmacy Department, Hospital Universitari del Mar, Barcelona, Spain. Riu,Marta. Department of Epidemiology and Health Services Evaluation, CIBER de Epidemiologia y Salud Publica (CIBERESP), Hospital Universitari del Mar, Barcelona, Spain. Salas,Esther. Pharmacy Department, Hospital Universitari del Mar, Barcelona, Spain. Comin-Colet,Josep. Heart Failure Unit, Cardiology Department, Hospital Universitari del Mar, Barcelona, Spain.</t>
  </si>
  <si>
    <t>http://ovidsp.ovid.com/ovidweb.cgi?T=JS&amp;CSC=Y&amp;NEWS=N&amp;PAGE=fulltext&amp;D=prem&amp;AN=25565852</t>
  </si>
  <si>
    <t>http://dx.doi.org/10.2147/TCRM.S71749</t>
  </si>
  <si>
    <t>MEDLINE; Ovid Technologies; Patient risk factors for developing a drug-related problem in a cardiology ward</t>
  </si>
  <si>
    <t>Utter,B.;Hyatt,J.;Author,Addresses;Suny at Buffalo, Veterans Affairs Western,New York;Healtcare System,United States;Correspondence,Address;Utter, Suny at Buffalo Veterans Affairs Western New York Healtcare,B.;System,United States</t>
  </si>
  <si>
    <t>Risk factors associated with time-to-readmission in veterans with schizophrenia or schizoaffective disorder at the vawny healthcare system</t>
  </si>
  <si>
    <t>college;health care system;hospital readmission;human;pharmacist;risk factor;schizoaffective psychosis;schizophrenia;veteran;alcohol abuse;classification;dependent variable;diagnosis;drug therapy;electronic medical record;health care;homelessness;hospital;hospital patient;hospitalization;independent variable;marriage;medical record review;mental disease;mental patient;patient;psychiatric department;psychiatric diagnosis;psychiatrist;substance abuse;tree</t>
  </si>
  <si>
    <t>Type: Work in Progress. Background: It is estimated that 40- 50% of psychiatric patients discharged from an inpatient psychiatric facility will be readmitted within one year. Efforts to contain cost and make healthcare more efficient such as decreasing duration of hospital stays, has paradoxically increased the rate of hospital readmission. Many risk factors have been significantly correlated with psychiatric rehospitalization including: sex, marital status, age, involuntary first admission, psychiatric diagnosis, global functioning, the degree and type of symptoms, comorbid psychiatric disorders, history of past psychiatric hospitalization, number of previous admissions, and discharge diagnosis. The more that is understood regarding risk factors influencing time-to-readmission, the more opportunities are available to reduce psychiatric readmissions by mitigating these risk factors. Objective: To identify risk factors that influence time-toreadmission in Veterans with schizophrenia or schizoaffective disorder admitted to the inpatient psychiatric unit at the VA WNY Healthcare System. Methods: This study is an IRB-approved retrospective chart review of Veterans admitted to the inpatient psychiatric unit from January 1, 2010 to June 30, 2012 to identify risk factors for readmission (dependent variable). Patients will be included if they have a diagnosis of schizophrenia or schizoaffective disorder and presence of two or more psychiatric admissions within this date range. A Computerized Patient Record System chart review will be conducted for each patient to identify independent variables including age, sex, number of previous admissions, time since previous admission in months, psychotropic medications at the time of discharge, number of medications at the time of discharge, antipsychotic dose(s) optimized prior to admission, number of days prior to admission since antipsychotic medication fill, alcohol abuse, other substance abuse, assignment to a psychiatrist, compliance with appointments since previous admission, homelessness, and number of days in the hospital on previous admission. Outcomes: We will report relative statistical relationships between the independent and dependent variables. CART (Classification and Regression Tree) analysis will be used to describe these relationships with significance accepted at p &lt;0.05.</t>
  </si>
  <si>
    <t>(Utter B.; Hyatt J.) 16th Annual Meeting of the College of Psychiatric and Neurologic Pharmacists, CPNP 2013 Colorado Springs, CO, United States 2013-04-21 to 2013-04-24 SAGE Publications Inc.; ID: 1030</t>
  </si>
  <si>
    <t>Utz,J. R.;Hazaert,J.;Whitley,C. B.;Author,Addresses;Department of,Experimental;Clinical;Pharmacology,University of Minnesota Fairview Minneapolis United States;Correspondence,Address;JR Utz,Department,of Experimental;Clinical Pharmacology,University;of Minnesota, Fairview Minneapolis,United States</t>
  </si>
  <si>
    <t>Advanced training and implementation of pharmaceutical care for inherited metabolic disorders</t>
  </si>
  <si>
    <t>Molecular genetics and metabolism</t>
  </si>
  <si>
    <t>Mol.Genet.Metab.</t>
  </si>
  <si>
    <t>orphan drug;metabolic disorder;pharmaceutical care;society;analgesia;chronic disease;clinical practice;clinical research;clinical trial;college;curriculum;diseases;drug therapy;enzyme replacement;Fabry disease;food and drug administration;gangliosidosis;graduate;health care cost;hospital;human;industry;infusion;lysosome storage disease;medication therapy management;model;neuropathic pain;pain;patient;pharmacogenetics;pharmacy;phenylketonuria;primary medical care;publication;rare disease;skill;therapy;training;United States;university;writing</t>
  </si>
  <si>
    <t>Background: Pharmaceutical Care (PC), also known as Medication Therapy Management (MTM), is a formal clinical service that identifies, resolves and prevents drug therapy problems. PC/MTM services are now provided in an increasing number of primary care settings, and have been shown to improve clinical outcomes and reduce overall healthcare costs in common chronic disease states. Although PC/MTM is globally acknowledged as a valued clinical service for common chronic conditions, its usefulness in rare diseases and specialty practices has not been explored. Although training in PC/MTM is required curriculum at most colleges of pharmacy in the United States, training for PC/MTM in specialty practices has not been available. The orphan diseases known as inherited metabolic disorders (IMD) include conditions that require care from multiple specialty providers and treatment with numerous and costly medications, including orphan drugs, and provides a useful model for studying the value of providing PC/MTM training and services in rare diseases. Objectives/Methods: We instituted a 2-year post-doctoral, i.e., post-PharmD, training program, the Pharmacotherapy and Pharmacogenetics of Inherited Metabolic Diseases Residency, to provide advanced clinical practice training in PC/MTM for IMD, explore the usefulness of PC/MTM towards improving clinical outcomes, and compare the role of PC/MTM in specialty diseases to PC/MTM in the primary care setting. Results: During the first 2-year training program PC/MTM was provided for patients with lysosomal storage diseases and PKU as standard care in the Advanced Therapies Clinic at the University of Minnesota. Clinical care advancements for IMD patients that were realized through PC/MTM services included: 1) identifying 3 major types of infusion reactions to enzyme replacement therapies (ERT); 2) establishing methods for successfully managing all 3 types of infusion reactions; 3) instituting a medication treatment regimen for the gangliosidoses; 4) improving management of neuropathic pain management in Fabry disease patients; 5) instituting a formal process for evaluating Fabry disease pain; and 6) implementing systematic pharmacogenetic evaluations of medications. Clinical research experiences gained by the resident include: 1) initiating a clinical trial to study treatment of Fabry disease neuropathic pain; 2) submission of an FDA IND for Fabry disease pain trial; 3) manuscript writing; 4) grant writing; 5) on-site industry training; and 6) presenting abstracts at 4 international scientific meetings. Conclusions: The addition of a PharmD to the clinical team can enhance the number and value of clinical program offerings in specialty practice clinics. A clinical practice and research residency or fellowship training program, such as the Pharmacotherapy and Pharmacogenetics of Inherited Metabolic Disorders PharmD Residency, provides a method for training PharmD graduates in advanced clinical practice skills and research skills necessary for improving clinical outcomes in rare diseases.</t>
  </si>
  <si>
    <t>(Utz J.R.; Hazaert J.; Whitley C.B.) 2012 Meeting of the Society for Inherited Metabolic Disorders, SIMD 2012 Charlotte, NC, United States 2012-03-31 to 2012-04-03 Academic Press Inc.; ID: 1184</t>
  </si>
  <si>
    <t>1096-7192</t>
  </si>
  <si>
    <t>Vacca,C.;Orozco,J.;Figueras,A.;Capella,D.</t>
  </si>
  <si>
    <t>Assessment of risks related to medicine dispensing by nonprofessionals in Colombia: clinical case simulations</t>
  </si>
  <si>
    <t>Adult;*Clinical Competence/st Standards];Colombia;Cross-Sectional Studies;Education, Continuing/mt Methods];Education, Continuing/st Standards];Educational Status;*Health Knowledge, Attitudes, Practice;Health Personnel/cl Classification];Health Personnel/og Organization &amp; Administration];*Health Personnel/st Standards];Humans;Patient Simulation;Pharmaceutical Services/og Organization &amp; Administration];*Pharmaceutical Services/st Standards];Risk Assessment</t>
  </si>
  <si>
    <t>BACKGROUND: Appropriate dispensing is one of the steps for rational drug use, so it is generally advised that the dispenser should have relevant and updated knowledge, skills, and attitudes. OBJECTIVE: To assess pharmacies and nonprofessional employees' (NEs) skills and knowledge, as well as their response to several specific case simulations in Bogota, Colombia. METHODS: A descriptive cross-sectional study was performed on a random sample of 371 pharmacies in Bogota. Information from each pharmacy was obtained using 2 approaches: (1) direct interview to collect data on organizational aspects of the store and characteristics of NEs, and (2) simulation (both by direct interview and by telephone) to assess dispensing responses in 6 simulated clinical cases. RESULTS: More than half of the simulated clinical situations resulted in inappropriate dispensing (direct simulations 57%; telephone simulations 55%). The proportion of correct answers to theoretical questions regarding a specific therapeutic problem during interviews was higher than the response when a simulation presented that same case and a dispensing act was expected. The educational background of the NEs included in the study points to a specific problem: two-thirds of the individuals selling medicines had completed only secondary-level education and only 2% of the sample had a pharmacist as technical director. Continuing education courses were either directly organized by drug manufacturers (one-third of the courses attended by pharmacists) or sponsored by them (more than an additional one-third). CONCLUSIONS: NEs should be considered part of the therapeutic chain and, if appropriately updated or instructed, could play a very important role in the always difficult promotion of rational drug use. Public health institutions and universities should be more actively involved in the provision of independent, unbiased, and essential information on common therapeutic problems, safety concerns, and new drug prescription restrictions.</t>
  </si>
  <si>
    <t>J2: Ann Pharmacother; Vacca, Claudia Orozco, Jose Figueras, Albert Capella, Dolors; ID: 457</t>
  </si>
  <si>
    <t>Vacca,Claudia. Training Program in International Health; Essential Vaccines and Health Technologies Unit; Pan American Health Organization/World Health Organization; 525 23rd Street NW, Washington, DC 20037-2825, USA. cvaquis@hotmail.com</t>
  </si>
  <si>
    <t>http://ovidsp.ovid.com/ovidweb.cgi?T=JS&amp;CSC=Y&amp;NEWS=N&amp;PAGE=fulltext&amp;D=med5&amp;AN=15701777</t>
  </si>
  <si>
    <t>MEDLINE; Ovid Technologies; Assessment of risks related to medicine dispensing by nonprofessionals in Colombia: clinical case simulations</t>
  </si>
  <si>
    <t>Vaidya,C. J.;Gordon,E. M.;Author,Addresses;Department,of Psychology;University,White-Gravenor Washington D. C. United States;Children's,Research Institute;National Medical Center, Washington,D.C.United States;Program in Neuroscience, Georgetown University,Medical Center;Washington,D. C. U.;Correspondence,Address;CJ Vaidya, Department of Psychology,Georgetown University;White-Gravenor,Washington;cjv2@georgetown.edu</t>
  </si>
  <si>
    <t>23294010; Phenotypic variability in resting-state functional connectivity: Current status</t>
  </si>
  <si>
    <t>Brain Connectivity</t>
  </si>
  <si>
    <t>escitalopram (drug therapy);thiamine (drug therapy);connectome;affect;amygdaloid nucleus;anxiety disorder;autism;behavior;borderline state;cingulate gyrus;clinical feature;cognition;decision making;depression (drug therapy);drug dependence;empathy;epilepsy;episodic memory;generalized anxiety disorder;human;intelligence;learning;memory disorder;multiple sclerosis;neurologic disease;nonhuman;obsessive compulsive disorder;pars opercularis;personality;phenotype;posttraumatic stress disorder;priority journal;review;schizophrenia;social phobia;task performance;Wernicke encephalopathy (drug therapy);working memory;escitalopram (128196-01-0, 219861-08-2);thiamine (59-43-8, 67-03-8);Psychiatry (32);Drug Literature Index (37)</t>
  </si>
  <si>
    <t>We reviewed the extant literature with the goal of assessing the extent to which resting-state functional connectivity is associated with phenotypic variability in healthy and disordered populations. A large corpus of work has accumulated to date (125 studies), supporting the association between intrinsic functional connectivity and individual differences in a wide range of domains - not only in cognitive, perceptual, motoric, and linguistic performance, but also in behavioral traits (e.g., impulsiveness, risky decision making, personality, and empathy) and states (e.g., anxiety and psychiatric symptoms) that are distinguished by cognitive and affective functioning, and in neurological conditions with cognitive and motor sequelae. Further, intrinsic functional connectivity is sensitive to remote (e.g., early-life stress) and enduring (e.g., duration of symptoms) life experience, and it exhibits plasticity in response to recent experience (e.g., learning and adaptation) and pharmacological treatment. The most pervasive associations were observed with the default network; associations were also widespread between the cingulo-opercular network and both cognitive and affective behaviors, while the frontoparietal network was associated primarily with cognitive functions. Associations of somatomotor, frontotemporal, auditory, and amygdala networks were relatively restricted to the behaviors linked to their respective putative functions. Surprisingly, visual network associations went beyond visual function to include a variety of behavioral traits distinguished by affective function. Together, the reviewed evidence sets the stage for testing causal hypothesis about the functional role of intrinsic connectivity and augments its potential as a biomarker for healthy and disordered brain function. ‚î¨‚åê Copyright 2013, Mary Ann Liebert, Inc. 2013.</t>
  </si>
  <si>
    <t>(Vaidya C.J., cjv2@georgetown.edu) (Gordon E.M.) Mary Ann Liebert Inc., 140 Huguenot Street, New Rochelle, United States.; ID: 1059</t>
  </si>
  <si>
    <t>2158-0014 2158-0022 (electronic)</t>
  </si>
  <si>
    <t>http://www.ncbi.nlm.nih.gov/pubmed/23294010</t>
  </si>
  <si>
    <t>Phenotypic variability in resting-state functional connectivity: Current status</t>
  </si>
  <si>
    <t>Vakkalanka,J. P.;King,J. D.;Holstege,C. P.</t>
  </si>
  <si>
    <t>Abuse, misuse, and suicidal substance use by children on school property</t>
  </si>
  <si>
    <t>Adolescent;Adolescent Behavior;Age Factors;Child;Child Behavior;Female;Humans;Male;Prevalence;Risk Assessment;Risk Factors;Risk-Taking;*Schools/td Trends];Students/px Psychology];*Students;Substance-Related Disorders/di Diagnosis];*Substance-Related Disorders/ep Epidemiology];Substance-Related Disorders/mo Mortality];*Substance-Related Disorders/px Psychology];Substance-Related Disorders/th Therapy];Suicide, Attempted/px Psychology];*Suicide, Attempted/td Trends];Time Factors;Treatment Outcome;United States/ep Epidemiology]</t>
  </si>
  <si>
    <t>OBJECTIVE: The purpose of this study was to characterize the epidemiological trends associated with substances used in intentional exposures among children while on school property reported to the U.S. National Poison Data System (NPDS). MATERIALS AND METHODS: NPDS was queried for intentional (abuse, misuse, suspected suicide, and unknown intentional) exposures reported to occur on school property between calendar years 2004 and 2013. Records were restricted to children 6-18 years of age. Demographic, exposure, and clinical characteristics were assessed. RESULTS: A total of 56,882 substances were intentionally used on school property by 50,379 children, of which 39.8% were females (n = 20,070), 57.7% were males (n = 29,084), and 2.4% were unknown gender (n = 1,225). The most frequent pharmaceutical exposures reported included sedatives (n = 4,096; 8.1%), analgesics (n = 4,022; 8.0%), and cough and cold preparations (n = 3,529; 7.0%). The majority of exposures were managed on site (n = 21,464; 42.6%), followed by care at a healthcare facility (n = 20,048; 39.7%). Serious outcomes (moderate or major effects and death) accounted for nine percent of all reported exposures. Compared to reference groups, female gender, teenagers 17-18 years, and pharmaceutical substances (Prevalence Ratios = 4.6, 9.4, and 9.9, respectively) were associated with suspected suicides when compared with other intentional exposures. CONCLUSIONS: Along with other national data about behaviors in the adolescent and teenage population, additional trends in risky behavior may be gleaned by surveillance through poison centers. With over 5,000 annual reports to the poison centers about intentional exposures on school property, school personnel and parents/guardians must be vigilant about the range of pharmaceutical and non-pharmaceutical substances that are used for abuse, misuse, or suicide.</t>
  </si>
  <si>
    <t>J2: Clin Toxicol (Phila); Vakkalanka, J Priyanka King, Joshua D Holstege, Christopher P Comment in: Clin Toxicol (Phila). 2015 Nov;53(9):847-8; PMID: 26359918; ID: 16</t>
  </si>
  <si>
    <t>Vakkalanka,J Priyanka. a Division of Medical Toxicology, Department of Emergency Medicine , University of Virginia School of Medicine , Charlottesville , VA , USA. King,Joshua D. a Division of Medical Toxicology, Department of Emergency Medicine , University of Virginia School of Medicine , Charlottesville , VA , USA. King,Joshua D. b Department of Internal Medicine University of Virginia School of Medicine , Charlottesville , VA , USA. Holstege,Christopher P. a Division of Medical Toxicology, Department of Emergency Medicine , University of Virginia School of Medicine , Charlottesville , VA , USA.</t>
  </si>
  <si>
    <t>http://ovidsp.ovid.com/ovidweb.cgi?T=JS&amp;CSC=Y&amp;NEWS=N&amp;PAGE=fulltext&amp;D=medl&amp;AN=26503790</t>
  </si>
  <si>
    <t>http://dx.doi.org/10.3109/15563650.2015.1085998</t>
  </si>
  <si>
    <t>MEDLINE; Ovid Technologies; Abuse, misuse, and suicidal substance use by children on school property</t>
  </si>
  <si>
    <t>Valdiz‚îú√≠n,E. M.;Pilar,F.;Vidal,R.;Villar,A.;Tramullas,M.;Martinez-Cue,C.;Castro,E.;Diaz,A.;Hurl‚îú‚åê,M. A.;Pazos,A.;Author,Addresses;Department,of Physiology;Pharmacology,University of Cantabria Santander Spain;Ibbtec;University,of Cantabria;Cibersam;University,of Cantabria;Correspondence,Address;EM Valdiz‚îú√≠n,Department,of Physiology;Pharmacology,University of;Cantabria,Santander Spain</t>
  </si>
  <si>
    <t>Using virtual reality in the practical teaching of pharmacology in the degree of medicine. Strengths and weaknesses</t>
  </si>
  <si>
    <t>113 SUPPL. 1</t>
  </si>
  <si>
    <t>pharmacology;society;teaching;virtual reality;weakness;achievement;animal experiment;blood level;book;cardiovascular system;cat;computer;computer program;drug effect;experimental animal;human;implantable cardioverter defibrillator;investment;laboratory;learning;learning environment;medical school;medical student;methodology;model;motivation;organisms;parameters;pharmacokinetics;rat;recording;self concept;self esteem;simulator;skill;student;teacher;technology;United States;university</t>
  </si>
  <si>
    <t>The main characteristic of virtual learning environments (VLE) is to facilitate the learning of the student and its management by the teacher. The use of these resources by teachers involves knowledge and skill in the design and management of virtual learning scenarios. Since the 70s until the start of 21st century, the study of pharmacology in the third year of the Bachelor of Medicine at the University of Cantabria included both, theoretical classes and practical laboratory classes with animals (rat or cat), which allowed students to observe the drug effects in a living organism (influence of dose, routes of administration, desired effects and unwanted variability in response, etc.). But in the recent years, the legislative changes together with the attitude of students and society, in general, towards the use of experimental animals have been forced to change our teaching methods. Thus why in the University Medical School of Cantabria we are now including virtual reality based computer programs to replace laboratory animals in practical classes: Ciberpatient, a simulator of time course of plasma levels of the drugs in the body in response to the change of specific pharmacokinetic parameters and developed by Michael B. Bolger at the University of Southern California, and the Cardiovascular system a simulated experiment on a 'pithed' rat, developed by Rat John Dempster in the University of Strathclyde. We must highlight that these VLE are a great tool as a substitute of experimental animals to 'see' the pharmacological effects of the drugs; indeed, the problems we are facing when using this technology in teaching are more 'logistic' than technical ones. From a pedagogical point of view, VLE simulators on their own do not add any educational value to a learning environment since it is essential to make use of them with a pedagogical proposal, being able to leverage their strengths and avoid their drawbacks. If we follow a similar methodology to that used in classroom training, no significant differences in student learning are found when using VLE. Even more, they provoke a greater personal involvement of students in the experience; enable the projection of the potential of the methodology to other areas and the development of autonomy. When a constructivist teaching approach is adopted, the level of achievement of the learning objectives and knowledge construction are clearly favoured. From the point of view of learning achievements, the following features of VLE must be highlighted: 1. Provoke a more active and participatory learning. 2. Allow the development of autonomous learning. 3. Favours a critical attitude towards learning. 4. Improve student's self-concept and self-esteem. 5. Students tend to believe everything said by the teacher or written in a textbook whereas this new model helps students to understand the need to expand their academic training by searching information from other sources and to maintain a critical attitude toward knowledge. 6. Students show interest, motivation and willingness to learn actively and autonomously. The main limitations of VLE technology we have detected are: 1. The data obtained in the current simulators are very homogeneous, so that all classroom computers get exactly the same value of the parameter analyzed, this can confuse our students about the diversity of the response to drugs in a living organism. 2. The system does not detect if the dose is correct or not and then acting accordingly. 3. In many cases the price of these simulators is high. Although the final cost is less than the number of animals used every year, it is difficult to convince our institutions to make large initial investments. 4. There is a lack of training of the university teachers who use these programs so that the potential and capabilities of these simulators are not always adequately exploited. Overall, virtual computer programs, rather than a collection of experimental recordings are a good alternative to animal experimentation as a teaching methodology in practical classes of Pharmacology to Medical students.</t>
  </si>
  <si>
    <t>(Valdiz‚îú√≠n E.M.; Pilar F.; Vidal R.; Villar A.; Tramullas M.; Martinez-Cue C.; Castro E.; Diaz A.; Hurl‚îú‚åê M.A.; Pazos A.) (Valdiz‚îú√≠n E.M.; Pilar F.; Vidal R.; Castro E.; Diaz A.; Pazos A.) 34th Congress of the Spanish Society of Pharmacology San Pedro del Pinatar, Murcia, Spain 2013-09-16 to 2013-09-19 Blackwell Publishing Ltd; ID: 1004</t>
  </si>
  <si>
    <t>Valentine,E. M.;Herman,C. M.;Levchuk,J. W.;Morris,R. W.</t>
  </si>
  <si>
    <t>Project SPEED--four perspectives</t>
  </si>
  <si>
    <t>1, 46</t>
  </si>
  <si>
    <t>*Education, Pharmacy;*Health Education;Humans;Interprofessional Relations;*Substance-Related Disorders;United States</t>
  </si>
  <si>
    <t>J2: J Am Pharm Assoc; Valentine, E M Herman, C M Levchuk, J W Morris, R W; ID: 735</t>
  </si>
  <si>
    <t>http://ovidsp.ovid.com/ovidweb.cgi?T=JS&amp;CSC=Y&amp;NEWS=N&amp;PAGE=fulltext&amp;D=med1&amp;AN=942741</t>
  </si>
  <si>
    <t>MEDLINE; Ovid Technologies; Project SPEED--four perspectives</t>
  </si>
  <si>
    <t>Dissertation/Thesis</t>
  </si>
  <si>
    <t>Valentine,N. M.</t>
  </si>
  <si>
    <t>Stress, alcohol, and psychoactive drug use among nurses in Massachusetts</t>
  </si>
  <si>
    <t>PH.D.</t>
  </si>
  <si>
    <t>948 p</t>
  </si>
  <si>
    <t>948 p 1p</t>
  </si>
  <si>
    <t>Substance Abuse -- Evaluation;Impairment, Health Professional;Stress, Psychological;Registered Nurses;Risk Factors;Comparative Studies;Descriptive Research;Substance Abuse -- Prevention and Control;Physicians;Students, Medical;Human</t>
  </si>
  <si>
    <t>The investigation explored alcohol and psychoactive substance use among a normal population of nurses for the purposes of having a better understanding about the patterns of psychoactive substance use and the identification of risk factors which may contribute to impairment for some nurses. Particular attention was paid to the impact stress factors may have in substance use overall. The central question addressed by this study was: What are the patterns of stress, alcohol, and psychoactive drug use by a randomly selected group of normal, registered nurses, with particular emphasis on working nurses, and can these patterns be used to identify risk factors in order to more accurately estimate the extent of the problem among all practicing nurses? Detailed analysis was conducted for all nurses and working nurses on multiple dimensions of the questionnaire. Results were determined for the following: (1) Description of the Sample; (2) Patterns of Alcohol Use and Associated Stress Factors; (3) Patterns of Psychoactive Drug Use and Associated Stress Factors; (4) Patterns of Combined Alcohol and Drug Use and Associated Stress Factors; (5) General Description of Other Populations of Interest: Male Nurses and Impaired Nurses; (6) Comparative Analysis of Nurses, Physicians, Medical Students, Pharmacists, and Pharmacy Students. Nurses reported low use of alcohol overall, high use of psychoactive drugs for therapeutic purposes, and low incidence of current alcohol dependence. Use of alcohol and drugs by those nurses who became dependent was associated with history of family problems and smoking habit. Applying the at risk formula for impairment used by McAuliffe et al. in their work with physicians and medical students, nurses in this study were found to be at much higher risk for impairment, as compared with physicians and medical students. The large difference was related to nurses' use of therapeutic drugs, particularly those utilized by prescription. In conclusion, prevalence of impairment among this group of nurses was less than expected. However, health policy and economic recommendations emphasize the need for prevention, increased awareness of the problem, and the addressing of the complex productivity issues involved in impaired nursing practice. (Abstract shortened with permission of author.)</t>
  </si>
  <si>
    <t>ID: 2035</t>
  </si>
  <si>
    <t>BRANDEIS U., THE F. HELLER GRAD. SCH. FOR ADV. STUD. IN SOC. WEL</t>
  </si>
  <si>
    <t>http://proxy.lib.umich.edu/login?url=http://search.ebscohost.com/login.aspx?direct=true&amp;db=ccm&amp;AN=109870327&amp;site=ehost-live&amp;scope=site</t>
  </si>
  <si>
    <t>ccm; EBSCOhost; Stress, alcohol, and psychoactive drug use among nurses in Massachusetts</t>
  </si>
  <si>
    <t>Vallano,A.;Pedros,C.;Agusti,A.;Cereza,G.;Danes,I.;Aguilera,C.;Arnau,J. M.</t>
  </si>
  <si>
    <t>PMC2993731; Educational sessions in pharmacovigilance: What do the doctors think?</t>
  </si>
  <si>
    <t>BMC Research Notes</t>
  </si>
  <si>
    <t>BACKGROUND: The aim of this study was to determine physicians' opinion regarding pharmacovigilance feedback sessions. A survey was conducted in a teaching hospital, and the physicians who attended the sessions were invited to participate by filling out a structured questionnaire. All sessions included a review of adverse drug reactions identified at the hospital and information on pharmacovigilance issues (news on warnings released by regulatory agencies or drug toxicity problems identified by recently published studies in medical journals). The survey questions were related to the interest, satisfaction, and belief in the utility of the sessions. A Likert scale (0-10 points) was used to assess physicians' opinions. FINDINGS: A total of 159 physicians attended the sessions and 115 (72.3%) participated in the survey. The mean (SD) age was 38.9 (12.1) years, and 72 (62.6%) were men. The mean (SD) scores of interest, satisfaction with the information provided, and belief in the utility of these sessions were 7.52 (1.61), 7.58 (1.46), and 8.05 (1.38) respectively. Significant differences were observed among physicians according to medical category and speciality in terms of interest, satisfaction, and belief in the utility of those sessions. CONCLUSIONS: Educational activities for physicians, such as feedback sessions, can be integrated into the pharmacovigilance activities. Doctors who attend the sessions are interested in and satisfied with the information provided and consider the sessions to be useful. Additional studies on the development and effectiveness of educational activities in pharmacovigilance are necessary.</t>
  </si>
  <si>
    <t>J2: BMC Res Notes; Vallano, Antonio Pedros, Consuelo Agusti, Antonia Cereza, Gloria Danes, Immaculada Aguilera, Cristina Arnau, Josep Maria; ID: 254</t>
  </si>
  <si>
    <t>1756-0500</t>
  </si>
  <si>
    <t>Vallano,Antonio. Clinical Pharmacology Service, Bellvitge Biomedical Research Institute (IDIBELL), Bellvitge University Hospital-ICS, Department of Pathology and Experimental Therapeutics, University of Barcelona, Feixa Llarga s/n, 08035 L'Hospitalet de Llobregat, Barcelona, Spain. avallano@bellvitgehospital.cat.</t>
  </si>
  <si>
    <t>http://ovidsp.ovid.com/ovidweb.cgi?T=JS&amp;CSC=Y&amp;NEWS=N&amp;PAGE=fulltext&amp;D=prem&amp;AN=21083899</t>
  </si>
  <si>
    <t>http://dx.doi.org/10.1186/1756-0500-3-311</t>
  </si>
  <si>
    <t>MEDLINE; Ovid Technologies; Educational sessions in pharmacovigilance: What do the doctors think?</t>
  </si>
  <si>
    <t>Vallido,T.;Peters,K.;O'Brien,L.;Jackson,D.</t>
  </si>
  <si>
    <t>Sleep in adolescence: a review of issues for nursing practice</t>
  </si>
  <si>
    <t>Adolescent;Education, Nursing;Humans;*Nursing;*Sleep Wake Disorders</t>
  </si>
  <si>
    <t>AIMS AND OBJECTIVES: The aim of this review was to explore the literature to determine what is known about adolescent sleep, the causes and consequences of disturbed sleep in adolescence and the implications this has for nursing practice. BACKGROUND: Sleep disorders are relatively common in young people. Disturbed sleep can be both a cause and a result of ill health and if recognised can indicate psychosocial, psychological or physical difficulties. DESIGN: Literature review. METHODS: Searching of key electronic databases. RESULTS: Disturbed sleep in adolescents has several potential consequences, including daytime sleepiness, reduced academic performance and substance use/abuse. However, despite its significance and frequency, sleep disturbance is an area of adolescent health that is almost entirely unaddressed within the nursing literature. CONCLUSION: Nursing has a role to play in assisting adolescents and their families to recognise the importance of sleep to the general health and well-being of young people. RELEVANCE TO CLINICAL PRACTICE: There is a need for nursing to develop tools to assess sleep in adolescent clients and non-pharmaceutical interventions to assist adolescents achieve optimum sleep and rest. Nurses may also contribute to educating adolescents and their families regarding the importance of good sleep hygiene. References: 54]</t>
  </si>
  <si>
    <t>J2: J Clin Nurs; Vallido, Tamara Peters, Kathleen O'Brien, Louise Jackson, Debra; ID: 317</t>
  </si>
  <si>
    <t>Vallido,Tamara. School of Nursing, College of Health and Science, University of Western Sydney, Penrith South DC, NSW, Australia.</t>
  </si>
  <si>
    <t>http://ovidsp.ovid.com/ovidweb.cgi?T=JS&amp;CSC=Y&amp;NEWS=N&amp;PAGE=fulltext&amp;D=med5&amp;AN=19638045</t>
  </si>
  <si>
    <t>http://dx.doi.org/10.1111/j.1365-2702.2009.02812.x</t>
  </si>
  <si>
    <t>MEDLINE; Ovid Technologies; Sleep in adolescence: a review of issues for nursing practice</t>
  </si>
  <si>
    <t>Van Hout,M. C.</t>
  </si>
  <si>
    <t>Nod and wave: an Internet study of the codeine intoxication phenomenon</t>
  </si>
  <si>
    <t>*Codeine/ad Administration &amp; Dosage];Codeine/ae Adverse Effects];Drug Overdose/ep Epidemiology];Harm Reduction;Humans;*Internet;*Opioid-Related Disorders/ep Epidemiology];Pain/dt Drug Therapy];Public Health;Risk Management/mt Methods];*Substance Withdrawal Syndrome/ep Epidemiology];Q830PW7520 (Codeine)</t>
  </si>
  <si>
    <t>BACKGROUND: The non-medical use of pharmaceutical opioids such as codeine is of increasing public health concern. The aim of the study was to describe codeine intoxication experiences amongst recreational drug users, as posted on public Internet forums. METHODS: Internet searches were carried out by using the specific key word 'codeine' and in combination with 'experience', 'report', 'trip' and 'forum'. 96 Trip reports and 156 thread discussions relating to the sole use of codeine were analysed using the empirical phenomenological psychological (EPP) method. Nine themes and 72 categories emerged. RESULTS: Narratives illustrated transitions between medical and non-medical use of codeine for dulling of emotional and/or physical pain, opiate withdrawal management and for intoxication. Codeine's appeal centred on access via family medicine cabinets, prescribers and pharmacies. Discussion and dissemination of indigenous harm reduction tactics included the learning to appreciate codeine's effect via moderated use in optimal settings, avoidance of tolerance by use of informed dosing schedules, cold water extraction of codeine, and using codeine as an alternative to stronger opioids. Oral and rectal routes were favoured, with awareness on forums of the harms of intravenous and subcutaneous injection. 250 mg was recommended to optimise recreational outcomes. Forum users describe potentiating practices and using over-the-counter medications to improve intoxication experiences and reduce unpleasant side effects. Dissociative effects, ability to ignore physical and emotional pain, codeine induced synaesthesia and altered states of consciousness were described. Overdose was characterised by anaesthesia, severe chest and stomach pain, respiratory depression, panic and fear of death. CONCLUSION: Efforts to ensure legitimate codeine use for pain and reduction of aberrant behaviours centre on evidence based screening, risk minimisation, prescription monitoring and specific treatment protocols. This study shows that internet drug forums drive communal know-how and indigenous harm reduction strategies, and warrant consideration as viable public health mechanisms for informing users.Copyright ‚î¨‚åê 2014 Elsevier B.V. All rights reserved.</t>
  </si>
  <si>
    <t>J2: Int J Drug Policy; Van Hout, Marie Claire S0955-3959(14)00167-4; ID: 33</t>
  </si>
  <si>
    <t>Van Hout,Marie Claire. School of Health Sciences, Waterford Institute of Technology, Waterford, Ireland. Electronic address: mcvanhout@wit.ie.</t>
  </si>
  <si>
    <t>http://ovidsp.ovid.com/ovidweb.cgi?T=JS&amp;CSC=Y&amp;NEWS=N&amp;PAGE=fulltext&amp;D=medl&amp;AN=25052240</t>
  </si>
  <si>
    <t>http://dx.doi.org/10.1016/j.drugpo.2014.06.016</t>
  </si>
  <si>
    <t>MEDLINE; Ovid Technologies; Nod and wave: an Internet study of the codeine intoxication phenomenon</t>
  </si>
  <si>
    <t>van Mil,J. W.</t>
  </si>
  <si>
    <t>Pharmaceutical care in community pharmacy: practice and research in the Netherlands</t>
  </si>
  <si>
    <t>Community Pharmacy Services/ec Economics];Community Pharmacy Services/og Organization &amp; Administration];Community Pharmacy Services/td Trends];*Community Pharmacy Services;Delivery of Health Care/ec Economics];Delivery of Health Care/og Organization &amp; Administration];Delivery of Health Care/td Trends];*Delivery of Health Care;Humans;Netherlands;Patient Care;Professional-Patient Relations</t>
  </si>
  <si>
    <t>OBJECTIVE: To describe the pharmaceutical care activities and research in community pharmacy in the Netherlands. FINDINGS: Pharmaceutical care is well advanced in Dutch pharmacy practice. This is largely due to the fact that clinical pharmacy was already an integrated part of community pharmacy practice by the end of the 1980s. Activities of the International Pharmaceutical Federation (FIP), some wholesale companies, and influential individuals in the Netherlands stimulated universities and the Royal Society for the Advancement of Pharmacy to advance the implementation of pharmaceutical care. DISCUSSION: Not all pharmacies in the Netherlands provide pharmaceutical care at the same level, although medication surveillance (concurrent and prospective medication analysis) is part of everyday practice. Implementation of quality assurance systems in community pharmacy practice could be helpful in assuring high levels of care. Similar to those in other countries, Dutch pharmacists are torn between the wish to provide pharmaceutical care and economic considerations, although the financial status of most pharmacies is still (very) healthy. New entrants into the market, such as supermarket and pharmacy chains, seem to put little emphasis on care provision. CONCLUSIONS: Pharmaceutical care has been implemented in many Dutch community pharmacies, but not everywhere to the same extent. Due to excellent automated medication surveillance; structured, high-quality medication counseling; and the fact that patients usually visit the same pharmacy, Dutch patients are well protected against many drug-related problems.</t>
  </si>
  <si>
    <t>J2: Ann Pharmacother; van Mil, J W Foppe; ID: 441</t>
  </si>
  <si>
    <t>van Mil,J W Foppe. Van Mil Consultancy, Margrietlaan 1, 9471 CT Zuidlaren, Netherlands. jwfvmil@planet.nl</t>
  </si>
  <si>
    <t>http://ovidsp.ovid.com/ovidweb.cgi?T=JS&amp;CSC=Y&amp;NEWS=N&amp;PAGE=fulltext&amp;D=med5&amp;AN=16144881</t>
  </si>
  <si>
    <t>MEDLINE; Ovid Technologies; Pharmaceutical care in community pharmacy: practice and research in the Netherlands</t>
  </si>
  <si>
    <t>Van Olden,E.;Ray,A.;Manson,K.;Corman,S.;Connor,S.;Author,Addresses;University of Pittsburgh, School of Pharmacy,United States;Correspondence,Address;Ray, University of Pittsburgh School of Pharmacy United States,A.</t>
  </si>
  <si>
    <t>Project chance: A chance to prevent the complications of smoking</t>
  </si>
  <si>
    <t>smoking;community;data base;education;health;hospital;human;information processing;learning;oxygenation;patient;patient education;pharmacist;planning;population;questionnaire;satisfaction;screening;smoke;smoking cessation;student;therapy;tobacco dependence;volunteer</t>
  </si>
  <si>
    <t>Objective: To improve the health of underserved populations by identifying, educating, and empowering patients who smoke to utilize available community resources and to engage student pharmacists in the care of these patients. Methods: Due to the success of our previous project in collaboration with the Birmingham clinic, our chapter has decided to expand our project to include screening and education about smoking and nicotine dependence. A student committee was formed to research community resources, determine ways to identify patients with nicotine dependence, coordinate student involvement, and develop creative patient education materials. CO monitors will be used to describe to patients the extent to which smoking impacts their oxygenation. Student volunteers will keep a database of patients who they interact with and identify patients that may be candidates for smoking cessation therapy. Evaluation methods will include tracking the number of patients who smoke, their CO levels, the number of patients referred to the Birmingham smoking cessation clinic, the number of patients who attend the clinic as a result of referral from the students, the number of patients given information on community resources, and the number of student pharmacists who participated. A patient questionnaire will be used to evaluate satisfaction with the education and resources provided. Students will be surveyed to gauge the extent of their learning. Seven students have participated in the initial planning of this project. Data collection and evaluation will continue through the academic year. Promotion for this project will continue through October and November 2009 with patients being able to volunteer at the clinic starting in January 2010. Results: NA (research in progress). Conclusion: NA (research in progress).</t>
  </si>
  <si>
    <t>(Van Olden E.; Ray A.; Manson K.; Corman S., cormsl@upmc.edu; Connor S.) APhA2010 Washington, DC, United States 2010-03-12 to 2010-03-15 American Pharmacists Association; ID: 1391</t>
  </si>
  <si>
    <t>van,de Vijver;Roos,R. A.;Jansen,P. A.;Porsius,A. J.;de Boer,A.</t>
  </si>
  <si>
    <t>Antipsychotics and Parkinson's disease: association with disease and drug choice during the first 5 years of antiparkinsonian drug treatment</t>
  </si>
  <si>
    <t>Aged;*Antipsychotic Agents/ae Adverse Effects];Antipsychotic Agents/tu Therapeutic Use];Case-Control Studies;Clozapine/ae Adverse Effects];Clozapine/tu Therapeutic Use];Female;Humans;Male;Middle Aged;Netherlands/ep Epidemiology];*Parkinson Disease/dt Drug Therapy];Pharmacoepidemiology;Psychoses, Substance-Induced/ep Epidemiology];*Psychoses, Substance-Induced/et Etiology];0 (Antipsychotic Agents);J60AR2IKIC (Clozapine)</t>
  </si>
  <si>
    <t>OBJECTIVE: Psychosis is a common complication of the drug treatment of Parkinson's disease (PD). Treatment of this complication is difficult as most antipsychotic drugs worsen motor symptoms of PD. Only the atypical antipsychotic clozapine improves psychosis without worsening of parkinsonism. The aim of the present study was to assess the rate of initiation of antipsychotic treatment in patients with PD compared with controls. The quality of pharmacotherapy was determined by assessing which antipsychotic drugs were initiated. METHODS: Data came from the PHARMO database, which includes drug-dispensing information for all residents of six Dutch cities. Selected were all persons aged 55 years and older who used levodopa for at least 180 days and who started antiparkinsonian drugs at least 180 days after entry into PHARMO. These patients were matched to at most three controls for age, gender, pharmacy and time of use. The association between rate of initiation of antipsychotic drug treatment and PD was determined using the Cox proportional hazards model. RESULTS: The study included 271 patients with PD and 748 controls. During follow-up, 38 patients and 25 controls started taking an antipsychotic drug; relative risk was 3.9 (95% confidence interval 2.3, 6.4). Six patients with PD received an atypical agent (16%). Clozapine was given to five patients with PD. No control used clozapine. Haloperidol was most frequently prescribed to the patients (29%) and the controls (36%). CONCLUSION: Patients with PD began taking antipsychotic drugs almost four times more frequently than controls. The quality of pharmacotherapy can be improved by prescribing atypical antipsychotic drugs to patients with PD.</t>
  </si>
  <si>
    <t>J2: Eur J Clin Pharmacol; van de Vijver, D A M C Roos, R A C Jansen, P A F Porsius, A J de Boer, A; ID: 516</t>
  </si>
  <si>
    <t>van de Vijver,D A M C. Department of Pharmacoepidemiology and Therapy, Utrecht Institute for Pharmaceutical Sciences, Utrecht University, Utrecht, the Netherlands.</t>
  </si>
  <si>
    <t>http://ovidsp.ovid.com/ovidweb.cgi?T=JS&amp;CSC=Y&amp;NEWS=N&amp;PAGE=fulltext&amp;D=med4&amp;AN=12012150</t>
  </si>
  <si>
    <t>MEDLINE; Ovid Technologies; Antipsychotics and Parkinson's disease: association with disease and drug choice during the first 5 years of antiparkinsonian drug treatment</t>
  </si>
  <si>
    <t>van,der Bijl;Author,Addresses;Department of Pharmacology, University,of Stellenbosch;Tygerberg,South Africa;Correspondence,Address;van der Bijl, Department of Pharmacology University of Stellenbosch,P.;Tygerberg,South Africa</t>
  </si>
  <si>
    <t>Substances of abuse - Demand for their determinations in the Western Cape</t>
  </si>
  <si>
    <t>South African Journal of Psychiatry</t>
  </si>
  <si>
    <t>(MAJOR FOCUS);alcohol (drug toxicity);amphetamine (drug toxicity);cannabis (drug toxicity);methaqualone (drug toxicity);opiate (drug toxicity);drug dependence (diagnosis);alcoholism (diagnosis);article;blood analysis;cannabis addiction (diagnosis);diagnostic accuracy;drug dependence treatment;enzyme immunoassay;health care availability;health care facility;health care financing;health care policy;human;laboratory test;medical record;opiate addiction (diagnosis);primary health care;responsibility;seasonal variation;social aspect;South Africa;substance abuse;university hospital;urinalysis;winter;alcohol (64-17-5);amphetamine (1200-47-1, 139-10-6, 156-34-3, 2706-50-5, 300-62-9, 51-62-7,;60-13-9, 60-15-1);cannabis (8001-45-4, 8063-14-7);methaqualone (340-56-7, 72-44-6, 8056-67-5);opiate (53663-61-9, 8002-76-4, 8008-60-4);Public Health, Social Medicine and Epidemiology (17);Psychiatry (32);Drug Dependence, Alcohol Abuse and Alcoholism (40);Toxicology (52)</t>
  </si>
  <si>
    <t>Background. Drug abuse is as relevant today as ever Management of such cases on a primary health care level may be challenging, particularly when laboratory facilities are unavailable. Futhermore, substance abuse and its sequelae place a significant burden on the already overstretched primary health care resources in the country, as well as on other services and society in general. Objectives. The current study surveyed the trends in demand for laboratory determination of amphetamines, opiates, methaqualone, cannabis, cocaine and ethanol for the period 1991 - 2002, in the Western Cape. The survey was conducted by extracting the relevant data from the record of the Pharmacology/Toxicology Laboratory of the University of Stellenbosch and Tygerberg Academic Hospital. This facility processes the largest number of specimens by a single laboratory in the Western Cape. Results. From the data obtained a seasonal pattern emerged for all substances except ethanol, with a trough appearing in early winter. Demand for ethanol analysis was fairly constant thoughout the year, with a peak in the last quarter. Ethanol level was the most frequently requested analysis between 1991 and 1997. This concurs with its status as the main substance and abuse in South Africa and the rest of the world. There was an increased demand for analysis of amphetamines, opiates, methaqualone, cannabis and cocaine between 1991 and 2002, Generally dominating, next to ethanol, were requests for cannabis and methaqualone analysis. Interesting to note was the increase in demand for opiate analysis, following the trend observed in certain other regions of the world. Conclusion. The analysis trends observed in this study demonstrate global patterns of drug abuse emerging in the Western Cape. The medical and social effects of drug abuse impose a grave responsibility on policymakers to ensure that adequate funding is available for analytical laboratories. Only in such a was can these patients be correctly diagnosed and treated.</t>
  </si>
  <si>
    <t>(van der Bijl P.); ID: 1571</t>
  </si>
  <si>
    <t>1608-9685</t>
  </si>
  <si>
    <t>van,der Voort;van Meijel,B.;Goossens,P. J.;Renes,J.;Beekman,A. T.;Kupka,R. W.</t>
  </si>
  <si>
    <t>PMC3170590; Collaborative care for patients with bipolar disorder: a randomised controlled trial</t>
  </si>
  <si>
    <t>BMC Psychiatry</t>
  </si>
  <si>
    <t>Adolescent;Adult;Aged;*Ambulatory Care Facilities/og Organization &amp; Administration];*Bipolar Disorder/dt Drug Therapy];*Bipolar Disorder/th Therapy];Caregivers/px Psychology];Clinical Protocols;*Cooperative Behavior;Cost-Benefit Analysis;Humans;Male;*Mental Health Services/og Organization &amp; Administration];Middle Aged;Mood Disorders/dt Drug Therapy];Mood Disorders/th Therapy];Netherlands;Outcome and Process Assessment (Health Care)/mt Methods];Patient Education as Topic;Patient Participation;Psychiatric Status Rating Scales;Secondary Prevention</t>
  </si>
  <si>
    <t>BACKGROUND: Bipolar disorder is a severe mental illness with serious consequences for daily living of patients and their caregivers. Care as usual primarily consists of pharmacotherapy and supportive treatment. However, a substantial number of patients show a suboptimal response to treatment and still suffer from frequent episodes, persistent interepisodic symptoms and poor social functioning. Both psychiatric and somatic comorbid disorders are frequent, especially personality disorders, substance abuse, cardiovascular diseases and diabetes. Multidisciplinary collaboration of professionals is needed to combine all expertise in order to achieve high-quality integrated treatment. 'Collaborative Care' is a treatment method that could meet these needs. Several studies have shown promising effects of these integrated treatment programs for patients with bipolar disorder. In this article we describe a research protocol concerning a study on the effects of Collaborative Care for patients with bipolar disorder in the Netherlands. METHODS/DESIGN: The study concerns a two-armed cluster randomised clinical trial to evaluate the effectiveness of Collaborative Care (CC) in comparison with Care as usual (CAU) in outpatient clinics for bipolar disorder or mood disorders in general. Collaborative Care includes individually tailored interventions, aimed at personal goals set by the patient. The patient, his caregiver, the nurse and the psychiatrist all are part of the Collaborative Care team. Elements of the program are: contracting and shared decision making; psycho education; problem solving treatment; systematic relapse prevention; monitoring of outcomes and pharmacotherapy. Nurses coordinate the program. Nurses and psychiatrists in the intervention group will be trained in the intervention. The effects will be measured at baseline, 6 months and 12 months. Primary outcomes are psychosocial functioning, psychiatric symptoms, and quality of life. Caregiver outcomes are burden and satisfaction with care. DISCUSSION: Several ways to enhance the quality of this study are described, as well as some limitations caused by the complexities of naturalistic treatment settings where not all influencing factors on an intervention and the outcomes can be controlled. TRIAL REGISTRATION: The Netherlands Trial Registry, NTR2600.</t>
  </si>
  <si>
    <t>J2: BMC Psychiatry; van der Voort, Trijntje Y G van Meijel, Berno Goossens, Peter J J Renes, Janwillem Beekman, Aartjan T F Kupka, Ralph W; ID: 238</t>
  </si>
  <si>
    <t>1471-244X</t>
  </si>
  <si>
    <t>van der Voort,Trijntje Y G. GGZ ingeest/VU University Medical Center, dept, of Psychiatry, Amsterdam, the Netherlands. n.vandervoort@ggzingeest.nl</t>
  </si>
  <si>
    <t>http://ovidsp.ovid.com/ovidweb.cgi?T=JS&amp;CSC=Y&amp;NEWS=N&amp;PAGE=fulltext&amp;D=med5&amp;AN=21849078</t>
  </si>
  <si>
    <t>http://dx.doi.org/10.1186/1471-244X-11-133</t>
  </si>
  <si>
    <t>MEDLINE; Ovid Technologies; Collaborative care for patients with bipolar disorder: a randomised controlled trial</t>
  </si>
  <si>
    <t>Varallo,F.;Planeta,C.;Mastroianni,P.;Author,Addresses;School of,Pharmaceutical Sciences;Estadual Paulista-Araraquara Sp,Drugs;Medicine,Araraquara Brazil;School of,Pharmaceutical Sciences;Paulista-Araraquara Sp,Natural,Active Principles;Toxicology;Araraquara,Brazil;Correspondence,Address;Varallo, School of Pharmaceutical Sciences-Unesp Univ Estadual,F.;Paulista-Araraquara Sp,Drugs;Medicine,Araraquara Brazil</t>
  </si>
  <si>
    <t>Impact of pharmacovigilance multifaceted educational intervention on knowledge, skills and attitudes of a multidisciplinary healthcare team</t>
  </si>
  <si>
    <t>drug surveillance program;health care;skill;adverse drug reaction;book;Brazil;drug safety;drug use;education;follow up;gold standard;health;health practitioner;hospital;human;interpersonal communication;landscape;market;medication error;nursing staff;parameters;pharmacist;physician;physiotherapist;prevalence;public hospital;questionnaire;risk;world health organization</t>
  </si>
  <si>
    <t>Introduction: Most educational interventions in pharmacovigilance are designed to motivate physicians to report adverse drug reactions (ADR) 1, 2]. However, multidisciplinary health teams may play an important role in alerting authorities about drug-related problems. Aim: We assess the impact of a multifaceted educational intervention in pharmacovigilance on the knowledge, skills and attitudes of hospital health professionals. Methods: We performed a longitudinal, non-randomized study in a general and public hospital of medium complexity with 104 beds in S‚îú√∫o Paulo, Brazil. We conducted educational intervention for 173 professionals on multidisciplinary health care teams via (1) presentation of a lecture about the landscape, importance and concepts related to pharmacovigilance; (2) classroom time to elucidate how to correctly fill out adverse drug event (ADE) reports; (3) distribution of educational manual and (4) the application of a questionnaire to assess knowledge, attitudes and skills in pharmacovigilance. The impact of intervention on knowledge and skills was assessed by comparison of answers of questionnaire with gold-standard parameters: minimum and desired criteria 3] to fill the ADE form and definitions of World Health Organization and Pan American Health Organization 4]. The impact on attitudes was evaluated by follow up of the prevalence of adverse drug events (ADE) reported in 12 months prior and before intervention. Mann-Whitney statistical test was applied to verify significant difference between both periods. Results: Educational intervention was effective for acquisition of knowledge (p&lt;0.0001) and skills (p&lt;0.0001) in pharmacovigilance and increased the prevalence of ADE reports by 185-fold. Drug-related problems included medication errors (n = 165), ADR (n = 26), quality deviations (n = 18) and therapeutic failures (n = 5). Nursing staff reported the majority of cases (n = 150), followed by pharmacists (n = 29), physicians (n = 6) and physiotherapists (n = 1). Conclusions: Multifaceted education intervention is effective at changing the behaviour of multidisciplinary teams to detect and alert suspicions ADE, as well as to aware them about drug safety. Therefore, the inclusion of all health professionals in post-market surveillance is an important strategy to decrease ADE underreporting and improve risks communication associated with drug use.</t>
  </si>
  <si>
    <t>(Varallo F.; Mastroianni P.) (Planeta C.) 15th ISoP Annual Meeting "Cubism in Pharmacovigilance" Prague, Czech Republic 2015-10-27 to 2015-10-30 Springer International Publishing; ID: 808</t>
  </si>
  <si>
    <t>Varra,A. A.;Hayes,S. C.;Roget,N.;Fisher,G.</t>
  </si>
  <si>
    <t>A randomized control trial examining the effect of acceptance and commitment training on clinician willingness to use evidence-based pharmacotherapy</t>
  </si>
  <si>
    <t>Journal of Consulting &amp; Clinical Psychology</t>
  </si>
  <si>
    <t>Combined Modality Therapy;*Drug Therapy/mt Methods];*Education, Medical;Ethnic Groups/sn Statistics &amp; Numerical Data];*Evidence-Based Medicine/mt Methods];Female;Humans;*Intention;Male;Middle Aged;*Motivation;*Patient Acceptance of Health Care/sn Statistics &amp; Numerical Data];*Psychotherapy/mt Methods];Social Support;Substance-Related Disorders/eh Ethnology];*Substance-Related Disorders/th Therapy];*Teaching/mt Methods]</t>
  </si>
  <si>
    <t>This study evaluated the effectiveness of acceptance and commitment training (ACT) for increasing drug and alcohol counselors' willingness to use evidence-based agonist and antagonist pharmacotherapy. Fifty-nine drug and alcohol counselors were randomly assigned to either a 1-day ACT workshop or a 1-day educational control workshop. Both groups then attended a 2-day workshop on empirically supported treatments for substance abuse. Measures were taken at pre- and posttraining and 3-month follow-up on reported use of pharmacotherapy, willingness to use pharmacotherapy, perceived barriers to implementing new treatments, and general acceptance. As compared with those in the education alone condition, participants in the ACT condition showed significantly higher rates of referrals to pharmacotherapy at follow-up, rated barriers to learning new treatments as less believable at posttraining and follow-up, and showed greater psychological flexibility at posttraining and follow-up. Mediational analyses indicated that reduced believability of barriers and greater psychological flexibility mediated the impact of the intervention. Results support the idea that acceptance-based interventions may be helpful in addressing the psychological factors related to poor adoption of evidence-based treatments.Copyright (c) 2008 APA, all rights reserved</t>
  </si>
  <si>
    <t>J2: J Consult Clin Psychol; Varra, Alethea A Hayes, Steven C Roget, Nancy Fisher, Gary; ID: 360</t>
  </si>
  <si>
    <t>0022-006X</t>
  </si>
  <si>
    <t>Varra,Alethea A. Veterans Affairs Puget Sound Healthcare System, Mental Health Service, Seattle, WA 98108, USA. alethea.varra@va.gov</t>
  </si>
  <si>
    <t>http://ovidsp.ovid.com/ovidweb.cgi?T=JS&amp;CSC=Y&amp;NEWS=N&amp;PAGE=fulltext&amp;D=med5&amp;AN=18540738</t>
  </si>
  <si>
    <t>http://dx.doi.org/10.1037/0022-006X.76.3.449</t>
  </si>
  <si>
    <t>MEDLINE; Ovid Technologies; A randomized control trial examining the effect of acceptance and commitment training on clinician willingness to use evidence-based pharmacotherapy</t>
  </si>
  <si>
    <t>Vasse,R. M.;Nijhuis,F. J.;Kok,G.</t>
  </si>
  <si>
    <t>Associations between work stress, alcohol consumption and sickness absence</t>
  </si>
  <si>
    <t>241 11p</t>
  </si>
  <si>
    <t>Absenteeism;Alcohol Drinking;Occupational Diseases -- Psychosocial Factors;Stress, Psychological -- Etiology;Adult;Alcohol Drinking -- Epidemiology;Cross Sectional Studies;Female;Health Status;Human;Male;Middle Age;Netherlands;Occupational Diseases -- Epidemiology;Prevalence;Sick Leave;Smoking -- Epidemiology;Stress, Psychological -- Epidemiology</t>
  </si>
  <si>
    <t>To test an interactional model on the associations between work stressors, perceived stress, alcohol consumption and sickness absence. Cross-sectional survey. The study was part of a Worksite Health Project including an Employee Assistance Programme and a Health Promotion Programme in the Netherlands. Participants were blue-collar workers from two Municipal Garbage Collecting Departments and white-collar workers from a Pharmaceutical Company (N = 471). Measurements included socio-demographic characteristics (gender, age, education, marital status), work stressors, perceived stress, alcohol consumption and sickness absence. Type of work-site (blue- or white-collar) and smoking behaviour were used as covariates. Regression analyses resulted in three major findings. First, in the presence of stress, abstinence increased the risk of sickness absence compared with moderate drinking. We failed to find a significant relationship between excessive drinking and sickness absence. Secondly, stress mediated the associations between stressor and alcohol consumption, and between stressor and sickness absence, although stressors also directly predicted sickness absence. The association between abstinence and sickness absence could reflect medical problems of abstainers or a lack of skills for coping with stress. The failure to find a significant detrimental effect of excessive drinking may have been due to use of a low threshold for excessive drinking and/or low power. Prospective studies are needed to gain insight in causal relationships between the variables concerned.</t>
  </si>
  <si>
    <t>Entry Date: 20110610. Revision Date: 20150711. Publication Type: Journal Article; research. Journal Subset: Biomedical; Europe; Peer Reviewed; UK &amp; Ireland. NLM UID: 9304118. PMID: 9624724.; ID: 1834</t>
  </si>
  <si>
    <t>Department of Health Education and Promotion, University of Maastricht, The Netherlands. r.vasse@gvo.unimaas.nl</t>
  </si>
  <si>
    <t>http://proxy.lib.umich.edu/login?url=http://search.ebscohost.com/login.aspx?direct=true&amp;db=ccm&amp;AN=104797891&amp;site=ehost-live&amp;scope=site</t>
  </si>
  <si>
    <t>10.1046/j.1360-0443.1998.9322317.x</t>
  </si>
  <si>
    <t>ccm; EBSCOhost; Associations between work stress, alcohol consumption and sickness absence</t>
  </si>
  <si>
    <t>Veldenz,H. C.;Scott,K. K.;Dennis,J. W.;Tepas,J. J., 3;Schinco,M. S.</t>
  </si>
  <si>
    <t>Impaired residents: identification and intervention</t>
  </si>
  <si>
    <t>Current surgery</t>
  </si>
  <si>
    <t>Curr.Surg.</t>
  </si>
  <si>
    <t>Anger;Depression/di Diagnosis];*Internship and Residency;*Physician Impairment/px Psychology];Referral and Consultation;Substance-Related Disorders/di Diagnosis]</t>
  </si>
  <si>
    <t>PURPOSE: To describe the effect of a psychologist on faculty staff supporting impaired residents to successful program completion in general surgery. METHODS: Since 1996, the Department of Surgery has had a staff psychologist on faculty who works closely with the Trauma service. Duties include provision of patient and family therapies (representing a revenue-generating activity for the department), in-services for staff stress management, research, and community education activities. As resident performance issues have arisen, the psychologist has been instrumental in early identification of and referral for underlying issues affecting resident behavior. RESULTS: From 1996 to October 2001, 12 residents (2 with multiple referrals) have been identified with significant psychological issues impairing performance. The various psychological problems include depression, anger control issues, and addictions; required interventions have included referrals for therapeutic counseling, recommendations for career change, and therapeutic counseling combined with pharmacotherapy. Fellow residents referred 4 of the 12 residents to the psychologist for possible evaluation, and the remaining 8 had referral initiated by performance concerns. CONCLUSIONS: Significant psychological problems can impair resident performance and possible training program completion. Early identification and intervention by a professional psychologist on faculty can provide support for increased opportunity to complete residency training.</t>
  </si>
  <si>
    <t>J2: Curr Surg; Veldenz, Henry C Scott, Kamela K Dennis, James W Tepas, Joseph J 3rd Schinco, Miren S; ID: 481</t>
  </si>
  <si>
    <t>0149-7944</t>
  </si>
  <si>
    <t>Veldenz,Henry C. Department of Surgery, University of Florida Health Science Center, Jacksonville, Florida 32209, USA.</t>
  </si>
  <si>
    <t>http://ovidsp.ovid.com/ovidweb.cgi?T=JS&amp;CSC=Y&amp;NEWS=N&amp;PAGE=fulltext&amp;D=med4&amp;AN=14972299</t>
  </si>
  <si>
    <t>MEDLINE; Ovid Technologies; Impaired residents: identification and intervention</t>
  </si>
  <si>
    <t>Vener,A. M.;Krupka,L. R.;Author,Addresses;Dep Soc Sci, Michigan State,Univ East;Lansing,M. I.;Correspondence,Address;Dep Soc Sci, Michigan State Univ East,Lansing M.</t>
  </si>
  <si>
    <t>Caffeine use and young adult women</t>
  </si>
  <si>
    <t>(MAJOR FOCUS);caffeine;drug abuse;pregnancy;stress;central nervous system;human;human experiment;normal human;oral drug administration;caffeine (30388-07-9, 58-08-2);Public Health, Social Medicine and Epidemiology (17);Psychiatry (32);Health Policy, Economics and Management (36);Drug Literature Index (37);Drug Dependence, Alcohol Abuse and Alcoholism (40)</t>
  </si>
  <si>
    <t>A study of 491 randomly selected college women and men surveyed on two separate occasions and enrolled in required courses at a large Midwestern university showed that caffeine, a pharmacologically active psychotropic drug, was consumed by a large proportion of the respondents in a twenty-four hour period (86%). Women consumed a larger amount of caffeine and used more substances containing this drug. An increase in caffeine usage with increased psychic stress was observed for women only. About 15 per cent of the women sampled (N = 337) had ingested 500 mg or more during the survey period of highest stress. The data suggest that future investigations of the linkage of poor pregnancy outcomes with caffeine consumption must obtain an accurate appraisal of the total amount of caffeine ingested. This can be accomplished only if O-T-C drugs containing caffeine and such beverages as colas, teas and cocoa, as well as coffee, are taken into account.</t>
  </si>
  <si>
    <t>(Vener A.M.; Krupka L.R.); ID: 1760</t>
  </si>
  <si>
    <t>Venkatesh,S.;Sinha,D. N.</t>
  </si>
  <si>
    <t>Involvement of health professionals in tobacco control in the South-East Asia Region</t>
  </si>
  <si>
    <t>Adolescent;Arecaceae;Asia, Southeastern;Health Personnel/sn Statistics &amp; Numerical Data];Health Planning Organizations;Humans;India;Randomized Controlled Trials as Topic;*Smoking/ep Epidemiology];*Smoking/pc Prevention &amp; Control];Thailand;Tobacco Use Cessation;*Tobacco Use Disorder/ep Epidemiology];*Tobacco Use Disorder/pc Prevention &amp; Control];Young Adult</t>
  </si>
  <si>
    <t>Tobacco use is widely entrenched in the South-East Asia (SEA) Region leading to high morbidity and mortality in this region. Several studies revealed that tobacco use is widespread among youth and school children. Exposure to second-hand smoke was reported as around 50% or more in three countries - Myanmar (59.5%), Bangladesh (51.3%), and Indonesia (49.6%). Health profession students encompassing medical, dental, nursing and pharmacy disciplines, and even qualified health professionals are no exception from tobacco use. While they are regarded as role models in tobacco cessation programs, their tobacco addiction will carry a negative impact in this endeavour. A mere inquiry about the smoking status of patients and a brief advice by doctors or dentists increases quit rates and prompts those who have not thought about quitting to consider doing so. Evidence from some randomized trials suggests that advice from motivated physicians to their smoking patients could be effective in facilitating cessation of smoking. However, the low detection rate of smokers by many physicians and the small proportion of smokers who routinely receive advice from their physicians to quit have been identified as a matter of concern. This paper describes the role and issues of involvement of health professionals in tobacco control. Data from a variety of sources is used to assess the status. Although there are some differences, tobacco use is widespread among the students and health professional students. Exposure to second hand smoke is also a matter of concern. Tobacco-related problems and tobacco control cut across a vast range of health disciplines. Building alliances among the health professional associations in a vertical way will help synergize efforts, and obtain better outcomes from use of existing resources. Health professional associations in some countries in the SEA region have already taken the initiative to form coalitions at the national level to advance the tobacco control agenda. In Thailand, a Thai Health Professional Alliance against Tobacco, with 17 allies from medical, nursing, traditional medicine, and other health professional organizations, is working in a concerted manner toward promoting tobacco control. Indian Dental Association intervention is another good example.</t>
  </si>
  <si>
    <t>J2: Indian J Cancer; Venkatesh, S Sinha, D N; ID: 135</t>
  </si>
  <si>
    <t>Venkatesh,S. Department of AIDS Control, Ministry of Health and Family Welfare, India. drsvenkatesh1@gmail.com</t>
  </si>
  <si>
    <t>http://ovidsp.ovid.com/ovidweb.cgi?T=JS&amp;CSC=Y&amp;NEWS=N&amp;PAGE=fulltext&amp;D=medl&amp;AN=23442394</t>
  </si>
  <si>
    <t>http://dx.doi.org/10.4103/0019-509X.107721</t>
  </si>
  <si>
    <t>MEDLINE; Ovid Technologies; Involvement of health professionals in tobacco control in the South-East Asia Region</t>
  </si>
  <si>
    <t>Verma,R. K.;Mohan,L.;Pandey,M.;Author,Addresses;Department,of;Pharmaceutics,Babu Banarasi Das National Institute of Technology and;Management,Lucknow Uttar Pradesh India;Correspondence,Address;Verma, Department of Pharmaceutics Babu Banarasi Das National,R.K.;Institute of,Technology;Management,Lucknow Uttar Pradesh;India Email, royal mpcp yahoo,co in</t>
  </si>
  <si>
    <t>Evaluation of self medication among professional students in North India: Proper statutory drug control must be implemented</t>
  </si>
  <si>
    <t>January-March</t>
  </si>
  <si>
    <t>acetylsalicylic acid (drug therapy);acetylsalicylic acid calcium;albendazole (drug therapy);alex;anacin (drug therapy);antipyretic analgesic agent (drug therapy);attapulgite (drug therapy);becosule;cetrizen;clioquinol (drug therapy);corex;crocin (drug therapy);dependal;dextromethorphan (drug therapy);digene;diphenhydramine (drug therapy);furazolidone (drug therapy);glycerol (drug therapy);glycodin;honeytuss;ibuprofen;ibuprofen (drug therapy);ibuprofen plus paracetamol (drug therapy);metronidazole (drug therapy);ornade (drug therapy);painzon;paracetamol (drug therapy);pheniramine aminosalicylate (drug therapy);pholcodine (drug therapy);pudinhara;ranidom;saridon (drug therapy);sinarest;smyle;unclassified drug;wincold;zandu balm;drug control;self medication;adolescent;adult;alcoholism;allopathy;article;chronic disease;cold;common cold symptom (drug therapy);consultation;coughing (drug therapy);drug information;drug safety;drug use;fever (drug therapy);gastrointestinal infection (drug therapy);headache (drug therapy);human;India;mouth ulcer (drug therapy);pharmacist;pharyngitis (drug therapy);prescription;professional knowledge;smoking;DRUG TRADE NAMES;anacin;avil;benadryl;brufen;calpol;combiflam;crocin;disprin;enteroquinol;gelusil;saridon;acetylsalicylic acid (493-53-8, 50-78-2, 53663-74-4, 53664-49-6, 63781-77-1);acetylsalicylic acid calcium (69-46-5);albendazole (54965-21-8);anacin (53908-20-6);attapulgite (12174-11-7, 12408-47-8, 12511-31-8, 1327-43-1, 64418-16-2);clioquinol (130-26-7, 8057-20-3);crocin (39465-00-4, 42553-65-1);dextromethorphan (125-69-9, 125-71-3);diphenhydramine (147-24-0, 58-73-1);furazolidone (67-45-8);glycerol (56-81-5);ibuprofen (15687-27-1);metronidazole (39322-38-8, 443-48-1);ornade (50808-49-6);paracetamol (103-90-2);pheniramine aminosalicylate (3269-83-8);pholcodine (509-67-1);saridon (8064-93-5);Otorhinolaryngology (11);Chest Diseases, Thoracic Surgery and Tuberculosis (15);Public Health, Social Medicine and Epidemiology (17);Drug Literature Index (37);Gastroenterology (48)</t>
  </si>
  <si>
    <t>The objective of this study was to describe and examine the branded medicines used by professional students, awareness, trust in medicine system, reasons behind self medication, drug information resources, danger findings and knowledge of drug profile. Samples of 1175 young students belonging to different regions of North India were selected randomly from two institutions of U. P. Technical University. An inclusion criterion was 17-25 years (mean age 20.13‚î¨‚ñí2.32). A total of 153 students were excluded in accordance with the exclusion criteria like incomplete information. The prevalence of self medication among professional students was 87.00%. About 82.97% students had a positive trust in allopathic medicines,80.82% students learn self medication from doctors prescriptions provided during their prior illness.15.65%were alcoholic,16.73% were smokers,11.74%students with chronic problems ,who were considered in danger findings. Only 43.93% students were about drug interaction. Most of the self medication was involved with headache and fever, cough &amp; cold, gastrointestinal Infection, mouth ulcer &amp; Throat infection. Respondents were using Schedule H drugs/potent drugs for minor illness. The results are based on feed backs which were provided by respondents included in study. The percentage of self medication might be change along with locality and region. The prevalence of self medication among professional students in North India is high. This descriptive survey shows that the majority of professional students had a poor knowledge about appropriate self medication while the knowledge of the benefits and risks was not adequate. A number of students consult pharmacists and follow advertisements on drug information. This issue needs to be addressed by the responsible authorities of State Pharmacy Council/Ministry of Health.</t>
  </si>
  <si>
    <t>(Verma R.K., royal_mpcp@yahoo.co.in; Mohan L.; Pandey M.) Asian Journal of Pharmaceutical and Clinical Research, 32-H, Kalany Nagar, Aerodrum Road,Indore, Madhya Pradesh, India.; ID: 1401</t>
  </si>
  <si>
    <t>Vierhile,A.;Robb,A.;Ryan-Krause,P.</t>
  </si>
  <si>
    <t>Attention-deficit/hyperactivity disorder in children and adolescents: closing diagnostic, communication, and treatment gaps</t>
  </si>
  <si>
    <t>Journal of Pediatric Healthcare</t>
  </si>
  <si>
    <t>S5</t>
  </si>
  <si>
    <t>23 1p</t>
  </si>
  <si>
    <t>Attention Deficit Hyperactivity Disorder -- Diagnosis;Attention Deficit Hyperactivity Disorder -- Therapy;Academic Performance;Adolescence;Amphetamines -- Adverse Effects;Amphetamines -- Therapeutic Use;Atomoxetine -- Therapeutic Use;Attention Deficit Hyperactivity Disorder -- Drug Therapy;Attention Deficit Hyperactivity Disorder -- Economics;Attention Deficit Hyperactivity Disorder -- Education;Attention Deficit Hyperactivity Disorder -- Epidemiology -- United States;Attention Deficit Hyperactivity Disorder -- Ethnology;Attention Deficit Hyperactivity Disorder -- Nursing;Attention Deficit Hyperactivity Disorder -- Prevention and Control;Attention Deficit Hyperactivity Disorder -- Symptoms;Behavior Rating Scales;Behavior Therapy;Bupropion -- Therapeutic Use;Child;Child, Preschool;Combined Modality Therapy;Communication;Education, Continuing (Credit);Ethnic Groups;Female;Health Screening;Interviews;Male;Medication Compliance;Methylphenidate -- Therapeutic Use;Parents -- Education;Patient History Taking;Pediatric Nurse Practitioners;Substance Abuse -- Risk Factors;United States</t>
  </si>
  <si>
    <t>Nurses and nurse practitioners often play a key role in the management of children with attention-deficit/hyperactivity disorder (ADHD), a disorder that often persists into adolescence and adulthood. The diagnosis of ADHD requires careful history taking, use of standardized rating scales, and close attention to the patient's behavior and informants' reports. Stimulants appear to be most effective for patients with this diagnosis, but pharmacotherapy for ADHD should be combined with educational and behavioral interventions and careful follow-up to optimize treatment outcomes. Nurses and nurse practitioners must advocate to assist patients and families achieve goals at home and at school.</t>
  </si>
  <si>
    <t>Entry Date: 20090417. Revision Date: 20150819. Publication Type: Journal Article; algorithm; CEU; tables/charts. Supplement Title: Jan2009 Supplement. Journal Subset: Core Nursing; Nursing; Peer Reviewed; USA. Special Interest: Advanced Nursing Practice; Pediatric Care. NLM UID: 8709735. PMID: 19084757.; ID: 1836</t>
  </si>
  <si>
    <t>0891-5245</t>
  </si>
  <si>
    <t>University of Rochester, Pediatric Nursing, 601 Elmwood Ave, Rochester, NY 14642, amy_vierhile@urmc.rochester.edu</t>
  </si>
  <si>
    <t>http://proxy.lib.umich.edu/login?url=http://search.ebscohost.com/login.aspx?direct=true&amp;db=ccm&amp;AN=105450242&amp;site=ehost-live&amp;scope=site</t>
  </si>
  <si>
    <t>10.1016/j.pedhc.2008.10.009</t>
  </si>
  <si>
    <t>ccm; EBSCOhost; Attention-deficit/hyperactivity disorder in children and adolescents: closing diagnostic, communication, and treatment gaps</t>
  </si>
  <si>
    <t>Visnegarwala,F.;Rodriguez-Barradass,M.;Graviss,E. A.;Caprio,M.;Nykyforchyn,M.;Laufman,L.</t>
  </si>
  <si>
    <t>Community outreach with weekly delivery of anti-retroviral drugs compared to cognitive-behavioural health care team-based approach to improve adherence among indigent women newly starting HAART</t>
  </si>
  <si>
    <t>Adult;*Antiretroviral Therapy, Highly Active;*Cognitive Therapy/mt Methods];Community Health Services;Female;*HIV Infections/th Therapy];Humans;Patient Acceptance of Health Care/sn Statistics &amp; Numerical Data];Patient Compliance;Pilot Projects;Texas;Treatment Outcome</t>
  </si>
  <si>
    <t>Sustained virological suppression requires adherence to &gt;95% of doses of therapy. Overall there is paucity of data on adherence interventions among women and post-intervention outcomes. In this pilot study, we evaluated a novel strategy of weekly delivery of medications (Directly Delivered Therapy: DDT) for six months using an outreach worker (ORW), among ARV naive indigent women starting HAART and compared the 'during intervention' and 'post-intervention' outcomes to the health care team (a nurse educator, a case worker, a pharmacist and social worker/drug addictions counsellor) based approach termed Adherence Coordination Services (ACS) and the Standard of Care (SoC) historical referent group. The baseline characteristics of the three groups were comparable. The proportion of women who achieved sustained virologic suppression in 4-8 month period for DDT; ACS and SoC groups were 86% (18/21); 54% (6/11); and 36% (8/22) (P&lt;0.004); and in the 10-14 month period were 80% (12/15); 54% (6/11) and 45%(10/22) (P=0.036 for DDT vs. SoC). Retention rate in the DDT was 87%, and 92% of 307 ORW visits were kept, and post-intervention satisfaction was high. Short-term weekly delivery of medications using a community based liaison is a feasible, acceptable and a cost-effective strategy for improving both short-term and perhaps long-term adherence among women initiating their first HAART regimen.</t>
  </si>
  <si>
    <t>J2: AIDS Care; Visnegarwala, F Rodriguez-Barradass, M C Graviss, E A Caprio, M Nykyforchyn, M Laufman, L AI36211 (United States NIAID NIH HHS); ID: 425</t>
  </si>
  <si>
    <t>Visnegarwala,F. Department of Medicine, Section of Infectious Diseases, Baylor College Of Medicine, One Baylor Plaza, Room #465 EC, Houston, TX 77030, USA. fehmidav@bcm.tmc.edu</t>
  </si>
  <si>
    <t>http://ovidsp.ovid.com/ovidweb.cgi?T=JS&amp;CSC=Y&amp;NEWS=N&amp;PAGE=fulltext&amp;D=med5&amp;AN=16809110</t>
  </si>
  <si>
    <t>MEDLINE; Ovid Technologies; Community outreach with weekly delivery of anti-retroviral drugs compared to cognitive-behavioural health care team-based approach to improve adherence among indigent women newly starting HAART</t>
  </si>
  <si>
    <t>Vlahovic Palcevski,V.;Vitezic,D.;Zupan,G.;Simonic,A.</t>
  </si>
  <si>
    <t>Education in clinical pharmacology at the Rijeka School of Medicine, Croatia</t>
  </si>
  <si>
    <t>Croatia;Diagnosis;Drug Therapy;*Education, Medical, Undergraduate/td Trends];*Pharmacology, Clinical/ed Education];Students, Medical;Surveys and Questionnaires</t>
  </si>
  <si>
    <t>OBJECTIVE: Irrational drug prescribing is a global problem that exists both in developed and developing countries. Education is the key to improved effectiveness and safety in drug therapy. Development of clinical pharmacology (CP) as an independent discipline at the Rijeka School of Medicine has been slow and unsatisfactory. It was taken only as a part of some postgraduate courses. In the 1995/1996 academic year clinical pharmacology was offered for the first time to sixth year medical students as a non-mandatory subject. The purpose of this study was to emphasize the importance of education in clinical pharmacology at the Rijeka School of Medicine. METHODS: This survey was an uncontrolled study based on responses to questionnaires and a test consisting of written patient problems given to sixth year medical students and to general practitioners who were following a course in clinical pharmacology. RESULTS: The results of the questionnaire showed that both undergraduate and postgraduate students consider that they are not being adequately trained to prescribe drugs rationally and that they believe that clinical pharmacology should become a mandatory subject in the undergraduate medical curriculum. The results of the written patient problem test support this. Both groups of students demonstrated greater skills in solving the diagnostic part than the therapeutic part of the test. A great improvement in the students' ability to solve the therapeutic part was observed after they had completed the CP course. CONCLUSION: The results of this survey underline the necessity of education in clinical pharmacology.</t>
  </si>
  <si>
    <t>J2: Eur J Clin Pharmacol; Vlahovic Palcevski, V Vitezic, D Zupan, G Simonic, A; ID: 570</t>
  </si>
  <si>
    <t>Vlahovic Palcevski,V. Department of Pharmacology, University of Rijeka, Rijeka School of Medicine, Croatia. Vera.Vlahovic@mamed.medri.hr</t>
  </si>
  <si>
    <t>http://ovidsp.ovid.com/ovidweb.cgi?T=JS&amp;CSC=Y&amp;NEWS=N&amp;PAGE=fulltext&amp;D=med4&amp;AN=9923568</t>
  </si>
  <si>
    <t>MEDLINE; Ovid Technologies; Education in clinical pharmacology at the Rijeka School of Medicine, Croatia</t>
  </si>
  <si>
    <t>Vlajinac,H.;Sipetic,S.;Dzoljic,E.;Maksimovic,J.;Marinkovic,J.;Kostic,V.</t>
  </si>
  <si>
    <t>Some lifestyle habits of female Belgrade University students with migraine and non-migraine primary headache</t>
  </si>
  <si>
    <t>71 5p</t>
  </si>
  <si>
    <t>Headache -- Etiology;Life Style;Migraine -- Epidemiology -- Yugoslavia;Migraine -- Etiology;Adolescence;Adult;Chi Square Test;Confidence Intervals;Epidemiological Research;Female;Food Habits;Funding Source;Logistic Regression;Menstrual Cycle;Odds Ratio;Premenstrual Syndrome;Prevalence;Questionnaires;Sleep Deprivation;Smoking -- Complications;Statistical Significance;Students, College;Yugoslavia;Human</t>
  </si>
  <si>
    <t>We performed a prevalence study to compare some lifestyle habits between subjects with migraine and those with nonmigraine primary headaches. We surveyed female students in randomly selected classes of the School of Medicine and the School of Pharmacy, Belgrade University. Among all observed students (1943 subjects), 245 had migraine and 1053 had non-migraine primary headache. According to multivariate logistic regression analysis, the following factors were associated with migraine: irregular eating (odds ratio (OR)=1.99; 95% confidence interval (95% CI), 1.69 to 2.34; p10 cigarettes per day (OR=1.18; 95% CI=1.00 to 1.39; p=0.0433). The results of the present study are in line with some other investigations suggesting that some lifestyle habits probably play a role as migraine precipitants.</t>
  </si>
  <si>
    <t>Entry Date: 20040227. Revision Date: 20150711. Publication Type: Journal Article; questionnaire/scale; research; tables/charts. Journal Subset: Biomedical; Continental Europe; Double Blind Peer Reviewed; Editorial Board Reviewed; Europe; Expert Peer Reviewed; Peer Reviewed. Instrumentation: Questionnaire for Migraine and Headache. Grant Information: Ministry of Science, Technology and Development of Serbia through contract no. 8774 (1996-2000). NLM UID: 100940562.; ID: 2033</t>
  </si>
  <si>
    <t>1129-2369</t>
  </si>
  <si>
    <t>Institute of Epidemiology, School of Medicine, Belgrade University, Visegradska 26, 11000 Belgrade, Yugoslavia</t>
  </si>
  <si>
    <t>http://proxy.lib.umich.edu/login?url=http://search.ebscohost.com/login.aspx?direct=true&amp;db=ccm&amp;AN=106706901&amp;site=ehost-live&amp;scope=site</t>
  </si>
  <si>
    <t>ccm; EBSCOhost; Some lifestyle habits of female Belgrade University students with migraine and non-migraine primary headache</t>
  </si>
  <si>
    <t>Vlcek,J.;Maly,J.;Fialova,D.;Linhartova,A.;Author,Addresses;Charles;University,Faculty of Pharmacy Heyrovsk‚îú‚åêho Hradec Kr‚îú√≠lov‚îú‚åê Czech;Republic;Correspondence,Address;Vlcek, Charles University Faculty of Pharmacy Heyrovsk‚îú‚åêho Hradec,J.;Kr‚îú√≠lov‚îú‚åê, Czech Republic Email vlcek faf,cuni cz</t>
  </si>
  <si>
    <t>Clinical pharmacy case education</t>
  </si>
  <si>
    <t>clinical pharmacy;education;Europe;pharmaceutical care;commercial phenomena;consultation;Czech Republic;drug therapy;human;pharmacist;physician;questionnaire;risk;skill;travel;workshop</t>
  </si>
  <si>
    <t>Aim of project/study To increase quality of pharmaceutical care by increasing the knowledge and skills of pharmacists on how to maximize effect and minimize risk of pharmacotherapy. Method The section of clinical pharmacy together with pharmaceutical chamber developed interactive seminars for pharmacists. The project was started in 2006, and a team of lectors (pharmacists)was set up. This team meets twice a year during a business meeting and develops content and quality standard rules. Every individual seminar is led by lector together with physician (consultant). The task of lector is to promote discussion concerning drug related problems (not only describing it, but fitting it into theoretical knowledge and skills), to identify problematic substances and find a way to monitor the clinical relevance of DRP, and to manage it. Consultants make comments from the medical point of view. The participants (maximum is 30 on each event) receive several cases 1 week before the workshop. The workshops are running in majority of regions of Czech Republic and so it is not necessary for pharmacists to spend lot of time with travelling. Participants and lector have to fill out a questionnaire at the end of the workshop. The questionnaire was developed on business lector's meetings. Results We started with 5-20 seminars, but now 70-80 seminars are given annually. In 2011 and 2012 respectively 1,767 and 1,750 pharmacists participated. Preliminary results from the questionnaires show that for 96 % of participants workshops meet their expectation, 82 % reported that it will be useful in their daily dispensing practice, 96 % enjoyed discussing the topic and about 98 % appreciate the professional level and interactivity of the workshops.</t>
  </si>
  <si>
    <t>(Vlcek J., vlcek@faf.cuni.cz; Maly J.; Fialova D.; Linhartova A.) 8th Working Conference of the Pharmaceutical Care Network Europe Berlin, Germany 2013-02-06 to 2013-02-08 Springer Netherlands; ID: 1045</t>
  </si>
  <si>
    <t>Vocci,F. J.</t>
  </si>
  <si>
    <t>Cognitive remediation in the treatment of stimulant abuse disorders: a research agenda</t>
  </si>
  <si>
    <t>Central Nervous System Stimulants/ae Adverse Effects];Cognition Disorders/co Complications];*Cognition Disorders/th Therapy];Cognitive Therapy/mt Methods];Humans;Impulsive Behavior/co Complications];Impulsive Behavior/th Therapy];Patient Dropouts;Substance-Related Disorders/pp Physiopathology];*Substance-Related Disorders/rh Rehabilitation];Therapy, Computer-Assisted/mt Methods];Treatment Outcome;0 (Central Nervous System Stimulants)</t>
  </si>
  <si>
    <t>Treatment of substance abuse disorders is often characterized by high dropout rates. Patients who fail to complete a treatment course often are worse at follow-up than those patients who received the full treatment course. Cognitive deficits, including impulsivity, have been noted as a major determinant of treatment retention and successful outcomes. This review summarizes the recent literature on cognitive deficits in stimulant users and their remediation. Cognitive deficits can be remediated through computer-assisted cognitive rehabilitation in residential settings. A few studies have shown this can be transferred to the outpatient setting although much research remains to be done in this setting. Pharmacological remediation of cognitive deficits is a new target for medications development in the treatment of substance abuse disorders. Psychiatric disorders; for example, attention deficit hyperactivity disorder, are amenable to pharmacological remediation of cognitive deficits. Several cognitive deficits (set-shifting, attentional bias, reversal learning, impulsivity, and risky decision making) and their possible remediation with pharmacological agents are presented in the review. Recommendations for the research agenda include comments on testing hierarchies, clinical trial design issues, and types of pharmacological agents.Copyright (c) 2008 APA, all rights reserved. References: 118]</t>
  </si>
  <si>
    <t>J2: Exp Clin Psychopharmacol; Vocci, Frank J; ID: 343</t>
  </si>
  <si>
    <t>Vocci,Frank J. Division of Pharmacotherapies and Medical Consequences of Drug Abuse, National Institute on Drug Abuse, National Institutes of Health, 6001 Executive Boulevard, Bethesda, MD 20892, USA. fvocci@mail.nih.gov</t>
  </si>
  <si>
    <t>http://ovidsp.ovid.com/ovidweb.cgi?T=JS&amp;CSC=Y&amp;NEWS=N&amp;PAGE=fulltext&amp;D=med5&amp;AN=19086769</t>
  </si>
  <si>
    <t>http://dx.doi.org/10.1037/a0014101</t>
  </si>
  <si>
    <t>MEDLINE; Ovid Technologies; Cognitive remediation in the treatment of stimulant abuse disorders: a research agenda</t>
  </si>
  <si>
    <t>Volger,E. J.;McLendon,A. N.;Fuller,S. H.;Herring,C. T.</t>
  </si>
  <si>
    <t>Prevalence of self-reported nonmedical use of prescription stimulants in North Carolina Doctor of Pharmacy students</t>
  </si>
  <si>
    <t>Adult;*Central Nervous System Stimulants/ae Adverse Effects];Cross-Sectional Studies;Education, Pharmacy, Graduate/td Trends];*Education, Pharmacy, Graduate;Female;Follow-Up Studies;Humans;Male;North Carolina/ep Epidemiology];Prescription Drug Misuse/td Trends];*Prescription Drug Misuse;Prevalence;Prospective Studies;Risk Factors;*Self Report;*Students, Pharmacy;Young Adult;0 (Central Nervous System Stimulants)</t>
  </si>
  <si>
    <t>OBJECTIVES: To evaluate the prevalence, associated factors, and opinions regarding nonmedical use of prescription stimulants (NMUPS) in Doctor of Pharmacy (PharmD) students. METHODS: An electronic survey was distributed to professional year 1 through 4 for students at 2 schools of pharmacy (public and private) in North Carolina. The survey was available for 3 weeks. Descriptive statistics (proportion of responders plus 95% confidence intervals CIs]) were used to describe the primary objective. RESULTS: Of the 1043 surveys distributed, 407 were completed giving a 39% response rate. The results indicated that 9% (95% CI: 6.44-11.93) of PharmD students acknowledge NMUPS at least once during their pharmacy education. Additionally, 3% (95% CI: 1.90-5.45) acknowledge NMUPS at least once during the current pharmacy school year (past 5 months). Nonmedical prescription stimulant users were 9 times more likely to participate in NMUPS prior to pharmacy school (P &lt; .0001) and 4.5 times more likely to use other illicit substances (P = .0076). CONCLUSION: The study identified the PharmD student population as high risk of abuse of prescription drug stimulants, which requires further research and attention. Additionally, there was a clear upward trend in the prevalence of NMUPS, and this misuse was associated with other detrimental behaviors.</t>
  </si>
  <si>
    <t>J2: J Pharm Pract; Volger, Emily J McLendon, Amber N Fuller, Stephen H Herring, Charles T; ID: 67</t>
  </si>
  <si>
    <t>Volger,Emily J. Department of Pharmacy Practice, Shenandoah University, Bernard J. Dunn School of Pharmacy, Winchester, VA, USA.</t>
  </si>
  <si>
    <t>http://ovidsp.ovid.com/ovidweb.cgi?T=JS&amp;CSC=Y&amp;NEWS=N&amp;PAGE=fulltext&amp;D=medl&amp;AN=24310525</t>
  </si>
  <si>
    <t>http://dx.doi.org/10.1177/0897190013508139</t>
  </si>
  <si>
    <t>MEDLINE; Ovid Technologies; Prevalence of self-reported nonmedical use of prescription stimulants in North Carolina Doctor of Pharmacy students</t>
  </si>
  <si>
    <t>Vonmoos,M.;Hulka,L. M.;Preller,K. H.;Minder,F.;Baumgartner,M. R.;Quednow,B. B.;Author,Addresses;Experimental;Clinical;Pharmacopsychology,Department of Psychiatry Psychotherapy and;Psychosomatics,Psychiatric Hospital University of Zurich Lenggstrasse;Zurich Ch,Switzerland;Center of Forensic Hairanalytics, Institute,of Forensic;Medicine,University of Zurich Zurich Switzerland;Correspondence,Address;Vonmoos,Experimental,M.;Clinical Pharmacopsychology,Department of;Psychiatry,Psychotherapy;Psychosomatics,Psychiatric Hospital;University of Zurich, Lenggstrasse Zurich,C.H.Switzerland Email;matthias.vonmoos@bli.uzh.ch</t>
  </si>
  <si>
    <t>24651468; Cognitive impairment in cocaine users is drug-induced but partially reversible: Evidence from a longitudinal study</t>
  </si>
  <si>
    <t>(MAJOR FOCUS);cocaine;psychostimulant agent;cognitive defect;drug dependence;adaptation;adult;article;cognition;control group;controlled study;declarative memory;female;follow up;hair analysis;human;longitudinal study;major clinical study;male;nerve cell plasticity;onset age;priority journal;quantitative analysis;toxicology;working memory;cocaine (50-36-2, 53-21-4, 5937-29-1);Psychiatry (32);Drug Dependence, Alcohol Abuse and Alcoholism (40);Neurology and Neurosurgery (8)</t>
  </si>
  <si>
    <t>Cocaine users consistently display cognitive impairments. However, it is still unknown whether these impairments are cocaine-induced and if they are reversible. Therefore, we examined the relation between changing intensity of cocaine use and the development of cognitive functioning within 1 year. The present data were collected as part of the longitudinal Zurich Cocaine Cognition Study (ZuCo(2) St). Forty-eight psychostimulant-naive controls and 57 cocaine users (19 with increased, 19 with decreased, and 19 with unchanged cocaine use) were eligible for analysis. At baseline and after a 1-year follow-up, cognitive performance was measured by a global cognitive index and four neuropsychological domains (attention, working memory, declarative memory, and executive functions), calculated from 13 parameters of a broad neuropsychological test battery. Intensity of cocaine use was objectively determined by quantitative 6-month hair toxicology at both test sessions. Substantially increased cocaine use within 1 year (mean +297%) was associated with reduced cognitive performance primarily in working memory. By contrast, decreased cocaine use (-72%) was linked to small cognitive improvements in all four domains. Importantly, users who ceased taking cocaine seemed to recover completely, attaining a cognitive performance level similar to that of the control group. However, recovery of working memory was correlated with age of onset of cocaine use - early-onset users showed hampered recovery. These longitudinal data suggest that cognitive impairment might be partially cocaine-induced but also reversible within 1 year, at least after moderate exposure. The reversibility indicates that neuroplastic adaptations underlie cognitive changes in cocaine users, which are potentially modifiable in psychotherapeutical or pharmacological interventions. ‚î¨‚åê 2014 American College of Neuropsychopharmacology. All rights reserved.</t>
  </si>
  <si>
    <t>(Vonmoos M., matthias.vonmoos@bli.uzh.ch; Hulka L.M.; Preller K.H.; Minder F.; Quednow B.B., quednow@bli.uzh.ch) (Baumgartner M.R.) Nature Publishing Group, Houndmills, Basingstoke, Hampshire, United Kingdom.; ID: 955</t>
  </si>
  <si>
    <t>http://www.ncbi.nlm.nih.gov/pubmed/24651468</t>
  </si>
  <si>
    <t>Cognitive impairment in cocaine users is drug-induced but partially reversible: Evidence from a longitudinal study</t>
  </si>
  <si>
    <t>Vorobjov,S.;Uuskula,A.;Abel-Ollo,K.;Talu,A.;Jarlais,D. D.</t>
  </si>
  <si>
    <t>PMC2791822; Should pharmacists have a role in harm reduction services for IDUs? A qualitative study in Tallinn, Estonia</t>
  </si>
  <si>
    <t>Adult;Attitude of Health Personnel;Estonia;Female;Focus Groups;HIV Infections/pc Prevention &amp; Control];Humans;Male;Middle Aged;*Needle-Exchange Programs/og Organization &amp; Administration];Pharmacists/og Organization &amp; Administration];*Pharmacists;*Professional Role;Substance Abuse, Intravenous/co Complications];*Substance Abuse, Intravenous/pc Prevention &amp; Control]</t>
  </si>
  <si>
    <t>Despite the high number of injecting drug users (IDUs) in Estonia, little is known about involving pharmacies into human immunodeficiency virus (HIV) prevention activities and potential barriers. Similarly, in other Eastern European countries, there is a need for additional sources for clean syringes besides syringe exchange programmes (SEPs), but data on current practices relating to pharmacists' role in harm reduction strategies is scant. Involving pharmacies is especially important for several reasons: they have extended hours of operation and convenient locations compared to SEPs, may provide access for IDUs who have avoided SEPs, and are a trusted health resource in the community. We conducted a series of focus groups with pharmacists and IDUs in Tallinn, Estonia, to explore their attitudes toward the role of pharmacists in HIV prevention activities for IDUs. Many, but not all, pharmacists reported a readiness to sell syringes to IDUs to help prevent HIV transmission. However, negative attitudes toward IDUs in general and syringe sales to them specifically were identified as important factors restricting such sales. The idea of free distribution of clean syringes or other injecting equipment and disposal of used syringes in pharmacies elicited strong resistance. IDUs stated that pharmacies were convenient for acquiring syringes due to their extended opening hours and local distribution. IDUs were positive toward pharmacies, although they were aware of stigma from pharmacists and other customers. They also emphasized the need for distilled water and other injection paraphernalia. In conclusion, there are no formal or legislative obstacles for providing HIV prevention services for IDUs at pharmacies. Addressing negative attitudes through educational courses and involving pharmacists willing to be public health educators in high drug use areas would improve access for HIV prevention services for IDUs.</t>
  </si>
  <si>
    <t>J2: J Urban Health; Vorobjov, Sigrid Uuskula, Anneli Abel-Ollo, Katri Talu, Ave Jarlais, Don Des R01 DA 03574 (United States NIDA NIH HHS); ID: 310</t>
  </si>
  <si>
    <t>Vorobjov,Sigrid. Estonian Drug Monitoring Centre, National Institute for Health Development, Tallinn, Estonia. sigrid.vorobjov@tai.ee</t>
  </si>
  <si>
    <t>http://ovidsp.ovid.com/ovidweb.cgi?T=JS&amp;CSC=Y&amp;NEWS=N&amp;PAGE=fulltext&amp;D=med5&amp;AN=19921542</t>
  </si>
  <si>
    <t>http://dx.doi.org/10.1007/s11524-009-9400-5</t>
  </si>
  <si>
    <t>MEDLINE; Ovid Technologies; Should pharmacists have a role in harm reduction services for IDUs? A qualitative study in Tallinn, Estonia</t>
  </si>
  <si>
    <t>Vos,S. S.;Rolfes,K. A.;Swenson,K. A.;Currie,J. D.;Johnson,S. J.;Seyfer,J. L.;Umlah,L. B.;Author,Addresses;Department,of Pharmacy;Science,The University of;Iowa,College of Pharmacy Iowa City United States;The University,of Iowa;Clinics,Iowa City;United,States;Walmart Pharmacy,Rochester,United States;Correspondence,Address;SS Vos, Department of,Pharmacy Practice;Science,University of Iowa;College of Pharmacy, S Grand Avenue S Phar Iowa,City United;States</t>
  </si>
  <si>
    <t>A framework and review of online documentation of patient encounters during Advanced Pharmacy Practice Experiences</t>
  </si>
  <si>
    <t>Advanced Pharmacy Practice Experience;experiential learning;medical documentation;medical practice;article;demography;human;medication therapy management;online analysis;patient assessment;patient care;patient education;pharmacy student;priority journal;problem identification;problem solving;Public Health, Social Medicine and Epidemiology (17)</t>
  </si>
  <si>
    <t>Objective: To establish a mechanism for student documentation of patient encounters including problems identified and interventions performed; to assess the breadth of student exposure during Advanced Pharmacy Practice Experiences (APPEs); to identify the most commonly reported problems and interventions as reported by students. Design: Students document selected patient care encounters via an online case documentation system using 12 different pharmacotherapy categories and include information such as patient demographics, drug therapy problems identified, medications involved, and type of intervention. Data were analyzed from the classes of 2012 and 2013 during their APPE year. Assessment: During the two year period, over 21,000 individual patient encounters and over 40,000 pharmacotherapy category entries were documented. Cardiology and Infectious Disease (ID) were the most prevalent pharmacotherapy categories documented, while Dermatology, Urology/Nephrology, Respiratory, and Other were the least commonly documented. The most common interventions were Medication Therapy Management (MTM), education to patients, and provider contact. The most common problems identified were "needs additional therapy" and "incorrect dose.". Conclusion: The online documentation system was shown to be an effective tool for documenting breadth of student exposure to patients, drug therapy problems, and interventions during the APPE curriculum. Students were able to document a variety of patient encounters, problems, and interventions. Documentation of students' encounters across all APPE curricula is one way to demonstrate diversity and variety in patient care experiences. This article provides a framework for other colleges of pharmacy to document student interventions and level of engagement with the outside community during practice-based experiences.</t>
  </si>
  <si>
    <t>(Vos S.S., Susan-vos@uiowa.edu; Currie J.D.; Johnson S.J.; Seyfer J.L.; Umlah L.B.) (Rolfes K.A.) (Swenson K.A.) Elsevier Inc., usjcs@elsevier.com; ID: 867</t>
  </si>
  <si>
    <t>2015227110 FULL TEXT LINK http://dx.doi.org/10.1016/j.cptl.2015.06.008</t>
  </si>
  <si>
    <t>Vrhovac,B.</t>
  </si>
  <si>
    <t>Problems with drugs in Croatia</t>
  </si>
  <si>
    <t>Croatia has 4.8 million inhabitants, 11,800 physicians, 2000 pharmacists, two now shareholding, pharmaceutical companies (about 6500 employees, total sales of about 350 million US dollars). There are a number of problems due to the war (GNP fell from 3800 to about 1500 US dollars), occupation of 25% of its territory, 0.5 million refugees and lack of resources (139 US dollars/capita for health, about 40 US dollars i.e. 30%!! for drugs)--about three times less than before the aggression. The drug situation is controlled with the help of: (1) donations (approximate value of 600 million US dollars since 1991 from Europe and US), (2) (essential) drug formularies--250 for outpatients, and 580 generic names for various levels of hospital use, (3) special efforts to purchase drugs of good quality at a reasonable price (a kind of tender), (4) control of prescribing (prescriptions, specialists referral) especially by GPs. A new Medicines Act is in preparation and about 1000 generic names are on the market. DRUG EDUCATION: Pharmaca: the Croatian journal of pharmacotherapy has been published since 1962, there are several Drug bulletins (one published since 1975); special chapters on clinical pharmacology in textbooks, translation of three editions of Laurence's textbook with special commentary and adaptation to local needs; ADR spontaneous and intensive monitoring (WHO programme) with a personal feedback to the reporters and regular articles on drug use in a number of periodicals. Data on drug consumption indicates that there is room for improvement of prescribing. There is an enthusiasm for 'vasoactive drugs'--after dipirydamole came oxpentifylline and antimicrobials are always overprescribed. All these problems will hopefully decrease when the war finally stops and when industry (especially tourism) starts being fruitful again. In any case the importance of teaching of pharmacotherapy at the under- and postgraduate level should be recognized.Copyright 1997 by John Wiley &amp; Sons, Ltd.</t>
  </si>
  <si>
    <t>J2: Pharmacoepidemiol Drug Saf; Vrhovac, B; ID: 480</t>
  </si>
  <si>
    <t>Vrhovac,B. Division of Clinical Pharmacology, Department of Medicine, University Hospital Rebro, Zagreb, Croatia.</t>
  </si>
  <si>
    <t>http://ovidsp.ovid.com/ovidweb.cgi?T=JS&amp;CSC=Y&amp;NEWS=N&amp;PAGE=fulltext&amp;D=prem&amp;AN=15073805</t>
  </si>
  <si>
    <t>MEDLINE; Ovid Technologies; Problems with drugs in Croatia</t>
  </si>
  <si>
    <t>Vrhovac,B.;Author,Addresses;Division of Clinical Pharmacology, Department,of Medicine;Rebro,University Hospital;Correspondence,Address;Vrhovac, Division of Clinical Pharmacology Department of Medicine Rebro,B.;University Hospital,Zagreb Croatia</t>
  </si>
  <si>
    <t>Pharmaca</t>
  </si>
  <si>
    <t>antiinfective agent;dipyridamole;pentoxifylline;vasoactive agent;prescription;clinical pharmacology;drug industry;drug legislation;drug therapy;drug use;economic aspect;pharmacist;physician;short survey;vocational education;war;Yugoslavia;dipyridamole (58-32-2);pentoxifylline (6493-05-6);Public Health, Social Medicine and Epidemiology (17);Clinical and Experimental Pharmacology (30);Drug Literature Index (37);Forensic Science Abstracts (49)</t>
  </si>
  <si>
    <t>Croatia has 4,8 million inhabitants, 11,800 physicians, 2000 pharmacists, 2 pharmaceutical, now shareholding, companies (about 6500 employees, total sale about 350 mill USD). Now, there are a number of problems due to the war (GNP fell from 3800 to about 1500 USD), occupation of 25% of its territory, 0.5 mill refugees and lack of resources (139 USD/cap for health, about 40 USD, i.e. 30%!! for drugs) - about 3 times less than before the aggression. The drug situation is controlled with the help of: 1. donations (approx. value of 600 mill USD since 1991 from Europe and US); 2. (essential) drug formularies - for outpatients 250, for various levels of hospital use 580 generic names; 3. special efforts to purchase drugs of good quality and reasonable price (a kind of tender); and 4. control of prescribing (prescriptions, specialists referral), especially of GPs. A new Medicines Act is in preparation, about 1000 generic names are on the market. Drug education: Pharmaca - a Croatian Journal of Pharmacotherapy, has been published since 1962, several Drug Bulletins (one published since 1975), special chapters on clinical pharmacology in textbooks, translation of 3 editions of Laurence's textbook, with special commentary and adaptation to local needs; ADR spontaneous and intensive monitoring (WHO program) with a personal feedback to the reporters, regular articles on drug use in a number of periodicals, etc. Data on drug consumption indicate that there is room for improvement of prescribing. There is an enthusiasm for 'vasoactive drugs', after dipirydamole came oxpentifylline, and antimicrobials are always overprescribed. All these problems will hopefully decrease when the war finally stops and when the industry (especially tourism) become fruitful again. In any case, the importance of teaching pharmacotherapy at the under- and postgraduate level should be considered.</t>
  </si>
  <si>
    <t>(Vrhovac B.); ID: 1701</t>
  </si>
  <si>
    <t>0031-6857</t>
  </si>
  <si>
    <t>Vuchinich,R. E.</t>
  </si>
  <si>
    <t>Still necessary to state the obvious: comment on Alessi, Roll, Reilly, and Johanson (2002)</t>
  </si>
  <si>
    <t>100; discussion 101-3</t>
  </si>
  <si>
    <t>*Behavior/de Drug Effects];Humans;Self Administration;*Substance-Related Disorders/px Psychology]</t>
  </si>
  <si>
    <t>S. M. Alessi, J. M. Roll. M. P. Reilly, and C.-E. Johanson's (2002) conclusions initially seemed to the author to unnecessarily state the obvious: that the determinants of drug effects and self-administration are not reducible to events within the body. On reflection, however, the author realized that this conclusion is not obvious to many individuals in the broader scientific, professional, and political environment that surrounds the behavioral pharmacology scientific community. Educating these individuals about the concepts, methods, data, and applied implications of behavioral pharmacology is of paramount importance, and one way to do this is to continue to state the obvious.</t>
  </si>
  <si>
    <t>J2: Exp Clin Psychopharmacol; Vuchinich, Rudy E Comment on: Exp Clin Psychopharmacol. 2002 May;10(2):77-83; discussion 101-3; PMID: 12022801; ID: 517</t>
  </si>
  <si>
    <t>Vuchinich,Rudy E. Department of Psychology, University of Alabama at Birmingham, 35294-1170, USA. rvuchini@uab.edu</t>
  </si>
  <si>
    <t>http://ovidsp.ovid.com/ovidweb.cgi?T=JS&amp;CSC=Y&amp;NEWS=N&amp;PAGE=fulltext&amp;D=med4&amp;AN=12022807</t>
  </si>
  <si>
    <t>MEDLINE; Ovid Technologies; Still necessary to state the obvious: comment on Alessi, Roll, Reilly, and Johanson (2002)</t>
  </si>
  <si>
    <t>Vyas,D.;Lackey,G.;McCulloh,R. J.</t>
  </si>
  <si>
    <t>Acute overdose: suicide attempt</t>
  </si>
  <si>
    <t>Simulation in Healthcare: The Journal of The Society for Medical Simulation</t>
  </si>
  <si>
    <t>*Acetaminophen/po Poisoning];Acetylcysteine/tu Therapeutic Use];Adolescent;Antidotes/tu Therapeutic Use];Charcoal/tu Therapeutic Use];*Diphenhydramine/po Poisoning];*Drug Overdose/th Therapy];*Education, Pharmacy;Electrocardiography;Female;Humans;Seizures;*Suicide, Attempted;0 (Antidotes);16291-96-6 (Charcoal);362O9ITL9D (Acetaminophen);8GTS82S83M (Diphenhydramine);WYQ7N0BPYC (Acetylcysteine)</t>
  </si>
  <si>
    <t>J2: Simul; Vyas, Deepti Lackey, Grant McCulloh, Russell J; ID: 106</t>
  </si>
  <si>
    <t>1559-713X</t>
  </si>
  <si>
    <t>Vyas,Deepti. Thomas J. Long School of Pharmacy and Health Sciences, University of the Pacific, Stockton. vyasd80@gmail.com</t>
  </si>
  <si>
    <t>http://ovidsp.ovid.com/ovidweb.cgi?T=JS&amp;CSC=Y&amp;NEWS=N&amp;PAGE=fulltext&amp;D=medl&amp;AN=23912070</t>
  </si>
  <si>
    <t>http://dx.doi.org/10.1097/SIH.0b013e318296abc2</t>
  </si>
  <si>
    <t>MEDLINE; Ovid Technologies; Acute overdose: suicide attempt</t>
  </si>
  <si>
    <t>Wackernah,R. C.;Knox,E.;Author,Addresses;University,of Southern;Hospital,Los Angeles United States;Correspondence,Address;RC Wackernah, University of Southern California University,Hospital Los;Angeles,United States</t>
  </si>
  <si>
    <t>Assessing the need for patient education in liver transplant patients using psychiatric medications</t>
  </si>
  <si>
    <t>antidepressant agent;mood stabilizer;college;drug therapy;liver graft;patient;patient education;pharmacist;adult;anxiety;chronic disease;education;hospital;learning;medication therapy management;mood;outpatient;physician;prevalence;psychiatric treatment;sample size;side effect;substance abuse;transplantation</t>
  </si>
  <si>
    <t>Abstract Type: Work in Progress. Background: Transplant patients can have co morbid psychiatric conditions, previous substance abuse history and immunosuppressive regimens that can lead to alterations in mood. The prevalence of severe post transplant depression has been reported as 14%. Moderate post transplant anxiety has been reported as 16%. Patients may not receive complete education regarding their psychiatric medication due to the complex immunosuppressive regimens they are required to adhere to. Patient knowledge has been shown to lack in medication regimens associated with chronic disease states and is often linked to poor adherence. It is hypothesized that liver transplant patients will not fully understand the purpose of their psychiatric medications, and by identifying this lack of knowledge, a need for additional education can be assessed. Objectives: Primary outcome is to determine the patient's understanding of psychiatric medications regarding their need for the medication and side effects. Secondary outcomes will seek to find correlations with the need for knowledge and age or sex of patient, timing of transplant in comparison to initiation of psychiatric treatment, and the specialty of the physician who initially prescribed the psychiatric medication. Methods: Descriptive study to survey adult liver transplant patients on psychiatric medications (antidepressant, antianxiety, antipsychotic, mood-stabilizer) who present to an out-patient post transplant clinic. Goal sample size is 75. Medication reconciliation forms will be used to screen for psychiatric medications. Survey will take less than five minutes. Age and sex of the patient will be collected. Patients will be asked if they understand the therapeutic and side effects of their medications, questions that relate to the timing of the start of their regimens, and if they are interested in learning more. Outcomes: The percentages of patients who do not know the psychiatric medication's indication and side effects will be reported separately. The percentage will be compared against the patient's age and sex. Timing of psychiatric treatment compared to transplant and specialty of prescribing physician will also be reported. The information gathered will be used to evaluate the need for a psychiatric pharmacist to help educate transplant patients.</t>
  </si>
  <si>
    <t>(Wackernah R.C.; Knox E.) 13th Annual Meeting of the College of Psychiatric and Neurologic Pharmacists, CPNP 2010 San Antonio, TX, United States 2010-04-18 to 2010-04-21 SAGE Publications Inc.; ID: 1362</t>
  </si>
  <si>
    <t>Wade,D. N.</t>
  </si>
  <si>
    <t>The background pattern of drug usage in Australia</t>
  </si>
  <si>
    <t>Adolescent;Adult;Age Factors;Aged;Australia;Child;Costs and Cost Analysis;Drug Prescriptions;*Drug Utilization;Environment;Humans;Insurance, Pharmaceutical Services;Middle Aged;Pharmacists;Physicians;Substance-Related Disorders/ep Epidemiology]</t>
  </si>
  <si>
    <t>The pattern of drug usage by urban populations has been studied in two typical Australian cities: Traralgon, Victoria, and Sydney, New South Wales. The study, lasting 1 year, involved questioning of 10% of the residents in households selected by random sampling and records of pharmacists. The questions related to state of health, recurrent or chronic disability, and drug exposures during 2 wk preceding the interview. Figures obtained from the Pharmaceutical Benefit Scheme (a system of partial federal subsidy) and the Morbidity Survey of the Royal Australasian College of General Practitioners showed Australians to be near the top of the world's drug takers, in comparison for example with Americans: between 6 and 7 prescriptions per capita in Australia and between 4 and 5 prescriptions in the United States in 1973. The consumption of over-the-counter drugs (OTC) was estimated from the Commonwealth Statistician's figures by subtracting the expenditure for prescription drugs from the total annual chemist sales--$A450,000,000. This represents a cost of $A33.85 for every man, woman, and child. Of this amount $A19.07 was spent for OTC drugs, analgesics and cough suppressants being the two largest items. Roughly 60% of Australians average two or more doses of analgesics per day, with some patients consuming 12 or more doses a day. An association between this high consumption of analgesics and an alarming incidence of iatrogenic disease--analgesic nephropathy and gastrointestinal hemorrhage--is postulated. It is concluded that this level of drug usage must be symptomatic of underlying stresses and pressures of urban society in that country, along with a cultural factor of ready acceptance of the social use of drugs.</t>
  </si>
  <si>
    <t>J2: Clin Pharmacol Ther; Wade, D N; ID: 734</t>
  </si>
  <si>
    <t>http://ovidsp.ovid.com/ovidweb.cgi?T=JS&amp;CSC=Y&amp;NEWS=N&amp;PAGE=fulltext&amp;D=med1&amp;AN=1269204</t>
  </si>
  <si>
    <t>MEDLINE; Ovid Technologies; The background pattern of drug usage in Australia</t>
  </si>
  <si>
    <t>Wade-Mdivanian,R.;Anderson-Butcher,D.;Hale,K.;Kwiek,N.;Smock,J.;Radigan,D.;Lineberger,J.</t>
  </si>
  <si>
    <t>Utilizing Business, University, and Community Resources to Target Adolescent Prescription Drug Abuse</t>
  </si>
  <si>
    <t>Prevention Researcher</t>
  </si>
  <si>
    <t>Community Leaders;Prevention;Drug Abuse;Community Resources;Health Education;Parents;Teachers;Adolescents;Surveys;Adults;Youth;Middle School Students;High School Students;Foreign Countries;Identifier: Ohio;United States</t>
  </si>
  <si>
    <t>Generation Rx is a prescription drug abuse prevention strategy which includes a "toolkit" designed to be used with youth. Developed by Cardinal Health Foundation and the Ohio State University, it provides health care providers (especially pharmacists), parents, teachers, youth workers, and other community leaders with interactive tools and resources aimed at educating teens about the realities and dangers of prescription drug abuse. This article highlights Generation Rx, showcases how two community-based programs have implemented components of the toolkit, and presents a preliminary assessment about its impact. (Contains 1 table.)</t>
  </si>
  <si>
    <t>FirstSearch indicates your institution subscribes to this publication. Libraries worldwide that own item: 889 University of Michigan Library Search the Mirlyn catalog at the University of MichiganLocal Holdings Information: 2005- 4 pages Education Level: High Schools; Middle Schools Article (EJ); ID: 2113</t>
  </si>
  <si>
    <t>1086-4385</t>
  </si>
  <si>
    <t>Integrated Research Services, Inc. 66 Club Road Suite 370, Eugene, OR 97401. Tel: 800-929-2955; Fax: 541-683-2621; Web site: http://www.tpronline.org; http://www.tpronline.org/article.cfm/Target_Adolescent_Prescription_Drug_Abuse</t>
  </si>
  <si>
    <t>EJ976379</t>
  </si>
  <si>
    <t>ERIC; OCLC; Utilizing Business, University, and Community Resources to Target Adolescent Prescription Drug Abuse</t>
  </si>
  <si>
    <t>Wagner,J. C.</t>
  </si>
  <si>
    <t>Substance-abuse policies and guidelines in amateur and professional athletics</t>
  </si>
  <si>
    <t>Doping in Sports/lj Legislation &amp; Jurisprudence];*Doping in Sports/pc Prevention &amp; Control];Humans;Pharmaceutical Preparations/an Analysis];0 (Pharmaceutical Preparations)</t>
  </si>
  <si>
    <t>Substance-abuse policies and guidelines in amateur and professional athletic organizations are described. Amateur athletic organizations, which are governed by the U.S. Olympic Committee or the National Collegiate Athletic Association (NCAA), have developed programs that include mandatory drug testing. Drugs banned by the two organizations include psychomotor stimulants, sympathomimetic amines, narcotic analgesics, anabolic steroids, miscellaneous central nervous system stimulants, and, in the case of the NCAA, certain street drugs. Professional organizations have been somewhat slower to follow and, with the exception of tennis, do not allow mandatory drug testing. Each formal drug-screening program includes penalties for violators. The enforcement practices of the organizations representing tennis, baseball, basketball, and football are described. One aspect unique to professional sports is the employee-assistance program, which allows the impaired athlete to receive treatment while continuing to play and receive a salary. As drug-control programs become more common in athletics, opportunities may arise for pharmacists to participate in the areas of drug information and educational services.</t>
  </si>
  <si>
    <t>J2: Am J Hosp Pharm; Wagner, J C; ID: 696</t>
  </si>
  <si>
    <t>http://ovidsp.ovid.com/ovidweb.cgi?T=JS&amp;CSC=Y&amp;NEWS=N&amp;PAGE=fulltext&amp;D=med2&amp;AN=3565389</t>
  </si>
  <si>
    <t>MEDLINE; Ovid Technologies; Substance-abuse policies and guidelines in amateur and professional athletics</t>
  </si>
  <si>
    <t>Wakeland,W.;Nielsen,A.;Schmidt,T. D.;McCarty,D.;Webster,L. R.;Fitzgerald,J.;Haddox,J. D.</t>
  </si>
  <si>
    <t>NIHMS617037 PMC4136470; Modeling the impact of simulated educational interventions on the use and abuse of pharmaceutical opioids in the United States: a report on initial efforts</t>
  </si>
  <si>
    <t>Health Education &amp; Behavior</t>
  </si>
  <si>
    <t>74S</t>
  </si>
  <si>
    <t>86S</t>
  </si>
  <si>
    <t>Analgesics, Opioid/ad Administration &amp; Dosage];*Analgesics, Opioid/ae Adverse Effects];Analgesics, Opioid/tu Therapeutic Use];Computer Simulation;Drug Overdose/et Etiology];Drug Overdose/mo Mortality];*Drug Overdose/pc Prevention &amp; Control];*Health Personnel/ed Education];Humans;Models, Educational;Models, Theoretical;Opioid-Related Disorders/mo Mortality];*Opioid-Related Disorders/pc Prevention &amp; Control];*Patient Education as Topic;*Prescription Drug Diversion/pc Prevention &amp; Control];Prescription Drug Diversion/sn Statistics &amp; Numerical Data];Risk Assessment;Systems Analysis;United States/ep Epidemiology];0 (Analgesics, Opioid)</t>
  </si>
  <si>
    <t>Three educational interventions were simulated in a system dynamics model of the medical use, trafficking, and nonmedical use of pharmaceutical opioids. The study relied on secondary data obtained in the literature for the period of 1995 to 2008 as well as expert panel recommendations regarding model parameters and structure. The behavior of the resulting systems-level model was tested for fit against reference behavior data. After the base model was tested, logic to represent three educational interventions was added and the impact of each intervention on simulated overdose deaths was evaluated over a 7-year evaluation period, 2008 to 2015. Principal findings were that a prescriber education intervention not only reduced total overdose deaths in the model but also reduced the total number of persons who receive opioid analgesic therapy, medical user education not only reduced overdose deaths among medical users but also resulted in increased deaths from nonmedical use, and a "popularity" intervention sharply reduced overdose deaths among nonmedical users while having no effect on medical use. System dynamics modeling shows promise for evaluating potential interventions to ameliorate the adverse outcomes associated with the complex system surrounding the use of opioid analgesics to treat pain.</t>
  </si>
  <si>
    <t>J2: Health Educ Behav; Wakeland, Wayne Nielsen, Alexandra Schmidt, Teresa D McCarty, Dennis Webster, Lynn R Fitzgerald, John Haddox, J David 5R21DA031361-02 (United States NIDA NIH HHS) R21 DA031361 (United States NIDA NIH HHS); ID: 98</t>
  </si>
  <si>
    <t>1552-6127</t>
  </si>
  <si>
    <t>Wakeland,Wayne. 1Portland State University, Portland, OR, USA.</t>
  </si>
  <si>
    <t>http://ovidsp.ovid.com/ovidweb.cgi?T=JS&amp;CSC=Y&amp;NEWS=N&amp;PAGE=fulltext&amp;D=medl&amp;AN=24084403</t>
  </si>
  <si>
    <t>http://dx.doi.org/10.1177/1090198113492767</t>
  </si>
  <si>
    <t>MEDLINE; Ovid Technologies; Modeling the impact of simulated educational interventions on the use and abuse of pharmaceutical opioids in the United States: a report on initial efforts</t>
  </si>
  <si>
    <t>Wakeland,W.;Schmidt,T.;Gilson,A. M.;Haddox,J. D.;Webster,L. R.</t>
  </si>
  <si>
    <t>System dynamics modeling as a potentially useful tool in analyzing mitigation strategies to reduce overdose deaths associated with pharmaceutical opioid treatment of chronic pain</t>
  </si>
  <si>
    <t>12 Suppl 2</t>
  </si>
  <si>
    <t>S49</t>
  </si>
  <si>
    <t>*Analgesics, Opioid/po Poisoning];*Analgesics, Opioid/tu Therapeutic Use];Chronic Disease;*Drug Overdose/mo Mortality];Education, Medical, Continuing;Humans;*Models, Theoretical;*Pain/dt Drug Therapy];Substance-Related Disorders;0 (Analgesics, Opioid)</t>
  </si>
  <si>
    <t>OBJECTIVE: To illustrate a system-level, simulation-based approach for evaluating mitigation strategies to address the dramatic rise in abuse, addiction, and overdose deaths associated with the use of pharmaceutical opioid analgesics to treat chronic pain. SIMULATED INTERVENTIONS: Making available drug formulations with increased tamper-resistance, prescriber education programs, and programs that reduce rates of medical user-related abuse and addiction. SIMULATED OUTCOME MEASURE: Number of overdose deaths of medical users of pharmaceutical opioid analgesics, including those who abuse or have become addicted. METHODS: A demonstration system dynamics model is developed, tested, and used to evaluate the impact of candidate mitigation strategies on the outcome measures. RESULTS: Tamper-resistant drug products will likely reduce overdose death rates but may not reduce overall deaths if there is increased prescribing. Prescriber education would likely reduce deaths through a reduction in patient access to pharmaceutical opioid analgesics. CONCLUSIONS: The system dynamics approach may have potential for opioid-related policy evaluation. However, metrics must be carefully selected, and trade-offs may be involved. For example, it may be difficult to limit negative outcomes associated with pharmaceutical opioids without adversely affecting chronic pain patients' access to pharmaceutical treatment. Ultimately, a combination of metrics and value judgments will be needed to properly evaluate mitigation strategies.Copyright Wiley Periodicals, Inc.</t>
  </si>
  <si>
    <t>J2: Pain Med; Wakeland, Wayne Schmidt, Teresa Gilson, Aaron M Haddox, J David Webster, Lynn R; ID: 244</t>
  </si>
  <si>
    <t>Wakeland,Wayne. Portland State University, Systems Science Graduate Program, Portland, Oregon 97207, USA. wakeland@pdx.edu</t>
  </si>
  <si>
    <t>http://ovidsp.ovid.com/ovidweb.cgi?T=JS&amp;CSC=Y&amp;NEWS=N&amp;PAGE=fulltext&amp;D=med5&amp;AN=21668757</t>
  </si>
  <si>
    <t>http://dx.doi.org/10.1111/j.1526-4637.2011.01127.x</t>
  </si>
  <si>
    <t>MEDLINE; Ovid Technologies; System dynamics modeling as a potentially useful tool in analyzing mitigation strategies to reduce overdose deaths associated with pharmaceutical opioid treatment of chronic pain</t>
  </si>
  <si>
    <t>Wakeman,S. E.;Pham-Kanter,G.;Baggett,M.;Campbell,E.;Author,Addresses;Massachusetts General,Hospital;Boston,United States;University of Colorado, Anschutz Medical,Campus Denver;United,States;Mongan Institute for Health Policy, Boston,United States;Correspondence,Address;SE Wakeman, Massachusetts General Hospital Boston,United States</t>
  </si>
  <si>
    <t>Improving internal medicine resident preparedness to diagnose and treat substance use disorders; Evaluating the impact of an enhanced addiction curriculum</t>
  </si>
  <si>
    <t>29 SUPPL. 1</t>
  </si>
  <si>
    <t>alcohol;opiate;addiction;curriculum;internal medicine;society;substance abuse;chronic disease;diagnosis;diseases;drug therapy;education;exposure;general hospital;health;hospital patient;human;insurance;internist;intoxication;medical school;model;morbidity;mortality;motivational interviewing;neurobiology;patient;physician;policy;population;prevention;prospective study;psychiatrist;public health problem;screening;United States;Western Hemisphere</t>
  </si>
  <si>
    <t>BACKGROUND: Substance use disorders (SUD) are the number one public health problem facing America, accounting for more morbidity and mortality than any other preventable health condition and affecting 16 % of the population. Despite providing care for large numbers of patients with addiction, a majority of internal medicine residents feel unprepared to treat SUDs and rate the quality of SUD instruction during training as fair or poor. METHODS: This prospective study evaluated the impact of an enhanced SUD curriculum at Massachusetts General Hospital on internal medicine residents' selfperceived preparedness to diagnose and treat SUDs, their ratings of the quality and quantity of SUD education, and their basic knowledge of SUDs. The intervention was a didactic curriculum designed by a collaborative group of internists and psychiatrists with addiction expertise, incorporated into the inpatient noon conference, resident report, and ambulatory lecture series over the course of one academic year. Core topics included the neurobiology of addiction; motivational interviewing; SUD screening and diagnosis; withdrawal management; pharmacotherapy for alcohol and opioid use disorders; opioid overdose prevention and management; physician addiction; care for the hospitalized patient with addiction; and exposure to patients in recovery. RESULTS: Following the intervention, 86 % of residents reported feeling prepared to diagnose addiction and 58 % of residents reported feeling prepared to treat addiction as compared to 74 % and 37 % respectively in the baseline survey. Three quarters of residents rated the overall quality of instruction as good or excellent and 98 % of residents reported that formal residency curriculum had a positive impact on their self-perceived preparedness to provide care to addicted patients. However, 39 % of residents still reported feeling unprepared to treat addiction. Residents who reported receiving an adequate amount of SUD instruction were more likely to feel prepared to diagnose and treat addiction. Nearly one third of residents (31 %) still rated the overall amount of instruction in addictions as too little. Additionally, the majority of residents reported issues with insurance or cost of care (88 %) and access to addiction treatment (80 %) had a negative impact on their self-perceived preparedness to provide care for patients with SUDs. Nearly all residents (96 %) noted time constraints also negatively impacted preparedness. The intervention did not significantly improve residents' answers to knowledge questions. CONCLUSIONS: An enhanced didactic SUD curriculum for internal medicine residents resulted in improved self-perceived preparedness to diagnose and treat SUDs and higher quality ratings for SUD instruction. However, there was no significant change in knowledge. Limited access to addiction treatment negatively impacts resident self-perceived preparedness which highlights the need for overall policy changes related to SUD treatment in addition to educational reform. Given the complexity of SUDs, a comprehensive training model beginning in medical school, incorporating clinical experiences, and comparable to other chronic disease curricula is needed to adequately impact knowledge and clinical care.</t>
  </si>
  <si>
    <t>(Wakeman S.E.; Baggett M.; Campbell E.) (Pham-Kanter G.) (Campbell E.) 37th Annual Meeting of the Society of General Internal Medicine, SGIM 2014 San Diego, CA, United States 2014-04-23 to 2014-04-26 Springer New York; ID: 909</t>
  </si>
  <si>
    <t>Waldron,G.;Author,Addresses;Pfizer Global,Research;Development,Sandwich Kent United;Kingdom;Correspondence,Address;Waldron,Pfizer Global Research,G.;Development,Sandwich Kent United;Kingdom</t>
  </si>
  <si>
    <t>CNS safety pharmacology (including drug dependency)</t>
  </si>
  <si>
    <t>Toxicology letters</t>
  </si>
  <si>
    <t>Toxicol.Lett.</t>
  </si>
  <si>
    <t>189 Suppl. 1</t>
  </si>
  <si>
    <t>S8</t>
  </si>
  <si>
    <t>ligand;central nervous system;drug dependence;health care organization;pharmacology;safety;toxicology;abuse;behavior change;body temperature;drug development;electrophysiology;examination;follow up;human;learning;memory;model;motor activity;neurochemistry;reflex;risk assessment;rodent</t>
  </si>
  <si>
    <t>CNS safety pharmacology is a well established discipline guided by ICH S7A. This universally accepted guidance describes a core battery of studies of which contains a CNS assessment. Motor activity, behavioural changes, coordination, sensory/motor reflex responses and body temperature should be evaluated. A functional observation battery (FOB) or modified Irwin's assessment in rodents are most often performed in the pre-clinical Safety Assessments prior to First in Human administration a novel chemical entity. Follow up assessments based upon findings or other causes for concern can include behavioural pharmacology, learning and memory, ligand-specific binding, neurochemistry, visual, auditory and/or electrophysiology examinations, etc. Drug dependency or abuse liability, although not a novel research area, is emerging as a key area of scientific and regulatory interest. Pre-clinical models can be used at any stage of drug development and can guide the clinical abuse liability trials.</t>
  </si>
  <si>
    <t>(Waldron G.) 46th Congress of the European Societies of Toxicology, EUROTOX 2009 Dresden, Germany 2009-09-13 to 2009-09-16 Elsevier Ireland Ltd; ID: 1412</t>
  </si>
  <si>
    <t>0378-4274</t>
  </si>
  <si>
    <t>Wales,Charles E.;Nardi,Anne H.</t>
  </si>
  <si>
    <t>It Takes Thinking to Produce a Scholar</t>
  </si>
  <si>
    <t>Classroom Techniques;Cognitive Development;Higher Education;Problem Solving;(Major): Cognitive Processes;Logical Thinking;Pharmaceutical Education;Scholarship;Identifier: West Virginia University</t>
  </si>
  <si>
    <t>The experience of the West Virginia University School of Pharmacy with a course in non-prescription drugs that emphasizes problem-solving through pattern recognition illustrates that when thinking skills are taught, students value, remember, and can use more of the concepts they study. (MSE)</t>
  </si>
  <si>
    <t>Connect to the Mirlyn catalog at the University of Michigan Article (EJ); ID: 2096</t>
  </si>
  <si>
    <t>EJ384254</t>
  </si>
  <si>
    <t>ERIC; OCLC; It Takes Thinking to Produce a Scholar</t>
  </si>
  <si>
    <t>Walker,C.;Gagne,B.;Timmons,J.;Sperle,D.;Rodis,J.;Author,Addresses;Kroger Pharmacy,United;States;Cass Lake Indian Health,Service Hospital;Ohio State University, College of Pharmacy,United States;Correspondence,Address;Walker, Kroger Pharmacy United States,C.</t>
  </si>
  <si>
    <t>Hypertension care in a community pharmacy: Education, monitoring, and medication management by pharmacists to improve blood pressure control</t>
  </si>
  <si>
    <t>cholesterol;blood pressure regulation;community;drug therapy;education;hypertension;monitoring;pharmacist;blood pressure;book;consultation;conversation;glucose blood level;human;patient;pharmacy;physician;prescription;reading;screening;student;therapy;workflow</t>
  </si>
  <si>
    <t>Objective: To design and implement a hypertension management program for a high-volume community pharmacy that fits within the dispensing workflow, enhances care provided to patients with hypertension, and strengthens the patient-physician-pharmacist relationship. Methods: Three students in conjunction with their pharmacist preceptor undertook an evaluation of a high-volume grocery store chain community pharmacy as part of a longitudinal community pharmacy rotation. A program that integrates a hypertension management encounter into the patient's monthly visit to the pharmacy to pick up their prescription refills was developed. For each month of the 6-month program, enrolled patients are invited to sit with a pharmacist for a brief consultation that includes a manual blood pressure reading, a conversation about an educational topic related to blood pressure, and a discussion on any medication-related issues. Blood glucose and cholesterol screenings are offered to enrolled patients as an added service. After each visit, the pharmacist consults with the patient's physician regarding screening results and medication-related problems. Outcomes to assess the impact of the service include average change in blood pressure, percentage of patients achieving blood pressure goal, number of recommendations to physicians that result in therapy changes, number of drug-related problems identified through pharmacist intervention, and number of referrals from doctors. The service was developed between September 2008 and May 2009, with patient enrollment beginning in May 2009. Results: NA (research in progress). Conclusion: NA (research in progress).</t>
  </si>
  <si>
    <t>(Walker C.; Gagne B., blgagne@gmail.com; Timmons J.) (Sperle D.) (Rodis J.) APhA2010 Washington, DC, United States 2010-03-12 to 2010-03-15 American Pharmacists Association; ID: 1386</t>
  </si>
  <si>
    <t>Walker,K. A.;Author,Addresses;University of,Maryland School;Pharmacy,Palliative Medicine Clinical Specialist Union Memorial Hospital;North Pine Street, Baltimore,M.D.United States;Correspondence,Address;Walker, University of Maryland School of Pharmacy Palliative Medicine,K.A.;Clinical Specialist, Union Memorial Hospital North,Pine Street;Baltimore,M. D. U.</t>
  </si>
  <si>
    <t>Role of the pharmacist in palliative care</t>
  </si>
  <si>
    <t>Progress in Palliative Care</t>
  </si>
  <si>
    <t>palliative therapy;pharmacist;drug use;family;health care organization;health care personnel;outcome assessment;patient care;patient counseling;patient education;pharmaceutical care;practice guideline;professional practice;review;terminal care;Public Health, Social Medicine and Epidemiology (17)</t>
  </si>
  <si>
    <t>Pharmacists are uniquely positioned to provide expert medication advice and education, thus creating a specialised role within the team providing end-of-life care dedicated to rational medication use. The role of pharmacists varies among different palliative care practice settings; however, all pharmacists participate in providing pharmaceutical care. Countries vary greatly in the accepted definitions to describe pharmaceutical care and in the scope of pharmacy practice. Activities of pharmacists can include detecting and resolving drug-related problems, advising providers on appropriate medication use, medication reconciliation, creating medication guidelines, education and many more. Pharmacy organisations support pharmacists as key members of interdisciplinary care, and there is growing recognition of the value of their contribution. This review will explore the role of the pharmacist and available literature supporting outcomes associated with pharmacy involvement in palliative care. Pharmacists provide valuable patient care, contribute to a growing literature base of medication knowledge, and participate in the education of patients, families and fellow professionals. ‚î¨‚åê 2010 Maney Publishing.</t>
  </si>
  <si>
    <t>(Walker K.A., kwalker@rx.umaryland.edu) Maney Publishing, Suite 1C, Joseph's Well, Hanover Walk, Leeds, United Kingdom.; ID: 1345</t>
  </si>
  <si>
    <t>0969-9260 1743-291X (electronic)</t>
  </si>
  <si>
    <t>2010318896 FULL TEXT LINK http://dx.doi.org/10.1179/096992610X12624290276755</t>
  </si>
  <si>
    <t>Wallace,Carla;Franson,Kari L.</t>
  </si>
  <si>
    <t>Incorporation of Ability-Based Outcome Education into Pharmacotherapeutics Using an Expanded S.O.A.P. Format</t>
  </si>
  <si>
    <t>Allied Health Occupations Education;Higher Education;Problem Solving;Professional Education;(Major): Case Studies;Competency Based Education;Drug Therapy;Instructional Design;Pharmaceutical Education;Problem Based Learning;Teaching Models</t>
  </si>
  <si>
    <t>An undergraduate pharmacy class in drug therapy was taught using a problem-solving approach and standardized case studies, with teacher feedback provided on case presentations using specific performance criteria. It was found that the teaching approach was successful in develop students' ability to apply pharmacotherapeutics in creation of patient care plans. (Author/MSE)</t>
  </si>
  <si>
    <t>FirstSearch indicates your institution subscribes to this publication. Libraries worldwide that own item: 1082 University of Michigan Library INDEPENDENT U-M LIBRARIES Search the Mirlyn catalog at the University of MichiganLocal Holdings Information: 1998-Local Holdings Information: 1-66,68-70,72-76; 1937-2012; 1994- Article (EJ); ID: 2117</t>
  </si>
  <si>
    <t>EJ522993</t>
  </si>
  <si>
    <t>ERIC; OCLC; Incorporation of Ability-Based Outcome Education into Pharmacotherapeutics Using an Expanded S.O.A.P. Format</t>
  </si>
  <si>
    <t>Walters,C.;Raymont,A.;Galea,S.;Wheeler,A.</t>
  </si>
  <si>
    <t>Evaluation of online training for the provision of opioid substitution treatment by community pharmacists in New Zealand</t>
  </si>
  <si>
    <t>Adult;Attitude of Health Personnel;Clinical Competence;*Community Pharmacy Services/og Organization &amp; Administration];Community Pharmacy Services/st Standards];*Education, Pharmacy, Continuing/mt Methods];Feasibility Studies;Female;Health Knowledge, Attitudes, Practice;Humans;Internet;Male;Middle Aged;New Zealand;*Opiate Substitution Treatment/mt Methods];Opioid-Related Disorders/rh Rehabilitation];*Pharmacists/og Organization &amp; Administration];Pharmacists/st Standards];Surveys and Questionnaires;Young Adult</t>
  </si>
  <si>
    <t>INTRODUCTION AND AIMS: The role of community pharmacists in the provision of opioid substitution treatment (OST) is pivotal and integral to addiction treatment. An online training program for pharmacists in OST management was piloted in New Zealand in 2010, following recognition of the difficulty in recruitment and retention of community pharmacists to provide OST services. Our aim was to evaluate the OST online training that was made available for any community pharmacist in New Zealand and to establish the feasibility and acceptability of this format of training for community pharmacists. The evaluation explored participants' attitudes, skills and knowledge both pre- and post-training in OST. DESIGN AND METHODS: All pharmacists registering to participate in the training program were asked to complete an evaluation questionnaire immediately before (pre) and immediately after (post) completing the training. Participants were also invited to participate in a brief 10 min structured telephone interview about their training experience. RESULTS: In the first 4 months 190 pharmacists commenced the training; 101 completed both evaluations. Improvements in the confidence and skills of pharmacists were demonstrated through both the quantitative and qualitative analyses. Statistically significant changes in attitudes were also demonstrated. Overall the OST training was well received and the online format was feasible and highly acceptable. DISCUSSION AND CONCLUSION: Online training is an appropriate and economical method of improving pharmacists' clinical skills with respect to this client group, and has the potential to reach a wider audience of pharmacists. Further research is required to investigate OST client experiences in community pharmacy.Copyright ‚î¨‚åê 2012 Australasian Professional Society on Alcohol and other Drugs.</t>
  </si>
  <si>
    <t>J2: Drug Alcohol Rev; Walters, Carina Raymont, Antony Galea, Susanna Wheeler, Amanda; ID: 163</t>
  </si>
  <si>
    <t>Walters,Carina. Community Alcohol and Drug Services, Waitemata District Health Board, Auckland, New Zealand.</t>
  </si>
  <si>
    <t>http://ovidsp.ovid.com/ovidweb.cgi?T=JS&amp;CSC=Y&amp;NEWS=N&amp;PAGE=fulltext&amp;D=medl&amp;AN=22519647</t>
  </si>
  <si>
    <t>http://dx.doi.org/10.1111/j.1465-3362.2012.00459.x</t>
  </si>
  <si>
    <t>MEDLINE; Ovid Technologies; Evaluation of online training for the provision of opioid substitution treatment by community pharmacists in New Zealand</t>
  </si>
  <si>
    <t>Wang,I.;Dopheide,J. A.;Author,Addresses;School of Pharmacy, University,of Southern;California,United States;Correspondence,Address;Wang, School of Pharmacy University of Southern California United,I.;States</t>
  </si>
  <si>
    <t>Role of a psychiatric pharmacist in a los angeles Œì√á¬£skid rowŒì√á¬• safety-net clinic</t>
  </si>
  <si>
    <t>college;hospital;pharmacist;safety;United States;adverse drug reaction;diagnosis;drug interaction;drug therapy;financial management;general practitioner;health care;hospital department;interview;laboratory;medical service;medical specialist;medication therapy management;mental disease;mental health care;mental health service;monitoring;non profit organization;outpatient;patient;patient care;patient education;population;psychiatrist;psychosocial care;public health;rating scale;social worker;therapy</t>
  </si>
  <si>
    <t>Abstract Type: Innovative Practices. Background: Los Angeles' Skid Row is an area inhabited by the largest population of homeless people in the United States, most of whom are also mentally ill and uninsured. Many do not receive adequate outpatient psychiatric care, since free clinics in this area do not have sufficient financial support to employ psychiatrists. While many who are persistently and severely mentally ill may be accepted, many others are turned away. Psychiatric pharmacists in collaboration with primary care physicians provide an invaluable medication management service to a population who otherwise would not have access to mental health care. Description of Innovative Service: Center for Community Health (CCH) is a collaborative effort between nonprofit organizations and the county of Los Angeles to provide comprehensive, multidisciplinary health care to the homeless. The center sees 3000 patients quarterly, of whom over 60% have psychiatric needs. The psychiatric pharmacist works through a collaborative agreement and is able to accept referrals with existing axis I diagnoses from any provider within the clinic. The pharmacist services include: patient interview and assessment, medication therapy management, monitoring of adverse effects, identification of drug-drug interactions, assessment of laboratory results, assessment of clinical outcomes measured by rating scales, patient education, referral to other services to reduce psychosocial stressors, and psychosocial support. Each patient's case and treatment plan is discussed with a primary care physician. Medications are obtained through the patient assistance program or Medicare/MediCal. Impact on Patient Care: Through the psychiatric pharmacy service, patients have improved access to quality mental health care. For the five-month period evaluated, 24 patients were referred and followed by the pharmacist. 110 drugrelated problems related to the following were identified: 35% indication, 19% effectiveness, 31% safety, and 19% compliance. 484 interventions were performed: 24% changes related to medication or dose changes, 23% patient education, 26% rating scale assessments, and 18% adverse drug reaction monitoring. Over 66% of the patients required referrals to a social worker for therapy or housing/social security issues. Conclusions: Psychiatric pharmacist specialists can assist safety net clinics in providing comprehensive health care that includes quality psychiatric services.</t>
  </si>
  <si>
    <t>(Wang I.; Dopheide J.A.) 13th Annual Meeting of the College of Psychiatric and Neurologic Pharmacists, CPNP 2010 San Antonio, TX, United States 2010-04-18 to 2010-04-21 SAGE Publications Inc.; ID: 1378</t>
  </si>
  <si>
    <t>Wang,I.;Dopheide,J. A.;Gregerson,P.</t>
  </si>
  <si>
    <t>PMC3157501; Role of a psychiatric pharmacist in a Los Angeles "Skid-Row" safety-net clinic</t>
  </si>
  <si>
    <t>*Ambulatory Care Facilities/og Organization &amp; Administration];Ambulatory Care Facilities/sn Statistics &amp; Numerical Data];*Community Mental Health Services;Female;Health Services Accessibility;Health Services Needs and Demand;Health Status Disparities;*Homeless Persons/px Psychology];Homeless Persons/sn Statistics &amp; Numerical Data];Humans;Los Angeles;Male;Mental Disorders/dt Drug Therapy];Mental Health;Middle Aged;*Patient Care Team/og Organization &amp; Administration];Patient Care Team/sn Statistics &amp; Numerical Data];*Pharmacists;*Professional Role;Psychometrics;Referral and Consultation;Statistics, Nonparametric;Surveys and Questionnaires</t>
  </si>
  <si>
    <t>Limited access to a psychiatrist prompted a collaborative practice agreement between a psychiatric pharmacist, a psychiatric pharmacy resident, and primary care physicians at the Center for Community Health, a safety-net clinic providing comprehensive care to the homeless in Skid Row, Los Angeles, CA, USA. From July 2009 to February 2010, 36 (75%) of the 48 patients referred to the psychiatric pharmacy resident met the criteria for the chart review. Twenty-six (54%) were seen for regular follow-up care over 7 months. Most referrals were for depression, bipolar disorder, and posttraumatic stress disorder. The types of drug therapy problems, pharmacist interventions, and clinical mental health outcomes are discussed.</t>
  </si>
  <si>
    <t>J2: J Urban Health; Wang, Indriani Dopheide, Julie Ann Gregerson, Paul; ID: 235</t>
  </si>
  <si>
    <t>Wang,Indriani. Department of Clinical Pharmacy and Pharmaceutical Economics and Policy, University of Southern California, Los Angeles, CA 90089-9121, USA.</t>
  </si>
  <si>
    <t>http://ovidsp.ovid.com/ovidweb.cgi?T=JS&amp;CSC=Y&amp;NEWS=N&amp;PAGE=fulltext&amp;D=med5&amp;AN=21512832</t>
  </si>
  <si>
    <t>http://dx.doi.org/10.1007/s11524-011-9573-6</t>
  </si>
  <si>
    <t>MEDLINE; Ovid Technologies; Role of a psychiatric pharmacist in a Los Angeles "Skid-Row" safety-net clinic</t>
  </si>
  <si>
    <t>Wang,X. L.;Mu,H. B.;Liu,R. H.;Song,N.;Author,Addresses;Clinical Department,of;Traditional Chinese Medicine, Pharmacological College Henan,University of;Traditional Chinese Medicine, Zhengzhou Henan,Province China;Correspondence,Address;X-L Wang, Clinical Department of Traditional,Chinese Medicine;Pharmacological College, Henan University of Traditional,Chinese Medicine;Zhengzhou 450008,Henan Province</t>
  </si>
  <si>
    <t>Interventional effect of radix bupleuri and radix scutellariae at different ratios on the changes in the indexes of liver, spleen, thymus gland and suprarenal gland and vitamin C in suprarenal gland of rats with acute alcoholic liver injury</t>
  </si>
  <si>
    <t>(MAJOR FOCUS);Bupleurum (drug combination, drug comparison, drug dose, drug therapy, drug;toxicity, pharmacology);Scutellariae radix (drug combination, drug comparison, drug dose, drug;therapy, drug toxicity, pharmacology);ascorbic acid (endogenous compound);sodium chloride;water;xiao chai hu tang (drug comparison, drug dose, drug therapy);alcohol liver cirrhosis (drug therapy);abdominal aorta;adrenal disease (drug therapy);animal experiment;animal model;article;blood sampling;body weight;controlled study;dilution;disease model;dose response;drug dose regimen;drug fatality;liver injury (drug therapy);nonhuman;organ weight;rat;spleen injury (drug therapy);thymus function;treatment outcome;variance;DRUG MANUFACTURERS;Tianjin;ascorbic acid (134-03-2, 15421-15-5, 50-81-7);sodium chloride (7647-14-5);water (7732-18-5);xiao chai hu tang (63364-01-2);Immunology, Serology and Transplantation (26);Endocrinology (3);Clinical and Experimental Pharmacology (30);Drug Literature Index (37);Gastroenterology (48);Toxicology (52)</t>
  </si>
  <si>
    <t>Background: Until now modern science cannot explain clearly about the mechanism of acute alcoholic liver injury. Besides such methods as giving up drinking, or symptomatic treatment, there is no specific therapy and remedy. Traditional Chinese Medicine (TCM) has obvious advantages for this: It cannot only improve the clinical symptoms, but also adjust organism immune function, and has very good development future. Objective: To study the effects of radix bupleuri and radix scutellariae in compatibility with the ratio of different dosage (2:1, 1:1, 1:2) on acute alcoholic liver injury by regulating the system of endocrino-immunity network in rats. Design: Groups are divided randomly and experiments are made under blank conditions. Setting: TCM Clinical Laboratory of Pharmaceutical School, Henan University of TCM. Materials: From September to November 2002 in TCM Clinical Laboratory of Pharmaceutical School, Henan University of TCM, the general condition of the animals were as follows: 96 healthy Wistar rats were divided into 8 groups: blank group, model group, radix bupleuri group, radix scutellariae group, xiao-chaihu group, radix bupleuri-radix scutellariae 2:1 group, radix bupleuri-radix scutellariae 1:1 group, radix bupleuri-radix scutellariae 1:2 group. Methods: 1 According to the ratio of 2:1, 1:1, 1:2, radix bupleuri and radix scutellariae were taken respectively (480 g, 240 g; 360 g, 360 g; 240 g, 480 g) to produce the water decocting medicine. Except the blank group (duplicated by saline of the same volume through consecutive gastric infusion), the other groups are duplicated through consecutive gastric infusion by 56 degrees of Er-Guotou White Spirit (7 mL/kg) two times a day for ten days until the model-making is finished. From the first day, the medicine was given two times a day. The blank group and the model group were given the distilled water of the same volume. The other groups were given the proper water decocting medicine. The dosage in xiao-chaihu group was 10 g/kg and in the other was all 12 g/kg. 2 16 hours later after the last time when the white spirit was given, blood was taken from stomach aorta to produce serum. Liver, spleen, chest gland, adrenal gland were quickly removed. The calculating formula of an organ index: An organ index= The weight of an organ (g)/ The weight of a body (g) ‚îú√π100%. The calculating formula of vitamin C content in adrenal gland (mg/g): Content of vitamin C= (The A value of the testing tube-The A value of the blank tube)/ (The A value of the standard tube-The A value of the blank tube)] ‚îú√πdensity of the standard tube (6 mg/L)‚îú√πdilution times of the sample before tested/protein content (g/ L). 3 Comparison between the groups was shown by using variance similar test and single-factor variance analysis. Main outcome measures: Index of rats' liver, spleen, chest gland, and adrenal gland (on the right side); the determination of vitamin C content in rats' right adrenal gland. Results: During the experiment, 3 rats in the model group died. Two rats died in radix scutellariae group and radix bupleuri-radix scutellariae group respectively. In each of the other groups only one rat died. The condition of the number of the rats which were used for analyzing results: There were 12 in blank group; 9 in model group; 10 in radix bupleuri group, radix bupleuri-radix scutellariae 1:1 group respectively; 11 in each of the other groups. 1 Comparison of index of rats in liver, spleen, chest gland, adrenal gland (right side) between different groups: There was no significant difference between the indexes of rats' liver in different groups. The index of spleen, chest gland, adrenal gland in the model group were all greatly less than in blank group (P &lt; 0.05-0.01). The index of spleen in the radix bupleuri group were greatly higher than in the model group, it could make the reduced spleen index return to normal (P &lt; 0.05); The index of chest in radix scutellariae group, radix bupleuri-radix scutellariae 1:1 group, radix bupleuri-radix scutellariae 1:2 group and xiao-chaihu group were greatly higher than in model group (P &lt; 0.05); The index of adrenal gland in radix bupleuri-radix scutellariae 1:2 group and xiao-chaihu group were greatly higher than in model group (P &lt; 0.05). 2 Comparison of vitamin C content in rats' right adrenal gland between the groups: Compared with blank group, the vitamin C content of adrenal gland in the model group had no significant difference. While that of radix bupleuri group, xiao-chaihu group, radix bupleuri-radix scutellariae groups were greatly less than that of model group (P &lt;0.05-0.01), especially radix bupleuri-radix scutellariae 1:1 group had the most significant influence (P &lt; 0.01). Conclusion: Interfering functional injuries of liver, spleen and suprarenal gland is one of the mechanisms of acute alcoholic liver injury. Generally speaking, bupleuri-radix scutellariae 1:2 group has the greatest effect on the testing index.</t>
  </si>
  <si>
    <t>(Wang X.-L.; Mu H.-B.; Liu R.-H.; Song N.); ID: 1528</t>
  </si>
  <si>
    <t>Warburton,L.;Callfas,D.;Neubauer,S. L.;Author,Addresses;College,of;Pharmacy;Nutrition,University of Saskatchewan Saskatoon Sask;Canada;Correspondence,Address;Warburton,College of Pharmacy,L.;Nutrition,University of Saskatchewan;Saskatoon,Sask Canada Email lcm mail usask ca</t>
  </si>
  <si>
    <t>Assessment of knowledge and attitude changes in young adolescents following a school-based crystal methamphetamine education program</t>
  </si>
  <si>
    <t>November/December</t>
  </si>
  <si>
    <t>(MAJOR FOCUS);ephedrine;methamphetamine;pseudoephedrine;education program;adolescent;article;behavior therapy;Canada;controlled study;drug dependence;drug use;health care delivery;health hazard;health program;health survey;human;knowledge management;learning;life satisfaction;outcome assessment;pharmacist;psychosocial care;questionnaire;risk assessment;school child;student attitude;ephedrine (299-42-3, 50-98-6);methamphetamine (28297-73-6, 51-57-0, 537-46-2, 7632-10-2);pseudoephedrine (345-78-8, 7460-12-0, 90-82-4);Public Health, Social Medicine and Epidemiology (17);Psychiatry (32);Drug Dependence, Alcohol Abuse and Alcoholism (40)</t>
  </si>
  <si>
    <t>Concerns surrounding the production and use of crystal methamphetamine have prompted tighter regulation of its precursors, such as ephedrine and pseudoephedrine. While supply-side initiatives may decrease availability and use, the literature indicates that their impact is transient due to the ingenuity and adaptability of those producing crystal methamphetamine. A more comprehensive strategy that focuses not only on limiting supply but also on decreasing demand through treatment and prevention programs is essential. In January 2005, the College of Pharmacy and Nutrition at the University of Saskatchewan facilitated the development of a methamphetamine educational pilot project through its Structured Practical Experiences Program. The program was piloted in a grade 7 class in a community school in March 2005. It was evaluated through use of pre- and post-test knowledge and attitude surveys. Interactive learning was achieved by using Personal Response System technology. Deficiencies in methamphetamine knowledge were apparent in the youth population and, to a smaller degree, in the parent population. A substantial knowledge gain in some outcome measures was achieved by the youth. Pharmacist collaboration with individuals specialized in the social determinants of drug use may elicit a more positive effect on attitudes.</t>
  </si>
  <si>
    <t>(Warburton L., lcm708@mail.usask.ca; Callfas D.; Neubauer S.L.) Canadian Pharmacists Association, 1785 Alta Vista Drive, Ottawa, Canada.; ID: 1484</t>
  </si>
  <si>
    <t>2007609024 FULL TEXT LINK http://dx.doi.org/10.3821/1913-701X(2007)140[366:AOKAAC]2.0.CO;2</t>
  </si>
  <si>
    <t>Ward,S.</t>
  </si>
  <si>
    <t>Addressing nicotine addiction in women. Role of the midwife</t>
  </si>
  <si>
    <t>Journal of nurse-midwifery</t>
  </si>
  <si>
    <t>J.Nurse.</t>
  </si>
  <si>
    <t>Coronary Disease/et Etiology];Female;Humans;Neoplasms/et Etiology];Nicotine/ad Administration &amp; Dosage];*Nicotine/ae Adverse Effects];Nurse Midwives;Practice Guidelines as Topic;Pregnancy;Pregnancy Complications/et Etiology];*Smoking/ae Adverse Effects];*Smoking Cessation;United States;*Women's Health;6M3C89ZY6R (Nicotine)</t>
  </si>
  <si>
    <t>Smoking is the leading preventable cause of cancer, cardiovascular disease, and other premature deaths among women in the United States. Tobacco use accounts for 10% of perinatal mortality and is 100% preventable. Smoking is now more common among adolescent girls than among boys. Women's health care providers are in an excellent position to intervene in this growing epidemic. This article addresses the health consequences of smoking as well as the social, economic, and emotional toll of cigarette smoking on the woman and her family. The reasons women begin and continue smoking in spite of known risks are examined. The role of the midwife in treating nicotine addiction in women throughout the life span is examined. A theoretical model based on the woman's stage of change is presented as a framework for intervention. Behavioral and pharmacologic treatment recommendations are included. Opportunities for professional activities for community education and advocacy for a tobacco-free society are presented. References: 103]</t>
  </si>
  <si>
    <t>J2: J Nurse Midwifery; Ward, S; ID: 569</t>
  </si>
  <si>
    <t>0091-2182</t>
  </si>
  <si>
    <t>Ward,S. Department of Obstetrics and Gynecology, University of Louisville School of Medicine, KY 40292, USA.</t>
  </si>
  <si>
    <t>http://ovidsp.ovid.com/ovidweb.cgi?T=JS&amp;CSC=Y&amp;NEWS=N&amp;PAGE=fulltext&amp;D=med4&amp;AN=10063220</t>
  </si>
  <si>
    <t>MEDLINE; Ovid Technologies; Addressing nicotine addiction in women. Role of the midwife</t>
  </si>
  <si>
    <t>Ware,K. S.;Nowlin,D.;Author,Addresses;Old Vineyard Behavioral,Health Services;Wingate University, School of Pharmacy,United States;Correspondence,Address;KS Ware, Old Vineyard Behavioral Health Services,United States</t>
  </si>
  <si>
    <t>Acute intermittent porphyria: A case report</t>
  </si>
  <si>
    <t>antiemetic agent;deaminase;enzyme;hematin;heme;olanzapine;opiate;perphenazine;acute intermittent porphyria;case report;college;human;pharmacist;aggression;backache;biosynthesis;Caucasian;cognition;delirium;diagnosis;disorientation;drug therapy;gastrointestinal pain;genetic disorder;hospital;hospital admission;hospital discharge;hospital patient;hypertension;kidney failure;male;medical history;pain;patient;porphyria;therapy;tobacco dependence;vomiting</t>
  </si>
  <si>
    <t>Type: Therapeutic Case Report. Background: The porphyrias are a group of genetic disorders of heme biosynthesis that result from the deficient activity of a certain enzyme in the biosynthesis pathway. Acute intermittent porphyria (AIP) is defined by a prophobilinogen deaminase deficiency and can manifest as neuropsychiatric symptoms during an exacerbation. Patient History: The patient is a 55 year old Caucasian male with a past medical history significant for AIP, chronic back pain, renal insufficiency, hypertension, and nicotine dependence. The patient has presented to the hospital with multiple AIP exacerbations since diagnosis eleven year prior to the current case; however, he has never displayed neuropsyciatric manifestations. His symptoms on admission included severe gastrointestinal pain and non-bloody emesis. Similar to previous treatment courses, the patient was initiated on panhematin therapy and symptomatic management including antiemetics and opiate pain control. Two days into his hospital admission, he began to display delirium symptoms, including decreased cognition, disorientation, and aggressive behavior. The patient was successfully managed with perphenazine and as needed olanzapine during his inpatient course. Within 48 hours, his cognition normalized and antipsychotics were discontinued prior to hospital discharge. Review of Literature: Psychiatric manifestations of AIP are well documented in literature and the incidence is estimated to be 40-58 percent. Several references that group medications into varying classes of tolerability in patients with AIP are available. These sources were utilized in the management of the patient. Conclusion: In this case of AIP with psychiatric manifestations, the patient was successfully treated with first generation antipsychotics. The medications were well-tolerated and did not appear to exacerbate physical symptoms of AIP.</t>
  </si>
  <si>
    <t>(Ware K.S.) (Nowlin D.) 16th Annual Meeting of the College of Psychiatric and Neurologic Pharmacists, CPNP 2013 Colorado Springs, CO, United States 2013-04-21 to 2013-04-24 SAGE Publications Inc.; ID: 1035</t>
  </si>
  <si>
    <t>Warnock,A. C.;Rimland,D.</t>
  </si>
  <si>
    <t>The provision of pharmaceutical care in a Veterans' Affairs Medical Center outpatient HIV clinic</t>
  </si>
  <si>
    <t>6, 119-20</t>
  </si>
  <si>
    <t>Drug Interactions;Drug-Related Side Effects and Adverse Reactions;Female;Georgia;*HIV Infections/dt Drug Therapy];Hospitals, Veterans;Humans;Male;*Outpatient Clinics, Hospital/og Organization &amp; Administration];Outpatients;*Patient Care Team;Patient Compliance;*Pharmacy Service, Hospital/og Organization &amp; Administration];Treatment Outcome</t>
  </si>
  <si>
    <t>Recognizing the unique needs and demands of HIV-infected patients, it was decided to implement pharmaceutical care in a VAMC outpatient HIV clinic. Services provided to the patients by the pharmacist include drug information, medication counseling with the help of educational handouts, and drug-related problem identification and resolution. The pharmacist also serves as a liaison between the patient and the VAMC outpatient pharmacy if conflicts arise. Services provided to the other members of the HIV clinic team include the provision of drug information and participation in clinical research. In addition, the HIV clinic provides a training site for pharmacy practice residents and Doctor of Pharmacy students on their ambulatory care rotation.</t>
  </si>
  <si>
    <t>J2: Hosp Pharm; Warnock, A C Rimland, D; ID: 640</t>
  </si>
  <si>
    <t>Warnock,A C. Mercer University, Southern School of Pharmacy, Atlanta, GA 30338.</t>
  </si>
  <si>
    <t>http://ovidsp.ovid.com/ovidweb.cgi?T=JS&amp;CSC=Y&amp;NEWS=N&amp;PAGE=fulltext&amp;D=med3&amp;AN=10132150</t>
  </si>
  <si>
    <t>MEDLINE; Ovid Technologies; The provision of pharmaceutical care in a Veterans' Affairs Medical Center outpatient HIV clinic</t>
  </si>
  <si>
    <t>Warren,C. W.;Jones,N. R.;Chauvin,J.;Peruga,A.</t>
  </si>
  <si>
    <t>Tobacco use and cessation counselling: cross-country. Data from the Global Health Professions Student Survey (GHPSS), 2005-7</t>
  </si>
  <si>
    <t>247 10p</t>
  </si>
  <si>
    <t>Attitude of Health Personnel;Attitude to Health;Counseling;Smoking Cessation;Smoking -- Prevention and Control;Students, Health Occupations -- Psychosocial Factors;Adult;Female;Male;Professional Role;Human</t>
  </si>
  <si>
    <t>BACKGROUND: Brief intervention by a health professional can substantially increase smoking cessation rates among patients. However, few studies have collected information on tobacco use and training to provide cessation counselling among health professional students. OBJECTIVE: To examine tobacco use prevalence and tobacco cessation training among students pursuing advanced degrees in health professions. METHODS: The Global Health Professions Student Survey (GHPSS) has been conducted among third-year students attending dental, medical, nursing and pharmacy schools. The GHPSS was conducted in schools during regular lectures and class sessions. GHPSS follows an anonymous, self-administered format for data collection. RESULTS: The GHPSS was completed by at least one of the four target disciplines in 31 countries between 2005 and 2007 for a total of 80 survey sites. In 47 of the 80 sites, over 20% of the students currently smoked cigarettes; and in 29 of 77 sites, over 10% of the students currently used other tobacco products. GHPSS data showed that the majority of health professional students recognised that they are role models in society, believed that they should receive training on counselling patients to quit using tobacco, but in 73 of 80 sites less than 40% of the students reported they received such training. CONCLUSIONS: Health professional schools, public health organisations and education officials should discourage tobacco use among health professionals and work together to design and implement programmes that train all health professionals in effective cessation counselling techniques. If the goal of the tobacco control community is to reduce substantially the use of tobacco products, then resources should be invested in improving the quality of education of health professionals with respect to tobacco control.</t>
  </si>
  <si>
    <t>Entry Date: 20090731. Revision Date: 20150711. Publication Type: Journal Article; research. Journal Subset: Biomedical; Blind Peer Reviewed; Europe; Expert Peer Reviewed; Peer Reviewed; Public Health; UK &amp; Ireland. Special Interest: Public Health. NLM UID: 9209612. PMID: 18474539.; ID: 2063</t>
  </si>
  <si>
    <t>Centers for Disease Control and Prevention, Office on Smoking and Health, 4770 Buford Hwy NE, MS-K50, Atlanta, GA 30341-3717, USA. wcw1@cdc.gov</t>
  </si>
  <si>
    <t>105388017. Corporate Author: GTSS Collaborative Group</t>
  </si>
  <si>
    <t>http://proxy.lib.umich.edu/login?url=http://search.ebscohost.com/login.aspx?direct=true&amp;db=ccm&amp;AN=105388017&amp;site=ehost-live&amp;scope=site</t>
  </si>
  <si>
    <t>ccm; EBSCOhost; Tobacco use and cessation counselling: cross-country. Data from the Global Health Professions Student Survey (GHPSS), 2005-7</t>
  </si>
  <si>
    <t>Watkins,G. R.</t>
  </si>
  <si>
    <t>Effect of pain education of postoperative pain management</t>
  </si>
  <si>
    <t>Ph.D.</t>
  </si>
  <si>
    <t>195 p</t>
  </si>
  <si>
    <t>195 p 1p</t>
  </si>
  <si>
    <t>Postoperative Pain -- Prevention and Control;Postoperative Pain -- Education;Patient Discharge Education;Orem Self-Care Model;Conceptual Framework;Pretest-Posttest Design;Outpatients;Two-Way Analysis of Variance;Repeated Measures;Interviews;Experimental Studies;Health Knowledge;Ambulatory Surgery;Human</t>
  </si>
  <si>
    <t>This study, guided by Orem's self-care model of nursing, compared the effect of two education interventions on post-discharge knowledge, pain management (use of pain relieving interventions), and pain intensity using a 2-group pretest-posttest study design with random assignment to control or experimental group. The sample included adult surgical outpatients discharged less than 24 hours following an open or laparoscopic abdominal or inguinal outpatient surgical procedure performed under general anesthesia. The control group received only minimal general information related to taking pain medication 'as needed' (routine pain education); the experimental group received specific information about patient-related barriers to pain management and the effective use of both pharmacological and non-pharmacological pain relieving interventions (routine pain education plus booklet). Pretest data collection occurred before surgery; posttest data collection occurred by telephone on postoperative days one, four, and seven.Two-way repeated measures ANOVA were used to evaluate differences between education group, time, and interaction between group and tine. Results were reported for two sets of subjects: the 120 who completed the first two interviews (pretest and postoperative day one) and the 79 who completed all four interviews.At pretest, control and experimental groups were similar on all variables. From pretest to postoperative day one, the experimental group experienced a greater increase in pain management knowledge (total score and addiction subscale) than the control group with the increase in knowledge for both groups remaining stable through postoperative day seven. However, there was no significant difference between control and experimental groups on postoperative days one, four, or seven in the use of pain relieving interventions (pharmacological and non-pharmacological), pain intensity, or pain interference with daily activities.Pain management education facilitated an increase in knowledge, but did not result in an increase in the use of pain relieving interventions. Education alone may be insufficient to change behavior; development of more powerful interventions to facilitate an increase in the use of pain relieving interventions by surgical outpatients are needed. Implications for clinical practice and future research are discussed.</t>
  </si>
  <si>
    <t>ID: 1883</t>
  </si>
  <si>
    <t>University of Illinois at Chicago, Health Sciences Center</t>
  </si>
  <si>
    <t>http://proxy.lib.umich.edu/login?url=http://search.ebscohost.com/login.aspx?direct=true&amp;db=ccm&amp;AN=109876273&amp;site=ehost-live&amp;scope=site</t>
  </si>
  <si>
    <t>ccm; EBSCOhost; Effect of pain education of postoperative pain management</t>
  </si>
  <si>
    <t>Watson,M.;Bond,C.;Matheson,C.;Author,Addresses;Centre of Academic,Primary Care;Medicine;Dentistry,University of Aberdeen United Kingdom;Correspondence,Address;Watson, Centre of Academic Primary Care School of Medicine and,M.;Dentistry,University of Aberdeen United Kingdom</t>
  </si>
  <si>
    <t>HSRPP 2014 Aberdeen - Foreword</t>
  </si>
  <si>
    <t>22 SUPPL. 1</t>
  </si>
  <si>
    <t>health services research;pharmacy;achievement;addiction;alcohol consumption;architecture;behavior change;college;hope;human;meal;pharmacist;public health;safety;scientist;society;tobacco;United Kingdom;university;workshop</t>
  </si>
  <si>
    <t>We are delighted to welcome you to Aberdeen and to HSRPP 2014. The venue will be King's College Conference Centre, University of Aberdeen, situated in Old Aberdeen, a historic area with architecture spanning the 15(th) to 21(st) centuries. This is also the 20(th) anniversary for HSRPP and we hope that together we will celebrate this achievement and make this a memorable conference. The conference theme is Œì√á¬£Pharmacy, Medicines and Public HealthŒì√á¬•. This theme highlights two core components of pharmacy practice: medicines use, especially medicine safety, and public health. Both components are of increasing importance particularly in relation to the role of pharmacists and their teams. Our three keynote speakers will, we are sure, inspire us all. Their presentations will focus on behaviour change and issues of addiction. The established role of pharmacists in substance misuse (tobacco and drugs) and their emerging role in managing excessive alcohol consumption, make these presentations particularly relevant to the conference theme and audience. In advance of the conference we would like to thank everyone who has already contributed in various ways, illustrating how successful team working can be! We thank those who have submitted scientific abstracts, the HSRPP steering committee, Pharmacy Research UK, the University of Aberdeen CPD Services Unit, and all our sponsors. Special thanks go to the Society for the Study of Addictions which has sponsored the substance misuse workshop, including a networking lunch, and two prizes for the best substance misuse-related presentation and poster. Finally, we hope these two days will be productive and enjoyable for both new and experienced researchers.</t>
  </si>
  <si>
    <t>(Watson M.; Bond C.; Matheson C.) Health Services Research and Pharmacy Practice Conference, HSRPP 2014 Aberdeen, United Kingdom 2014-04-03 to 2014-04-04 Pharmaceutical Press; ID: 910</t>
  </si>
  <si>
    <t>Wazaify,M.;Hughes,C. M.;McElnay,J. C.</t>
  </si>
  <si>
    <t>The implementation of a harm minimisation model for the identification and treatment of over-the-counter drug misuse and abuse in community pharmacies in Northern Ireland</t>
  </si>
  <si>
    <t>Adult;*Attitude of Health Personnel;Clinical Competence;Communication;Education, Pharmacy, Continuing/og Organization &amp; Administration];Female;Follow-Up Studies;*Harm Reduction;Humans;Male;Middle Aged;Models, Organizational;*Nonprescription Drugs;Northern Ireland;*Pharmacies/og Organization &amp; Administration];Pharmacists/og Organization &amp; Administration];Pharmacists/px Psychology];*Pharmacists;Professional-Patient Relations;Program Development;Program Evaluation;Qualitative Research;Referral and Consultation;Self Efficacy;Substance Abuse Detection;Substance-Related Disorders/di Diagnosis];Substance-Related Disorders/pc Prevention &amp; Control];*Substance-Related Disorders;Surveys and Questionnaires;0 (Nonprescription Drugs)</t>
  </si>
  <si>
    <t>OBJECTIVE: This study tested an intervention model which sought to minimise over-the-counter (OTC) drug misuse and abuse in community pharmacies. METHOD: Pharmacists in six community pharmacies in the Greater Belfast area volunteered to participate in the study. The intervention model consisted of client identification and recruitment, treatment and referrals, and finally follow-up data collection and outcome measurements. All pharmacists participated in semi-structured interviews to explore their views and experiences of the study. RESULTS: Pharmacists identified 196 cases of suspected abuse/misuse. Pharmacists approached 70 of the identified clients during the six-month study; some clients agreed to stop using the product of abuse/misuse, used an alternative, or had been switched to a maintenance prescription under general practitioner (GP) supervision. No client proceeded to completion of the follow-up phase (e.g. health-related quality of life). Analysis of the interviews revealed that pharmacists had encountered some difficulties in approaching potential clients, but had used skills gained in the study in other aspects of their practice. CONCLUSIONS: Some difficulties were encountered in implementing the harm minimisation model, but these may be alleviated by further training and greater collaborative working. PRACTICE IMPLICATIONS: Notwithstanding the challenges faced in the study, this approach to harm minimisation should be considered for wider implementation in community pharmacy.</t>
  </si>
  <si>
    <t>J2: Patient Educ Couns; Wazaify, Mayyada Hughes, Carmel M McElnay, James C; ID: 404</t>
  </si>
  <si>
    <t>Wazaify,Mayyada. Faculty of Pharmacy, University of Jordan, Amman, Jordan. m.wazaify@ju.edu.jo</t>
  </si>
  <si>
    <t>http://ovidsp.ovid.com/ovidweb.cgi?T=JS&amp;CSC=Y&amp;NEWS=N&amp;PAGE=fulltext&amp;D=med5&amp;AN=16431072</t>
  </si>
  <si>
    <t>MEDLINE; Ovid Technologies; The implementation of a harm minimisation model for the identification and treatment of over-the-counter drug misuse and abuse in community pharmacies in Northern Ireland</t>
  </si>
  <si>
    <t>Weber,W.;Author,Addresses;Chi Health Creighton University,Medical Center;Correspondence,Address;Health Creighton University Medical Center United States,W.Weber, C.H.I.</t>
  </si>
  <si>
    <t>Association report</t>
  </si>
  <si>
    <t>radiopharmaceutical agent;sodium glucose cotransporter 2 inhibitor;pharmacist;achievement;addiction;article;awards and prizes;brainstorming;chronic pain;diabetes mellitus;empowerment;human;inappropriate prescribing;leadership;medical education;medical profession;medical society;medication therapy management;pain;palliative therapy;patient care;patient safety;pharmacist attitude;pharmacy student;policy;practice guideline;skill;workshop;Public Health, Social Medicine and Epidemiology (17);Drug Literature Index (37)</t>
  </si>
  <si>
    <t>As I think back to the issues facing pharmacy when I was a student pharmacist, I am reminded of challenges with unstandardized prescription drug cards. As a profession, we rallied together and made an impact. Today, we are embarking on a much bigger challenge of obtaining provider status. Once again, we have rallied together to write letters, talk to our members of Congress, share our patient care stories, and support the APhA PAC. We are committed to making a difference in the lives of our patients. This is by far the most ambitious goal I have seen within our profession. It is a goal that has united our profession, a goal that is definitely within reach, a goal that we will see accomplished. I am proud of the work we have done as a profession, and I look forward to an exciting year ahead.</t>
  </si>
  <si>
    <t>(Weber W.) American Pharmacists Association, InfoCenter@aphanet.org; ID: 775</t>
  </si>
  <si>
    <t>1544-3450 (electronic) 1544-3191</t>
  </si>
  <si>
    <t>20160246877 FULL TEXT LINK http://dx.doi.org/10.1016/j.japh.2016.02.005</t>
  </si>
  <si>
    <t>Weddington,W. W.</t>
  </si>
  <si>
    <t>Cocaine. Diagnosis and treatment</t>
  </si>
  <si>
    <t>Psychiatric Clinics of North America</t>
  </si>
  <si>
    <t>Psychiatr.Clin.North Am.</t>
  </si>
  <si>
    <t>Cocaine/ae Adverse Effects];Cocaine/po Poisoning];*Cocaine;Female;Humans;Substance-Related Disorders/co Complications];*Substance-Related Disorders/di Diagnosis];*Substance-Related Disorders/th Therapy];I5Y540LHVR (Cocaine)</t>
  </si>
  <si>
    <t>Significant advances in our understanding the phenomenology of cocaine addiction have occurred in the past 12 years such that we now recognize addiction to cocaine as a major public health problem. We now can diagnose cocaine addiction more accurately. Furthermore, cocaine addiction has stimulated creation and testing of novel treatment efforts because standard addiction treatment, although efficacious, is not as effective for cocaine addiction as compared with other addictions. Much remains to be learned. We need to clarify symptoms and syndromes associated with cocaine addiction to more precisely delineate true "comorbidity." Special attention is needed to understand the course and response to treatment in women addicted to cocaine. Also, work is needed to clarify the interaction of HIV, cocaine, and pharmacotherapy used to treat HIV. Regarding treatment, effort is needed to better understand the interactions among educational, group, cognitive-behavioral, and pharmacologic interventions. Specific attention is needed regarding use of 12-step recovery programs adapted for cocaine addicts with comorbid psychiatric disorders, such as schizophrenia, mood, and anxiety disorders. Finally, we need to better understand ways of attracting and holding cocaine addicts in treatment earlier in the course of their disorder. To that end, "nontraditional" interventions, such as acupuncture, deserve systematic examination as alternative methods of recruitment and intervention for certain populations of cocaine addicts. References: 32]</t>
  </si>
  <si>
    <t>J2: Psychiatr Clin North Am; Weddington, W W; ID: 650</t>
  </si>
  <si>
    <t>0193-953X</t>
  </si>
  <si>
    <t>Weddington,W W. Department of Psychiatry, Veterans Affairs Medical Center, Philadelphia, Pennsylvania.</t>
  </si>
  <si>
    <t>http://ovidsp.ovid.com/ovidweb.cgi?T=JS&amp;CSC=Y&amp;NEWS=N&amp;PAGE=fulltext&amp;D=med3&amp;AN=8456049</t>
  </si>
  <si>
    <t>MEDLINE; Ovid Technologies; Cocaine. Diagnosis and treatment</t>
  </si>
  <si>
    <t>Weidmann,A. E.;Pammett,R.;Landry,E.;Jorgenson,D.;Author,Addresses;School of,Pharmacy;Life;Sciences,Robert Gordon University Aberdeen United Kingdom;University of,British Columbia;The,College of;Nutrition,University;of Saskatchewan,Saskatoon Canada;Correspondence,Address;AE Weidmann,School,of Pharmacy;Life Sciences,Robert Gordon;University,Aberdeen United Kingdom</t>
  </si>
  <si>
    <t>Interprofessional student-run primary health care clinics: Implications for pharmacy education in Scotland</t>
  </si>
  <si>
    <t>education;health center;pharmacy student;primary health care;adult;article;body weight management;cross-sectional study;drug misuse;experiential learning;female;health care delivery;health service;human;male;medical examination;patient care;public relations;questionnaire;smoking cessation;United Kingdom;Public Health, Social Medicine and Epidemiology (17);Health Policy, Economics and Management (36)</t>
  </si>
  <si>
    <t>(Weidmann A.E., a.e.weidmann@rgu.ac.uk) (Pammett R.) (Landry E.; Jorgenson D.) Canadian Pharmacists Association, 1785 Alta Vista Drive, Ottawa, Canada.; ID: 852</t>
  </si>
  <si>
    <t>1913-701X (electronic) 1715-1635</t>
  </si>
  <si>
    <t>2015105026 FULL TEXT LINK http://dx.doi.org/10.1177/1715163515578124</t>
  </si>
  <si>
    <t>Weiland,A.;Wrobel,M.;McEvoy,A.;Author,Addresses;Middleport Family,Health;Center,United States;State University of New York, Buffalo,United States;Correspondence,Address;Weiland, Middleport Family Health Center United States Email,A.;aweiland87@gmail.com</t>
  </si>
  <si>
    <t>Perceptions of New York pharmacists toward the modernization of the state prescription drug monitoring program</t>
  </si>
  <si>
    <t>e50</t>
  </si>
  <si>
    <t>(MAJOR FOCUS);prescription drug;controlled substance;hydrocodone;drug surveillance program;human;pharmacist;United States;alumnus;drug monitoring;e-mail;information processing;pharmacy;register;school;substance abuse</t>
  </si>
  <si>
    <t>Objective: The primary objective of this study is to assess pharmacists' perceptions of a real-time prescription drug monitoring registry and its effects on overprescribing and controlled substance abuse in New York State. Secondary objectives include assessing pharmacists' willingness and perceived barriers to using the system and their opinions on the reclassification of hydrocodone as a Schedule II controlled substance. Methods: This survey will begin by contacting the six fully accredited schools of pharmacy within New York State to obtain a list of e-mail addresses of alumni. This list will be used for a recruitment e-mail to be sent inviting participants to complete a 15-question anonymous electronic survey. The survey will be checked for clarity by a focus group of out-of-state pharmacists and will be adjusted based on input. SurveyMonkey will be used to distribute, collect, and analyze survey responses. Participants will use a Likerttype scale to answer the questions where 1 is Œì√á¬£strongly disagreeŒì√á¬• and 7 is Œì√á¬£strongly agree.Œì√á¬• Questions to be answered in the survey are based on knowledge of the changes being made in the prescription drug monitoring program, the changes that will occur in their practice, and the overall effectiveness of the changes.</t>
  </si>
  <si>
    <t>(Weiland A., aweiland87@gmail.com; McEvoy A.) (Wrobel M.) APhA2013 Los Angeles, CA, United States 2013-03-01 to 2013-03-04 American Pharmacists Association; ID: 1067</t>
  </si>
  <si>
    <t>Weinstein,B.;Toce,P.;Katz,D.;Ryan,L. L.</t>
  </si>
  <si>
    <t>Peer education of pharmacists and supplying pharmacies with IDU packets to increase injection drug users' access to sterile syringes in Connecticut</t>
  </si>
  <si>
    <t>S146</t>
  </si>
  <si>
    <t>*Acquired Immunodeficiency Syndrome/pc Prevention &amp; Control];Acquired Immunodeficiency Syndrome/tm Transmission];Attitude of Health Personnel;Connecticut;Costs and Cost Analysis;*Education, Continuing;*Education, Pharmacy;Humans;Needle-Exchange Programs;Pharmacists;Sterilization;*Substance Abuse, Intravenous;Surveys and Questionnaires;Syringes/ec Economics];Syringes/sd Supply &amp; Distribution];*Syringes;Urban Population</t>
  </si>
  <si>
    <t>J2: J Acquir Immune Defic Syndr Hum Retrovirol; Weinstein, B Toce, P Katz, D Ryan, L L; ID: 588</t>
  </si>
  <si>
    <t>http://ovidsp.ovid.com/ovidweb.cgi?T=JS&amp;CSC=Y&amp;NEWS=N&amp;PAGE=fulltext&amp;D=med4&amp;AN=9663643</t>
  </si>
  <si>
    <t>MEDLINE; Ovid Technologies; Peer education of pharmacists and supplying pharmacies with IDU packets to increase injection drug users' access to sterile syringes in Connecticut</t>
  </si>
  <si>
    <t>Weisman,T.</t>
  </si>
  <si>
    <t>A student-initiated curricular option in behavioral pharmacology</t>
  </si>
  <si>
    <t>Alcoholism;*Curriculum;*Education, Medical;Humans;Ohio;*Psychopharmacology/ed Education];*Students, Medical;Substance-Related Disorders</t>
  </si>
  <si>
    <t>J2: J Med Educ; Weisman, T; ID: 738</t>
  </si>
  <si>
    <t>http://ovidsp.ovid.com/ovidweb.cgi?T=JS&amp;CSC=Y&amp;NEWS=N&amp;PAGE=fulltext&amp;D=med1&amp;AN=5166967</t>
  </si>
  <si>
    <t>MEDLINE; Ovid Technologies; A student-initiated curricular option in behavioral pharmacology</t>
  </si>
  <si>
    <t>Wells,K.;Brodell,R. T.</t>
  </si>
  <si>
    <t>Topical corticosteroid 'addiction'. A cause of perioral dermatitis</t>
  </si>
  <si>
    <t>Administration, Topical;*Adrenal Cortex Hormones/ae Adverse Effects];Adrenal Cortex Hormones/tu Therapeutic Use];Adult;*Drug Eruptions/et Etiology];Drug Eruptions/pa Pathology];Drug Eruptions/th Therapy];Female;Humans;*Rosacea/ci Chemically Induced];Rosacea/pa Pathology];Rosacea/th Therapy];Skin/pa Pathology];Substance Withdrawal Syndrome/th Therapy];*Substance Withdrawal Syndrome;0 (Adrenal Cortex Hormones)</t>
  </si>
  <si>
    <t>Acne rosacea, perioral dermatitis, and telangiectasia are all local side effects that can flare up when potent topical corticosteroids used on the face are withdrawn. The two cases of perioral dermatitis described here illustrate the nature of the addictive cycle caused by long-term use of these agents. To prevent side effects of topical corticosteroids used on the face, physicians need to avoid long-term prescriptions and shun superpotent agents entirely for this area. Pharmacists should not refill topical corticosteroid prescriptions without authorization. Patient education must emphasize the transient nature of flare-ups of itching and rash that occur when these agents are withdrawn. Systemic and topical antibiotics and corticosteroid-free antipruritics are the mainstays of therapy.</t>
  </si>
  <si>
    <t>J2: Postgrad Med; Wells, K Brodell, R T; ID: 648</t>
  </si>
  <si>
    <t>http://ovidsp.ovid.com/ovidweb.cgi?T=JS&amp;CSC=Y&amp;NEWS=N&amp;PAGE=fulltext&amp;D=med3&amp;AN=8460079</t>
  </si>
  <si>
    <t>MEDLINE; Ovid Technologies; Topical corticosteroid 'addiction'. A cause of perioral dermatitis</t>
  </si>
  <si>
    <t>Wenthur,C. J.;Cross,B. S.;Vernon,V. P.;Shelly,J. L.;Harth,B. N.;Lienhoop,A. D.;Madison,N. R.;Murawski,M. M.</t>
  </si>
  <si>
    <t>Opinions and experiences of Indiana pharmacists and student pharmacists: the need for addiction and substance abuse education in the United States</t>
  </si>
  <si>
    <t>Research In Social &amp; Administrative Pharmacy</t>
  </si>
  <si>
    <t>Attitude of Health Personnel;Curriculum;*Education, Pharmacy/og Organization &amp; Administration];Humans;Indiana;Pharmacists/og Organization &amp; Administration];*Pharmacists/px Psychology];Professional Role;*Students, Pharmacy/px Psychology];*Substance-Related Disorders;Surveys and Questionnaires;United States</t>
  </si>
  <si>
    <t>BACKGROUND: Substance abuse and addiction are growing public health problems. Pharmacists are potentially in a position to be of great assistance in ameliorating these threats yet might not be receiving the education and training to do so effectively. OBJECTIVE: To assess the relative perceived importance of substance abuse topics in pharmacy education among student pharmacists and pharmacy practitioners in the state of Indiana. METHODS: Questionnaires were administered in class to students at Purdue University College of Pharmacy and via direct mail to the home addresses of randomly selected licensed Indiana pharmacists in 2009 to elicit information on the relevance and interest for particular topics within addiction education, prior education received regarding addiction, and the frequency of professional interactions that involved addiction. RESULTS: Three hundred fifty students (74%) and 625 pharmacists (26%) responded to the survey. The average interest across all surveyed topics was 3.18/4.00 for students and 3.47/4.00 for practitioners. Areas rated highly by both groups included withdrawal, pain management, and recognition of signs and symptoms of addiction in patients. Qualitative responses from practitioners suggest strong interest in further education in this area and a perceived need for increased educational exposure during the student pharmacist experience. The average pharmacist respondent spent 6.94% of the time dealing with people who were addicted, and 22.2% had independent addiction education. CONCLUSIONS: Pharmacists and pharmacy student respondents overwhelmingly felt that educational preparation in this area is important. A significant portion of time in practice is spent managing addiction-related issues, and further educational opportunities are being pursued beyond graduation to fulfill the educational needs of the practitioner respondents.Copyright ‚î¨‚åê 2013 Elsevier Inc. All rights reserved.</t>
  </si>
  <si>
    <t>J2: Res Social Adm Pharm; Wenthur, Cody J Cross, Bethany S Vernon, Veronica P Shelly, Jamie L Harth, Brielle N Lienhoop, Adam D Madison, Nicholas R Murawski, Matthew M S1551-7411(12)00036-8; ID: 159</t>
  </si>
  <si>
    <t>1934-8150</t>
  </si>
  <si>
    <t>Wenthur,Cody J. Department of Pharmacology, Vanderbilt University School of Medicine, Nashville, TN, USA.</t>
  </si>
  <si>
    <t>http://ovidsp.ovid.com/ovidweb.cgi?T=JS&amp;CSC=Y&amp;NEWS=N&amp;PAGE=fulltext&amp;D=medl&amp;AN=22695219</t>
  </si>
  <si>
    <t>http://dx.doi.org/10.1016/j.sapharm.2012.03.003</t>
  </si>
  <si>
    <t>MEDLINE; Ovid Technologies; Opinions and experiences of Indiana pharmacists and student pharmacists: the need for addiction and substance abuse education in the United States</t>
  </si>
  <si>
    <t>Westerlund,L. T.;Bjork,H. T.</t>
  </si>
  <si>
    <t>Pharmaceutical care in community pharmacies: practice and research in Sweden</t>
  </si>
  <si>
    <t>Delivery of Health Care;Drug Prescriptions;Humans;*Pharmaceutical Services/td Trends];*Pharmacies/td Trends];Pharmacists;Professional Practice;Research;Self Medication;Sweden</t>
  </si>
  <si>
    <t>OBJECTIVE: To describe the organization and delivery of community pharmacy and medical care, as well as pharmaceutical care practice and research, in Sweden. FINDINGS: The Swedish retail pharmacy system of 800 community pharmacies and nearly 80 hospital pharmacies is unique in that it is organized into one single, government-owned chain, known as Apoteket AB. The pharmacy staff consists of pharmacists, prescriptionists, and pharmacy technicians. Some activities related to pharmaceutical care have been directed toward specific patient groups during annual theme campaigns. In the past few years, there has been a growing emphasis on the identification, resolution, and documentation of drug-related problems (DRPs) in Swedish pharmacy practice. A classification system for documenting DRPs and pharmacy interventions was developed in 1995 and incorporated into the software of all community pharmacies in 2001. A national DRP database (SWE-DRP) was established in 2004 to collect and analyze DRPs and interventions on a nationwide basis. Recently, a new counseling technique composed of key questions to facilitate the detection of DRPs has been tested successfully. Patient medication profiles are kept in 160 pharmacies, and a new national register of drugs dispensed to patients became available in 2006. Most pharmaceutical care studies in Sweden have focused on DRPs and resulting pharmacy interventions. DISCUSSION: Swedish community pharmacy DRP work is in the international forefront but there is a potential for further developing cognitive services, given the beneficial organization of the country's pharmacies into one single pharmacy chain. The introduction of patient medication profiles has been both late and slow and has only had a marginal effect on pharmaceutical care practice so far. The universities do not appear to have any desire to influence the practice of pharmacy and could potentially take on a more active role in preparing pharmacy students for patient-oriented services. Current threats to pharmaceutical care practice and research include organizational changes, budget cuts, and reduced manpower of Apoteket AB. CONCLUSIONS: The identification, resolution, and documentation of DRPs are central to community pharmacy practice in Sweden, resulting in a number of research studies. A national DRP database, patient medication profiles, and a new national register of drugs dispensed to patients provide opportunities for growth in pharmaceutical care practice and research in the country. References: 55]</t>
  </si>
  <si>
    <t>J2: Ann Pharmacother; Westerlund, Lo Tommy Bjork, H Thony; ID: 427</t>
  </si>
  <si>
    <t>Westerlund,Lo Tommy. Apoteket AB, Helsingborg and Stockholm, Sweden. tommy.westerlund@apoteket.se</t>
  </si>
  <si>
    <t>http://ovidsp.ovid.com/ovidweb.cgi?T=JS&amp;CSC=Y&amp;NEWS=N&amp;PAGE=fulltext&amp;D=med5&amp;AN=16735653</t>
  </si>
  <si>
    <t>MEDLINE; Ovid Technologies; Pharmaceutical care in community pharmacies: practice and research in Sweden</t>
  </si>
  <si>
    <t>Westerlund,T.;Almarsdottir,A. B.;Melander,A.</t>
  </si>
  <si>
    <t>Factors influencing the detection rate of drug-related problems in community pharmacy</t>
  </si>
  <si>
    <t>*Drug-Related Side Effects and Adverse Reactions;Education, Pharmacy;Models, Theoretical;*Pharmacies;Pharmacists' Aides;Regression Analysis</t>
  </si>
  <si>
    <t>This study analyzes relationships between the number of drug-related problems detected in community pharmacy practice and the educational level and other characteristics of pharmacy personnel and their work sites. Random samples of pharmacists, prescriptionists and pharmacy technicians were drawn nationwide in Sweden. One hundred and forty-four (63%) of those meeting the inclusion criteria agreed to take part. The participants documented medication-related problems, interventions and patient variables on a data collection form. The drug-related problems were weighted by the number of patients served by each professional. The regression analysis showed the educational level of the professional to have a statistically significant effect on the detection rate, with pharmacists finding on average 2.5 more drug-related problems per 100 patients than prescriptionists and about 3.6 more than technicians. Previous participation in a study or activity on drug-related problems and the size of the pharmacy also had statistically significant effects on the problem detection rate. The use of open-ended questions to create a dialogue with the patient seemed to be a successful means to discover problems. The results of this study indicate the importance of education and training of pharmacy personnel in detection of drug-related problems. This findings speaks in favor of increasing the pharmacist to other personnel ratio, provided the higher costs will be offset by societal benefits.</t>
  </si>
  <si>
    <t>J2: Pharm World Sci; Westerlund, T Almarsdottir, A B Melander, A; ID: 559</t>
  </si>
  <si>
    <t>Westerlund,T. Apoteket Bjornen, Helsingborg, Sweden, Royal Danish School of Pharmacy, Department of Social Pharmacy, Copenhagen O, Denmark.</t>
  </si>
  <si>
    <t>http://ovidsp.ovid.com/ovidweb.cgi?T=JS&amp;CSC=Y&amp;NEWS=N&amp;PAGE=fulltext&amp;D=med4&amp;AN=10658231</t>
  </si>
  <si>
    <t>MEDLINE; Ovid Technologies; Factors influencing the detection rate of drug-related problems in community pharmacy</t>
  </si>
  <si>
    <t>Westmaas,J. L.;Brandon,T. H.</t>
  </si>
  <si>
    <t>Reducing risk in smokers</t>
  </si>
  <si>
    <t>Current opinion in pulmonary medicine</t>
  </si>
  <si>
    <t>Curr.Opin.Pulm.Med.</t>
  </si>
  <si>
    <t>Bupropion/tu Therapeutic Use];Chewing Gum;Counseling/mt Methods];Dopamine Uptake Inhibitors/tu Therapeutic Use];Humans;Lung Neoplasms/et Etiology];*Lung Neoplasms/pc Prevention &amp; Control];Nicotine/ad Administration &amp; Dosage];Nicotine/tu Therapeutic Use];Risk Reduction Behavior;*Smoking/ae Adverse Effects];Smoking Cessation/mt Methods];*Smoking Cessation;*Tobacco Use Disorder/th Therapy];0 (Chewing Gum);0 (Dopamine Uptake Inhibitors);01ZG3TPX31 (Bupropion);6M3C89ZY6R (Nicotine)</t>
  </si>
  <si>
    <t>PURPOSE OF REVIEW: Tobacco smoking is a leading cause of lung cancer and chronic obstructive pulmonary disease. For smokers who want to quit, nicotine replacement therapy and bupropion are frequently recommended. Currently, disagreement surrounds the extent of risk reduction from quitting, the consequences of the change of nicotine replacement therapy to over-the-counter status, and the safety and efficacy of new tobacco products being marketed by tobacco companies. This article reviews the current evidence relevant to these and other developments in smoking interventions and describes the most effective strategies that smokers can use to reduce their risk. RECENT FINDINGS: Although it may take approximately 10 to 30 years of abstinence for former smokers' risk of lung cancer to reach that of never smokers, quitting at any time is substantially less risky than continuing to smoke. Quitting after diagnosis also prolongs survival. Bupropion and nicotine replacement therapy are effective pharmacotherapies, doubling quit rates compared with self-quitting. However, many users of over-the-counter nicotine replacement therapy are using it inappropriately. More research is needed to determine the long-term health effects of modified tobacco products and their efficacy in helping smokers quit. Switching to "low tar" filter cigarettes to reduce lung cancer risk, however, is clearly ineffective. The most effective interventions for quitting continue to be a combination of behavioral and pharmacologic approaches. SUMMARY: Health care practitioners should encourage all smokers to attempt cessation and emphasize pharmacotherapy as an important aid to quitting. Professionals who educate patients on the appropriate use of pharmacotherapy and follow-up on smokers' attempts to quit will help reduce the societal burden and personal risks of smoking. References: 54]</t>
  </si>
  <si>
    <t>J2: Curr Opin Pulm Med; Westmaas, J Lee Brandon, Thomas H; ID: 460</t>
  </si>
  <si>
    <t>1070-5287</t>
  </si>
  <si>
    <t>Westmaas,J Lee. Department of Psychology, University at Stony Brook, State University of New York, Stony Brook, New York 11794-2500, USA. Johann.Westmaas@sunysb.edu</t>
  </si>
  <si>
    <t>http://ovidsp.ovid.com/ovidweb.cgi?T=JS&amp;CSC=Y&amp;NEWS=N&amp;PAGE=fulltext&amp;D=med5&amp;AN=15220753</t>
  </si>
  <si>
    <t>MEDLINE; Ovid Technologies; Reducing risk in smokers</t>
  </si>
  <si>
    <t>Weston,C. G.;Author,Addresses;Department of Psychiatry, Wright State Univ,School Medicine;Dayton,O. H. U.;Correspondence,Address;CG Weston, Department of Psychiatry Wright State Univ,School Medicine;Dayton,O. H. U.</t>
  </si>
  <si>
    <t>Attention-deficit/hyperactivity disorder in children: Assessment, management, and outcome</t>
  </si>
  <si>
    <t>Journal of Clinical Outcomes Management</t>
  </si>
  <si>
    <t>amfebutamone (adverse drug reaction, clinical trial, drug combination, drug;comparison, drug dose, drug therapy, pharmacology);amphetamine;antidepressant agent (adverse drug reaction, clinical trial, drug;combination, drug comparison, drug dose, drug therapy, pharmacology);atomoxetine (adverse drug reaction, drug comparison, drug dose, drug;therapy, pharmacology);central stimulant agent (adverse drug reaction, clinical trial, drug;desipramine (adverse drug reaction, drug therapy);dexamphetamine (drug dose, drug therapy, pharmacology);dexmethylphenidate (drug dose, drug therapy, pharmacology);imipramine (drug comparison, drug therapy);methylphenidate;methylphenidate (clinical trial, drug comparison, drug dose, drug therapy,;pharmacology);noradrenalin uptake inhibitor (adverse drug reaction, drug comparison, drug;dose, drug therapy, pharmacology);nortriptyline (drug comparison, drug therapy);pemoline (adverse drug reaction, drug therapy);pemoline magnesium;placebo;tricyclic antidepressant agent (adverse drug reaction, drug comparison, drug;unclassified drug;attention deficit disorder (diagnosis, drug therapy, etiology, therapy);abdominal pain (side effect);academic achievement;anorexia (side effect);attention;behavior therapy;case report;clinical feature;clinical trial;depression (side effect);diagnostic procedure;disease exacerbation (side effect);drug fatality (side effect);family therapy;gastrointestinal symptom (side effect);growth inhibition;headache (side effect);human;hyperactivity;hypertension (side effect);impulsiveness;insomnia (side effect);job performance;liver failure (side effect);male;medical literature;mental instability (side effect);nervousness;patient education;physician;primary medical care;psychopharmacotherapy;qualitative analysis;review;school;school child;sedation;side effect (side effect);social interaction;spansule;substance abuse;suicide (side effect);symptomatology;task performance;tic (side effect);treatment outcome;weight reduction;DRUG TRADE NAMES;adderall xr;adderall;concerta;cylert;dexedrine;dextrostat;focalin;metadate cd;metadate er;methylin er;methylin;ritalin la;ritalin sr;ritalin;strattera;wellbutrin sr;wellbutrin xl;wellbutrin;amfebutamone (31677-93-7, 34911-55-2);amphetamine (1200-47-1, 139-10-6, 156-34-3, 2706-50-5, 300-62-9, 51-62-7,;60-13-9, 60-15-1);atomoxetine (82248-59-7, 82857-39-4, 82857-40-7, 83015-26-3);desipramine (50-47-5, 58-28-6);dexamphetamine (1462-73-3, 51-63-8, 51-64-9);dexmethylphenidate (19262-68-1);imipramine (113-52-0, 50-49-7);methylphenidate (113-45-1, 298-59-9);nortriptyline (72-69-5, 894-71-3);pemoline (2152-34-3);pemoline magnesium (18968-99-5);Clinical and Experimental Pharmacology (30);Psychiatry (32);Drug Literature Index (37);Adverse Reactions Titles (38)</t>
  </si>
  <si>
    <t>Œì√á√≥ Objective: To review the diagnosis and treatment of attention-deficit/hyperactivity disorder (ADHD) in children. Œì√á√≥ Methods: Qualitative assessment of the literature. Œì√á√≥ Results: ADHD in children is characterized by difficulty with attention to complex tasks, hyperactivity, and impulsivity. These symptoms result in impaired academic, occupational, and social functioning. Information from the child's school is required to make the diagnosis. Treatment modalities include patient and family education, pharmacologic therapy, and behavioral therapy. Œì√á√≥ Conclusion: It is important for primary care physicians to identify patients with ADHD and ensure that they receive effective treatment.</t>
  </si>
  <si>
    <t>(Weston C.G.) Turner White Communications Inc., 125 Strafford Avenue, Suite 220, Wayne, United States.; ID: 1572</t>
  </si>
  <si>
    <t>1079-6533</t>
  </si>
  <si>
    <t>Weyandt,L. L.;Oster,D. R.;Marraccini,M. E.;Gudmundsdottir,B. G.;Munro,B. A.;Zavras,B. M.;Kuhar,B.</t>
  </si>
  <si>
    <t>PMC4164338; Pharmacological interventions for adolescents and adults with ADHD: stimulant and nonstimulant medications and misuse of prescription stimulants</t>
  </si>
  <si>
    <t>Psychology Research &amp; Behavior Management</t>
  </si>
  <si>
    <t>Attention-deficit/hyperactivity disorder (ADHD) is a neurodevelopmental disorder characterized by symptoms of inattention, hyperactivity, and impulsivity that cause functional impairment. Recent research indicates that symptoms persist into adulthood in the majority of cases, with prevalence estimates of approximately 5% in the school age population and 2.5%-4% in the adult population. Although students with ADHD are at greater risk for academic underachievement and psychosocial problems, increasing numbers of students with ADHD are graduating from high school and pursuing higher education. Stimulant medications are considered the first line of pharmacotherapy for individuals with ADHD, including college students. Although preliminary evidence indicates that prescription stimulants are safe and effective for college students with ADHD when used as prescribed, very few controlled studies have been conducted concerning the efficacy of prescription stimulants with college students. In addition, misuse of prescription stimulants has become a serious problem on college campuses across the US and has been recently documented in other countries as well. The purpose of the present systematic review was to investigate the efficacy of prescription stimulants for adolescents and young adults with ADHD and the nonmedical use and misuse of prescription stimulants. Results revealed that both prostimulant and stimulant medications, including lisdexamfetamine dimesylate, methylphenidate, amphetamines, and mixed-amphetamine salts, are effective at reducing ADHD symptoms in adolescents and adults with ADHD. Findings also suggest that individuals with ADHD may have higher rates of stimulant misuse than individuals without the disorder, and characteristics such as sex, race, use of illicit drugs, and academic performance are associated with misuse of stimulant medications. Results also indicate that individuals both with and without ADHD are more likely to misuse short-acting agents than long-acting agents. These findings have implications for intervention, prevention, and future research.</t>
  </si>
  <si>
    <t>J2: Psychol; Weyandt, Lisa L Oster, Danielle R Marraccini, Marisa E Gudmundsdottir, Bergljot Gyda Munro, Bailey A Zavras, Brynheld Martinez Kuhar, Ben; ID: 84</t>
  </si>
  <si>
    <t>1179-1578</t>
  </si>
  <si>
    <t>Weyandt,Lisa L. Department of Psychology, University of Rhode Island, Kingston, RI, USA. Oster,Danielle R. Department of Psychology, University of Rhode Island, Kingston, RI, USA. Marraccini,Marisa E. Department of Psychology, University of Rhode Island, Kingston, RI, USA. Gudmundsdottir,Bergljot Gyda. Department of Psychology, University of Rhode Island, Kingston, RI, USA. Munro,Bailey A. Department of Psychology, University of Rhode Island, Kingston, RI, USA. Zavras,Brynheld Martinez. Department of Psychology, University of Rhode Island, Kingston, RI, USA. Kuhar,Ben. Department of Psychology, University of Rhode Island, Kingston, RI, USA.</t>
  </si>
  <si>
    <t>http://ovidsp.ovid.com/ovidweb.cgi?T=JS&amp;CSC=Y&amp;NEWS=N&amp;PAGE=fulltext&amp;D=prem&amp;AN=25228824</t>
  </si>
  <si>
    <t>http://dx.doi.org/10.2147/PRBM.S47013</t>
  </si>
  <si>
    <t>MEDLINE; Ovid Technologies; Pharmacological interventions for adolescents and adults with ADHD: stimulant and nonstimulant medications and misuse of prescription stimulants</t>
  </si>
  <si>
    <t>Whalen,C. K.;Jamner,L. D.;Henker,B.;Gehricke,J. G.;King,P. S.</t>
  </si>
  <si>
    <t>Is there a link between adolescent cigarette smoking and pharmacotherapy for ADHD?</t>
  </si>
  <si>
    <t>Psychology of Addictive Behaviors</t>
  </si>
  <si>
    <t>Adolescent;*Attention Deficit Disorder with Hyperactivity/dt Drug Therapy];Attention Deficit Disorder with Hyperactivity/px Psychology];Central Nervous System Stimulants/tu Therapeutic Use];Humans;Longitudinal Studies;Male;Medical Records;Self Medication;*Smoking/ep Epidemiology];Smoking/px Psychology];Students;0 (Central Nervous System Stimulants)</t>
  </si>
  <si>
    <t>There is continuing concern that pharmacotherapy for attention-deficit/hyperactivity disorder (ADHD) may raise the risk of smoking (the gateway hypothesis). Alternatively, unmedicated people with ADHD may use nicotine to improve attentional and self-regulatory competence (the self-medication hypothesis). From a community sample of 511 adolescents participating in a longitudinal health study, 27 were identified as having ADHD, and 11 of these were receiving pharmacotherapy. Self-report surveys, electronic diaries, and salivary cotinine all indicated that adolescents treated with pharmacotherapy for ADHD smoked less than their untreated counterparts over 2 years of high school. These convergent findings from 3 disparate indicators lend support to the self-medication hypothesis over the gateway hypothesis, although alternative explanations need further study. The findings also suggest that early treatment of psychological and behavioral problems may prevent or delay smoking initiation.</t>
  </si>
  <si>
    <t>J2: Psychol Addict Behav; Whalen, Carol K Jamner, Larry D Henker, Barbara Gehricke, Jena-Guido King, Pamela S P50 DA13332 (United States NIDA NIH HHS) R01 CA80301 (United States NCI NIH HHS); ID: 486</t>
  </si>
  <si>
    <t>0893-164X</t>
  </si>
  <si>
    <t>Whalen,Carol K. Department of Psychology and Social Behavior, University of California, Irvine, CA, USA. ckwhalen@uci.edu</t>
  </si>
  <si>
    <t>http://ovidsp.ovid.com/ovidweb.cgi?T=JS&amp;CSC=Y&amp;NEWS=N&amp;PAGE=fulltext&amp;D=med4&amp;AN=14640830</t>
  </si>
  <si>
    <t>MEDLINE; Ovid Technologies; Is there a link between adolescent cigarette smoking and pharmacotherapy for ADHD?</t>
  </si>
  <si>
    <t>Whetsel,T.;Vinh,D.;Carbonara,G.;Author,Addresses;West,Virginia;University,School of Pharmacy United States;Correspondence,Address;Whetsel, West Virginia University School of Pharmacy United States,T.;Email,twhetsel hsc wvu edu</t>
  </si>
  <si>
    <t>Novel approach to implementing MTM services in a free clinic</t>
  </si>
  <si>
    <t>hospital;documentation;drug interaction;drug therapy;electronic medical record;health care;human;lowest income group;medication therapy management;patient;patient counseling;pharmacist;prescription;primary medical care;school;student;therapy</t>
  </si>
  <si>
    <t>Objective: To implement and evaluate a medication therapy management (MTM) service in a free clinic using third-year (P3) student pharmacists and practice faculty preceptors. Methods: The site is a primary care clinic providing health care at no cost to uninsured, low-income patients. In 2009, there were more than 21,000 patient encounters and more than 54,000 prescriptions dispensed at the clinic. Because of the lack of MTM services available, the clinic partnered with the pharmacy school to develop and implement a MTM program. P3 students receive patient profiles 1 week before the patient visit. They perform a comprehensive medication review and identify patient counseling points. The students present their patient to the faculty preceptor before the patient appointment. During the patient visit, the students review each medication with the patient, address patient concerns, and complete a written medication record and medication action plan. Documentation is placed in the patient's electronic medical record. Initial evaluation of the service will include the following variables: number of patients scheduled for a MTM visit, number of patients keeping their appointment, number and type of drug-related problems identified, and types of interventions made. Results: Approximately 60 patients will be scheduled for a MTM visit over the next 5 months. Seven patients have been scheduled for appointments to date; two patients kept their appointment. Sixteen drug-related problems were identified: eight medications without indications, three patients nonadherent to therapy, three inappropriate therapies, one drug interaction, and one duplicate therapy. Providers were notified of drug-related problems through the patient's electronic medical record. Strategies to improve patient attendance at scheduled appointments will be implemented.</t>
  </si>
  <si>
    <t>(Whetsel T., twhetsel@hsc.wvu.edu; Vinh D.; Carbonara G.) APhA2011 Seattle, WA, United States 2010-03-25 to 2010-03-28 American Pharmacists Association; ID: 1308</t>
  </si>
  <si>
    <t>White,C. E.</t>
  </si>
  <si>
    <t>The Virginia program to help impaired pharmacy students</t>
  </si>
  <si>
    <t>Humans;*Students, Pharmacy;*Substance-Related Disorders/rh Rehabilitation];Virginia</t>
  </si>
  <si>
    <t>J2: Am Pharm; White, C E; ID: 705</t>
  </si>
  <si>
    <t>http://ovidsp.ovid.com/ovidweb.cgi?T=JS&amp;CSC=Y&amp;NEWS=N&amp;PAGE=fulltext&amp;D=med2&amp;AN=4025141</t>
  </si>
  <si>
    <t>MEDLINE; Ovid Technologies; The Virginia program to help impaired pharmacy students</t>
  </si>
  <si>
    <t>White,S.;Fletcher,K.;Author,Addresses;Lackland Air,Force Base;Brooke Army,Medical Center;Correspondence,Address;White, Lackland Air Force Base United States Email,S.;shaun.white.2@us.af.mil</t>
  </si>
  <si>
    <t>Pioneering approach to supporting national medication take-back programs at the military treatment facility</t>
  </si>
  <si>
    <t>army;drug therapy;pharmacy;clinical pharmacy;community;counseling;government;human;law enforcement;patient;population;prescription;safety;screening;solid;substance abuse</t>
  </si>
  <si>
    <t>Objective: To serve as a benchmark in supplementing medication take-back programs in the military treatment facility (MTF) and provide baseline information for comparison with future programs that encourage the judicious use and proper disposal of medications while discouraging diversion. Methods: Clinical pharmacy representatives partnered with the Drug Enforcement Administration (DEA), local law enforcement, and the Army Substance Abuse Program (ASAP) to support the collection of unused medications. The clinical pharmacy representative functioned to advise, educate, and promote awareness of safety benefits involved with the proper disposal of excess medications. Accepting, handling, and disposing of medications was overseen by DEA, local law enforcement, and ASAP. The MTF provided two medication drop-off points where beneficiaries could anonymously turn in prescription medicines. Law enforcement, ASAP, and clinical pharmacy representatives were available at each site for a total of 8 hours. Sites accepted solid oral dosage formulations but could not accept injectables. Results: Screening revealed that many patients are confused about how to approach disposal of drugs and, as a result, hold on to undesired medications. Disposal centers are apparently lacking in many communities. The program allowed for counseling to increase awareness in 35 people who turned in medications. Approximately 450 unneeded prescriptions were dropped off, weighing more than 120 pounds. This effort translated into safer homes and communities, in addition to betterinformed military and civilian populations. Conclusion: There is a demand for information and resources to orchestrate the proper disposal of unwanted medications; however, this demand is unmet in many communities. Providing support for drug take-back programs can serve as a resource to provide proper disposal of medications and to demystify what patients can do with unneeded medications to promote safety.</t>
  </si>
  <si>
    <t>(White S., shaun.white.2@us.af.mil) (Fletcher K.) Joint Forces Pharmacy Seminar, JFPS 2011 Dallas, TX, United States 2011-10-30 to 2011-11-03 American Pharmacists Association; ID: 1241</t>
  </si>
  <si>
    <t>Whittaker,C.;Author,Addresses;Correspondence,Address;Whittaker,C.</t>
  </si>
  <si>
    <t>36+55</t>
  </si>
  <si>
    <t>(MAJOR FOCUS);nicotine (adverse drug reaction, drug therapy, sublingual drug;administration);nicotine gum (drug concentration, drug therapy, transdermal drug;nicotine patch (adverse drug reaction, drug therapy);quit;unclassified drug;tobacco dependence (drug therapy, drug therapy, therapy);dizziness (side effect);drug blood level;drug induced headache (side effect);drug withdrawal;eye irritation (side effect);gastrointestinal symptom (side effect);human;law;nicotine replacement therapy;nose irritation (side effect);recommended drug dose;review;risk factor;skin irritation (side effect);smoking;smoking cessation;South Africa;throat irritation (side effect);DRUG TRADE NAMES;nicorette;nicotine (54-11-5);nicotine gum (96055-45-7);Drug Literature Index (37);Adverse Reactions Titles (38);Drug Dependence, Alcohol Abuse and Alcoholism (40)</t>
  </si>
  <si>
    <t>Smoking is a global epidemic. Every eight seconds a person dies of tobacco-related disease, and almost as quickly another smoker is recruited. Encouragingly, South Africa is at the forefront of legislation to control tobacco use and in this article we review the recent changes in our Tobacco Control Products Act. In addition to legislation, we as pharmacists need to educate people about the dangers of smoking and need to offer help to those who want to quit. We can provide encouragement; give practical tips and make recommendations regarding nicotine replacement therapy.</t>
  </si>
  <si>
    <t>(Whittaker C.) Medpharm Publications, PO Box 14804, Lyttelton, Gauteng, South Africa.; ID: 1350</t>
  </si>
  <si>
    <t>Wilborn,C.;Perry,P.;Popish,S.;Chou,T.;Author,Addresses;Touro University,California;College,of Pharmacy;Correspondence,Address;Wilborn, Touro University California College of Pharmacy United States,C.</t>
  </si>
  <si>
    <t>Assessment of prophylactic clozapine levels in stable outpatients with schizophrenia and schizoaffective disorder</t>
  </si>
  <si>
    <t>(MAJOR FOCUS);clozapine;cytochrome;cytochrome P450;college;human;outpatient;pharmacist;schizoaffective psychosis;schizophrenia;agranulocytosis;analysis of variance;blood level;Brief Psychiatric Rating Scale;chi square test;correlation coefficient;diagnosis;drug therapy;ethnicity;health care;health care cost;hospitalization;mental health;metabolic disorder;metabolism;patient;patient coding;plasma;population;psychological rating scale;seizure;side effect;smoking;substance abuse;therapy;toxicity;treatment failure;weight;weight gain</t>
  </si>
  <si>
    <t>Background: While schizophrenia affects an estimated 1% of the population, its treatment consumes approximately 2.5% of annual health care expenditures. Hospitalization of schizophrenic patients is often due to ineffectiveness of or noncompliance with pharmacological treatment. Clozapine is generally considered the most effective antipsychotic medication, but its use is limited due to the potential for serious side effects such as agranulocytosis, weight gain, seizures, and metabolic disturbances. The metabolism of clozapine is affected by individual patient factors, including ethnicity, smoking, and concomitant medications that induce or inhibit cytochrome P450 1A2. Widely variable plasma clozapine concentrations may lead to treatment failure or toxicity. These complications may be avoided if validated clozapine plasma concentrations were established and implemented in the stable outpatient population. This study will compare clozapine blood levels attained in a stable, outpatient population to individual response measured by a validated psychiatric rating scale. Objectives: (1) Examine the clozapine doses and blood levels attained from stable outpatients with schizophrenia or schizoaffective disorder, and (2) Evaluate the correlation between these levels and Brief Psychiatric Rating Scale (BPRS) scores. Methods: Participants will be recruited from a private psychiatric practice in Sacramento, CA, and the Marin County Mental Health system in Marin County, CA. Subjects will be eligible if they have a diagnosis of schizophrenia or schizoaffective disorder and are currently taking clozapine. Patients must have been on a stable dose of clozapine for at least 10 days. Patient data collected will include age, sex, race, weight, smoking status, substance abuse history, comorbidities, and medication profile. The BPRS will be used to assess patient response to clozapine therapy. For objective 1: A chi-square test will be used to compare categorical variables. An ANOVA will be used for categorical comparisons of normally distributed continuous variables. For objective 2: A correlation coefficient will be used to compare 2 sets of continuous variables. Outcomes: We will report average clozapine dose and clozapine blood levels. These will be related to BPRS scores and patient demographics in order to provide a therapeutic range of clozapine plasma levels in stable outpatients.</t>
  </si>
  <si>
    <t>(Wilborn C.; Perry P.; Popish S.; Chou T.) 14th Annual Meeting of the College of Psychiatric and Neurologic Pharmacists, CPNP 2011 Phoenix, AZ, United States 2011-05-01 to 2011-05-04 Sage Publications; ID: 1282</t>
  </si>
  <si>
    <t>Wilbur,Kerry</t>
  </si>
  <si>
    <t>Pharmacy student perceptions of public health service roles and responsibilities</t>
  </si>
  <si>
    <t>Students, Pharmacy;Student Attitudes -- Evaluation;Health Promotion;Professional Role;Public Health;Disease -- Prevention and Control;Human;Accountability;Qatar;Questionnaires;Breast Neoplasms -- Prevention and Control;Diabetes Mellitus -- Prevention and Control;Smoking -- Prevention and Control;Alcohol Abuse -- Prevention and Control;Asthma -- Prevention and Control;Cardiovascular Diseases -- Prevention and Control</t>
  </si>
  <si>
    <t>Entry Date: 20111106. Revision Date: 20150711. Publication Type: Journal Article; research; tables/charts. Journal Subset: Biomedical; Europe; Peer Reviewed; UK &amp; Ireland.; ID: 1994</t>
  </si>
  <si>
    <t>College of Pharmacy, Qatar University, Doha, Qatar</t>
  </si>
  <si>
    <t>http://proxy.lib.umich.edu/login?url=http://search.ebscohost.com/login.aspx?direct=true&amp;db=ccm&amp;AN=104702876&amp;site=ehost-live&amp;scope=site</t>
  </si>
  <si>
    <t>10.1111/j.2042-7174.2011.00115.x</t>
  </si>
  <si>
    <t>ccm; EBSCOhost; Pharmacy student perceptions of public health service roles and responsibilities</t>
  </si>
  <si>
    <t>Wilens,T. E.;Author,Addresses;Department,of Psychiatry;Medical School,Boston,M.A.United States;Substance,Abuse Services;Psychopharmacology Res Unit, Massachusetts General Hospital,Boston M.;United,States;Pediat,Psychopharmacology Res;Massachusetts General Hospital, Harvard Medical School,Parkman St;Boston,M. A. U.;Correspondence,Address;TE Wilens, Pediat Psychopharmacology Res Unit,Massachusetts General;Hospital,Harvard Medical School Parkman St Boston M.A.United;States Email,TWilens,partners org</t>
  </si>
  <si>
    <t>Attention-deficit/hyperactivity disorder and the substance use disorders: The nature of the relationship, who is at risk, and treatment issues</t>
  </si>
  <si>
    <t>(MAJOR FOCUS);methylphenidate (adverse drug reaction, clinical trial, drug dose, drug;therapy, pharmacokinetics, pharmacology);3,4 methylenedioxymethamphetamine (drug toxicity);amfebutamone (drug therapy);atomoxetine (drug therapy);cocaine (drug toxicity);long acting drug (adverse drug reaction, pharmacokinetics, pharmacology);oros mph;tricyclic antidepressant agent (drug therapy);venlafaxine (drug therapy);attention deficit disorder (drug therapy, epidemiology);substance abuse;clinical trial;controlled clinical trial;controlled study;disease association;dissociative disorder;drug dependence (side effect);education;euphoria;human;longitudinal study;major clinical study;meta analysis;prospective study;retrospective study;review;risk assessment;risk factor;social psychology;systematic review;withdrawal syndrome (drug therapy, side effect);DRUG TRADE NAMES;3,4 methylenedioxymethamphetamine (42542-10-9);amfebutamone (31677-93-7, 34911-55-2);atomoxetine (82248-59-7, 82857-39-4, 82857-40-7, 83015-26-3);cocaine (50-36-2, 53-21-4, 5937-29-1);methylphenidate (113-45-1, 298-59-9);venlafaxine (93413-69-5);Psychiatry (32);Drug Literature Index (37);Adverse Reactions Titles (38);Drug Dependence, Alcohol Abuse and Alcoholism (40)</t>
  </si>
  <si>
    <t>There is much interest in the overlap between attention-deficit/ hyperactivity disorder (ADHD) and substance use disorders (SUD). Various studies have shown that ADHD is a risk factor for the development of SUD in adulthood and that approximately one fifth of adults with SUD have ADHD. The reason for this association is unclear. One suggestion is that stimulant therapy for ADHD may at least contribute to the increased risk of SUD in individuals with ADHD. This belief has, however, been disproved in a meta-analysis of five prospective longitudinal studies and one retrospective study of subjects with ADHD, which found that the risk of SUD was significantly reduced in subjects receiving stimulant therapy compared to unmedicated subjects. Management of adults with ADHD and comorbid SUD should be multimodal, involving education, psychosocial therapy, and pharmacotherapy. While education and psychosocial therapy can reduce craving and help patients live with the symptoms of ADHD, pharmacotherapy is required to bring the core symptoms of ADHD under control. The use of long-acting stimulants, such as OROS methylphenidate (MPH), is particularly appropriate in such patients since their long duration of action means that medication can be kept at home, thus reducing opportunities for diversion. In addition, attempts at intranasal abuse of OROS MPH have been reported to fail, suggesting that the formulation of MPH in the tablet is not accessible for abuse. Nonstimulants, such as bupropion, venlafaxine, and atomoxetine, are alternative anti-ADHD therapies for patients who do not respond to stimulants; they may also reduce craving.</t>
  </si>
  <si>
    <t>(Wilens T.E., TWilens@partners.org) MBL Communications, 333 Hudson St. 7th Floor, New York, United States.; ID: 1564</t>
  </si>
  <si>
    <t>Wilhelmsen,L.</t>
  </si>
  <si>
    <t>Antismoking counselling: methods of helping hypertensive patients to stop smoking</t>
  </si>
  <si>
    <t>Journal of Hypertension - Supplement</t>
  </si>
  <si>
    <t>S25</t>
  </si>
  <si>
    <t>*Counseling/mt Methods];Cues;Humans;Hypertension/co Complications];*Hypertension/px Psychology];Motivation;Patient Education as Topic;Physician's Role;Reinforcement (Psychology);Risk Factors;Smoking/ep Epidemiology];*Smoking/pc Prevention &amp; Control];Smoking/px Psychology];Social Behavior</t>
  </si>
  <si>
    <t>The factors that promote smoking are social, psychological and pharmacological. Social factors are by far the most important when young people are learning to smoke and remain important in maintaining the habit. Psychological factors include a series of reinforcements of the smoking habit during the day. Nicotine plays a crucial role in smoking. Smoking is particularly addictive because it delivers nicotine to the brain in rapid peaks at each puff. Since smoking is a major risk factor for cardiovascular disease, the importance of the physician in counselling patients against smoking cannot be overstated. If a hypertensive patient who smokes is not advised to stop smoking by his physician, the patient may wrongly assume that smoking is of minor importance in his case. Motivating the patient is a prerequisite for curing the smoking habit. The ideal is that the patient stops smoking completely at a determined point in time. For the strongly nicotine-dependent smoker it may be useful to substitute the nicotine from cigarettes with, for example, nicotine chewing gum, in order to reduce the strength of the nicotine withdrawal reaction at a time when the psychosocial withdrawal reaction is most prominent. However, the ultimate aim is to reach a completely nicotine-free status. Physicians are advised to learn as much as possible about the factors that promote smoking in order to support their patients in their attempts to stop smoking.</t>
  </si>
  <si>
    <t>J2: J Hypertens Suppl; Wilhelmsen, L; ID: 672</t>
  </si>
  <si>
    <t>0952-1178</t>
  </si>
  <si>
    <t>Wilhelmsen,L. Department of Medicine, Gothenburg University, Ostra Hospital, Sweden.</t>
  </si>
  <si>
    <t>http://ovidsp.ovid.com/ovidweb.cgi?T=JS&amp;CSC=Y&amp;NEWS=N&amp;PAGE=fulltext&amp;D=med3&amp;AN=2286854</t>
  </si>
  <si>
    <t>MEDLINE; Ovid Technologies; Antismoking counselling: methods of helping hypertensive patients to stop smoking</t>
  </si>
  <si>
    <t>Willey,H.;Eastwood,B.;Gee,I. L.;Marsden,J.</t>
  </si>
  <si>
    <t>Is treatment for alcohol use disorder associated with reductions in criminal offending? A national data linkage cohort study in England</t>
  </si>
  <si>
    <t>BACKGROUND: This is the first English national study of change in criminal offending following treatment for alcohol use disorder (AUD). METHODS: All adults treated for AUD by all publicly funded treatment services during April 2008-March 2009 (n=53,017), with data linked to the Police National Computer (April 2006-November 2011). Pre-treatment offender sub-populations were identified by Latent Profile Analysis. The outcome measure was the count of recordable criminal offences during two-year follow-up after admission. A mixed-effects, Poisson regression modelled outcome, adjusting for demographics and clinical information, the latent classes, and treatment exposure covariates. RESULTS: Twenty-two percent of the cohort committed one or more offences in the two years pre-treatment (n=11,742; crude rate, 221.5 offenders per 1000). During follow-up, the number of offenders and offences fell by 23.5% and 24.0%, respectively (crude rate, 69.4 offenders per 1000). During follow-up, a lower number of offences was associated with: completing treatment (adjusted incident rate ratio IRR] 0.82; 95% confidence interval CI] 0.79-0.85); receiving inpatient detoxification (IRR 0.84; CI 0.80-0.89); or community pharmacological therapy (IRR 0.89; CI 0.84-0.96). Reconviction was reduced in the sub-population characterised by driving offences (n=1,140; 11.7%), but was relatively high amongst acquisitive (n=768; 58.3% reconvicted) and violent offending sub-populations (n=602; 77.6% reconvicted). CONCLUSIONS: Reduced offending was associated with successful completion of AUD treatment and receiving inpatient and pharmacological therapy, but not enrolment in psychological and residential interventions. Treatment services (particularly those providing psychological therapy and residential care) should be alert to offending, especially violent and acquisitive crime, and enhance crime reduction interventions.Copyright ‚î¨‚åê 2016 Elsevier Ireland Ltd. All rights reserved.</t>
  </si>
  <si>
    <t>J2: Drug Alcohol Depend; Willey, Helen Eastwood, Brian Gee, Ivan L Marsden, John S0376-8716(16)00048-X; ID: 756</t>
  </si>
  <si>
    <t>Willey,Helen. Alcohol, Drug and Tobacco Division, Health and Wellbeing Directorate, Public Health England, United Kingdom. Eastwood,Brian. Alcohol, Drug and Tobacco Division, Health and Wellbeing Directorate, Public Health England, United Kingdom; Institute of Psychiatry, Psychology and Neuroscience, King's College London,United Kingdom. Gee,Ivan L. Centre for Public Health, Liverpool John Moores University, United Kingdom. Marsden,John. Alcohol, Drug and Tobacco Division, Health and Wellbeing Directorate, Public Health England, United Kingdom; Institute of Psychiatry, Psychology and Neuroscience, King's College London,United Kingdom. Electronic address: john.marsden@kcl.ac.uk.</t>
  </si>
  <si>
    <t>http://ovidsp.ovid.com/ovidweb.cgi?T=JS&amp;CSC=Y&amp;NEWS=N&amp;PAGE=fulltext&amp;D=prem&amp;AN=26861884</t>
  </si>
  <si>
    <t>http://dx.doi.org/10.1016/j.drugalcdep.2016.01.020</t>
  </si>
  <si>
    <t>MEDLINE; Ovid Technologies; Is treatment for alcohol use disorder associated with reductions in criminal offending? A national data linkage cohort study in England</t>
  </si>
  <si>
    <t>Willey,J.W.,,II</t>
  </si>
  <si>
    <t>In my experience. Insulin as an anabolic aid? A danger for strength athletes</t>
  </si>
  <si>
    <t>Physician &amp; Sportsmedicine</t>
  </si>
  <si>
    <t>138 5p</t>
  </si>
  <si>
    <t>Doping in Sports;Insulin;Athletes;Substance Abuse;Insulin -- Adverse Effects;Hypoglycemia;Education, Continuing (Credit)</t>
  </si>
  <si>
    <t>A young, nondiabetic weight lifter became pale, diaphoretic, and markedly distressed while dining out; intuition and quick action may have saved his life. His case illustrates the perils of taking insulin for anabolic purposes. Physicians must learn to question patients about nutritional and pharmacologic supplement use to help them avoid the dangers not typically addressed in the popular fitness and alternative medicine literature.</t>
  </si>
  <si>
    <t>Entry Date: 19981101. Revision Date: 20150820. Publication Type: Journal Article; CEU; exam questions; tables/charts. Journal Subset: Allied Health; Peer Reviewed; USA. NLM UID: 0427461.; ID: 1918</t>
  </si>
  <si>
    <t>0091-3847</t>
  </si>
  <si>
    <t>Mayo Clinic, Scottsdale, Arizona</t>
  </si>
  <si>
    <t>http://proxy.lib.umich.edu/login?url=http://search.ebscohost.com/login.aspx?direct=true&amp;db=ccm&amp;AN=107296347&amp;site=ehost-live&amp;scope=site</t>
  </si>
  <si>
    <t>ccm; EBSCOhost; In my experience. Insulin as an anabolic aid? A danger for strength athletes</t>
  </si>
  <si>
    <t>Williams,A. M.;Dopheide,J. A.</t>
  </si>
  <si>
    <t>PMC4374824; Nonpsychiatric medication interventions initiated by a postgraduate year 2 psychiatric pharmacy resident in a patient-centered medical home</t>
  </si>
  <si>
    <t>The Primary Care Companion to CNS Disorders</t>
  </si>
  <si>
    <t>OBJECTIVE: Studies have demonstrated the benefits of incorporating comprehensive medication management into primary care, but no study describes the types of nonpsychiatric medication-related interventions provided by a psychiatric pharmacist while providing comprehensive medication management. METHOD: A chart review of Center for Community Health patients enrolled in the University of Southern California Psychiatric Pharmacy Clinic, Los Angeles, between July 1, 2013, and January 10, 2014, was conducted. Progress notes were reviewed to collect medication recommendations and interventions. The number and types of interventions were compared between groups based on substance abuse history, comorbid medical conditions, number of psychiatric diagnoses, and number of medications. An anonymous survey was distributed to primary care providers (PCPs) regarding perceptions and attitudes toward a postgraduate year 2 psychiatric pharmacy resident's interventions pertaining to nonpsychiatric medications. RESULTS: 177 nonpsychiatric medication interventions were documented. Fifty interventions required PCP approval, and 45% of those were accepted. Having a diagnosis of diabetes (P  9 medications (P  5 medical diagnoses (P &lt; .0001) were all associated with an increased mean number of interventions. Of the PCPs, 66% viewed the psychiatric pharmacist as a resource for addressing medical interventions by providing drug information. The PCPs were agreeable to having a psychiatric pharmacist provide drug information and monitor the patient but reported mixed opinions on whether a psychiatric pharmacist should comanage nonpsychiatric conditions. CONCLUSIONS: Psychiatric pharmacists can successfully collaborate with PCPs in primary care clinics to provide comprehensive medication management that optimizes pharmacotherapy for patients with medical and psychiatric conditions. Continued efforts are needed to promote interdisciplinary approaches to provide comprehensive medication management services for patients with both psychiatric and medical disorders.</t>
  </si>
  <si>
    <t>J2: Prim Care Companion CNS Disord; Williams, Andrew M Dopheide, Julie A Using Smart Source Parsing; ID: 52</t>
  </si>
  <si>
    <t>2155-7772</t>
  </si>
  <si>
    <t>Williams,Andrew M. University of Southern California School of Pharmacy, Los Angeles (both authors); and University of Southern California Keck School of Medicine, Los Angeles (Dr Dopheide). Dopheide,Julie A. University of Southern California School of Pharmacy, Los Angeles (both authors); and University of Southern California Keck School of Medicine, Los Angeles (Dr Dopheide).</t>
  </si>
  <si>
    <t>http://ovidsp.ovid.com/ovidweb.cgi?T=JS&amp;CSC=Y&amp;NEWS=N&amp;PAGE=fulltext&amp;D=prem&amp;AN=25834765</t>
  </si>
  <si>
    <t>http://dx.doi.org/10.4088/PCC.14m01680</t>
  </si>
  <si>
    <t>MEDLINE; Ovid Technologies; Nonpsychiatric medication interventions initiated by a postgraduate year 2 psychiatric pharmacy resident in a patient-centered medical home</t>
  </si>
  <si>
    <t>Williams,B.;Betley,C.;Author,Addresses;Div of General Medicine, Dept,of Internal;Medicine,Michigan University Medical Center E.Medical Center Dr;Ann Arbor,M.I.United States;Correspondence,Address;Williams, Div of General Medicine Dept of Internal Medicine Michigan,B.;University Medical Center, E Medical Center Dr Ann,Arbor M.;States,United</t>
  </si>
  <si>
    <t>7730533; Inappropriate use of nonpsychotropic medications in nursing homes</t>
  </si>
  <si>
    <t>(MAJOR FOCUS);amitriptyline;dipyridamole;methyldopa;chlorpropamide;cimetidine;cyclandelate;hydrochlorothiazide;isoxsuprine;ranitidine;reserpine;drug misuse (epidemiology);nursing home;adult;aged;article;combination chemotherapy;female;high risk patient;human;major clinical study;male;prediction;screening;United States;amitriptyline (50-48-6, 549-18-8);chlorpropamide (94-20-2);cimetidine (51481-61-9, 70059-30-2);cyclandelate (456-59-7);dipyridamole (58-32-2);hydrochlorothiazide (58-93-5);isoxsuprine (395-28-8, 579-56-6);methyldopa (555-29-3, 555-30-6);ranitidine (66357-35-5, 66357-59-3);reserpine (50-55-5, 8001-95-4);Gerontology and Geriatrics (20);Drug Literature Index (37)</t>
  </si>
  <si>
    <t>OBJECTIVES: To determine the prevalence and patient-specific predictors of the use of 10 presumptively inappropriate medications used to treat medical conditions among nursing home residents, and to use this information to examine alternative screening strategies using computerized assessment data to identify residents who are at high risk of receiving inappropriate medications. DESIGN: Retrospective, cross-sectional study. PATIENTS: All persons residing in all 252 nursing homes in two states during the last 6 months of 1991 (N = 21,884). MEASUREMENTS: Data were from Minimum Data Set Plus (MDS+) assessments, gathered as part of the Health Care Financing Administration (HCFA) Multistate Nursing Home Casemix and Quality Demonstration Project. The MDS+ is an expanded version of the federally mandated Minimum Data Set (MDS) that includes additional information on medications and their doses and schedules (frequency, standing vs prn). The reliability of the MDS has been demonstrated previously. Medications were defined as inappropriate using explicit criteria from published literature. Outcome measures were the standing use of each or any of 10 presumptively inappropriate medications used to treat medical (rather than psychiatric or behavioral) conditions. Potential predictors of inappropriate medication use included patient demographic characteristics, payer, a proxy measure for length of stay and admission source, functional status, number of standing medications, and state. MAIN RESULTS: A total of 12% of residents were prescribed one or more of 10 presumptively inappropriate meditations on a standing basis, a figure that differed substantially between states (14.0% vs 7.4% (P  65 years, never having been married, severe functional limitations, being a long-stay patient, and medical diagnosis) did not substantially improve the overall predictive ability of the model. CONCLUSIONS: A substantial proportion of nursing home residents receives presumptively inappropriate medications to treat medical conditions. Selecting persons prescribed large numbers of medications for further review may be the most efficient method for nursing home or pharmacy personnel to identify residents at high risk of receiving inappropriate medications. Extensive additional information on residents' characteristics, although widely available through the Minimum Data Set, does not significantly improve the ability to identify residents receiving inappropriate medications for medical conditions. State-specific policies or provider practices also influence the likelihood of presumptively inappropriate medication use among nursing home residents and deserve further investigation.</t>
  </si>
  <si>
    <t>(Williams B.; Betley C.) Blackwell Publishing Inc., 350 Main Street, Malden, United States.; ID: 1694</t>
  </si>
  <si>
    <t>http://www.ncbi.nlm.nih.gov/pubmed/7730533</t>
  </si>
  <si>
    <t>Inappropriate use of nonpsychotropic medications in nursing homes</t>
  </si>
  <si>
    <t>Williams,D. M.</t>
  </si>
  <si>
    <t>Preparing pharmacy students and pharmacists to provide tobacco cessation counselling</t>
  </si>
  <si>
    <t>Adult;*Counseling/ed Education];Counseling/mt Methods];Female;Humans;Patient Education as Topic/mt Methods];*Pharmacists/px Psychology];Professional-Patient Relations;*Students, Pharmacy/px Psychology];Tobacco Use Cessation/mt Methods];*Tobacco Use Cessation/px Psychology];Tobacco Use Disorder/di Diagnosis];*Tobacco Use Disorder/px Psychology];Tobacco Use Disorder/th Therapy]</t>
  </si>
  <si>
    <t>ISSUES: Tobacco use and abuse is a major health risk for people across the world and is responsible for nearly 500 000 deaths in the USA annually. Currently, the accepted role of pharmacists is the provision of pharmaceutical care, which includes health promotion and prevention of disease. Pharmacists should work collaboratively with other health-care professionals to provide tobacco-cessation counselling to smokers. APPROACH: Recently, in the USA, a curriculum has been developed by faculty at a school of pharmacy and distributed to pharmacy schools across the nation in a train-the-trainer format. This curriculum has been implemented in varying degrees in schools across the USA. In addition, there are national efforts to increase the involvement of practising pharmacists in promoting tobacco cessation by offering comprehensive programs or by increasing awareness and referrals. KEY FINDINGS: The acceptance of the Rx for Change programs by schools of pharmacy has been high and the education and skills are being taught to most current pharmacy graduates. There is an increased emphasis on the role of pharmacists to assist in meeting national health goals including reducing tobacco-related risks. IMPLICATIONS: Numerous opportunities exist for pharmacists to provide tobacco cessation counselling. Barriers to implementation of programs include lack of confidence by pharmacists and a perceived lack of demand by patients. CONCLUSION: The consequences of tobacco use are well known. Pharmacists should enhance their involvement in health promotion and disease prevention and actively develop tobacco cessation counselling programs using available resources for the benefit of their patients. References: 26]</t>
  </si>
  <si>
    <t>J2: Drug Alcohol Rev; Williams, Dennis M; ID: 304</t>
  </si>
  <si>
    <t>Williams,Dennis M. Division of Pharmacotherapy and Experimental Therapeutics, University of North Carolina Eshelman School of Pharmacy, Chapel Hill, NC 27599, USA. dwilliams@unc.edu</t>
  </si>
  <si>
    <t>http://ovidsp.ovid.com/ovidweb.cgi?T=JS&amp;CSC=Y&amp;NEWS=N&amp;PAGE=fulltext&amp;D=med5&amp;AN=19737211</t>
  </si>
  <si>
    <t>http://dx.doi.org/10.1111/j.1465-3362.2009.00109.x</t>
  </si>
  <si>
    <t>MEDLINE; Ovid Technologies; Preparing pharmacy students and pharmacists to provide tobacco cessation counselling</t>
  </si>
  <si>
    <t>Williams,M.;Peterson,G. M.;Tenni,P. C.;Bindoff,I. K.</t>
  </si>
  <si>
    <t>A clinical knowledge measurement tool to assess the ability of community pharmacists to detect drug-related problems</t>
  </si>
  <si>
    <t>Australia;*Clinical Competence;*Community Pharmacy Services/st Standards];Data Collection;Drug-Related Side Effects and Adverse Reactions;Female;*Health Knowledge, Attitudes, Practice;Humans;Male;Pharmaceutical Preparations/ad Administration &amp; Dosage];*Pharmacists/st Standards];Pilot Projects;Schools, Pharmacy;Students, Pharmacy;0 (Pharmaceutical Preparations)</t>
  </si>
  <si>
    <t>INTRODUCTION: Drug-related problems (DRPs) are associated with significant morbidity and mortality, with most DRPs thought to be preventable. Community pharmacists can detect and either prevent or resolve many of these DRPs. A survey-based clinical knowledge measurement tool was designed and validated to estimate a community pharmacist's clinical knowledge and ability to detect and appropriately resolve DRPs. METHODS: Nine clinical cases with seven multiple-choice statements (63 statements in total) were constructed, based on scenarios that were found to occur frequently in Australian community pharmacies. The statements aimed to assess a pharmacist's ability to identify, gather relevant information about and make appropriate recommendations to resolve, a DRP. The survey was pilot tested with 18 academics at three Australian pharmacy schools, resulting in the removal of 23 statements. The survey was then administered to undergraduate pharmacy students (28 fourth-year, 41 third-year and 42 first-year students) and to 433 Australian community pharmacists who were participating in an intervention documentation trial. The pharmacists' resultant survey scores were correlated against their actual rate of documenting clinical interventions. RESULTS: The tool had relatively good internal consistency. Significant differences were seen between the three groups of students (P &lt; 0.01). Community pharmacists with additional clinical qualifications had a significantly higher score than other participating pharmacists (P &lt; 0.01). A moderate, but significant, correlation was seen between the pharmacists' survey score and their clinical intervention rate in practice during the trial (P &lt; 0.01). CONCLUSION: The clinical knowledge measurement tool appeared to estimate a pharmacist's ability to detect and resolve DRPs within the community pharmacy environment.Copyright ‚î¨‚åê 2012 The Authors. IJPP ‚î¨‚åê 2012 Royal Pharmaceutical Society.</t>
  </si>
  <si>
    <t>J2: Int J Pharm Pract; Williams, Mackenzie Peterson, Gregory M Tenni, Peter C Bindoff, Ivan K; ID: 186</t>
  </si>
  <si>
    <t>Williams,Mackenzie. School of Pharmacy, University of Tasmania, Hobart, Tasmania, Australia. Mackenzie.Williams@utas.edu.au</t>
  </si>
  <si>
    <t>http://ovidsp.ovid.com/ovidweb.cgi?T=JS&amp;CSC=Y&amp;NEWS=N&amp;PAGE=fulltext&amp;D=medl&amp;AN=22775520</t>
  </si>
  <si>
    <t>http://dx.doi.org/10.1111/j.2042-7174.2012.00188.x</t>
  </si>
  <si>
    <t>MEDLINE; Ovid Technologies; A clinical knowledge measurement tool to assess the ability of community pharmacists to detect drug-related problems</t>
  </si>
  <si>
    <t>Williams,M.;Peterson,G. M.;Tenni,P. C.;Bindoff,I. K.;Stafford,A. C.</t>
  </si>
  <si>
    <t>DOCUMENT: a system for classifying drug-related problems in community pharmacy</t>
  </si>
  <si>
    <t>Australia;*Clinical Pharmacy Information Systems;*Community Pharmacy Services/og Organization &amp; Administration];Documentation;Humans;*Pharmacists/og Organization &amp; Administration];Pilot Projects;Practice Patterns, Physicians'/sn Statistics &amp; Numerical Data];Prescription Drugs/ad Administration &amp; Dosage];*Prescription Drugs/ae Adverse Effects];0 (Prescription Drugs)</t>
  </si>
  <si>
    <t>BACKGROUND: Drug-related problems (DRPs) are a major burden on the Australian healthcare system. Community pharmacists are in an ideal position to detect, prevent, and resolve these DRPs. Objective To develop and validate an easy-to-use documentation system for pharmacists to classify and record DRPs, and to investigate the nature and frequency of clinical interventions undertaken by Australian community pharmacists to prevent or resolve them. Setting Australian community pharmacies. METHOD: The DOCUMENT classification system was developed, validated and refined during two pilot studies. The system was then incorporated into software installed in 185 Australian pharmacies to record DRPs and clinical interventions undertaken by pharmacists during a 12-week trial. MAIN OUTCOME MEASURE: The number and nature of DRPs detected within Australian community pharmacies. RESULTS: A total of 5,948 DRPs and clinical interventions were documented from 2,013,923 prescriptions dispensed during the trial (intervention frequency 0.3%). Interventions were commonly related to Drug selection problems (30.7%) or Educational issues (23.7%). Pharmacists made an average of 1.6 recommendations per intervention, commonly relating to A change in therapy (40.1%) and Provision of information (34.7%). Almost half of interventions (42.6%) were classified by recording pharmacists as being at a higher level of clinical significance. CONCLUSION: The DOCUMENT system provided pharmacists with a useful and easy-to-use tool for recording DRPs and clinical interventions. Results from the trial have provided a better understanding of the frequency and nature of clinical interventions performed in Australian community pharmacies, and lead to a national implementation of the system.</t>
  </si>
  <si>
    <t>J2: Int J Clin Pharm; Williams, Mackenzie Peterson, Gregory M Tenni, Peter C Bindoff, Ivan K Stafford, Andrew C; ID: 220</t>
  </si>
  <si>
    <t>Williams,Mackenzie. School of Pharmacy, University of Tasmania, Private Bag 26, Hobart, TAS, 7001, Australia. Mackenzie.Williams@utas.edu.au</t>
  </si>
  <si>
    <t>http://ovidsp.ovid.com/ovidweb.cgi?T=JS&amp;CSC=Y&amp;NEWS=N&amp;PAGE=fulltext&amp;D=medl&amp;AN=22101425</t>
  </si>
  <si>
    <t>http://dx.doi.org/10.1007/s11096-011-9583-1</t>
  </si>
  <si>
    <t>MEDLINE; Ovid Technologies; DOCUMENT: a system for classifying drug-related problems in community pharmacy</t>
  </si>
  <si>
    <t>Willner,M. A.;Cohen,V.;Lum,D.;Cassera,F.;Caruso,P.;Author,Addresses;Maimonides,Medical;Center,Tenth Ave Brooklyn United States;Correspondence,Address;MA Willner, Maimonides Medical Center Tenth Ave,Brooklyn United;States</t>
  </si>
  <si>
    <t>Pharmacist-led clinician tobacco cessation education and the effects on adherance to joint commission standards</t>
  </si>
  <si>
    <t>education;health care;human;pharmacist;tobacco;United States;chronic disease;computerized provider order entry;counseling;death;drug therapy;evidence based practice;follow up;health;model;nurse practitioner;patient;patient counseling;physician;physician assistant;prescription;public health service;respiratory therapist;screening;smoking;smoking cessation;statistical significance;statistics;Student t test;teaching hospital;tertiary health care;therapy;tobacco dependence</t>
  </si>
  <si>
    <t>Tobacco addiction is a chronic disease that requires multiple interventions and attempts for patients to quit. According to the Public Health Service's Smoking Cessation Guidelines, tobacco use causes 435,000 deaths each year in the United States and is a preventable chronic disease. 1 A recent assessment by the Department of Health evaluating the current tobacco cessation practices at our institution, a 700-bed tertiary care teaching hospital, revealed a gap in care. To close this practice gap, we plan to implement a two-phase pharmacist-led tobacco cessation program. The purpose of this study is to evaluate the effectiveness of the pharmacist-led tobacco cessation program in improving compliance with the current Joint Commission Tobacco Use Standards. The first phase will involve the education of clinicians (i.e. medical residents and attending physicians, nurse practitioners, physician assistants, clinical pharmacists, and respiratory therapists) on the topics of smoking cessation pharmacotherapy, Joint Commission tobacco performance measures, and methods of patient counseling to facilitate quitting attempts. The second phase of the implementation will involve a computerized intervention document and computerized physician order entry screens. The metrics collected regarding use of the intervention document and smoking cessation therapy prescription will be used to assess effectiveness in complying with the following Joint Commission standards: screening for tobacco use, recommendations to quit by a care provider, offering assistance with quitting using smoking cessation therapies, counseling on smoking cessation and pharmacotherapy, and arranging follow-up to assess smoking status 30-days after discharge. This project will address the first phase of the aforementioned tobacco cessation program. The primary study aim is to evaluate the effectiveness of pharmacist-led tobacco cessation education to train clinicians to effectively screen, counsel, and initiate evidence-based tobacco cessation therapy and meet the requirements of the Joint Commission Tobacco Measure Set. To achieve these outcomes, a clinical pharmacist will educate clinician groups and use a pre-test/post-test model to assess their baseline knowledge and knowledge after educational sessions. The projected number of clinicians to be educated is 140. The projected number of patients to be affected by this program through their care providers is 360. The mean pre-test score will be compared to the mean post-test score by independent sample t-test. A P-Value of &lt;0.05 will denote statistical significant difference between the groups. Descriptive statistics will be used to assess the pre-test and post-test responses.</t>
  </si>
  <si>
    <t>(Willner M.A.; Cohen V.; Lum D.; Cassera F.; Caruso P.) 52nd Annual Assembly of the New York State Council of Health-system Pharmacists, NYSCHP 2013 Verona, NY, United States 2013-05-02 to 2013-05-05 SAGE Publications Inc.; ID: 1022</t>
  </si>
  <si>
    <t>Wilson,C.;Canning,P.;Caravati,E. M.</t>
  </si>
  <si>
    <t>The abuse potential of propofol</t>
  </si>
  <si>
    <t>Anesthetics, Intravenous/pk Pharmacokinetics];Anesthetics, Intravenous/pd Pharmacology];*Anesthetics, Intravenous/to Toxicity];Animals;Drug Tolerance;Drug and Narcotic Control;Humans;Propofol/pk Pharmacokinetics];Propofol/pd Pharmacology];*Propofol/to Toxicity];*Substance Abuse, Intravenous/ep Epidemiology];Substance Withdrawal Syndrome/pp Physiopathology];United States;0 (Anesthetics, Intravenous);YI7VU623SF (Propofol)</t>
  </si>
  <si>
    <t>CONTEXT: Propofol is a sedative-hypnotic prescription medication that is widely used in anesthesia, long-term sedation, and conscious sedation. It is short acting, effective, and, when used appropriately, safe. It is not a controlled substance by the U.S. Drug Enforcement Administration, suggesting that it has little potential for abuse. The objective of this review was to evaluate the evidence for the abuse potential of propofol. METHODS: A systematic review of the medical literature was performed using the search terms: propofol, Diprivan, abuse, addiction, tolerance, misuse, and withdrawal. Six online literature citation databases and relevant bibliographies were searched for articles. RESULTS: Seventy-two articles were identified for review and 45 were relevant to the topic. These articles described propofol's biochemical and pharmacokinetic mechanisms of action that lend themselves to its abuse, propofol's physical and psychological effects that make it alluring as a recreational drug, the current evidence supporting the possibility of tolerance to and withdrawal from propofol, the risk involved in recreational propofol use, and the evidence supporting current abuse of this medication. We found evidence to support propofol's abuse potential from a pharmacological and experiential standpoint with multiple reports describing tolerance, dependence, withdrawal phenomena, abuse, and death from recreational use. CONCLUSIONS: Propofol has alluring and addictive properties that lend itself to potential recreational abuse and dependence. We recommend that the U.S. Drug Enforcement Administration and other international agencies should consider regulating propofol as a controlled substance. References: 45]</t>
  </si>
  <si>
    <t>J2: Clin Toxicol (Phila); Wilson, Courtney Canning, Peter Caravati, E Martin; ID: 305</t>
  </si>
  <si>
    <t>Wilson,Courtney. Division of Emergency Medicine, Utah Poison Control Center, University of Utah, Salt Lake City, UT 84108, USA.</t>
  </si>
  <si>
    <t>http://ovidsp.ovid.com/ovidweb.cgi?T=JS&amp;CSC=Y&amp;NEWS=N&amp;PAGE=fulltext&amp;D=med5&amp;AN=20397799</t>
  </si>
  <si>
    <t>http://dx.doi.org/10.3109/15563651003757954</t>
  </si>
  <si>
    <t>MEDLINE; Ovid Technologies; The abuse potential of propofol</t>
  </si>
  <si>
    <t>Winans,E.;Davis,H.;Author,Addresses;University of Missouri,Kansas City;Truman Medical Center,Behavioral Health;Correspondence,Address;Winans, University of Missouri Kansas City United States,E.</t>
  </si>
  <si>
    <t>Psychiatric pharmacist run continuity of care clinic</t>
  </si>
  <si>
    <t>college;hospital;human;patient care;pharmacist;administrative personnel;anxiety disorder;diagnosis;drug therapy;emergency ward;follow up;hospital readmission;mood;patient;pharmacy;prescription;psychiatrist;relapse;risk;substance abuse;symptomatology;therapy</t>
  </si>
  <si>
    <t>Background: Medication nonadherence, intentional or unintentional secondary to lack of medication access, leads to increased risk of worsening symptomatology, rehospitalization and lapses in sobriety. Obtaining refills at the emergency department causes undue financial expenditure. Wait time for psychiatrist appointments may be 6-8 weeks for new patients. Psychiatric pharmacists (PP) can provide timely medication services which may eliminate unintentional nonadherence and engage patients earlier in treatment. Description of Services: A continuity of care clinic (COCC) was established for new patients or existing patients who had been recently hospitalized and required follow-up earlier than their psychiatrist's schedule allowed. A proposal for a PP run COCC was made to the medical director. Two afternoons a week were devoted to the COCC. Referrals were received from intake clinicians who identified patients who were running out of medications. Patients were interviewed and assessed by the PP and treatment recommendations were formulated. Assessments and treatment recommendations were presented to an attending psychiatrist for approval. Prescriptions were written as verbal orders and filled at the clinic pharmacy or telephoned to an outside pharmacy. Impact on Patient Care: From 7/ 2009 to 10/2010, 129 clients were seen, with a total of 142 appointments. The time to COCC appointment was typically 1-2 weeks. Existing patients comprised 58% of the total patients, while 42% were new patients. Primary diagnoses included thought, mood and anxiety disorders. Nearly half had a co-existing substance use disorder. Medication regimens were changed for 45 patients (35%), 27 patients (21%) had medications discontinued and 32 patients (25%) had labs ordered. Eighty-two percent of patients attended their next medication appointment. For non-COCC patients, 2010 second and third quarter appointment show rates were 62% and 53%, respectively. Conclusion: A PP run COCC provides opportunities for direct medication services delivered in a timely manner, reducing reliance on emergency department refills. Psychiatric pharmacists ability to assess, treat and engage patients earlier in the process of establishing care may have led to increased show rates at subsequent psychiatrist evaluations. Further, this type of service helps ensure continued medication therapy, which may increase adherence, and lower the risk of relapse and rehospitalization.</t>
  </si>
  <si>
    <t>(Winans E.; Davis H.) (Winans E.) 15th Annual Meeting of the College of Psychiatric and Neurologic Pharmacists, CPNP 2012 Tampa, FL, United States 2012-04-29 to 2012-05-02 SAGE Publications Inc.; ID: 1153</t>
  </si>
  <si>
    <t>Winey,S.;Noll,C.;Anderson,S.;Chen,A.;Author,Addresses;Cedarville University, School of Pharmacy,United States;Correspondence,Address;Winey, Cedarville University School of Pharmacy United States Email,S.;sarahwiney@cedarville.edu</t>
  </si>
  <si>
    <t>Confidence of student pharmacists in drug abuse training</t>
  </si>
  <si>
    <t>prescription drug;drug abuse;human;pharmacist;student;American;community;exercise;information processing;learning;middle school;pharmacy;prevalence;problem solving;reading;responsibility;Wilcoxon signed ranks test</t>
  </si>
  <si>
    <t>Objective: The goal of this project is to increase student pharmacist confidence in their knowledge of prescription drug abuse consequences and dangers and their confidence in openly discussing the issue of prescription drug abuse. Methods: Team-based learning (TBL) utilizes active learning to promote self-directed, deep learning and enhance adaptability in problem-solving situations. To prepare students to develop and participate in an American Pharmacists Association-Academy of Student Pharmacists GenerationRx program, a TBLbased educational session was created. Prior to the session, student pharmacists completed readings on prescription drug abuse. During the 2-hour session, the students completed an instrument (7-point Likert-type; 19 items) assessing their confidence regarding prescription drug abuse knowledge and communicating with others regarding this issue as well as gathering demographic information (10 items). Afterward, the students participated in an individual readiness assessment (iRAT) to assess what they learned from the reading, a team readiness assessment (tRAT) to allow for deeper learning through group discussions of the iRAT questions, and an application exercise, where they interacted in groups to examine scenarios and identify relevant solutions that may occur in future pharmacy practice. Student pharmacists then developed the GenerationRx presentation, and during October 2014, they will present to local middle schools. In December 2014, the same survey instrument assessing confidence will be administered and pre-post changes in confidence will be analyzed using a Wilcoxon signed-rank test. Results: A total of 39 students (n = 18 pre-pharmacy; n = 21 professional) completed baseline assessment. The median confidence regarding knowledge and communicating with others was somewhat confident (median = 5) or confident (median = 6) for all items. Data collection is ongoing with anticipated completion in December 2014. With the increasing prevalence of prescription drug abuse, pharmacists now have a greater responsibility to reach out to their communities. The results gained from this project will assist in the modification of training exercises and building confidence in student pharmacists to prepare them to engage communities now and in their future practice.</t>
  </si>
  <si>
    <t>(Winey S., sarahwiney@cedarville.edu; Noll C.; Anderson S.; Chen A.) APhA2015 San Diego, CA, United States 2015-03-27 to 2015-03-30 American Pharmacists Association; ID: 838</t>
  </si>
  <si>
    <t>Winistoerfer,N.;Zacher,J.;Garlapati,V.;Author,Addresses;Captain James,A.Lovell Federal;Health Care Center, North Chicago,United States;Correspondence,Address;Lovell Federal Health Care Center North,N.Winistoerfer, Captain James A.;Chicago,United States</t>
  </si>
  <si>
    <t>The impact of initial drug of abuse on long-term abstinence in patients utilizing buprenorphine/ naloxone therapy</t>
  </si>
  <si>
    <t>(MAJOR FOCUS);naloxone;opiate;abstinence;abuse;college;human;patient;pharmacist;therapy;addiction;diagnosis;drug dependence;electronic medical record;food and drug administration;gender;hospitalization;maintenance drug dose;outpatient;parameters;predictive value;prescription;quality of life;statistics;urine;veteran</t>
  </si>
  <si>
    <t>Background: The outpatient treatment of addiction has expanded in recent years with the passing of the Drug Addiction Treatment Act (DATA) 2000, and the approval of buprenorphine/naloxone by the Food and Drug Administration (FDA). Many factors are taken into consideration before a patient and provider decide to begin therapy with buprenorphine/naloxone, none of which have any predictive value in terms of abstinence rates at 12 months. The results of the study could provide important new data for determining which patients would receive the most benefit of therapy with buprenorphine/naloxone, leading to increased treatment, abstinence, and improved quality of life for patients. Objectives: The objective of the study is to determine if there is a correlation between a patient's preferred drug of abuse (either prescription or illicit substances) and the patient's ability of achieving long-term abstinence (greater than 12 months) with buprenorphine/naloxone therapy. The study will also be used to examine whether or not concurrent axis I diagnoses, initial Clinical Opiate Withdrawal Scale (COWS) assessment score, length of addiction and completion of a treatment program have any bearing on the length of sobriety. Methods: The Veteran's Affairs computerized electronic medical record system will be utilized to identify patients who underwent buprenorphine/naloxone therapy from January 1, 2009 to December 31, 2009. The following parameters will be collected: age, gender, drug of abuse (classified as prescription or illicit), initial COWS score, concurrent axis I diagnosis, length of addiction, number of hospitalizations due to opiate use or abuse, maintenance dosage of buprenorphine/naloxone, length of sobriety, and completion of an addiction treatment program. The results of the patient's urine drug screens will also be recorded as a measure of sobriety. Outcomes: Comparisons will be made to determine if the type of drug (illicit or prescription) of abuse has any bearing on the patient's ability to achieve and maintain long-term sobriety. Additional statistics will be utilized to ascertain whether or not concurrent axis I diagnoses, completion of a treatment program, or initial COWS scores have an effect on long-term abstinence.</t>
  </si>
  <si>
    <t>(Winistoerfer N.; Zacher J.; Garlapati V.) 14th Annual Meeting of the College of Psychiatric and Neurologic Pharmacists, CPNP 2011 Phoenix, AZ, United States 2011-05-01 to 2011-05-04 Sage Publications; ID: 1274</t>
  </si>
  <si>
    <t>Winit-Watjana,W.;Greene,R. J.;Author,Addresses;Department,of Pharmacy;London,Manresa Road London S.W.L.X.United Kingdom;Correspondence,Address;Winit-Watjana, Department of Pharmacy King's College London Manresa,W.;Road,London S. W. L. X. United Kingdom</t>
  </si>
  <si>
    <t>Perceptions of United Kingdom pharmacy lecturers about teaching pharmaceutical care</t>
  </si>
  <si>
    <t>medical education;pharmaceutical care;article;clinical pharmacy;clinical practice;computer system;female;human;male;perception;pharmacy;priority journal;questionnaire;teaching;United Kingdom;Public Health, Social Medicine and Epidemiology (17);Health Policy, Economics and Management (36)</t>
  </si>
  <si>
    <t>Pharmaceutical care is now regarded as the primary mission of pharmacy practice. To help ensure that this mission is fulfilled, pharmacy students need the clinical knowledge and skills that underlie pharmaceutical care, and pharmacy academics need to be aware of this concept and its applications. A survey was conducted of British pharmacy lecturers' views on teaching pharmaceutical care. Correlations between lecturers' characteristics (sex, teaching commitment and teaching experience) and the use of computer-aided learning (CAL) in teaching pharmaceutical care were also evaluated. Self-completion questionnaires were sent to 16 heads of departments of pharmacy practice, or their equivalent, for distribution. There was a 40 per cent response rate. Perceptions varied considerably in terms of the definition of pharmaceutical care the difference between clinical pharmacy and pharmaceutical care, the application in practice settings, drug-related problems, knowledge and skills required and the barriers to teaching pharmaceutical care. Lecturers' characteristics were not related to views on either the use of CAL generally or the potential use of CAL in teaching pharmaceutical care. Many respondents agreed that a CAL program could be used to supplement pharmaceutical care teaching. Further studies on pharmaceutical care teaching are suggested.</t>
  </si>
  <si>
    <t>(Winit-Watjana W.; Greene R.J.); ID: 1673</t>
  </si>
  <si>
    <t>Winsauer,P. J.;Moerschbaecher,J. M.;Dufour,J. P.;Author,Addresses;Department,of;Pharmacology,Alcohol Research Center L.S.U.Health Sciences Center;Correspondence,Address;PJ Winsauer, Department of Pharmacology Alcohol Research,Center L.;Health Sciences,Center</t>
  </si>
  <si>
    <t>Effects of chronic ethanol on pregnanolone-induced disruptions in learning in rhesus monkeys</t>
  </si>
  <si>
    <t>218A</t>
  </si>
  <si>
    <t>(MAJOR FOCUS);alcohol;eltanolone;neurosteroid;sucrose;alcoholism;learning;rhesus monkey;society;United States;alcohol blood level;catheter;dose response;infusion;intragastric drug administration;male</t>
  </si>
  <si>
    <t>To examine the chronic effects of alcohol on learning and the underlying pharmacodynamic mechanisms, 2 groups of young male rhesus monkeys trained to respond under a task with acquisition and performance components received 5 hours of ethanol or sucrose 4 consecutive days per week for 12 months via an intragastric catheter. Blood ethanol concentrations averaged 55 mM/L for approximately 4.5 hours of the infusion. All subjects were tested 5 days per week, with 3 days of testing in the absence of ethanol or sucrose administration and 2 days of testing in the presence of their administration. In the absence of ethanol or sucrose administration, little or no disruption in the learning or performance components was observed in either response rate or the percentage of errors (accuracy) compared to pre-chronic baseline of behavior. During ethanol administration, decreases in response rate and accuracy were evident mostly in the acquisition components, whereas during sucrose administration, only response rate was affected. In addition, the disruptions on the initial day of ethanol administration were generally larger than on the second day of ethanol. Cumulative dose-effect curves for the neurosteroid pregnanolone (1.8-10 mg/kg, i.m.) were also determined in each group before and after varying periods of chronic ethanol administration. When cumulative doses of pregnanolone were administered in the absence of ethanol prior to chronic ethanol treatments, dose-dependent decreases in overall response rate and accuracy occurred in both components in all subjects. These same disruptive effects continued to occur with equal potency in both the alcohol- and sucrose-treated groups over time as chronic ethanol administration progressed. These results suggest that chronic ethanol administration, while producing tolerance to the disruptive effects of ethanol on learning, does not necessarily produce tolerance to the disruptive effects of pregnanolone on learning.</t>
  </si>
  <si>
    <t>(Winsauer P.J.; Moerschbaecher J.M.; Dufour J.P.) Texas Research Society On Alcoholism - 19th Annual Scientific Meeting San Antonio, TX, United States 2009-02-20 to 2009-02-20 Blackwell Publishing Ltd; ID: 1431</t>
  </si>
  <si>
    <t>Winslade,N. E.;Bajcar,J. M.;Bombassaro,A. M.;Caravaggio,C. D.;Strong,D. K.;Yamashita,S. K.</t>
  </si>
  <si>
    <t>Pharmacist's management of drug-related problems: a tool for teaching and providing pharmaceutical care</t>
  </si>
  <si>
    <t>*Drug Monitoring/mt Methods];*Education, Pharmacy;Forms and Records Control;Hospitals, Teaching;Humans;Ontario;*Pharmacy Service, Hospital/og Organization &amp; Administration];Records as Topic</t>
  </si>
  <si>
    <t>During the development of education and practice models based on the philosophy of pharmaceutical care (PC), six pharmacists worked with the University of Toronto Faculty of Pharmacy to implement the PC model in their practice sites. These pharmacists found it necessary to modify existing tools to create one that explicitly guided them through the PC process, including the phase of monitoring patients for desired outcomes. This resulted in the development of the Pharmacist's Management of Drug Related Problems. This tool requires pharmacists to collect patient drug and medical data and write responses to specific questions about the data to interpret their significance. As proficiency in providing PC is attained, the questions and space for written responses can be eliminated, leaving a comprehensive documentation system of patient outcomes and the data collected, recommendations made, and monitoring completed by the pharmacist. This tool has been adopted by the University of Toronto Faculty of Pharmacy and is being used in various continuing education programs and by practicing pharmacists across Canada.</t>
  </si>
  <si>
    <t>J2: Pharmacotherapy; Winslade, N E Bajcar, J M Bombassaro, A M Caravaggio, C D Strong, D K Yamashita, S K; ID: 602</t>
  </si>
  <si>
    <t>Winslade,N E. Faculty of Pharmacy, University of Toronto, Canada.</t>
  </si>
  <si>
    <t>http://ovidsp.ovid.com/ovidweb.cgi?T=JS&amp;CSC=Y&amp;NEWS=N&amp;PAGE=fulltext&amp;D=med4&amp;AN=9250561</t>
  </si>
  <si>
    <t>MEDLINE; Ovid Technologies; Pharmacist's management of drug-related problems: a tool for teaching and providing pharmaceutical care</t>
  </si>
  <si>
    <t>Wischmeyer,P. E.;Johnson,B. R.;Wilson,J. E.;Dingmann,C.;Bachman,H. M.;Roller,E.;Tran,Z. V.;Henthorn,T. K.</t>
  </si>
  <si>
    <t>A survey of propofol abuse in academic anesthesia programs</t>
  </si>
  <si>
    <t>Anesthesia &amp; Analgesia</t>
  </si>
  <si>
    <t>71, table of contents</t>
  </si>
  <si>
    <t>*Academic Medical Centers;Anesthesiology/ed Education];*Anesthesiology/sn Statistics &amp; Numerical Data];Data Collection;*Internship and Residency;*Physician Impairment/sn Statistics &amp; Numerical Data];*Professional Misconduct/sn Statistics &amp; Numerical Data];*Propofol;*Substance-Related Disorders/ep Epidemiology];YI7VU623SF (Propofol)</t>
  </si>
  <si>
    <t>BACKGROUND: Although propofol has not traditionally been considered a drug of abuse, subanesthetic doses may have an abuse potential. We used this survey to assess prevalence and outcome of propofol abuse in academic anesthesiology programs. METHODS: E-mail surveys were sent to the 126 academic anesthesiology training programs in the United States. RESULTS: The survey response rate was 100%. One or more incidents of propofol abuse or diversion in the past 10 yr were reported by 18% of departments. The observed incidence of propofol abuse was 10 per 10,000 anesthesia providers per decade, a fivefold increase from previous surveys of propofol abuse (P = 0.005). Of the 25 reported individuals abusing propofol, 7 died as a result of the propofol abuse (28%), 6 of whom were residents. There was no established system to control or monitor propofol as is done with opioids at 71% of programs. There was an association between lack of control of propofol (e.g., pharmacy accounting) at the time of abuse and incidence of abuse at the program (P = 0.048). CONCLUSIONS: Propofol abuse in academic anesthesiology likely has increased over the last 10 yr. Much of the mortality is in residents. Most programs have no pharmacy accounting or control of propofol stocks. This may be of concern, given that all programs reporting deaths from propofol abuse were centers in which there was no pharmacy accounting for the drug.</t>
  </si>
  <si>
    <t>J2: Anesth Analg; Wischmeyer, Paul E Johnson, Bradley R Wilson, Joel E Dingmann, Colleen Bachman, Heidi M Roller, Evan Tran, Zung Vu Henthorn, Thomas K Comment in: Anesth Analg. 2007 Oct;105(4):897-8; PMID: 17898362; ID: 380</t>
  </si>
  <si>
    <t>1526-7598</t>
  </si>
  <si>
    <t>Wischmeyer,Paul E. Department of Anesthesiology, University of Colorado, Denver, Colorado, USA. Paul.Wischmeyer@UCHSC.edu</t>
  </si>
  <si>
    <t>http://ovidsp.ovid.com/ovidweb.cgi?T=JS&amp;CSC=Y&amp;NEWS=N&amp;PAGE=fulltext&amp;D=med5&amp;AN=17898389</t>
  </si>
  <si>
    <t>MEDLINE; Ovid Technologies; A survey of propofol abuse in academic anesthesia programs</t>
  </si>
  <si>
    <t>Wise,T. N.;Author,Addresses;Department of Psychiatry, Johns Hopkins Univ Sch,of Medicine;Baltimore,M. D. U.;Department of Behavioral Sciences, Inova Fairfax,Hospital Falls;Church,V. A. U.;Correspondence,Address;TN Wise, Department of Psychiatry Johns Hopkins Univ Sch,of Medicine;Baltimore,M. D. U.</t>
  </si>
  <si>
    <t>Anxiety disorders: Guidelines for effective primary care therapy</t>
  </si>
  <si>
    <t>Drug Benefit Trends</t>
  </si>
  <si>
    <t>alprazolam (adverse drug reaction, drug dose, drug therapy);anxiolytic agent (adverse drug reaction, clinical trial, drug combination,;drug dose, drug therapy, pharmaceutics, pharmacology);benzodiazepine derivative (adverse drug reaction, drug combination, drug;dose, drug therapy, pharmaceutics);buspirone (adverse drug reaction, drug therapy, pharmacology);citalopram (adverse drug reaction, drug therapy);clonazepam (adverse drug reaction, drug dose, drug therapy);fluoxetine (adverse drug reaction, drug therapy);noradrenalin uptake inhibitor (adverse drug reaction, clinical trial, drug;dose, drug therapy, pharmacology);paroxetine (adverse drug reaction, drug therapy, pharmaceutics);serotonin uptake inhibitor (adverse drug reaction, drug combination, drug;therapy);tricyclic antidepressant agent (drug therapy);venlafaxine (adverse drug reaction, drug dose, drug therapy, pharmacology);anxiety disorder (diagnosis, disease management, drug therapy, epidemiology,;primary medical care;affect;asthenia (side effect);clinical trial;daily life activity;dizziness (side effect);dose response;drowsiness (side effect);drug abuse;drug effect;drug formulation;drug indication;drug tolerability;drug withdrawal;excitement;extrapyramidal symptom (side effect);fatigue (side effect);flu like syndrome (side effect);gastrointestinal symptom (side effect);generalized anxiety disorder;habituation;headache (side effect);health education;human;hypertension (side effect);insomnia (side effect);libido disorder (side effect);motor coordination;motor dysfunction (side effect);nausea (side effect);nervousness;orgasm disorder (side effect);panic;paresthesia (side effect);patient compliance;patient education;patient referral;psychopharmacotherapy;psychotherapy;quality of life;remission;review;sedation;sensorimotor function;sensory dysfunction (side effect);sexual dysfunction (side effect);social phobia;somnolence (side effect);task performance;weight gain;weight reduction;alprazolam (28981-97-7);buspirone (33386-08-2, 36505-84-7);citalopram (59729-33-8);clonazepam (1622-61-3);fluoxetine (54910-89-3, 56296-78-7, 59333-67-4);paroxetine (61869-08-7);venlafaxine (93413-69-5);Clinical and Experimental Pharmacology (30);Psychiatry (32);Drug Literature Index (37);Adverse Reactions Titles (38);Pharmacy (39)</t>
  </si>
  <si>
    <t>Millions of Americans have anxiety disorders. Many with panic disorder, social anxiety disorder, and/or generalized anxiety disorder present initially to their primary care clinician. Effective treatment is possible in a busy primary care setting; therapy involves patient education and pharmacotherapy. Once other potential causes of symptoms of an anxiety disorder have been ruled out, the patient can be reassured that he or she has a psychological condition-a very common one-and that symptoms are not the result of an undiagnosed disease or "going crazy" or "losing control." Complete clinical remission is achievable, often with medication alone. Referral to a psychiatrist for psychotherapy may be indicated when a patient refuses or cannot tolerate drug therapy or when response to therapy is inadequate.</t>
  </si>
  <si>
    <t>(Wise T.N.); ID: 1568</t>
  </si>
  <si>
    <t>1080-5826</t>
  </si>
  <si>
    <t>Wise,T. N.;Author,Addresses;Johns Hopkins,University;Department of Psychiatry, Johns Hopkins University,School of;Medicine,Baltimore;Inova Fairfax Hospital, Falls Church,V.A.United States;Correspondence,Address;TN Wise, Inova Fairfax Hospital Falls Church,V.A.United States</t>
  </si>
  <si>
    <t>Consultant</t>
  </si>
  <si>
    <t>(MAJOR FOCUS);alprazolam (adverse drug reaction, drug combination, drug concentration,;drug dose, drug therapy);antidepressant agent (adverse drug reaction, drug combination, drug dose,;drug therapy, pharmacology);anxiolytic agent (adverse drug reaction, drug combination, drug dose, drug;therapy);buspirone (adverse drug reaction, drug combination, drug dose, drug therapy);clonazepam (adverse drug reaction, drug combination, drug concentration,;serotonin uptake inhibitor (adverse drug reaction, drug combination, drug;dose, drug therapy, pharmacology);citalopram (adverse drug reaction, drug dose, drug therapy);fluoxetine (adverse drug reaction, drug dose, drug therapy);paroxetine (adverse drug reaction, drug dose, drug therapy);sertraline (adverse drug reaction, drug development, drug therapy);venlafaxine (adverse drug reaction, drug development, drug therapy,;pharmacology);anxiety disorder (diagnosis, drug therapy, therapy);generalized anxiety disorder (diagnosis, drug therapy, therapy);panic (diagnosis, drug therapy, therapy);primary medical care;social phobia (diagnosis, drug therapy, therapy);add on therapy;adult;alcoholism (etiology);article;asthenia (side effect);ataxia (side effect);case report;clinical feature;cognitive defect (side effect);comorbidity;Diagnostic and Statistical Manual of Mental Disorders;diarrhea (side effect);dizziness (side effect);drug efficacy;drug indication;drug tolerance;extrapyramidal syndrome (side effect);fatigue (side effect);female;flu like syndrome (side effect);habituation;headache (side effect);heartburn (side effect);human;insomnia (side effect);libido disorder (side effect);male;monotherapy;motor dysfunction (side effect);nausea (side effect);occupational disease;orgasm disorder (side effect);paresthesia (side effect);patient attitude;patient compliance;patient education;patient referral;physical activity;practice guideline;priority journal;psychotherapy;remission;sedation;sensorimotor neuropathy (side effect);sexual dysfunction (side effect);side effect (side effect);social disability;somnolence (side effect);withdrawal syndrome (side effect);alprazolam (28981-97-7);buspirone (33386-08-2, 36505-84-7);citalopram (59729-33-8);clonazepam (1622-61-3);fluoxetine (54910-89-3, 56296-78-7, 59333-67-4);paroxetine (61869-08-7);sertraline (79617-96-2);venlafaxine (93413-69-5);Clinical and Experimental Pharmacology (30);Psychiatry (32);Drug Literature Index (37);Adverse Reactions Titles (38)</t>
  </si>
  <si>
    <t>Millions of American suffer from anxiety disorders. Many with panic disorder, social anxiety disorder and/or generalized enxiety disorder present initially to their primary care clinician. Effective treatment is possible in a busy primary care setting; therapy involves patient education and pharmacotherapy. Once other potential causes of symptoms of an anxiety disorder have been ruled out, the first step is to reassure the patient that he or she has a psychological condition - a very common one - and that symptoms are not the result of on undiagnosed desease or "going crazy" or "losing control." Educate and inform patients that complete clinical remission is achievable, often with medication alone. Begin treatment on day 1 with a long-acting benzodiazepine - such as alprazolam XR or donazepam - or will the anxiolytic agent buspirone; at the same time, start a selective serotonin reuptake inhibitor (SSRI). The anxiolytic agent allays acute somatic symptoms until the full effects of the SSRI are manifest (often 4 to 6 weeks). The anxiolytic can then be gradaully tapered. Referral to a psychiatrist for psychotherapy may be indicated when a patient refuses or cannot tolerate drug therapy, or when response to therapy is inadequate.</t>
  </si>
  <si>
    <t>(Wise T.N.); ID: 1573</t>
  </si>
  <si>
    <t>Witkop,M.;Lambing,A.;Author,Addresses;Northern Regional Bleeding Disorders, Traverse,City United;States;Henry Ford,Bleeding;Thrombosis,Treatment Center;United,States;Correspondence,Address;Witkop, Northern Regional Bleeding Disorders Traverse City United,M.;States</t>
  </si>
  <si>
    <t>Pain management knowledge and attitudes of hemophilia providers: Physicians &amp; nurses</t>
  </si>
  <si>
    <t>American Journal of Hematology</t>
  </si>
  <si>
    <t>Am.J.Hematol.</t>
  </si>
  <si>
    <t>E96</t>
  </si>
  <si>
    <t>adjuvant;opiate;analgesia;hemophilia;hemostasis;human;North America;nurse;physician;thrombosis;addiction;adult;bleeding disorder;chronic pain;drug therapy;education;female;gold standard;Haplorhini;health care;lifespan;Likert scale;metabolism;nurse practitioner;pain;pain assessment;patient;pediatrics;pharmacology;self report;substance abuse;United States</t>
  </si>
  <si>
    <t>OBJECTIVES: The National Pain Survey identified that persons with hemophilia (PWH) reported daily pain ratings of 5/10 as well as using the same words to describe acute and chronic pain. Additionally, 59% of hemophilia pts who completed the National Pain Survey reported receiving pain management from their HTC providers. The purpose of this survey was to assess the knowledge and attitudes of hemophilia providers regarding pain assessment and treatment. METHODS: A validated Survey Monkey (TM) survey with 38 true/false and likert scale questions specific to pain mangement was emailed to every physician and nurse provider in the United States listed on the CDC bleeding disorders website affiliated with a hemophilia treatment center. SUMMARY: A total of 529 surveys were emailed to HTC providers with 152 completed (response rate 29%); 57 physicians, 22 nurse practitioners, 68 RNs, 5 other providers. Most respondents were female (78%) and RNs (45%), followed by MDs (38%), NPs (15%) with an average age of 49 years age. While most participants had greater than 20 years in health care (57%), the majority of subjects had 0-5 years of hemophilia experience (28%); followed closely by greater than 20 years of hemophilia experience (24%). Participants worked in a variety of settings; life span centers (45%), followed by pediatrics only (32%), then adult only (23%). At least 34% of the participants worked in HTCs with more than 300 hemophilia patients. The greatest response rate was from Region V-East (19%) and lowest from Region II (3%). Only 19% of respondents had taken advanced training in pain management. RESULTS: Questions were stratified into 4 separate categories; assessment, treatment, pharmacology and substance abuse. In approximately 1/3 of the total questions only 75% of the participants answered correctly. Despite 100% of the respondents recognizing patient self-report of pain as the gold standard, signficant attitudinal differences were noted in the assessment and treatment of pain. Knowledge deficits across the spectrum of providers were noted, specifcially regarding dose conversions, opioid metabolism, and adjuvant medications. CONCLUSIONS: HTC providers demonstrate knowledge regarding pain management. PWH consider their HTC providers experts in hemophilia care and the conditiona related to hemophilia. Since the majority of hemophilia related pain mangement is provided by HTCs, additional education specific to pharmacology, dependence, and addiction concerns may be beneficial.</t>
  </si>
  <si>
    <t>(Witkop M.) (Lambing A.) 2014 Thrombosis and Hemostasis Summit of North America, THSNA 2014 Chicago, IL, United States 2014-04-10 to 2014-04-12 Wiley-Liss Inc.; ID: 903</t>
  </si>
  <si>
    <t>0361-8609</t>
  </si>
  <si>
    <t>Wittayanukorn,S.;Westrick,S.;Author,Addresses;Auburn;University,United States;Correspondence,Address;Wittayanukorn, Auburn University United States Email,S.;szw@tigermail.auburn.edu</t>
  </si>
  <si>
    <t>Evaluation of medication therapy management services for patients with cardiovascular disease</t>
  </si>
  <si>
    <t>lipid;cardiovascular disease;human;medication therapy management;patient;blood pressure;body mass;cohort analysis;cost control;employer;health;health care cost;pharmaceutical care;prescription;study design;university</t>
  </si>
  <si>
    <t>Objective: The primary goal of this study is to evaluate the impact of medication therapy management (MTM) services among patients with cardiovascular diseases on clinical and economic outcomes from the self-insured employer perspective. The first objective is to evaluate the impact of MTM services on improving in clinical outcomes among patients with cardiovascular diseases. The second objective is to evaluate the impact of MTM services on economic outcomes among patients who received MTM services compared with those who received usual care. Methods: Study designs: this study consists of two retrospective cohort designs: a pre-post cohort study (objective 1: clinical outcomes) and a cohort with comparison groups study (objective 2: economic outcomes). Main outcome measures: (1) clinical outcomes: changes in blood pressure, lipid panel, body mass index, and drug-related problems, and (2) economic outcomes: changes in total health expenditure and cost saving. Participants and setting: beneficiaries who enrolled in Auburn University's health plan between January 2008 and June 2011. They must be 19 years old or older and diagnosed with cardiovascular disease conditions. For the MTM group, they must receive at least one MTM encounter from Auburn University Pharmaceutical Care Center (AUPCC). The first MTM encounter will be assigned as the index date. Both groups (MTM and control) must obtain at least two prescriptions for cardiovascular disease condition to obtained baseline (the index date) and 6-month values.</t>
  </si>
  <si>
    <t>(Wittayanukorn S., szw0022@tigermail.auburn.edu; Westrick S.) APhA2012 New Orleans, LA, United States 2012-03-09 to 2012-03-12 American Pharmacists Association; ID: 1191</t>
  </si>
  <si>
    <t>Wolf,Z. R.;Hicks,R.;Serembus,J. F.</t>
  </si>
  <si>
    <t>Characteristics of medication errors made by students during the administration phase: a descriptive study</t>
  </si>
  <si>
    <t>51 13p</t>
  </si>
  <si>
    <t>Medication Errors;Students, Nursing;Convenience Sample;Databases;Descriptive Research;Descriptive Statistics;Drug Administration -- Education;Drugs, Prescription -- Classification;Incident Reports;Medication Errors -- Classification;Medication Errors -- Etiology;Retrospective Design;Secondary Analysis;Voluntary Reporting;Human</t>
  </si>
  <si>
    <t>Faculty concentrate on teaching nursing students about safe medication administration practices and on challenging them to develop skills for calculating drug dose and intravenous flow rate problems. In spite of these efforts, students make medication errors and little is known about the attributes of these errors. Therefore, this descriptive, retrospective, secondary analysis study examined the characteristics of medication errors made by nursing students during the administration phase of the medication use process as reported to the MEDMARX, a database operated by the United States Pharmacopeia through the Patient Safety Program. Fewer than 3% of 1,305 student-made medication errors occurring in the administration process resulted in patient harm. Most were omission errors, followed by errors of giving the wrong dose (amount) of a drug. The most prevalent cause of the errors was students' performance deficits, whereas inexperience and distractions were leading contributing factors. The antimicrobial therapeutic class of drugs and the 10 subcategories within this class were the most commonly reported medications involved. Insulin was the highest-frequency single medication reported. Overall, this study shows that students' administration errors may be more frequent than suspected. Faculty might consider curriculum revisions that incorporate medication use safety throughout each course in nursing major courses. Copyright ‚î¨‚åê 2006 by Elsevier Science (USA).</t>
  </si>
  <si>
    <t>Entry Date: 20060512. Revision Date: 20150711. Publication Type: Journal Article; research; tables/charts. Journal Subset: Core Nursing; Double Blind Peer Reviewed; Nursing; Peer Reviewed; USA. NLM UID: 8511298. PMID: 16459288.; ID: 1844</t>
  </si>
  <si>
    <t>Dean/Professor, La Salle University School of Nursing, 1900 West Olney Ave., Philadelphia, PA 19141</t>
  </si>
  <si>
    <t>http://proxy.lib.umich.edu/login?url=http://search.ebscohost.com/login.aspx?direct=true&amp;db=ccm&amp;AN=106437709&amp;site=ehost-live&amp;scope=site</t>
  </si>
  <si>
    <t>ccm; EBSCOhost; Characteristics of medication errors made by students during the administration phase: a descriptive study</t>
  </si>
  <si>
    <t>Woloschuk,D. M.;Nazeravich,D. R.;Gray,L. J.;Larter,J. M.</t>
  </si>
  <si>
    <t>Establishment of a bone marrow transplant satellite pharmacy</t>
  </si>
  <si>
    <t>*Bone Marrow Transplantation;Hospital Bed Capacity, 500 and over;Hospital Units/og Organization &amp; Administration];Hospitals, Teaching/og Organization &amp; Administration];Humans;Interdepartmental Relations;Manitoba;Medication Systems, Hospital/og Organization &amp; Administration];Neoplasms/dt Drug Therapy];*Oncology Service, Hospital/og Organization &amp; Administration];Patient Care Team;*Pharmacy Service, Hospital/og Organization &amp; Administration];Program Development/mt Methods]</t>
  </si>
  <si>
    <t>The planning, establishment and operation of a bone marrow transplant (B.M.T.) satellite pharmacy in a 1100-bed teaching hospital are described. The B.M.T. satellite pharmacy was established because of the specialized pharmaceutical care needs of this patient population with a high risk for drug-related problems. The satellite pharmacy, which is located within a 19-bed Oncology Unit, provides integrated clinical-distributive services (unit-dose, IV-admixture system) to all B.M.T. patients. The satellite is open 10.5 hours per day, seven days per week. Staff consists of three full-time equivalent (F.T.E.) staff pharmacists, a 0.5 F.T.E. technician, and one F.T.E. clinical pharmacist. Staff pharmacists rotate between provision of B.M.T. pharmacy services, and provision of pharmacy services for the provincial Home Parenteral Nutrition program. The pharmacists are responsible for all aspects of drug distribution and clinical services for B.M.T. patients. Additional drug distribution and clinical services are provided to other Oncology Unit patients. The establishment of a satellite pharmacy has provided unique opportunities for pharmaceutical care of the B.M.T. patient.</t>
  </si>
  <si>
    <t>J2: Can J Hosp Pharm; Woloschuk, D M Nazeravich, D R Gray, L J Larter, J M; ID: 651</t>
  </si>
  <si>
    <t>Woloschuk,D M. Health Sciences Centre, Winnipeg, Manitoba.</t>
  </si>
  <si>
    <t>http://ovidsp.ovid.com/ovidweb.cgi?T=JS&amp;CSC=Y&amp;NEWS=N&amp;PAGE=fulltext&amp;D=med3&amp;AN=10124614</t>
  </si>
  <si>
    <t>MEDLINE; Ovid Technologies; Establishment of a bone marrow transplant satellite pharmacy</t>
  </si>
  <si>
    <t>Wong,C.;Cave,A.;Jarman,R.;Author,Addresses;Caritas Health Group, Edmonton,Alta Canada;Correspondence,Address;Wong, Caritas Health Group Edmonton Alta Canada,C.</t>
  </si>
  <si>
    <t>Pharmaceutical care in a family medicine centre</t>
  </si>
  <si>
    <t>family medicine;pharmaceutical care;ambulatory care;article;clinical trial;controlled study;drug therapy;human;interview;patient satisfaction;questionnaire;randomized controlled trial;Health Policy, Economics and Management (36);Pharmacy (39)</t>
  </si>
  <si>
    <t>In recent years, pharmaceutical care in the ambulatory care setting has received increased interest due to its potential for improving patient well-being and realizing cost savings. In a family medicine centre associated with a teaching hospital, patients' perceptions of the potential role of a pharmacist were evaluated. The impact of patient/pharmacist interviews in identifying drug-related problems was also studied. Study candidates from two family practice physicians were randomly divided into two groups. The first group received only a questionnaire, whereas the second group received a one-on-one interview with a pharmacy resident followed by the questionnaire. Information from the interview and/or chart review was used to identify potential drug-related problems. Recommendations for changes in drug therapy were subsequently discussed with the respective family physician. Overall, patients in both groups were satisfied with pharmacy services. For survey questions dealing with the perceived benefit of pharmacists in providing pharmaceutical care, interviewed patients on average rated pharmacists more favourably than those who were not interviewed. A total of 42 drug-related problems were identified in 91 patients, with almost four times more drug-related problems found in the group which received both an interview and chart review is in the group that had chart review alone.</t>
  </si>
  <si>
    <t>(Wong C.; Jarman R.) (Cave A.); ID: 1681</t>
  </si>
  <si>
    <t>Wong,C. G.;Chan,K. F.;Gibson,K. M.;Snead,O. C.</t>
  </si>
  <si>
    <t>Gamma-hydroxybutyric acid: neurobiology and toxicology of a recreational drug</t>
  </si>
  <si>
    <t>Toxicological Reviews</t>
  </si>
  <si>
    <t>Dopamine/ph Physiology];Electroencephalography/de Drug Effects];Epilepsy, Absence/ci Chemically Induced];Epilepsy, Absence/pp Physiopathology];Humans;Learning/de Drug Effects];Memory/de Drug Effects];Neuroprotective Agents/pd Pharmacology];Receptors, GABA-B/de Drug Effects];Sodium Oxybate/me Metabolism];*Sodium Oxybate/to Toxicity];*Street Drugs/to Toxicity];0 (Neuroprotective Agents);0 (Receptors, GABA-B);0 (Street Drugs);7G33012534 (Sodium Oxybate);VTD58H1Z2X (Dopamine)</t>
  </si>
  <si>
    <t>gamma-Hydroxybutyric acid (GHB) is a short-chain fatty acid that occurs naturally in mammalian brain where it is derived metabolically from gamma-aminobutyric acid (GABA), the primary inhibitory neurotransmitter in the brain. GHB was synthesised over 40 years ago and its presence in the brain and a number of aspects of its biological, pharmacological and toxicological properties have been elucidated over the last 20-30 years. However, widespread interest in this compound has arisen only in the past 5-10 years, primarily as a result of the emergence of GHB as a major recreational drug and public health problem in the US. There is considerable evidence that GHB may be a neuromodulator in the brain. GHB has multiple neuronal mechanisms including activation of both the gamma-aminobutyric acid type B (GABA(B)) receptor, and a separate GHB-specific receptor. This complex GHB-GABA(B) receptor interaction is probably responsible for the protean pharmacological, electroencephalographic, behavioural and toxicological effects of GHB, as well as the perturbations of learning and memory associated with supra-physiological concentrations of GHB in the brain that result from the exogenous administration of this drug in the clinical context of GHB abuse, addiction and withdrawal. Investigation of the inborn error of metabolism succinic semialdehyde deficiency (SSADH) and the murine model of this disorder (SSADH knockout mice), in which GHB plays a major role, may help dissect out GHB- and GABA(B) receptor-mediated mechanisms. In particular, the mechanisms that are operative in the molecular pathogenesis of GHB addiction and withdrawal as well as the absence seizures observed in the GHB-treated animals. References: 275]</t>
  </si>
  <si>
    <t>J2: Toxicol Rev; Wong, C Guin Ting Chan, Katherine F Y Gibson, K Michael Snead, O Carter NS40270 (United States NINDS NIH HHS); ID: 468</t>
  </si>
  <si>
    <t>1176-2551</t>
  </si>
  <si>
    <t>Wong,C Guin Ting. Institute of Medical Sciences, Faculty of Medicine, University of Toronto, Toronto, Ontario, Canada.</t>
  </si>
  <si>
    <t>http://ovidsp.ovid.com/ovidweb.cgi?T=JS&amp;CSC=Y&amp;NEWS=N&amp;PAGE=fulltext&amp;D=med5&amp;AN=15298489</t>
  </si>
  <si>
    <t>MEDLINE; Ovid Technologies; Gamma-hydroxybutyric acid: neurobiology and toxicology of a recreational drug</t>
  </si>
  <si>
    <t>Wong,G. T. C.;Irwin,M. G.</t>
  </si>
  <si>
    <t>Poisoning with illicit substances: toxicology for the anaesthetist</t>
  </si>
  <si>
    <t>Anaesthesia Supplement</t>
  </si>
  <si>
    <t>124 8p</t>
  </si>
  <si>
    <t>Poisoning -- Therapy;Toxicology -- Education;Anesthetists -- Education;Fat Emulsions, Intravenous -- Therapeutic Use;Poisoning -- Diagnosis;Street Drugs -- Adverse Effects;Substance Abuse -- Complications;Imidazoles -- Therapeutic Use;Poisoning -- Drug Therapy;Adrenergic Agonists -- Therapeutic Use</t>
  </si>
  <si>
    <t>Entry Date: 20150623. Revision Date: 20150923. Publication Type: Journal Article; review. Journal Subset: Biomedical; Europe; UK &amp; Ireland.; ID: 1999</t>
  </si>
  <si>
    <t>1461-6904</t>
  </si>
  <si>
    <t>Clinical Assistant Professor Professor &amp; Head, Department of Anaesthesiology, University of Hong Kong, Hong Kong; Chief of Service, Department of Anaesthesiology, Queen Mary Hospital, HKU-Shenzhen Hospital, Hong Kong</t>
  </si>
  <si>
    <t>http://proxy.lib.umich.edu/login?url=http://search.ebscohost.com/login.aspx?direct=true&amp;db=ccm&amp;AN=109866135&amp;site=ehost-live&amp;scope=site</t>
  </si>
  <si>
    <t>10.1111/anae.12053</t>
  </si>
  <si>
    <t>ccm; EBSCOhost; Poisoning with illicit substances: toxicology for the anaesthetist</t>
  </si>
  <si>
    <t>Wong,K. R.;Montgomery,J.;Brennan,J.;Dress,J.;Ross,C.;Crabtree,R.;Fabian,T.;Author,Addresses;Western Psychiatric Institute, Clinic of University,of Pittsburgh;Medical Center,Pittsburgh,United States;University of Pittsburgh, School of Pharmacy,Pittsburgh United;States;Correspondence,Address;KR Wong, Western Psychiatric Institute Clinic of University,of Pittsburgh;Medical Center,Pittsburgh,United States</t>
  </si>
  <si>
    <t>Pharmacist interventions in a psychiatric primary care clinic</t>
  </si>
  <si>
    <t>college;hospital;human;pharmacist;primary medical care;adverse drug reaction;allergy;chronic disease;clinical pharmacy;counseling;data base;drug information;drug therapy;electronic medical record;health care;health care need;hospital department;hospital patient;male;medication compliance;medication therapy management;mental disease;outpatient;outpatient care;patient;patient care;pharmacy;psychiatric diagnosis;side effect;therapy</t>
  </si>
  <si>
    <t>Type: Innovative Practices. Background: Managing patients with psychiatric illness presents unique challenges to primary care providers. This can be due to a high number of medications, lack of medication knowledge, medication access issues, and side effects, among other factors. Meeting the healthcare needs of patients with mental illness requires expertise in both psychiatric and medical medications. Psychiatric clinical pharmacists are optimally positioned to provide specialized care in this unique practice setting. Description of Innovative Service: Western Psychiatric Institute and Clinic provides both inpatient and outpatient services to those suffering from mental illness. The addition of three psychiatric clinical pharmacists to the pharmacy department provided the opportunity to increase clinical pharmacy services in the outpatient setting, specifically in the primary care clinic. In October, pharmacists began seeing patients Monday through Friday from 9:00 am to 3:00 pm. The pharmacist performs allergy and medication reconciliation, evaluates medication adherence and the current medication regimen, and meets with patients one-on-one prior to their appointment in the clinic. Pharmacists identify drug-related problems, and serve as a resource for intensive medication therapy management issues and drug information requests. All interventions are documented in the electronic medical record and in a clinical interventions database. Impact on Patient Care: Between October 1, 2012 and December 31, 2012 clinical pharmacists have seen 125 patients over 146 encounters (84% of all appointments in psychiatric primary care clinic during that time period). Patients seen in the clinic were 22-76 years old (average age: 53 years), primarily male (n = 71, 57%), had an average of 4 chronic disease states including psychiatric diagnoses, and were prescribed an average of 8 medications. During these encounters, pharmacists identified and addressed 44 allergy and adverse drug reaction discrepancies, 92 medication reconciliation interventions, 84 adherence issues, and 67 additional drug-related problems. Additionally, patients received counseling on each issue identified. Conclusion: In threemonths, pharmacists made 287 interventions over 146 patient visits in a psychiatric primary care clinic. Pharmacists have been a welcome addition to the healthcare team. Providers have increased confidence that their patients' medication regimen is appropriate and safe. And more importantly, patients are empowered to actively participate in their medication therapy.</t>
  </si>
  <si>
    <t>(Wong K.R.; Montgomery J.; Brennan J.; Dress J.; Ross C.; Crabtree R.; Fabian T.) (Fabian T.) 16th Annual Meeting of the College of Psychiatric and Neurologic Pharmacists, CPNP 2013 Colorado Springs, CO, United States 2013-04-21 to 2013-04-24 SAGE Publications Inc.; ID: 1041</t>
  </si>
  <si>
    <t>Wong,T.;Bui,A.;Wong,K.;Sordo,E.;Kovera,C.;Author,Addresses;Touro College,of Pharmacy;Correspondence,Address;Wong, Touro College of Pharmacy United States Email,T.;twong5@student.touro.edu</t>
  </si>
  <si>
    <t>Development and implementation of a student pharmacist-led prescription drug abuse prevention and education program in staten Island high schools</t>
  </si>
  <si>
    <t>(MAJOR FOCUS);prescription drug;drug abuse;education program;high school;human;island (geological);pharmacist;prevention;student;abuse;adolescent;college;education;epidemic;evidence based practice;exercise;high school student;parent;pharmacy;program effectiveness;public health;rating scale;school;skill;United States</t>
  </si>
  <si>
    <t>Objective: Prescription drug abuse is an epidemic and serious public health issue. Within New York City's five boroughs, abuse of prescription drugs is most prevalent on Staten Island. The Prescription Drug Abuse Prevention and Education Program (PDAPEP), created and led by student pharmacists and mentored by faculty, is designed to address this problem in teenagers. PDAPEP's objectives are to use education to decrease and prevent prescription drug abuse reported in high schools and to promote peer-topeer advocacy. The program does this by focusing on correcting misperceptions, empowering audiences, and developing skills to actively resist abusing prescription drugs and to report or seek help if needed. Methods: With ongoing supervision by the college of pharmacy faculty, student pharmacists involved in PDAPEP developed presentations, interactive sessions, and informational brochures about prescription drug abuse, and presented in classroom-sized groups on scheduled occasions to two Staten Island high schools. Motivated students are recruited and trained as ambassadors to teach their peers, while PDAPEP faculty teach parents how to exercise caution, recognize symptoms, talk to their teens, and participate in drug take-back programs. An evidence-based survey of 10 to 15 rating scale questions was developed and administered pre-post for each school visit (approximately 400 high school students) to measure change in perceptions, knowledge, and attitudes. Annual metrics for gauging program effectiveness at each school will be available June 2013 and include reports on student incidents and requests for help, number of ambassadors trained, number of peer-to-peer educational campaigns, and participation in National Prescription Drug Take-Back Day events.</t>
  </si>
  <si>
    <t>(Wong T., twong5@student.touro.edu; Bui A.; Wong K.; Sordo E.; Kovera C.) APhA2013 Los Angeles, CA, United States 2013-03-01 to 2013-03-04 American Pharmacists Association; ID: 1063</t>
  </si>
  <si>
    <t>Woo,Teri Moser;Hanley,James R.</t>
  </si>
  <si>
    <t>Pharmacology Continuing Education Posttest</t>
  </si>
  <si>
    <t>147 3p</t>
  </si>
  <si>
    <t>Substance Abuse -- Prevention and Control -- In Adolescence;Substance Abuse -- Diagnosis -- In Adolescence;Education, Continuing (Credit);Adolescence</t>
  </si>
  <si>
    <t>Entry Date: 20130225. Revision Date: 20150711. Publication Type: Journal Article; CEU; exam questions. Journal Subset: Core Nursing; Nursing; Peer Reviewed; USA. Special Interest: Advanced Nursing Practice; Pediatric Care. NLM UID: 8709735.; ID: 1987</t>
  </si>
  <si>
    <t>http://proxy.lib.umich.edu/login?url=http://search.ebscohost.com/login.aspx?direct=true&amp;db=ccm&amp;AN=104317900&amp;site=ehost-live&amp;scope=site</t>
  </si>
  <si>
    <t>10.1016/j.pedhc.2012.12.003</t>
  </si>
  <si>
    <t>ccm; EBSCOhost; Pharmacology Continuing Education Posttest</t>
  </si>
  <si>
    <t>Woodward,M.;Author,Addresses;Aged;Residential,Care;Service,Heidelberg Repatriation Hospital Austin Health Waterdale Road;Heidelberg West, V. I. C. Australia;Correspondence,Address;Woodward,Aged,M.;Residential,Care Service;Hospital,Austin Health Waterdale Road Heidelberg West V.I.C.;Australia Email, michael woodward austin,org au</t>
  </si>
  <si>
    <t>Sleep in older people</t>
  </si>
  <si>
    <t>adrenergic receptor stimulating agent (adverse drug reaction);antacid agent (drug interaction);benzodiazepine derivative (adverse drug reaction, drug interaction, drug;therapy);beta adrenergic receptor blocking agent (adverse drug reaction);caffeine (adverse drug reaction);central stimulant agent (adverse drug reaction);chlordiazepoxide;clarithromycin (drug interaction);clonazepam (adverse drug reaction);corticosteroid (adverse drug reaction);diazepam (drug therapy);diltiazem (drug interaction);erythromycin (drug interaction);estazolam (pharmacokinetics);flunitrazepam (pharmacokinetics);flurazepam (pharmacokinetics);isoniazid (drug interaction);ketoconazole (drug interaction);nicotine (adverse drug reaction);nitrazepam (pharmacokinetics);quazepam (pharmacokinetics);ramelteon (drug therapy);rivastigmine;serotonin uptake inhibitor (adverse drug reaction);temazepam (pharmacokinetics);triazolam (pharmacokinetics);unindexed drug;verapamil (drug interaction);zolpidem (adverse drug reaction, drug therapy);zopiclone (adverse drug reaction, drug therapy);aging;sleep;accident;aggression;agitation;amnesia (side effect);anorexia (side effect);arthralgia (side effect);auditory hallucination (side effect);behavior disorder (side effect);behavior therapy;cognitive defect (side effect);color vision;constipation (side effect);delirium (side effect);dementia;depression (side effect);diarrhea (side effect);disease association;dizziness (side effect);dysarthria (side effect);dyspnea (side effect);environmental factor;falling;gastrointestinal symptom (side effect);genital system disease (side effect);headache (side effect);heart palpitation (side effect);hiccup (side effect);hot flush (side effect);human;hygiene;increased appetite (side effect);insomnia (drug therapy, etiology, therapy);libido disorder (side effect);long term care;menstrual irregularity (side effect);menstruation disorder (side effect);mortality;muscle cramp (side effect);nausea (side effect);panic (side effect);paranoia (side effect);periodic limb movement disorder;phototherapy;psychomotor disorder (side effect);relaxation training;REM sleep deprivation;residential care;restless legs syndrome;review;risk benefit analysis;salivation;sedation;side effect (side effect);sleep disorder (etiology, side effect);sleep disordered breathing;sleep driving (side effect);sleep eating (side effect);sleep walking (side effect);tachycardia (side effect);taste disorder (side effect);tongue swelling (side effect);unspecified side effect (side effect);urinary tract disease (side effect);visual disorder (side effect);vivid dream (side effect);weight reduction;withdrawal syndrome (side effect);xerostomia (side effect);DRUG TRADE NAMES;librium Hoffmann La Roche;DRUG MANUFACTURERS;Hoffmann La Roche;caffeine (58-08-2);chlordiazepoxide (438-41-5, 58-25-3);clarithromycin (81103-11-9);clonazepam (1622-61-3);diazepam (439-14-5);diltiazem (33286-22-5, 42399-41-7);erythromycin (114-07-8, 70536-18-4);estazolam (29975-16-4);flunitrazepam (1622-62-4);flurazepam (1172-18-5, 17617-23-1);isoniazid (54-85-3, 62229-51-0, 65979-32-0);ketoconazole (65277-42-1);nicotine (54-11-5);nitrazepam (146-22-5);quazepam (36735-22-5);ramelteon (196597-26-9);rivastigmine (129101-54-8);temazepam (846-50-4);triazolam (28911-01-5);verapamil (152-11-4, 52-53-9);zolpidem (82626-48-0);zopiclone (43200-80-2);Neurology and Neurosurgery (8);Gerontology and Geriatrics (20);Drug Literature Index (37);Adverse Reactions Titles (38)</t>
  </si>
  <si>
    <t>Insomnia and other sleep disturbances are common in older people, with up to 40% reporting some difficulty sleeping. Insomnia is a syndrome with multiple causes including medications, other illnesses and environmental factors. An accurate diagnosis is needed for effective management. Sleep disturbances are associated with functional and cognitive impairment and excess mortality. Management should initially be non-pharmacological including sleep hygiene education and behavioural therapy. Medications, including benzodiazepines (BZDs), are second-line with little evidence to support long-term usage. BZD usage in older people is associated with a range of disorders including falls, accidents and cognitive impairment. The management of insomnia in specific situations such as residential care, those with dementia and depressed older people can be challenging. Additional research is needed, particularly on the risks/benefit of long-term pharmacotherapy and to determine whether therapy reduces the consequences of sleep disturbances. Copyright ‚î¨‚åê Cambridge University Press 2012.</t>
  </si>
  <si>
    <t>(Woodward M., michael.woodward@austin.org.au) Cambridge University Press, Shaftesbury Road, Cambridge, United Kingdom.; ID: 1147</t>
  </si>
  <si>
    <t>0959-2598 1469-9036 (electronic)</t>
  </si>
  <si>
    <t>2012138529 FULL TEXT LINK http://dx.doi.org/10.1017/S0959259811000232</t>
  </si>
  <si>
    <t>Woolf,C. J.;Hashmi,M.</t>
  </si>
  <si>
    <t>Use and abuse of opioid analgesics: potential methods to prevent and deter non-medical consumption of prescription opioids</t>
  </si>
  <si>
    <t>Current Opinion in Investigational Drugs</t>
  </si>
  <si>
    <t>*Analgesics, Opioid/ae Adverse Effects];*Analgesics, Opioid/tu Therapeutic Use];Delayed-Action Preparations;Drug Combinations;Drug Prescriptions;Humans;Narcotic Antagonists/tu Therapeutic Use];*Opioid-Related Disorders/pc Prevention &amp; Control];Pain/dt Drug Therapy];Patients;Pharmacists;Physicians;Professional Role;Receptors, Opioid, mu/ag Agonists];Risk Assessment;0 (Analgesics, Opioid);0 (Delayed-Action Preparations);0 (Drug Combinations);0 (Narcotic Antagonists);0 (Receptors, Opioid, mu)</t>
  </si>
  <si>
    <t>Medicinal opiates can produce both analgesia and euphoria. The mood altering action of this class of drugs has led to their abuse (non-medical use), a problem compounded by their physical dependence and addictive qualities. The legitimate expansion of clinical opioid analgesic use for severe chronic non-malignant pain, together with the introduction of high-dose extended-release (modified-release) oral tablet formulations of opioids with good bioavailability, has created increased opportunities for the illicit use of these prescribed drugs. Such use is now a major societal problem, with an incidence that appears to exceed the use of street narcotics such as heroin in the US. This review highlights the extent of the illicit use of prescribed opiate analgesics and some of the steps, legal, educational and pharmaceutical, that can be taken to potentially reduce the risk of their misuse or diversion for abuse. References: 38]</t>
  </si>
  <si>
    <t>J2: Curr Opin Investig Drugs; Woolf, Clifford J Hashmi, Maliha; ID: 483</t>
  </si>
  <si>
    <t>1472-4472</t>
  </si>
  <si>
    <t>Woolf,Clifford J. Neural Plasticity Research Group, Department of Anesthesia and Critical Care, Massachusetts General Hospital and Harvard Medical School, 149 13th Street, Charlestown, MA 02129, USA. cwoolf@partners.org</t>
  </si>
  <si>
    <t>http://ovidsp.ovid.com/ovidweb.cgi?T=JS&amp;CSC=Y&amp;NEWS=N&amp;PAGE=fulltext&amp;D=med5&amp;AN=14983975</t>
  </si>
  <si>
    <t>MEDLINE; Ovid Technologies; Use and abuse of opioid analgesics: potential methods to prevent and deter non-medical consumption of prescription opioids</t>
  </si>
  <si>
    <t>Wortzel,H. S.;Arciniegas,D. B.</t>
  </si>
  <si>
    <t>NIHMS398928 PMC3437653; Treatment of post-traumatic cognitive impairments</t>
  </si>
  <si>
    <t>Current Treatment Options in Neurology</t>
  </si>
  <si>
    <t>OPINION STATEMENT: * Cognitive impairment is a common consequence of traumatic brain injury (TBI) and a substantial source of disability. Across all levels of TBI severity, attention, processing speed, episodic memory, and executive function are most commonly affected.* The differential diagnosis for post-traumatic cognitive impairments is broad, and includes emotional, behavioral, and physical problems as well as substance use disorders, medical conditions, prescribed and self-administered medications, and symptom elaboration. Thorough neuropsychiatric assessment for such problems is a prerequisite to treatments specifically targeting cognitive impairments.* First-line treatments for post-traumatic cognitive impairments are nonpharmacologic, including education, realistic expectation setting, environmental and lifestyle modifications, and cognitive rehabilitation.* Pharmacotherapies for post-traumatic cognitive impairments include uncompetitive N-methyl-D-aspartate receptor (NMDA) antagonists, medications that directly or indirectly augment cerebral catecholaminergic or acetylcholinergic function, or agents with combinations of these properties.* In the immediate post-injury period, treatment with uncompetitive NMDA receptor antagonists reduces duration of unconsciousness. The mechanism for this effect may involve attenuation of neurotrauma-induced glutamate-mediated excitotoxicity and/or stabilization of glutamate signaling in the injured brain.* During the subacute or late post-injury periods, medications that augment cerebral acetylcholinergic function may improve declarative memory. Among responders to this treatment, secondary benefits on attention, processing speed, and executive function impairments as well as neuropsychiatric disturbances may be observed. During these post-injury periods, medications that augment cerebral catecholaminergic function may improve hypoarousal, processing speed, attention, and/or executive function as well as comorbid depression or apathy.* When medications are used, a "start-low, go-slow, but go" approach is encouraged, coupled with frequent reassessment of benefits and side effects as well as monitoring for drug-drug interactions. Titration to either beneficial effect or medication intolerance should be completed before discontinuing a treatment or augmenting partial responses with additional medications.</t>
  </si>
  <si>
    <t>J2: Curr Treat Options Neurol; Wortzel, Hal S Arciniegas, David B R01 HD047242 (United States NICHD NIH HHS); ID: 194</t>
  </si>
  <si>
    <t>1534-3138</t>
  </si>
  <si>
    <t>Wortzel,Hal S. VISN 19 Mental Illness Research, Education, and Clinical Center, Denver Veterans Affairs Medical Center, 1055 Clermont Street, Denver, CO, 80220, USA, hal.wortzel@ucdenver.edu.</t>
  </si>
  <si>
    <t>http://ovidsp.ovid.com/ovidweb.cgi?T=JS&amp;CSC=Y&amp;NEWS=N&amp;PAGE=fulltext&amp;D=prem&amp;AN=22865461</t>
  </si>
  <si>
    <t>http://dx.doi.org/10.1007/s11940-012-0193-6</t>
  </si>
  <si>
    <t>MEDLINE; Ovid Technologies; Treatment of post-traumatic cognitive impairments</t>
  </si>
  <si>
    <t>Wright,A. J.;Aveyard,P.;Guo,B.;Murphy,M.;Brown,K.;Marteau,T. M.</t>
  </si>
  <si>
    <t>Is attributing smoking to genetic causes associated with a reduced probability of quit attempt success? A cohort study</t>
  </si>
  <si>
    <t>1664 8p</t>
  </si>
  <si>
    <t>Disease Susceptibility -- Classification;Smoking;Smoking Cessation;Adult;Female;Great Britain;Health Promotion;Male;Prospective Studies;Smoking -- Epidemiology;Human</t>
  </si>
  <si>
    <t>AIMS: Pharmacogenetic smoking cessation interventions would involve smokers being given information about the influence of genes on their behaviour. However, attributing smoking to genetic causes may reduce perceived control over smoking, reducing quit attempt success. This study examines whether attributing smoking to genetic influences is associated with reduced quitting and whether this effect is mediated by perceived control over smoking. DESIGN: Cohort study. PARTICIPANTS: A total of 792 smokers, participating in a trial of nicotine replacement therapy (NRT)-assisted smoking cessation. Participants were informed that the trial investigated relationships between genetic markers and smoking behaviour, but personalized genetic feedback was not provided. SETTING: Primary care in Oxfordshire and Buckinghamshire, UK. MEASUREMENTS: Perceived control over smoking and perceived importance of genetic factors in causing smoking assessed pre-quit; abstinence 4, 12, 26 and 52 weeks after the start of treatment. FINDINGS: A total of 515 smokers (65.0%) viewed genetic factors as playing some role in causing their smoking. They had lower perceived control over smoking than smokers who viewed genetic factors as having no role in causing their smoking. Attributing smoking to genetic causes was not associated significantly with a lower probability of quit attempt success. CONCLUSIONS: Attributing smoking to genetic factors was associated with lower levels of perceived control over smoking but not lower quit rates. This suggests that learning of one's genetic predisposition to smoking during a pharmacogenetically tailored smoking cessation intervention may not deter quitting. Further research should examine whether the lack of impact of genetic attributions on quit attempt success is also found in smokers provided with personalized genetic feedback.</t>
  </si>
  <si>
    <t>Entry Date: 20080229. Revision Date: 20150711. Publication Type: Journal Article; research. Journal Subset: Biomedical; Europe; Peer Reviewed; UK &amp; Ireland. Special Interest: Psychiatry/Psychology. NLM UID: 9304118. PMID: 17854342.; ID: 1932</t>
  </si>
  <si>
    <t>http://proxy.lib.umich.edu/login?url=http://search.ebscohost.com/login.aspx?direct=true&amp;db=ccm&amp;AN=106011320&amp;site=ehost-live&amp;scope=site</t>
  </si>
  <si>
    <t>ccm; EBSCOhost; Is attributing smoking to genetic causes associated with a reduced probability of quit attempt success? A cohort study</t>
  </si>
  <si>
    <t>Wyatt,L.;Asatryan,L.;Woodward,J. J.;Alkana,R. L.;Davies,D. L.;Author,Addresses;Department;of,Pharmacology;Pharmaceutical Sciences, School of,Pharmacy University;of Southern California, Los Angeles,United States;Correspondence,Address;Wyatt,Department of Pharmacology,L.;Pharmaceutical Sciences,School of;Pharmacy,University of Southern California Los Angeles United States</t>
  </si>
  <si>
    <t>Developing a lentiviral gene delivery system to investigate the role of purinergic P2X receptors in alcohol-induced behaviors in the CNS</t>
  </si>
  <si>
    <t>202A</t>
  </si>
  <si>
    <t>(MAJOR FOCUS);alcohol;receptor;adenosine triphosphate;cation;hybrid protein;ion channel;ligand;lipid;alcoholism;central nervous system;gene delivery system;society;United States;agonist;brain region;cellular distribution;fluorescence;gene;gene expression system;gene silencing;gene targeting;genetic transfection;Human immunodeficiency virus;infection;laboratory;methodology;model;mouse;nerve cell;packaging;pharmacy;rat;school</t>
  </si>
  <si>
    <t>P2X receptors (P2XRs) are a family of cation-permeable ligand-gated ion channels (LGICs) gated by synaptically released extracellular ATP. Previous work demonstrates that ethanol inhibits ATP-activated currents in rat and mouse neurons suggesting a role for P2XRs in ethanol-induced behaviors. Despite these interesting findings, the lack of specific P2XR agonists and antagonists has hampered our ability to determine the role that individual P2XR subtypes play in mediating ethanol-induced behaviors. Moreover, whole animal transgenic models do not allow for studies of behavioral roles of individual P2XRs expressed in different brain regions. To address these limitations, our laboratory is developing an alternative approach that uses lentiviral gene delivery and/or gene silencing methodology in neurons. In the current study, we focused on P2X4Rs due to their abundant expression in the CNS and previous recombinant investigations that demonstrate inhibition of ATP-gated currents by ethanol in P2X4Rs. We employed two commercially available recombinant lentiviral expression systems (Clontech and GeneCopoeia) that utilize either HIV-1 or FIV-based sequences and a lentiviral packaging signal for pseudovirus production. Control lentiviral production and infection yielded 90-100% expression of GFP in rat primary cortical and hippocampal neurons. GFP signals were visible over 7-10 days. We next cloned a P2X4R gene into the fluorescent GFP-tag vector to generate a C-terminal fusion protein. Transduction of neurons with the P2X4-GFP fusion vector resulted in a punctate fluorescence pattern that is typical for intracellular distribution of P2X4Rs. Importantly, transduction efficiency of P2X4R-GFP was significantly higher (&gt;50%) than what is typically observed during lipid-based transfections of neurons (&lt;10%). Taken together, these results are an important step forward in the delivery of P2XRs in neurons. This work sets the stage for future utilization of lentiviral gene delivery for manipulations of the expression levels of individual P2XR subtypes in a brain region-specific manner and thus provides a means to investigate the role of specific P2XR subtypes in ethanol-induced behaviors. Support: NIAAA/NIH AA013922, AA003972, AA017243, AA009986 and USC School of Pharmacy.</t>
  </si>
  <si>
    <t>(Wyatt L.; Asatryan L.; Woodward J.J.; Alkana R.L.; Davies D.L.) Texas Research Society On Alcoholism - 19th Annual Scientific Meeting San Antonio, TX, United States 2009-02-20 to 2009-02-20 Blackwell Publishing Ltd; ID: 1432</t>
  </si>
  <si>
    <t>Wyatt,S. A.;Dekker,M. A.;Author,Addresses;Dual,Diagnosis Program;Crescent St, Middletown C. T. U. S. A.;Correspondence,Address;SA Wyatt, Dual Diagnosis Program Middlesex Hospital,Crescent St;Middletown,C. T. U. S. A. E.</t>
  </si>
  <si>
    <t>17908828; Improving physician and medical student education in substance use disorders</t>
  </si>
  <si>
    <t>The Journal of the American Osteopathic Association</t>
  </si>
  <si>
    <t>ES27</t>
  </si>
  <si>
    <t>addiction (prevention);clinical competence;medical education;medical student;physician;human;review;standard;United States</t>
  </si>
  <si>
    <t>Medical and psychosocial problems related to substance use disorders (SUDs) remain a major source of national morbidity and mortality. This situation exists despite greater understanding of genetic, neurobiologic, and social underpinnings of the development of these illnesses that has resulted in many advances in addiction medicine. The value of assessment and brief intervention of this disease is well documented. Patients need to be identified and engaged in order for them to be treated. A variety of evidence-based pharmacologic and psychotherapeutic treatments are now available. Strong evidence exists that treatment of patients for SUDs produces results similar to or better than those obtained from treatment for other chronic illnesses. It is also clear that physicians can play a pivotal role in helping to reduce the burden of disease related to SUDs However, to do this, physicians need to be better educated. Through such education comes greater confidence in identification and providing treatment. Also, the discomfort and stigma often associated with this disease are reduced. The federal government-through the Office of National Drug Control Policy, the Surgeon General, the Center for Substance Abuse Treatment, the National Institute on Drug Abuse, the National Institute on Alcohol Abuse and Alcoholism, and the National Highway Traffic Safety Administration of the Department of Transportation (DOT)-is expending concerted efforts to improve physician education in addiction medicine. These efforts culminated in the Second Leadership Conference on Medical Education in Substance Abuse in December 2006. The osteopathic medical profession was represented at this conference. This article reviews not only the recommendations from this meeting, but also the nature of the problem, how members of the osteopathic medical profession are currently addressing it, and a strategy for improvement endorsed by the American Osteopathic Academy of Addiction Medicine.</t>
  </si>
  <si>
    <t>(Wyatt S.A.; Dekker M.A.); ID: 1488</t>
  </si>
  <si>
    <t>http://www.ncbi.nlm.nih.gov/pubmed/17908828</t>
  </si>
  <si>
    <t>Improving physician and medical student education in substance use disorders</t>
  </si>
  <si>
    <t>Yadav,A.;Goel,S.;Sharma,V. L.</t>
  </si>
  <si>
    <t>Integration of tobacco control in Masters of Public Health curricula of India</t>
  </si>
  <si>
    <t>Cross-Sectional Studies;*Education, Public Health Professional;Female;Humans;India;Male;*Public Health/ed Education];*Smoking/ae Adverse Effects];Substance Withdrawal Syndrome/di Diagnosis];Substance Withdrawal Syndrome/th Therapy];Surveys and Questionnaires;*Tobacco Use Cessation;*Tobacco Use Disorder</t>
  </si>
  <si>
    <t>CONTEXT: Tobacco is the single largest cause of preventable death among adults globally, as it is in India. Despite this alarming situation, there is very minimal inclusion of tobacco in formal education systems, including the medical discipline, in India. AIMS: The present study analyzed the extent of integration of tobacco control related content in Masters of Public Health (MPH) curricula of various institutes in India. MATERIALS AND METHODS: This cross-sectional study was conducted during January 2011 to May 2011 in all colleges of the country offering a MPH course. The colleges were enlisted using various internet search engines (Google Scholar, Pubmed, Medline), other published literature and snowball technique. A 50 items semi-structured questionnaire was designed, posted and e-mailed (followed by hard copy) to the Person-In-Charge of the MPH program. STATISTICAL ANALYSIS: Descriptive statistics were used to profile the tobacco control content in respective institutions. All data entry and analysis was conducted using SPSS (version 16) for windows. RESULTS: The duration of the MPH course was two years in all institutes and had accreditation with some affiliated body. Tobacco related diseases were covered under 'non communicable diseases' section by every institute. However, a mere 41.4% of institute's had faculty who had received specialized training in tobacco control. More coverage was given to health risks and effects of smoking as compared to cessation interventions (5 A's), symptoms of withdrawal and pharmacological treatments. Only 25% of institutes were in process of introducing tobacco courses into their curricula. Lack of expertise and administrative barriers were cited as perceived major problems in inclusion of tobacco control in MPH curricula. CONCLUSIONS: It can be concluded that tobacco control is not receiving adequate attention in public health curricula in India. There is a need for coordinated efforts in the area of tobacco control so as to reduce morbidity and mortality from tobacco induced diseases.</t>
  </si>
  <si>
    <t>J2: Asian Pac J Cancer Prev; Yadav, Aman Goel, Sonu Sharma, Vijay Lakshmi; ID: 41</t>
  </si>
  <si>
    <t>Yadav,Aman. Centre of Public Health, Panjab University, Chandigarh, India E-mail : sonugoel007@yahoo.co.in.</t>
  </si>
  <si>
    <t>http://ovidsp.ovid.com/ovidweb.cgi?T=JS&amp;CSC=Y&amp;NEWS=N&amp;PAGE=fulltext&amp;D=medl&amp;AN=25081674</t>
  </si>
  <si>
    <t>MEDLINE; Ovid Technologies; Integration of tobacco control in Masters of Public Health curricula of India</t>
  </si>
  <si>
    <t>Yadav,V.;Monika;Author,Addresses;Pgims,Rohtak Haryana India;Correspondence,Address;Yadav, Pgims Rohtak Haryana India,V.</t>
  </si>
  <si>
    <t>Awareness regarding doping among students: A survey</t>
  </si>
  <si>
    <t>doping;human;India;student;health hazard;health science;needle;pharmacy;pharmacy student;policy;punishment;structured questionnaire;undergraduate student;United Kingdom;university</t>
  </si>
  <si>
    <t>Objective: To find out awareness regarding doping among pharmacy students. Method: A prospective survey was conducted in the department of pharmacy, Pt B.D.sharma University of Health Sciences Rohtak using a structured questionnaire (1-12) regarding what is doping ? Name the drugs used for doping, what are the samples send for testing? What punishment is given if player found positive? What is WADA &amp; No-needle policy for U.S Olympic committee etc and results were analyzed. Results: A total of 120 undergraduate students were included. Most of (55.7%) students knew about doping. 40% students had no knowledge about the types of doping. Out of 120 students 55% were unaware about the doping tests. 66.8% students had knowledge regarding the health hazards of using drugs for doping. Majority of students (70%) knew regarding the games in which drugs are taken by the players. However 60% students had no knowledge about the positive cases detected in India. About 60% students had knowledge regarding punishment, if found positive for doping test. However, 30% students did not know the full form of WADA. Majority (70%) students had knowledge about the no-needle policy for 2012 London Olympics. Conclusion: Most of the students have awareness regarding doping.</t>
  </si>
  <si>
    <t>(Yadav V.; Monika) 57th Annual Conference of Association of Physiologists and Pharmacologists of India New Delhi, India 2011-12-13 to 2011-12-17 Association of Physiologists and Pharmacologists of India; ID: 1289</t>
  </si>
  <si>
    <t>Yan,C.;Wang,X.;Jiang,P.;Hou,Y.;Author,Addresses;Department of Pharmacology, Hebei,Medical University;Shijiazhuang,Hebei Province China;Department of Anesthesiology, Third Hospital of,Hebei Medical;University,Shijiazhuang Hebei Province China;Department,of Pharmacology;International Peace Hospital, Shijiazhuang Hebei,Province China;Correspondence,Address;Hou, Department of Pharmacology Beathune International Peace Hospital,Y.;Shijiazhuang,Hebei Province China Email yancaizhen yahoo com cn</t>
  </si>
  <si>
    <t>Changes in neurosteroid levels and steroidogenic enzyme expression in the brain of morphine dependent and withdrawing rats</t>
  </si>
  <si>
    <t>Neural Regeneration Research</t>
  </si>
  <si>
    <t>(MAJOR FOCUS);morphine (drug dose, intraperitoneal drug administration);neurosteroid (endogenous compound);3alpha hydroxy 5alpha pregnan 20 one (endogenous compound);messenger RNA (endogenous compound);naloxone;pregnenolone (endogenous compound);progesterone (endogenous compound);morphine addiction;protein expression;withdrawal syndrome;animal behavior;animal experiment;animal tissue;article;biochemistry;brain level;controlled study;drug dose increase;immunohistochemistry;immunoreactivity;male;mass fragmentography;nonhuman;protein localization;randomization;rat;reverse transcription polymerase chain reaction;DRUG MANUFACTURERS;(China)Hunan Yigiao;(China)Shenyang;3alpha hydroxy 5alpha pregnan 20 one (516-54-1);morphine (52-26-6, 57-27-2);naloxone (357-08-4, 465-65-6);pregnenolone (145-13-1);progesterone (57-83-0);Neurology and Neurosurgery (8);Clinical and Experimental Biochemistry (29);Drug Literature Index (37);Drug Dependence, Alcohol Abuse and Alcoholism (40)</t>
  </si>
  <si>
    <t>Background: Studies have demonstrated that exogenous neurosteroid treatment prevents the development of morphine tolerance and dependence, and attenuates abstinence behavior in mice. However, there are few studies on whether the levels of endogenous neurosteroids can be changed by morphine dependence and withdrawal. Objective: To investigate the levels of various neurosteroids in rat brain following morphine dependence and withdrawal. To evaluate the expressions of steroidogenic enzyme mRNAs and proteins. To identify the relationship between neurosteroids and morphine dependence at the whole animal behavior, neural biochemistry, and molecular levels. Design, Time and Setting: A randomized, controlled study. Experiments were performed at the Department of Pharmacology of Hebei Medical University and Department of Pharmacology of Beathune International Peace Hospital, China, from June 2004 to October 2007. Materials: Morphine hydrochloride injection (Shenyang First Pharmaceutical Factory, China), naloxone hydrochloride (Hunan Yiqiao Pharmaceutical Co., China) and a gas chromatography-mass spectrometry system (Agilent, CA, USA) were used in this study. Methods: Healthy adult Sprague Dawley rats were randomly divided into three groups: a morphine dependence group, morphine withdrawal group and control group (n = 20). The rats in the morphine dependence and morphine withdrawal groups were given increasing doses of morphine (5, 10, 15, 20, 30, 40 and 50 mg/kg, intraperitoneal) to create morphine dependence. The rats in the morphine withdrawal group were injected with 2 mg/kg naloxone to precipitate withdrawal 1 hour after the last morphine injection. Rats in the control group were treated with an equal volume of saline. Main Outcome Measures: Following morphine dependence and withdrawal, brain levels of the neurosteroids pregnenolone, progesterone and allopregnanolone were analyzed using gas chromatography-mass spectrometry. The mRNA expression of two key steroidogenic enzymes, P450 side-chain cleavage enzyme (P450scc) and 3‚ï¨‚ñì-hydroxysteroid dehydrogenase (3‚ï¨‚ñì-HSD), were determined in rat brain regions using reverse transcription-polymerase chain reaction. The distribution and expression of P450scc protein were visualized in brain regions associated with addiction by immunohistochemistry. Results: In brain tissue from the morphine dependence group, the levels of pregnenolone and progesterone were decreased by 62% (P  0.05). Conclusion: The neurosteroid levels and expressions of steroidogenic enzymes changed similarly in morphine dependent rats, suggesting that the morphine dependence-induced decrease in neurosteroids might depend on local expression of steroidogenic enzymes in the central nervous system. However, the changes in neurosteroids in morphine withdrawal rats were not in accordance with the changes in the expression of steroidogenic enzymes, suggesting that the effects of morphine withdrawal on brain neurosteroid levels may not depend primarily on the local expression of steroidogenic enzymes in the central nervous system.</t>
  </si>
  <si>
    <t>(Yan C.; Jiang P.) (Wang X.) (Hou Y., yancaizhen@yahoo.com.cn) Editorial Board of Neural Regeneration Research, P.O. Box 1234, Shaenyang, Liaoning, China.; ID: 1336</t>
  </si>
  <si>
    <t>1673-5374</t>
  </si>
  <si>
    <t>2010419928 FULL TEXT LINK http://dx.doi.org/10.3969/j.issn.1673-5374.2010.07.006</t>
  </si>
  <si>
    <t>Yanev,S.;Author,Addresses;Department of Drug Toxicology, Institute of,Neurobiology B.;Sofia,Bulgaria;Correspondence,Address;S.,S.Yanev, Department of Drug Toxicology Institute of Neurobiology B.A.;Sofia,Bulgaria</t>
  </si>
  <si>
    <t>Adverse drug reactions and personalized medicine</t>
  </si>
  <si>
    <t>acyltransferase;alcohol;aminophenazone;amiodarone;amonafide;analgesic agent;antiarrhythmic agent;antibiotic agent;antibody;anticonvulsive agent;antidepressant agent;antiemetic agent;apolipoprotein E;arachidonate 5 lipoxygenase;azathioprine;beta 2 adrenergic receptor;captopril;carbamazepine;cephalosporin;cholinesterase;cimetidine;clozapine;codeine;cytochrome;cytochrome P450;dapsone;diazepam;diclofenac;dihydralazine;dihydropyrimidine dehydrogenase;DOPA;encainide;enzyme;fluorouracil;fluvoxamine;furosemide;glucuronosyltransferase;halothane;hapten;hydralazine;irinotecan;isoniazid;lansoprazole;levamisole;lipoxygenase;marker;mephenytoin;mercaptopurine;mesalazine;methyldopa;methyltransferase;mianserin;morphine;multidrug resistance protein;myeloperoxidase;neuroleptic agent;nitrofurantoin;nonsteroid antiinflammatory agent;nortriptyline;omeprazole;ondansetron;opiate;paracetamol;penicillamine;penicillin G;phenacetin;phenformin;phenytoin;procainamide;propafenone;propylthiouracil;protein;ranitidine;receptor;reduced nicotinamide adenine dinucleotide phosphate oxidase;ryanodine receptor;salbutamol;serotonin;serotonin receptor;serotonin transporter;sulfamethoxazole;sulfonamide;sumatriptan;suxamethonium;thiopurine methyltransferase;ticlopidine;tienilic acid;tolbutamide;toxin;tramadol;tricyclic antidepressant agent;trimethoprim;tropisetron;uridine diphosphate;valproic acid;warfarin;zileuton;adverse drug reaction;pharmacology;agranulocytosis;allele;allergic reaction;Alzheimer disease;anaphylaxis;anesthesia;apoptosis;asthma;autoimmune disease;calcium homeostasis;cancer cell;carcinogenicity;cell metabolism;chemotherapy;classification;diarrhea;diet;dose response;drug dose;drug metabolism;drug synthesis;drug therapy;drug toxicity;eating habit;excretion;exposure;fetal hydantoin syndrome;finger dermatoglyphics;gene;genetic polymorphism;genetic variability;genotype;glucose 6 phosphate dehydrogenase deficiency;hemolytic anemia;homozygote;hypothermia;immune response;individualization;interstitial nephritis;leukemia;leukocyte;lifestyle;lipid peroxidation;liver;liver toxicity;lung;lung toxicity;macromolecule;metabolic activation;metabolism;metabolite;mutation;necrosis;nephrotoxicity;neuritis;organisms;oxidative stress;pancreatitis;patient;pharmacist;phenotype;physician;plasma;point mutation;promoter region;protection;risk;scientist;self medication;skeletal muscle;skin;skin manifestation;skin toxicity;society;synthesis;tardive dyskinesia;teacher;teratogenicity;therapy;therapy effect;toxicity;uterus;velocity;withdrawal reflex</t>
  </si>
  <si>
    <t>Introduction Adverse drug reactions (ADR) can be defined as, Œì√á¬£an unwanted or harmful reaction experienced following administration of a drug, or combination of drugs, under normal conditions of use and is suspected as being related to the drug (or combination)Œì√á¬•. In general they can be divide into two main groups: type A (predictable, linked to the main pharmacological effect) and type B (unpredictable, idiosyncratic, non-connected with the main pharmacological effect (Table 1). (Table presented) We can further divide ADR in type C (associated with long-term use, involves dose accumulation; example: phenacetin and interstitial nephritis); type D (delayed effects like carcinogenicity, teratogenicity, dose independent; example: fetal hydantoin syndrome); type E (withdrawal reactions); type F (failure of therapy). The current classification is defined only by properties of the drug - its known pharmacology and the dose dependence of its effects. A modern view of development of ADR also includes properties of the reaction (the time course of its appearance and its severity) and properties of the individual (the genetic, pathological, and other biological differences that confer susceptibility). That is the three dimensional classification system based on dose relatedness, timing, and patient susceptibility (DoTS) proposed by J.K.Aronson and R.E.Ferner (BMJ, 2003, 327, 1222-1225). Adverse drug reactions (ADRs) often arise because of the formation of metabolic intermediates. Our knowledge of the drug metabolizing systems showed that they have a high level of genetic variation. When those variations are present in individuals taking more than one drug the chance of having an adverse drug reaction is greatly increased. In this presentation, the mechanisms of some adverse drug reactions are described based on different genoand phenotype of drug metabolizing systems and pharmacological targets (enzymes and receptors). Discussion In general, we can divide drugs in two groups, depending of the way by which the reactive metabolites induced ADRs - those of which possessed intrinsic toxicity and those induced metabolic idiosyncrasy. The first group induced impairment of cellular metabolism and calcium homeostasis; oxidative stress and lipid peroxidation; bind covalently to different cellular macromolecules; developed cell apoptosis and necrosis. Many factors, including genetic, environmental, in uterus exposure, life style, diet, drugs and eating habits leave aŒì√á¬£metabolic signatureŒì√á¬• and contribute to aŒì√á¬£metabolic fingerprint mapŒì√á¬• unique for each individual organism. This fact could explain why after the same drug dose two different persons react different, with development of ADR or some times of drug failure. I. Genetic polymorphism, drug metabolism and ADR (type A) From the top 27 drugs frequently cited in ADR reports 59% (16/27) metabolized by at least one enzyme having poor metabolizer (PM) genotype and 38% of them are (11/27) metabolized by CYP 2D6 Here are some examples of drugs metabolized by enzymes with variant alleles associated with poor metabolism and implicated in different ADRs: CYP1A2 (typical antipsychotics and tardive dyskinesia); CYP2C9 (Warfarin /haemorrhage/, Tolbutamide /hypoglycaemia/, Phenytoin /skin toxicity/); CYP2C19 (Mephenytoin /neurotoxicity/, Diazepam /prolonged sedation/); Omeprazole and Lansoprazole /higher therapeutic response/. CYP2D6 (Antiarrhythmics /arrhythmias/, ‚ï¨‚ñì-Blockers /bradycardia/, Tricyclic antidepressants /confusion/, Opioids /protection from oral opiate dependence/, Phenformin /lactic acidosis/, Perhexilene /hepatotoxicity/); codeine /poor analgesic efficacy/; tramadol /poor analgesic efficacy/. CYP3A4 (Anti-leukaemic agents /treatment-related leukaemia/); plasma butyrylcholinesterase (Succinylcholine /prolonged apnoea/); N-acetyltransferase (Sulfonamides /hypersensitivity/, Amonafide /myelotoxicity/, Procainamide, hydralazine, isoniazid /lupus/); thiopurine methyltransferase (6-Mercaptopurine, azathioprine /myelotoxicity/); dihydropyrimidine dehydrogenase (5-Fluorouracil /myelotoxicity/); UDP glucuronosyl transferase 1A1 (Irinotecan /diarrhoea, myelosuppresion/). Increased risk of toxicity or failure to response can be found in patients with extensive expression (EM) of CYP 2D6 as: codeine (morphine toxicity); encainide (possibly proarrhythmias) nortriptyline (poor antidepressant efficacy at normal doses); propafenone (poor antiarrhythmic efficacy at normal doses); tropisetron and ondansetron (poor antiemetic efficacy at normal doses) In some cases, the appearance of selective organ toxicity by some drugs can be explained by their metabolic activation to reactive, toxic metabolite (s): paracetamol (liver and kidney toxicity) amiodarone (o2, lung and skin toxicity) valproic acid (reye-like syndrome) isoniazid (polyneuritis) furosemid (pancreatitis) nitrofurantoin (lung toxicity) cimetidine (liver toxicity) diclofenac (liver toxicity) ranitidine (liver toxicity) II. Genetic polymorphism of therapeutic target - enzyme or receptors There are many examples of genetically determined different pharmacodynamic response or ADR due to defective pharmacological target (enzyme) as: Glucose-6-phosphate dehydrogenase deficiency - hemolytic anemia after antimalaric drugs; Thiopurin S-methyltransferase deficiency - toxic effects after azathioprine in treatment of leukemia and autoimmune diseases; ALOX-5 (5-lipoxygenase) - asthmatic patients who carry mutations of the core promoter of 5- lipoxygenase (ALOX-5) respond poorly to ALOX-5 inhibitors such as Zileuton; ACE - ACEDD-genotype has two times higher maximal velocity and 1.5 higher concentration in the body compared with the wild ACEII-genotype, thus lead to dramatic differences in therapeutic effects of ACEinhibitors. There are many ADR or therapeutic failure due to defective pharmacological target (receptors) as: Serotonin transporter (5-HTT) gene is reportedly a determinant of response to fluvoxamine, a selective serotonin re-uptake inhibitor (SSRI); Arg16/Gly16 or Gly16/Gly16 variants of b2-adrenoceptors have been display a much less favourable immediate bronchodilatory response to salbutamol; Patients with homozygote mutation Gly17Arg of beta-2 adrenoreceptor exerted increased asthmatic outburst after treatment withŒì√á¬£normalŒì√á¬• doses of albuterol; Mutation of Apolipoprotein E (ApoE4) gene leads to decreased response to tacrin in treatment of Alzheimer disease; P-glycoprotein (MDR) mutation - abolished the effectiveness of alkylating chemotherapeutics because of their increased excretion out of cancer cells; Patients with Ryanodine receptors mutation in skeletal muscles are exposed to malignant hypothermia after anesthesia with halothane; Single point mutation in serotonin receptor leads to great variability in effectiveness of sumatriptan. III. Immune-mediated drug toxicity (ADR type B) Requirement for development of the immune response to certain drug is appropriate hapten formation in the body through: 1. Direct haptenization (penicillin, penicillamine, captopril) The clinical sings of most common hypersensitivity reaction to drugs are: Anaphylaxis - type I reaction after betalactame antibiotics, NSAID, sulfonamides; Hemolytic anemia - penicillin, cephalosporin, methyl-DOPA, nomifensin; Agranulocytosis - aminopyrin, levamizol, captopril, mianserin, propylthiouracil, peniccilin-G, sulfasalazin, sulphmetoxazol); Skin reacions - trimetoprim, anticonvulsants, cephalosporin, penicillin). 2. On the other hand, there are many drugs known to cause immune-mediated toxicity, which undergo bioactivation by different cytochrome p450 isoforms. Most of them are mechanism-based inactivators, which reactive metabolites covalently bind to the corresponding CYP protein. By still not fully understand mechanism, organism develops antibodies against this complex. The consequence of this is the appearance of different immune mediated organ toxicities, like: hepatotoxicity (dihydralazine /CYP1A2/, halothane and ethanol /CYP2E1/, phenytoin /CYP2C9/, tienilic acid /CYP2C9/, sulphamethoxazole and carbamazepine /CYP3A4, CYP2C9/; skin toxicity (sulphamethoxazole, carbamazepine, phenytoin). 3. Metabolism of drugs by activated leukocytes (NADPH oxidase and myeloperoxidase) leads to: skin reactions; agranulocytosis (lupus) - sulfamethoxazole, dapsone, propylthiouracil, levamisole, ticlopidine, clozapine, 5-aminosalicylic acid, procainamide, mianserin. Conclusion The main goal of contemporary personalized medicine is to find the right dose of the right drug for the right indication for the right patient at the right time. This approach should decrease drastically in the future the incidences of adverse drug reactions. A broad spectrum of our society could contribute for the success of this goal. The important role of different participants in drug synthesis and usage to decrease the incidences of ADRs could be described as follows: Producers - to perform directed synthesis of new compounds; Scientists - to find new markers for testing gene and phenotype polymorphism and adverse drug reactions; Teachers - to train knowledgeable clinical pharmacologists and pharmacists; Centrum for ADR - to do better analysis of the signals for ADR and spreading of the information; Physicians and pharmacists - to achieve individualization of the pharmacotherapy; Patients - to have better information and less self-medication.</t>
  </si>
  <si>
    <t>(Yanev S.) 6th National Congress of Pharmacology Varna, Bulgaria 2009-10-01 to 2009-10-04 Blackwell Publishing Ltd; ID: 1382</t>
  </si>
  <si>
    <t>Yang,T.;Stevens,S.;Segal,R.;Wolf,A. L.;Lannigan,J. P.;Sessions,P. A.;Angaran,D.;Author,Addresses;University of Florida, College,of Pharmacy</t>
  </si>
  <si>
    <t>Disagreements between claims data and patient reports from medication therapy management interviews when identifying medication-related problems</t>
  </si>
  <si>
    <t>drug therapy;human;interview;managed care;medication therapy management;patient;pharmacy;chronic disease;college;data base;diagnosis;disability;drug cost;drug induced disease;drug interaction;examination;health;medicaid;medicare;prescription;retrospective study;Student t test;therapy;United States;university</t>
  </si>
  <si>
    <t>BACKGROUND: The University of Florida College of Pharmacy MTM Call Center provides telephonic medication therapy management (MTM) for members enrolled in a Medicare Part D plan and qualified for the MTM program. Enrollment criteria for MTM are 8 or more Part D covered chronic medications, 3 or more chronic diseases, and high annual drug costs. Before each MTM interview, diagnosis codes provided by Centers of Medicare and Medicaid Services and prescription claims submitted within 120 days prior to the interview were used to identify medicationrelated problems. During the interview, the pre-identified problems are evaluated with the patient, and new information relevant to patient's health condition and medication usage are collected. OBJECTIVE: To determine whether a telephonic patient interview improves upon the accuracy of using claims data alone in identifying medication-related problems. METHODS: A retrospective study was performed on 100 medication reviews that were conducted during June and July 2010. The following categories of medication problems were investigated: drug-drug interaction, drug-disease interaction, drug-age interaction, adherence, therapy duplications, suboptimal treatment, and medication use without a clear indication based on diagnosis code. RESULTS: The sample included both subjects older than 65 and younger than 65 who met Medicare eligibility due to a qualifying disability; many were dual eligible for Medicare and Medicaid. Overall, 921 medication- related problems were identified from the examination of claims data before the interview, and after the interview 266 (28.9%) problems were confirmed based on the patient interviews (see table). The change in the number of problems is statistically significant (P &lt; 0.001, using paired t test) for all categories of medication-related problems; 36 new problems were identified during the interview, and the most common newly discovered problems were adherence-related issues. CONCLUSIONS: Results from the evaluation indicate the insufficiency of (Table Presented) identifying medication-related problems based on prescription claims and diagnosis codes alone, and telephonic patient interview can be utilized as a supplement to claims databases.</t>
  </si>
  <si>
    <t>(Yang T., syang@cop.ufl.edu; Stevens S.; Segal R.; Wolf A.L.; Lannigan J.P.; Sessions P.A.; Angaran D.) 23rd Annual Meeting and Showcase of the Academy of Managed Care Pharmacy, AMCP 2011 Minneapolis, MN, United States 2011-04-27 to 2011-04-29 Academy of Managed Care Pharmacy (AMCP); ID: 1294</t>
  </si>
  <si>
    <t>Yoo,A.;Marcelino,M.;Remington,T.;Choe,H. M.;Author,Addresses;University of Michigan,Health System;University of Michigan,Health System;of Michigan, College of Pharmacy,United States;Correspondence,Address;Yoo, University of Michigan Health System United States,A.</t>
  </si>
  <si>
    <t>Implementation and evaluation of a comprehensive medication review in patient centered medical home</t>
  </si>
  <si>
    <t>e214</t>
  </si>
  <si>
    <t>prescription drug;American;clinical pharmacy;college;drug therapy;hospital patient;human;aged;follow up;Likert scale;medical specialist;patient;patient participation;patient satisfaction;pharmacist;pharmacy;prescription;primary medical care;risk;safety;statistics;student;telephone;United States;university</t>
  </si>
  <si>
    <t>PURPOSE: The elderly and those on high numbers of medications are at greater risk of having drug-related problems. There are many challenges in wide dissemination of CMR by community pharmacists due to lack of patient engagement and provider acceptance of pharmacist's therapeutic recommendations. Most recent national statistics showed only 6% of eligible patients received CMR. In 2016, CMR participation rate will be included in the STAR rating. Patient Centered Medical Home (PCMH) pharmacists provide a unique solution to current delivery of CMR. The primary objective is to measure participation rates for CMR-eligible patients and develop effective strategies for patient outreach and provider engagement. The secondary objective is to measure patient satisfaction. METHODS: U-M prescription drug plan members taking five or more chronic prescription medications (not including over the counter and herbal medications) were offered CMR service with a PCMH clinical pharmacist. Student pharmacists of University of Michigan College of Pharmacy enrolled eligible patients via telephone. The service included two appointments (face-to-face or telephone) in which the pharmacist evaluated medications for safety, efficacy, and cost. Recommendations were communicated to the treating specialist and primary care provider and then implemented at the follow up appointment. RESULTS: From January 15, 2014 until September 15, 2014, 270 of 489 (55.2%) eligible patients agreed to partake in the CMR service. Of those patients who were actually reached, 69.1% agreed to participate.Out of 133 surveys, on a 5-likert scale (1 = worst and 5 = most), patients found the service to be helpful (avg 4.68), comfortable (avg 4.93), useful (avg 4.67), comfortable (avg 4.93), convenient (avg 4.65) and was overall satisfied (avg 4.75). CONCLUSION: Integrating CMR into a PCMH university setting in which PCMH pharmacists have existing professional relationships with providers has shown to increase patient participation rate compared to national statistics. Patients are also highly satisfied with the service as well.</t>
  </si>
  <si>
    <t>(Yoo A.; Marcelino M.) (Remington T.; Choe H.M.) 2015 Annual Meeting of the American College of Clinical Pharmacy, ACCP 2015 San Francisco, CA, United States 2015-10-17 to 2015-10-21 Pharmacotherapy Publications Inc.; ID: 804</t>
  </si>
  <si>
    <t>Young,A. H.;Grunze,H.</t>
  </si>
  <si>
    <t>Physical health of patients with bipolar disorder</t>
  </si>
  <si>
    <t>Acta Psychiatrica Scandinavica, Supplementum</t>
  </si>
  <si>
    <t>Behavioral Symptoms;Bipolar Disorder/di Diagnosis];Bipolar Disorder/dt Drug Therapy];Bipolar Disorder/ep Epidemiology];Bipolar Disorder/pp Physiopathology];Bipolar Disorder/px Psychology];*Bipolar Disorder;Comorbidity;*Depressive Disorder, Major/di Diagnosis];Diagnosis, Differential;Great Britain;*Health Literacy/mt Methods];Health Status Disparities;Humans;Interpersonal Relations;Mental Health Services/og Organization &amp; Administration];Metabolic Syndrome X/ep Epidemiology];Metabolic Syndrome X/px Psychology];*Metabolic Syndrome X;Psychotropic Drugs/ad Administration &amp; Dosage];*Psychotropic Drugs/ae Adverse Effects];Quality of Life;Risk Factors;State Medicine;Treatment Outcome;*Weight Gain/de Drug Effects];0 (Psychotropic Drugs)</t>
  </si>
  <si>
    <t>OBJECTIVE: This article reviews the characteristics of bipolar disorder and approaches to minimise physical health risks, as well as treatment options, and their influence on patient quality of life (QoL). METHOD: The content of this article is based on the proceedings of a 1-day standalone symposium in November 2011 exploring how to establish a bipolar clinic within the context of existing services in the UK's National Health Service. RESULTS: Bipolar disorder is a common mental disorder and often under-recognised in patients with major depressive episodes. Patients are largely dependent on family and carers to lead normal lifestyles and have difficulties maintaining relationships. Mental health and physical health are closely linked, with risk factors such as weight gain, metabolic syndrome, smoking and diabetes contributing to cardiovascular disease and early death. Antipsychotics may induce treatment-related comorbidities, thus further contributing to a low QoL of patients. Symptoms of comorbidity or depression are frequently relieved through self-medication and substance abuse, thus increasing patient health and suicide risk. Therefore, regular health monitoring and patient education in risk factor minimisation are required. CONCLUSION: Early pharmacotherapeutic and psychoeducational interventions are required to improve treatment outcomes, as well as improving patient understanding of ways to minimise comorbidity development.Copyright ‚î¨‚åê 2013 John Wiley &amp; Sons A/S. Published by Blackwell Publishing Ltd.</t>
  </si>
  <si>
    <t>J2: Acta Psychiatr Scand Suppl; Young, A H Grunze, H; ID: 142</t>
  </si>
  <si>
    <t>1600-5473</t>
  </si>
  <si>
    <t>Young,A H. Imperial College, WLMHT, London, UK.</t>
  </si>
  <si>
    <t>http://ovidsp.ovid.com/ovidweb.cgi?T=JS&amp;CSC=Y&amp;NEWS=N&amp;PAGE=fulltext&amp;D=medl&amp;AN=23581787</t>
  </si>
  <si>
    <t>http://dx.doi.org/10.1111/acps.12117</t>
  </si>
  <si>
    <t>MEDLINE; Ovid Technologies; Physical health of patients with bipolar disorder</t>
  </si>
  <si>
    <t>Yu,T.;Yoo,S.;Johnson,K.;Chen,S.;Author,Addresses;University,of;Southern California,United States;Correspondence,Address;Yu, University of Southern California United States Email,T.;terrance.yu@usc.edu</t>
  </si>
  <si>
    <t>APhA-ASP project chance: USC school of pharmacy: Advancing diversity and pharmaceutical training (ADAPT)</t>
  </si>
  <si>
    <t>nicotine;pharmacy;school;ambulatory care;cognitive therapy;community;comprehension;consultation;counseling;cultural competence;drug therapy;education;health education;health educator;hospital;hospital patient;human;medically underserved;patient;patient care;pharmacist;population;safety;skill;smoking;smoking cessation;smoking cessation program;student;substance abuse;summer;United States;volunteer</t>
  </si>
  <si>
    <t>Objective: USC ADAPT sends studentpharmacists to five 340B clinics to apply their classroom knowledge by assuming roles as health educators to the medically underserved population in Los Angeles. Students are expected to sharpen their cultural competency, to learn the role of the 340B program and assist patients in obtaining its benefits in the clinics, and to motivate and counsel participants in smoking cessation. Methods: Forty-six students received training from the project directors and faculty advisors before participating in ADAPT. ADAPT serves the community through three components: health education presentations, smoking cessation program, and yearround safety-net clinic volunteering. (1) Student pharmacists educate participants from substance abuse recovery groups at the clinics through PowerPoint presentations and interactive activities. ADAPT uses a short, postpresentation survey to assess the participants' comprehension and responsiveness to the classes. (2) The smoking cessation program, combining the Nicotrol Inhaler drug therapy and cognitive behavior therapy, assists participants in quitting smoking over three 10-week courses in the summer, fall, and spring. Weekly classes begin with lectures on topics such as the dangers of smoking, urge management, and benefits of quitting. Each class ends with an interactive, one-on-one counseling session between a student and a participant. ADAPT assesses the classes by tracking patient attendance, performance, and weekly usage of cigarettes and/or cartridges. (3) In the year-round safety-net clinic volunteering program, student pharmacists serve in 340B qualified dispensaries and shadow clinical ambulatory care pharmacists. Students log their volunteer hours, activities, and reflections, which ADAPT assesses. ADAPT also hosts education modules presented by faculty advisors to teach students the concept behind 340B programs and patient consultation skills. Results: ADAPT plans to expand last year's goals by increasing number of student pharmacists to participate in patient care in the safety-net clinics and explore pharmacy career opportunities in underserved communities. This year, ADAPT aims to educate more than 300 participants and assist 25 participants to quit smoking. ADAPT is seeking new ambulatory care pharmacists as preceptors for the clinic volunteering program and plans to expand to new sites.</t>
  </si>
  <si>
    <t>(Yu T., terrance.yu@usc.edu; Yoo S.; Johnson K.; Chen S.) APhA2011 Seattle, WA, United States 2010-03-25 to 2010-03-28 American Pharmacists Association; ID: 1301</t>
  </si>
  <si>
    <t>Yuan,G. J.;Li,P. B.;Yang,J.;Pang,H. Z.;Pei,Y.;Author,Addresses;College,of;Bioscience;Engineering,Jiangxi Agricultural University Nanchang;China;School of Life Science, Sun Yat-sen,University Guangzhou;China;Correspondence,Address;G-J Yuan,College,of Bioscience;Engineering,Jiangxi Agricultural;University,Nanchang China Email sqlygj com</t>
  </si>
  <si>
    <t>24863359; Anti-methicillin-resistant Staphylococcus aureus assay of azalomycin F(5a) and its derivatives</t>
  </si>
  <si>
    <t>(MAJOR FOCUS);antiinfective agent (pharmacology);azalomycin (pharmacology);natural products and their synthetic derivatives (pharmacology);demalonylazalomycin f5a (pharmacology);unclassified drug;antibacterial activity;assay;methicillin resistant Staphylococcus aureus;agar diffusion;anaerobic fermentation;article;bacterial strain;broth dilution;carbon nuclear magnetic resonance;chemical structure;high performance liquid chromatography;minimum inhibitory concentration;Streptomyces hygroscopicus;synthesis;Drug Literature Index (37);Microbiology: Bacteriology, Mycology, Parasitology and Virology (4)</t>
  </si>
  <si>
    <t>Aim: To discover anti-methicillin-resistant Staphylococcus aureus (anti-MRSA) microbial natural products or their derivatives. Method: Azalomycin F(5a) (1) was prepared through fermentation of Streptomyces hygroscopicus var. azalomyceticus, and its derivatives were synthesized through hydrocarbylation in hydrocarbyl alcoholic-AcOH (4: 1) and subsequent demalonylation with 2 mol‚î¨‚ïñL(-1) KOH in MeOH-H(2)O (7: 3). Their activities against MRSA ATCC 33592 and three clinical MRSA isolates were evaluated by the agar diffusion and broth microdilution methods. Results: Four demalonylazalomycin F(5a) derivatives 2 to 5 were synthesized. The anti-MRSA activity assay indicated that compounds 1 to 5 showed remarkable activity against MRSA, and their minimum inhibitory concentrations (MICs) were respectively 3.0-4.0, 0.5-1.0, 0.67-1.0, 0.67-0.83, and 0.5-0.83 ‚ï¨‚ïùg‚î¨‚ïñmL(-1). Conclusion: Azalomycin F(5a) and the demalonylazalomycin F(5a) derivatives 2-5 showed remarkable anti-MRSA activity, and the anti-MRSA activities of 2 to 5 were higher than that of 1, while the anti-MRSA activities of 2 to 5 showed no obvious differences. It was also shown that the malonyl monoester group of azalomycin F(5a) was less important for its anti-MRSA activity. ‚î¨‚åê 2014 China Pharmaceutical University.</t>
  </si>
  <si>
    <t>(Yuan G.-J., sqlygj@126.com; Yang J.; Pang H.-Z.; Pei Y.) (Li P.-B.) Chinese Journal of Natural Medicines Editorial Board, zgtryw@sohu.com; ID: 948</t>
  </si>
  <si>
    <t>http://www.ncbi.nlm.nih.gov/pubmed/24863359</t>
  </si>
  <si>
    <t>Anti-methicillin-resistant Staphylococcus aureus assay of azalomycin F(5a) and its derivatives</t>
  </si>
  <si>
    <t>Zaal,R. J.;Ebbers,S.;Borms,M.;De Koning,B.;Van,Den Bemt;Evenhuis,H. M.;Author,Addresses;Hospital Pharmacy, Erasmus M. C. Rotterdam;Netherlands;DeSeizoenen,Oploo Netherlands;Het Raamwerk,Noordwijkerhout Netherlands;Pluryn,Nijmegen Netherlands;Family Medicine,Erasmus,M.C.Rotterdam Netherlands;Correspondence,Address;RJ Zaal, Hospital Pharmacy Erasmus,M.C.Rotterdam Netherlands</t>
  </si>
  <si>
    <t>Applicability of a systematic tool to reduce inappropriate prescribing in adults with an intellectual disability: A pilot study</t>
  </si>
  <si>
    <t>inappropriate prescribing;intellectual impairment;pilot study;adult;controlled study;drug abuse;human;major clinical study;organization;pharmacist;polypharmacy;resident;teacher</t>
  </si>
  <si>
    <t>Background: For older patients with polypharmacy in the general population, a Systematic Tool to Reduce Inappropriate Prescribing (STRIP) has been developed, based on START/STOPP criteria. Although annual medication review is recommended for people with an intellectual disability (ID), a specific tool for this population is not available. Objectives: This pilot study was performed to evaluate the applicability of STRIP in adults with ID living in a centralized setting. Methods: This pilot study was performed in three care organizations. In each organization, nine clients with polypharmacy (i.e. concomitant use of Œì√´√ë5 drugs), their legal representatives and mentors were invited for a review using STRIP. The reviews were performed by the responsible pharmacists and the investigators (resident ID physicians). Primary outcome was the applicability according to the following criteria: (1) a client and/or his legal representative were present during at least 80% of the reviews; (2) at least 80% of the mentors were involved in the medication review; (3) medication review identifies drug-related problems; (4) at least 67% of the interventions to resolve drug-related problems were implemented 6months after the review; and (5) medication review results in net savings of medication costs, assuming that at least 67% of the interventions were implemented. Results: The client and/or a legal representative were present during 25 of 27 reviews (93%), and all 27 mentors (100%) were involved (complies with criteria 1 and 2). In total, 127 drug-related problems were identified, and for each patient, at least one problem was detected (complies with criterion 3). Six months after review, 15.7% of the interventions were partially or completely implemented (does not comply with criterion 4). When the implementation grade would have been 67%, medication review would have resulted in net savings of medication costs of Œì√©¬º20 636 (complies with criterion 5). Conclusions: STRIP seems applicable to adults with an ID, but the implementation of suggested interventions was too low. To improve the implementation grade, the treating physician should be involved in the review process.</t>
  </si>
  <si>
    <t>(Zaal R.J.; Van Den Bemt P.M.L.A.) (Ebbers S.) (Borms M.) (De Koning B.) (Evenhuis H.M.) 31st International Conference on Pharmacoepidemiology and Therapeutic Risk Management Boston, MA, United States 2015-08-22 to 2015-08-26 John Wiley and Sons Ltd; ID: 811</t>
  </si>
  <si>
    <t>Zacny,J.</t>
  </si>
  <si>
    <t>Ask the Experts: What do we know (and not know) about prescription opioid misuse in the context of chronic pain management?</t>
  </si>
  <si>
    <t>James Zacny received his PhD in Psychology at West Virginia University (WV, USA) in 1984. From 1984 to 1986 he did a postdoctoral fellowship at The Johns Hopkins University School of Medicine (MD, USA) in the Behavioral Pharmacology Research Unit of the Department of Psychiatry and Behavioral Sciences. He then became Research Associate in the Department of Psychiatry at the University of Chicago (IL, USA) and conducted both preclinical and human psychopharmacology studies. In 1992 he joined the faculty in the Department of Anesthesia &amp; Critical Care at the University where he is currently Professor. His two primary research interests have been in studying the psychopharmacological effects of drugs used in anesthesiology, chiefly inhaled and intravenous general anesthetics at subanesthestic doses, and opioid analgesics, in healthy nondrug-abusing volunteers. The unique research environment he is in fostered a large body of research that systematically characterized the subjective, psychomotor and reinforcing (rewarding) effects of a number of different anesthetic and analgesic agents. Dr Zacny's primary source of funding is through the National Institute on Drug Abuse and in 1999 was presented with a MERIT award for his research on opioids. In 2001 he focused his efforts on prescription opioids at about the same time that warning signs started to emerge indicating that prescription opioid abuse was on the rise. He has characterized the psychopharmacological effects of a number of prescription opioids, as well as investigated possible factors that might modulate their positive (as well as negative) subjective effects including gender, sensation seeking and alcohol. He has also written guest editorials on the psychomotor effects of opioids in relation to the ability of chronic pain patients on long-term opioid therapy to drive. He is an elected member of the College on Problems of Drug Dependence and of the Association of University Anesthesiologists, and served as President of the Division of Psychopharmacology and Substance Abuse of the American Psychological Association, and the International Study Group Investigating Drugs as Reinforcers.</t>
  </si>
  <si>
    <t>J2: Pain manag; Zacny, James; ID: 109</t>
  </si>
  <si>
    <t>1758-1869</t>
  </si>
  <si>
    <t>Zacny,James. Department of Anesthesia &amp; Critical Care, University of Chicago, MC4028, 5841 S Maryland Avenue, Chicago, IL 60637, USA. jzacny@dacc.uchicago.edu.</t>
  </si>
  <si>
    <t>http://ovidsp.ovid.com/ovidweb.cgi?T=JS&amp;CSC=Y&amp;NEWS=N&amp;PAGE=fulltext&amp;D=prem&amp;AN=24645705</t>
  </si>
  <si>
    <t>http://dx.doi.org/10.2217/pmt.11.40</t>
  </si>
  <si>
    <t>MEDLINE; Ovid Technologies; Ask the Experts: What do we know (and not know) about prescription opioid misuse in the context of chronic pain management?</t>
  </si>
  <si>
    <t>Zagar,M.;Baggarly,S.</t>
  </si>
  <si>
    <t>PMC2987286; Simulation-based learning about medication management difficulties of low-vision patients</t>
  </si>
  <si>
    <t>Audiovisual Aids;*Computer Simulation;Counseling;Drug Prescriptions;*Drug Therapy;*Education, Pharmacy/mt Methods];Educational Measurement;Geriatrics;Patient Care Management;Peer Review;Students, Pharmacy;Teaching;*Vision Disorders/co Complications]</t>
  </si>
  <si>
    <t>OBJECTIVE: To implement and evaluate a simulation activity and related assignments within a geriatric elective to teach pharmacy students about the medication management difficulties experienced by low-vision patients. DESIGN: Students wore low-vision simulation goggles while engaging in medication management tasks. Students also reflected on their experiences in journals and developed modalities to improve low-vision patients' access to prescription information. ASSESSMENT: Results of a perception survey indicated that students were able to identify and differentiate among various low-vision medication management difficulties. Students' reflections suggested that they recognized the challenges encountered by low-vision patients. All patient assistance project submissions were suitable for the targeted populations and medication management difficulties. Peer review and student feedback of the activities were favorable. CONCLUSION: Through this low-vision goggle simulation exercise and other activities, students were able to identify the medication management difficulties encountered by low-vision patients and propose solutions to their drug information access problems.</t>
  </si>
  <si>
    <t>J2: Am J Pharm Educ; Zagar, Michelle Baggarly, Scott; ID: 271</t>
  </si>
  <si>
    <t>Zagar,Michelle. College of Pharmacy, University of Louisiana at Monroe, LA 71209, USA. zagar@ulm.edu</t>
  </si>
  <si>
    <t>http://ovidsp.ovid.com/ovidweb.cgi?T=JS&amp;CSC=Y&amp;NEWS=N&amp;PAGE=fulltext&amp;D=med5&amp;AN=21179257</t>
  </si>
  <si>
    <t>MEDLINE; Ovid Technologies; Simulation-based learning about medication management difficulties of low-vision patients</t>
  </si>
  <si>
    <t>Zaghba,N.;Yassine,N.;Hayat,L.;Serheir,Z.;Elfadi,K.;Rahibi,I.;Hilali,S.;Ech-Cherrat,A.;Mounaji,F.;Bakhatar,A.;Bahlaoui,A.;Author,Addresses;Correspondence,Address;Zaghba,N.</t>
  </si>
  <si>
    <t>Smoking habit: Prevalence, attitudes and behaviour among medical students in Casablanca in 2010</t>
  </si>
  <si>
    <t>38 SUPPL. 55.</t>
  </si>
  <si>
    <t>nicotine;European;human;medical student;prevalence;smoking habit;society;child;exercise;female;habit;health;health care personnel;male;patient;pharmacy;questionnaire;risk;smoking;student;teaching;tobacco;university</t>
  </si>
  <si>
    <t>The aim of this study was to know the prevalence of smoking in medical students, and by the way to sensitize against the habit and to know their attitudes and behaviour in their future exercise. We carried out a cross-sectional survey from February to March 2010 among 736 medical students enrolled in the university of Medicine and Pharmacy of Casablanca during the academic year 2009-2010. Ninety seven percent of students answered the questionnaire: 61.5% were female 61.5%), mean age 21 years. The prevalence of permanent or occasional smoking was 8% with little variation according to the study year. Smoking was significantly higher among male (16% versus 2.7% in female). The mean daily consumption of cigarettes was 8. The duration of smoking was 6 months or more for 82% and 70% of smokers were slightly or not addicted to nicotine according to the FAGERSTR‚îú√ªM's scale. More than half of the students (58%) had already tried to quit and 52% plan to do so within 5 years. The main triggering reason for quitting was the occurrence of symptoms (66%). Most students knew that smoking is harmful to health (92%). Among tobacco risks the respiratory ones were the best known. Only 39% of the students contemplate to systematically warn their smoking patients against tobacco's risks. Majority of them (71%) were not aware about the existence of an antitobacco law. But they called for a ban on selling tobacco to children as well as training health workers to help smoking patients to quit. In comparison with some years ago, there is a significant decrease in smoking habit in medical students, may be thanks to a steady and continuing educational effort since the induction of a teaching program in 1983.</t>
  </si>
  <si>
    <t>(Zaghba N.; Yassine N.; Hayat L.; Serheir Z.; Elfadi K.; Rahibi I.; Hilali S.; Ech-Cherrat A.; Mounaji F.; Bakhatar A.; Bahlaoui A.) European Respiratory Society Annual Congress 2011 Amsterdam, Netherlands 2011-09-24 to 2011-09-28 European Respiratory Society; ID: 1244</t>
  </si>
  <si>
    <t>Zaidan,M.;Singh,R.;Wazaify,M.;Tahaineh,L.</t>
  </si>
  <si>
    <t>PMC3084310; Physicians' perceptions, expectations, and experience with pharmacists at Hamad Medical Corporation in Qatar</t>
  </si>
  <si>
    <t>Journal of multidisciplinary healthcare</t>
  </si>
  <si>
    <t>OBJECTIVES: The purpose of this study was to investigate the physicians' perceptions, and expectations of their experiences with the pharmacists at Hamad Medical Corporation (HMC) in Qatar. METHOD: A cross-sectional study was conducted at HMC between January and March 2006 using a validated questionnaire. The self-administered questionnaire was distributed to 500 physicians who were working at HMC comprising Hamad General Hospital, Women's Hospital, Rumaila Hospital, Al-Amal Hospital, Al Khor Hospital, and primary health centers. The questionnaire was composed of four parts, investigating the physicians' expectations, experiences, and perceptions of the pharmacists. RESULTS: A total of 205 questionnaires were completed (response rate 41%). A total of 183 physicians (89%) expected the pharmacist to educate patients about safe and appropriate use of drugs, whereas 118 (57%) expected the pharmacist to be available for health-care team consultation during bedside rounds. The indices of physicians showing how comfortable they were with pharmacists, and their expectations of pharmacists, were 61% and 65%, respectively, whereas the index on experience of physicians with pharmacists was lower (15%). CONCLUSIONS: Physicians were comfortable with pharmacists and had high expectations of pharmacists in performing their duties. However, physicians reported a poor experience with pharmacists, who infrequently informed them about the effectiveness of alternative drugs, patients experiencing problems with prescribed medications, and who took personal responsibility to resolve any drug-related problem.</t>
  </si>
  <si>
    <t>J2: J Multidiscip Healthc; Zaidan, Manal Singh, Rajvir Wazaify, Mayyada Tahaineh, Linda; ID: 251</t>
  </si>
  <si>
    <t>1178-2390</t>
  </si>
  <si>
    <t>Zaidan,Manal. Department of Pharmacy, Al-Amal Hospital.</t>
  </si>
  <si>
    <t>http://ovidsp.ovid.com/ovidweb.cgi?T=JS&amp;CSC=Y&amp;NEWS=N&amp;PAGE=fulltext&amp;D=prem&amp;AN=21544250</t>
  </si>
  <si>
    <t>http://dx.doi.org/10.2147/JMDH.S14326</t>
  </si>
  <si>
    <t>MEDLINE; Ovid Technologies; Physicians' perceptions, expectations, and experience with pharmacists at Hamad Medical Corporation in Qatar</t>
  </si>
  <si>
    <t>Zaidi,F.;Author,Addresses</t>
  </si>
  <si>
    <t>Double standards 8]</t>
  </si>
  <si>
    <t>accreditation;pharmacy;alcoholism;competence;drug dependence;health hazard;human;letter;paramedical disciplines;paramedical profession;pharmaceutical care;pharmacist;professional practice;public health service;registration;wellbeing;Public Health, Social Medicine and Epidemiology (17)</t>
  </si>
  <si>
    <t>(Zaidi F.); ID: 1544</t>
  </si>
  <si>
    <t>Double standards [8]</t>
  </si>
  <si>
    <t>Zaki,A.;Abrishami,A.;Wong,J.;Chung,F. F.;Author,Addresses;Department of Anesthesia, University of Toronto,Toronto O.;Department,of Anesthesia;Western Hospital, University of Toronto Bathurst Street,Toronto O.;M5T 2S,Canada;Correspondence,Address;Chung, Department of Anesthesia Toronto Western Hospital University,F.F.;of Toronto, Bathurst Street Toronto,O.N.M.T.S.Canada Email;frances.chung@uhn.on.ca</t>
  </si>
  <si>
    <t>Interventions in the preoperative clinic for long term smoking cessation: A quantitative systematic review</t>
  </si>
  <si>
    <t>Canadian Journal of Anesthesia</t>
  </si>
  <si>
    <t>amfebutamone (clinical trial, drug therapy);nicotine patch (clinical trial, drug therapy);placebo;outpatient department;preoperative care;smoking cessation;tobacco dependence (drug therapy, therapy);article;behavior therapy;clinical assessment;clinical trial;data extraction;human;meta analysis;nicotine replacement therapy;patient assessment;patient care;patient counseling;postoperative period;priority journal;quality control;quantitative analysis;self report;systematic review;telephone;therapy effect;amfebutamone (31677-93-7, 34911-55-2);Public Health, Social Medicine and Epidemiology (17);Anesthesiology (24);Drug Literature Index (37)</t>
  </si>
  <si>
    <t>Purpose: To assess the efficacy of interventions offered to patients in the preoperative clinic to promote long-term (Œì√´√ë three months) smoking cessation following surgery. Methods: We searched The Cochrane Library, MEDLINE, EMBASE and CINAHL for all randomized controlled trials (RCTs) on smoking-cessation interventions initiated in the preoperative clinic. Trial inclusion, quality assessment, and data extraction were performed independently by two authors. Standard meta-analytic techniques were applied. Results: Four RCTs (n=610 patients) were included in the review. Interventions included pharmacotherapy, counseling, educational literature and postoperative telephone follow-up. The follow-up period ranged between three to 12 months with only one RCT following up patients for ‚ïß√§ one year. Two studies used biochemical methods to validate subjects' self-reporting of smoking cessation at the follow-up assessment. Overall, the interventions were associated with a significantly higher cessation rate vs control at the three to six month follow-up period (pooled odds ratio: 1.58, 95% confidence interval (CI) 1.02-2.45,P value=0.01, 1(2)=0%). The only trial with longer follow-up period (12 months), however, failed to show any significant difference between the intervention and control groups (odds ratio: 1.05, 95% CI 0.53-2.09,P value=0.88). Conclusion: This systematic review suggests that smoking-cessation interventions initiated at the preoperative clinic can increase the odds of abstinence by up to 60% within a three- to six-month follow-up period. To evaluate the possibility of longer abstinence, future trials with at least one-year follow-up are recommended. ‚î¨‚åê 2008 Canadian Anesthesiologists.</t>
  </si>
  <si>
    <t>(Zaki A.; Abrishami A.; Wong J.; Chung F.F., frances.chung@uhn.on.ca) (Chung F.F., frances.chung@uhn.on.ca) Springer New York, 233 Springer Street, New York, United States.; ID: 1466</t>
  </si>
  <si>
    <t>0832-610X</t>
  </si>
  <si>
    <t>2009022449 FULL TEXT LINK http://dx.doi.org/10.1007/BF03017592</t>
  </si>
  <si>
    <t>Zamparutti,G.;Schifano,F.;Corkery,J. M.;Oyefeso,A.;Ghodse,A. H.</t>
  </si>
  <si>
    <t>PMC3162662; Deaths of opiate/opioid misusers involving dihydrocodeine, UK, 1997-2007</t>
  </si>
  <si>
    <t>Adult;*Analgesics, Opioid/po Poisoning];Analgesics, Opioid/tu Therapeutic Use];*Codeine/aa Analogs &amp; Derivatives];Codeine/po Poisoning];Codeine/tu Therapeutic Use];Drug Prescriptions;Female;Great Britain/ep Epidemiology];Health Knowledge, Attitudes, Practice;Humans;Male;Opioid-Related Disorders/dt Drug Therapy];*Opioid-Related Disorders/mo Mortality];Opioid-Related Disorders/rh Rehabilitation];Patient Education as Topic;Practice Patterns, Physicians';0 (Analgesics, Opioid);N9I9HDB855 (dihydrocodeine);Q830PW7520 (Codeine)</t>
  </si>
  <si>
    <t>WHAT IS ALREADY KNOWN ABOUT THIS SUBJECT: Dihydrocodeine (DHC) is an opioid analgesic sometimes prescribed as an alternative to other medications (e.g. methadone and buprenorphine) for opioid misuse. Its effectiveness is, however, still controversial. DHC prescription rates seem to be related to levels of DHC fatalities, possibly in relation to levels of disregard of the availability of supervised or interval dispensing of opioids, but no large-scale analysis of DHC fatalities has been carried out. We analysed here involvement of DHC in fatalities that occurred between 1997 and 2007 among individuals with a history of opiate/opioid misuse reported to the National Programme on Substance Abuse Deaths (np-SAD). WHAT THIS STUDY ADDS: DHC, either alone or in combination, was identified in 584 fatalities. Typical cases identified were males in their early thirties. In accidental overdoses, DHC, which had been prescribed to 45% of the victims, was typically identified in combination with other drugs, such as heroin/morphine, methadone and hypnotics/sedatives. Both paracetamol and antidepressants were more typically identified in combination with DHC in suicides. Opiate/opioid misusers should be educated about risks associated with polydrug intake and prescribers should carefully consider a pharmacological intervention alternative to DHC (e.g. methadone, buprenorphine) when managing and treating opiate addiction. AIMS: Although its effectiveness is somewhat controversial, it appears that dihydrocodeine (DHC) is still prescribed in the UK as an alternative to both methadone and buprenorphine for the treatment of opiate addiction. METHODS: Data covering the period 1997-2007 voluntarily supplied by coroners were analysed. All cases pertaining to victims with a clear history of opiate/opioid misuse and in which DHC, either on its own or in combination, was identified at post-mortem toxicology and/or implicated in death, were extracted from the database. RESULTS: Dihydrocodeine, either alone or in combination, was identified in 584 fatalities meeting the selection criteria. In 44% of cases it was directly implicated in the cause of death. These cases represented about 6.8% of all opiate/opioid-related deaths during this period. Typical DHC cases identified were White males in their early thirties. Accidental deaths (96%) were likely to involve DHC in combination with other psychoactives, mainly heroin/morphine, hypnotics/sedatives and methadone. Both paracetamol and antidepressants were found in proportionately more suicide cases than in accidental overdoses. DHC had been prescribed to the decedent in at least 45% of cases. CONCLUSIONS: Opiate/opioid misusers should be educated about risks associated with polydrug intake. More in particular, co-administration of DHC with heroin, methadone and benzodiazepines may increase the risk of accidental fatal overdose. Prescribers should carefully consider pharmacological intervention alternative to DHC (e.g. methadone, buprenorphine) when managing and treating opiate addiction. More resources are required to do prospective research in this area.Copyright ‚î¨‚åê 2011 The Authors. British Journal of Clinical Pharmacology ‚î¨‚åê 2011 The British Pharmacological Society.</t>
  </si>
  <si>
    <t>J2: Br J Clin Pharmacol; Zamparutti, Giuliano Schifano, Fabrizio Corkery, John M Oyefeso, Adenekan Ghodse, A Hamid (United Kingdom Department of Health); ID: 236</t>
  </si>
  <si>
    <t>Zamparutti,Giuliano. Department of Addiction, University of Udine Medical School, Udine, Italy.</t>
  </si>
  <si>
    <t>http://ovidsp.ovid.com/ovidweb.cgi?T=JS&amp;CSC=Y&amp;NEWS=N&amp;PAGE=fulltext&amp;D=med5&amp;AN=21235617</t>
  </si>
  <si>
    <t>http://dx.doi.org/10.1111/j.1365-2125.2011.03908.x</t>
  </si>
  <si>
    <t>MEDLINE; Ovid Technologies; Deaths of opiate/opioid misusers involving dihydrocodeine, UK, 1997-2007</t>
  </si>
  <si>
    <t>Zanowiak,P.</t>
  </si>
  <si>
    <t>The role of a school of pharmacy. Drug abuse education programming for a rural state--one approach</t>
  </si>
  <si>
    <t>8 passim</t>
  </si>
  <si>
    <t>Education, Pharmacy;*Health Education;Humans;Schools, Pharmacy;Societies;*Substance-Related Disorders</t>
  </si>
  <si>
    <t>J2: J Am Pharm Assoc; Zanowiak, P; ID: 744</t>
  </si>
  <si>
    <t>http://ovidsp.ovid.com/ovidweb.cgi?T=JS&amp;CSC=Y&amp;NEWS=N&amp;PAGE=fulltext&amp;D=med1&amp;AN=5528357</t>
  </si>
  <si>
    <t>MEDLINE; Ovid Technologies; The role of a school of pharmacy. Drug abuse education programming for a rural state--one approach</t>
  </si>
  <si>
    <t>Zarrindast,M. R.;Rezayof,A.;Author,Addresses;Department,of Pharmacology;Medicine,Tehran University of Medical Sciences Tehran Iran;Institute for,Studies in;Physics;Mathematics,School of Cognitive Sciences Tehran Iran;Institute,for Cognitive;Studies,Tehran Iran;School of Biology, University College of,Sciences University;of Tehran,Tehran Iran;Correspondence,Address;MR Zarrindast, Department of Pharmacology School of,Medicine Tehran;University of Medical Sciences, Tehran Iran Email zarinmr ams,as ir</t>
  </si>
  <si>
    <t>Morphine-induced place preference: Interactions with neurotransmitter systems</t>
  </si>
  <si>
    <t>Winter</t>
  </si>
  <si>
    <t>(MAJOR FOCUS);morphine (drug toxicity);neurotransmitter (endogenous compound);2,3,4,5 tetrahydro 7,8 dihydroxy 1 phenyl 1h 3 benzazepine;4 aminobutyric acid (endogenous compound);4 aminobutyric acid A receptor (endogenous compound);4 aminobutyric acid B receptor (endogenous compound);4 aminobutyric acid C receptor (endogenous compound);8 chloro 2,3,4,5 tetrahydro 3 methyl 5 phenyl 1h 3 benzazepin 7 ol hydrogen;maleate;acetylcholine (endogenous compound);adrenalin (endogenous compound);arginine;baclofen;bicuculline;clonidine;dopamine (endogenous compound);dopamine 1 receptor (endogenous compound);dopamine 2 receptor (endogenous compound);dopamine 3 receptor (endogenous compound);dopamine 4 receptor (endogenous compound);dopamine 5 receptor (endogenous compound);enkephalin2 dextro alanine 4 methylphenylalanine 5 glycine];kappa opiate receptor agonist;muscimol;n(g) nitroarginine methyl ester;nitric oxide (endogenous compound);opiate receptor (endogenous compound);physostigmine;quinpirole;opiate addiction;place preference;amygdaloid nucleus;aversive behavior;brain cortex;central nervous system;conditioning;dopaminergic system;drug dependence;drug tolerance;hippocampus;human;inhibition kinetics;limbic system;medical research;methodology;motivation;nonhuman;nucleus accumbens;psychological aspect;receptor upregulation;reinforcement;review;reward;ventral tegmentum;2,3,4,5 tetrahydro 7,8 dihydroxy 1 phenyl 1h 3 benzazepine (67287-49-4);4 aminobutyric acid (28805-76-7, 56-12-2);maleate (87134-87-0);acetylcholine (51-84-3, 60-31-1, 66-23-9);adrenalin (51-43-4, 55-31-2, 6912-68-1);arginine (1119-34-2, 15595-35-4, 7004-12-8, 74-79-3);baclofen (1134-47-0);bicuculline (485-49-4);clonidine (4205-90-7, 4205-91-8, 57066-25-8);dopamine (51-61-6, 62-31-7);dopamine 4 receptor (137750-34-6);enkephalin2 dextro alanine 4 methylphenylalanine 5 glycine] (78123-71-4);morphine (52-26-6, 57-27-2);muscimol (2763-96-4);n(g) nitroarginine methyl ester (50903-99-6);nitric oxide (10102-43-9);physostigmine (57-47-6, 64-47-1);quinpirole (73625-62-4, 80373-22-4, 85760-75-4, 85798-08-9);Neurology and Neurosurgery (8);Clinical and Experimental Biochemistry (29);Psychiatry (32);Drug Literature Index (37);Drug Dependence, Alcohol Abuse and Alcoholism (40);Toxicology (52)</t>
  </si>
  <si>
    <t>This review gives an overview of our recent findings and developments in research on brain mechanisms of morphine reward from studies using the place preference conditioning paradigm. Intracranial place conditioning methodology has become a valuable and firmly established and very widely used tool in behavioural pharmacology and drug reward mechanisms. Several studies have established that morphine induces a conditioned preference for the place in which it has been administered in rats. Transmitter systems that have been investigated with respect to their involvement in morphine reward mechanisms include dopamine, GABA, acetylcholine, adrenalin and nitric oxide, the motivational significance of which has been examined either directly, by using respective agonist or antagonist drugs. Although, considerable evidence suggested that the mesocorticolimbic DA system, which originates in the VTA and projects to the Nac, various limbic and cortical areas is a major neural substrate of the rewarding effects produced by morphine, but the role of other brain sites such as hippocampus and amygdala also exist. Overall, our intracranial place conditioning studies showed that there are a number of receptors, neuronal pathways and discrete central nervous system sites involved in the morphine reward mechanisms. Copyright ‚î¨‚åê 2007 by School of Pharmacy.</t>
  </si>
  <si>
    <t>(Zarrindast M.R., zarinmr@ams.as.ir) (Rezayof A.) Iranian Journal of Pharmaceutical Research, P.O. Box 14155-6153, Tehran, Iran.; ID: 1479</t>
  </si>
  <si>
    <t>Zarringhalam,M.;Zaringhalam,J.;Shadnoush,M.;Rezazadeh,S.;Tekieh,E.;Author,Addresses;Department of,Food Science;Technology,Azad University Sofyan Iran;Department,of Physiology;Center,Shahid Beheshti University of Medical Sciences Tehran Iran;Food,Science;Technology Department,Nutritional;Institute,Shahid Beheshti University of Medical Sciences Tehran Iran;Institute of Medicinal Plants, Acecr,Tehran Iran;Correspondence,Address;Zarringhalam, Department of Food Science,M.;Technology,Azad University;Sofyan,Iran Email m zarrin yahoo com</t>
  </si>
  <si>
    <t>Inhibitory effect of black and red pepper and thyme extracts and essential oils on Enterohemorrhagic Escherichia coli and DNase activity of Staphylococcus aureus</t>
  </si>
  <si>
    <t>(MAJOR FOCUS);black pepper extract (drug development);black pepper oil (drug development);red pepper extract (drug development);red pepper oil (drug development);thyme extract (drug development);thyme oil (drug development);deoxyribonuclease (endogenous compound);unclassified drug;antibacterial activity;enteropathogenic Escherichia coli infection;Staphylococcus infection;article;black pepper;enterohemorrhagic Escherichia coli;enzyme activity;mass fragmentography;minimum inhibitory concentration;nonhuman;Staphylococcus aureus;sweet pepper;thyme;deoxyribonuclease (37211-67-9);thyme oil (8007-46-3);Microbiology: Bacteriology, Mycology, Parasitology and Virology (4);Clinical and Experimental Biochemistry (29);Drug Literature Index (37)</t>
  </si>
  <si>
    <t>In this study, extracts and essential oils of Black and Red pepper and Thyme were tested for antibacterial activity against Escherichia coli O157: H7 andStaphylococcus aureus. Black and Red pepper and Thyme were provided from Iranian agricultural researches center. 2 g of each plant powder was added to 10 cc ethanol 96‚î¨‚ñë. After 24 h, the crude extract was separated as an alcoholic extract and concentrated by distillation method. Plants were examined for determining their major component and essential oils were separated. Phytochemical analyses were done for detection of some effective substances in extracts. The antibacterial activity against Escherichia coli O157: H7 and Staphylococcus aureus was tested and the results showed that all extracts and essential oils were effective and essential oils were more active. The extracts and oils that showed antimicrobial activity were later tested to determine the Minimum Inhibitory Dilution (MID) for those bacteria. They were also effective on the inhibition of DNase activity. This study was indicated that extracts and essential oils of Black and Red pepper and Thyme can play a signifcant role in inhibition of Escherichia coli O157: H7 and Staphylococcus aureus. ‚î¨‚åê 2013 by School of Pharmacy.</t>
  </si>
  <si>
    <t>(Zarringhalam M., m_zarrin2003@yahoo.com) (Zaringhalam J.; Tekieh E.) (Shadnoush M.) (Rezazadeh S.) Iranian Journal of Pharmaceutical Research, P.O. Box 14155-6153, Vali-e-Asr Avenue, Niayesh Junction, Tehran, Iran.; ID: 996</t>
  </si>
  <si>
    <t>Zarshenas,Mohammad;Zargaran,A.;Ma‚îú‚ïùller,J.;Mohagheghzadeh,A.;Author,Addresses;Student Research Committee, Shiraz,University of;Medical Sciences,Shiraz Iran;Pharmaceutical Sciences,Research;Center,Shiraz University of Medical Sciences Shiraz Iran;Department,of;Traditional Pharmacy, School of Pharmacy Shiraz University,of Medical;Sciences,Shiraz Iran;Research Office for,the History;Persian Medicine, Shiraz University of Medical Sciences,Shiraz Iran;University of Marburg, Institute for the History,of Pharmacy;Germany;Correspondence,Address;Zargaran, Department of Traditional Pharmacy School of Pharmacy,A.;Karafarin street, P O Box Shiraz,Iran Email;zargarana@sums.ac.ir</t>
  </si>
  <si>
    <t>Nasal drug delivery in traditional Persian medicine</t>
  </si>
  <si>
    <t>nose drops;plant extract (pharmaceutics);unclassified drug;Ziziphus spina-christi extract (pharmaceutics);drug delivery system;traditional medicine;aeration;Alhagi maurorum;aroma;article;cerebrovascular accident;drug formulation;epistaxis;Euphorbia;Euphorbia resinifera;facial nerve paralysis;Ferula;Ferula persica;first pass effect;fumigation;germander;Glaucium corniculatum;headache;herbal medicine;inhalation;Malus pumila;medical literature;medicinal plant;molecular weight;nonhuman;nose cavity;odor;paralysis;particle size;powder;Ruta graveolens;smelling;substance abuse;sugarcane;Teucrium montanum;tobacco;vapor;vertigo;Ziziphus spina-christi;Zygophyllaceae;Zygophyllum fabago;Drug Literature Index (37);Pharmacy (39)</t>
  </si>
  <si>
    <t>Background: Over one hundred different pharmaceutical dosage forms have been recorded in literatures of Traditional Persian Medicine among which nasal forms are considerable. Objectives: This study designed to derive the most often applied nasal dosage forms together with those brief clinical administrations. Materials and Methods: In the current study remaining pharmaceutical manuscripts of Persia during 9th to 18th century AD have been studied and different dosage forms related to nasal application of herbal medicines and their therapeutic effects were derived. Results: By searching through pharmaceutical manuscripts of medieval Persia, different nasal dosage forms involving eleven types related to three main groups are found. These types could be derived from powder, solution or liquid and gaseous forms. Gaseous form were classified into fumigation (Bakhoor), vapor bath (Enkebab), inhalation (Lakhlakheh), aroma agents (Ghalieh) and olfaction or smell (Shomoom). Nasal solutions were as drops (Ghatoor), nasal snuffing drops (Saoot) and liquid snuffformulations (Noshoogh). Powders were as nasal insufflation or snorting agents (Nofookh) and errhine or sternutator medicine (Otoos). Nasal forms were not applied only for local purposes. Rather systemic disorders and specially CNS complications were said to be a target for these dosage forms. Discussion: While this novel type of drug delivery is known as a suitable substitute for oral and parenteral administration, it was well accepted and extensively mentioned in Persian medical and pharmaceutical manuscripts and other traditional systems of medicine as well. Accordingly, medieval pharmaceutical standpoints on nasal dosage forms could still be an interesting subject of study. Therefore, the current work can briefly show the pharmaceutical knowledge on nasal formulations in medieval Persia and clarify a part of history of traditional Persian pharmacy. ‚î¨‚åê 2013, School of Pharmacy, Ahvaz Jundishapur University of Medical Sciences; Licensee DocS Ltd.</t>
  </si>
  <si>
    <t>(Zarshenas Mohammad) (Zarshenas Mohammad; Mohagheghzadeh A.) (Zargaran A., zargarana@sums.ac.ir; Mohagheghzadeh A.) (Zargaran A., zargarana@sums.ac.ir) (Ma‚îú‚ïùller J.) Ahvaz Jundishapur University of Medical Sciences, PO Box 61357-33184, Ahvaz, Tehran, Iran.; ID: 1007</t>
  </si>
  <si>
    <t>Zayas,L. H.</t>
  </si>
  <si>
    <t>Six-month multicomponent intervention improves postnatal depression in low-income settings</t>
  </si>
  <si>
    <t>80 1p</t>
  </si>
  <si>
    <t>Antidepressive Agents -- Therapeutic Use;Depression, Postpartum -- Therapy;Psychoeducation;Treatment Outcomes;Single-Blind Studies</t>
  </si>
  <si>
    <t>Question: What is the optimum way to improve treatment and recognition of postnatal depression in low-income settings? Patients: 230 women who had given birth in the previous year, and who had unrecognised and untreated postnatal depression. 922 women were initially approached while they were waiting for health-related consultations and screened for depression using the Edinburgh postnatal depression scale (EPDS; maximum score 30, higher scores indicate more severe symptoms) on two separate occasions two weeks apart. Those with persistent depression (EPDS score &gt;=10 on both occasions) were formally assessed and those with a clinical diagnosis of major depression (DSM-IV criteria assessed through Mini International Neuropsychiatry Interview) were included in the study. Exclusions: receiving treatment for depression, pregnancy, psychotic symptoms, suicide risk, or history of mania, alcohol or drug abuse. Setting: Three clinics in deprived urban areas of Santiago, Chile; recruitment 1 June 2004 to 31 August 2005. Intervention: Multicomponent intervention or usual care. The intervention included psychoeducational groups (weekly 50 minute sessions for 8 weeks), support for treatment adherence from a trained mental health worker, and antidepressants if needed. Doctors for women in the intervention group received 5 hours of training about using a structured antidepressant protocol, and an hour of supervision from a research psychiatrist each week. Women prescribed antidepressants were given fluoxetine (20-40 mg daily), or sertraline (50-100 mg daily) if they did not respond to fluoxetine or were breastfeeding. Usual care was the service usually available in the clinic and included antidepressants, medical consultations, psychotherapy and referral for specialist treatment as required. Outcomes: Depressive symptoms (EPDS score). Patient follow-up: 90%. METHODS Design: Randomised controlled trial. Allocation: Concealed. Blinding: Single-blind (assessor blinded). Follow-up period: Six months. MAIN RESULTS The multicomponent intervention reduced symptoms of depression compared with usual care at 3 months (mean EPDS score: 8.5 with intervention vs 12.8 with usual care; adjusted mean difference: -4.5, 95% CI -6.3 to -2.7; p&lt;0.0001; result adjusted for baseline EPDS score). By 6 months the difference was reduced but the group x time interaction overall was significant (mean EPDS score: 10.9 with intervention vs 12.5 with usual care; overall adjusted mean difference: -2.3, 95% CI -0.8 to -3.8; p = 0.002). The proportion of women taking antidepressants decreased more in the intervention group than with usual care (decrease from 59% at 3 months to 36% at 6 months in the intervention group vs 17% at 3 months to 11% at 6 months in the usual care group). Similarly, medical consultations became less common in the intervention group (mean number of consultations: 1.2 in first 3 months and 0.2 in months 3DS6 in intervention group vs 0.5 in first 3 months and 0.4 in months 3-6 in usual care group). CONCLUSIONS A multicomponent intervention that includes psycho-education, support to encourage treatment adherence and pharmacotherapy as needed is effective for women with postnatal depression in low-income settings over six months. ABSTRACTED FROM Rojas G, Fritsch R, Solis J, et al. Treatment of postnatal depression in low-income mothers in primary-care clinics in Santiago, Chile: a randomised controlled trial. Lancet 2007;370:1629-37.</t>
  </si>
  <si>
    <t>Entry Date: 20090102. Revision Date: 20150711. Publication Type: Journal Article; abstract; commentary. Original Study: Rojas G, Fritsch R, Solis J, et al. Treatment of postnatal depression in low-income mothers in primary-care clinics in Santiago, Chile: a randomised controlled trial. LANCET 2007; 370: 1629-37. Journal Subset: Biomedical; Europe; UK &amp; Ireland. Special Interest: Evidence-Based Practice; Psychiatry/Psychology. NLM UID: 100883413. PMID: 18669682.; ID: 2030</t>
  </si>
  <si>
    <t>Washington University in St Louis, St Louis, Missouri, USA.</t>
  </si>
  <si>
    <t>http://proxy.lib.umich.edu/login?url=http://search.ebscohost.com/login.aspx?direct=true&amp;db=ccm&amp;AN=105572706&amp;site=ehost-live&amp;scope=site</t>
  </si>
  <si>
    <t>ccm; EBSCOhost; Six-month multicomponent intervention improves postnatal depression in low-income settings</t>
  </si>
  <si>
    <t>Zehnder,S.;Beutler,M.;Bruppacher,R.;Ehrenhofer,T.;Hersberger,K. E.</t>
  </si>
  <si>
    <t>Needs and use of drug information sources in community pharmacies: a questionnaire based survey in German-speaking Switzerland</t>
  </si>
  <si>
    <t>Drug Information Services/cl Classification];*Drug Information Services/td Trends];*Drug Information Services/ut Utilization];Education, Pharmacy, Continuing/mt Methods];Germany/ep Epidemiology];Health Knowledge, Attitudes, Practice;Health Surveys;Humans;Internet;*Pharmacies/td Trends];Random Allocation;Societies, Pharmaceutical/td Trends];*Surveys and Questionnaires;Switzerland/eh Ethnology]</t>
  </si>
  <si>
    <t>OBJECTIVES: To explore the types of drug information used by pharmacists in daily practice, their needs and wishes concerning drug information and their opinions about future changes of pharmacy practice. METHODS: Postal survey to a random sample of 223 (26% out of 859) community pharmacies from the German-speaking part of Switzerland. The 48-item questionnaires were processed automatically with the Cardiff TELEform-Software. In addition, a telephone-survey to a random sample of 20 non-responders was performed in order to test for non-response bias. RESULTS: A total of 108 pharmacists (response rate 48%) reported that the official Swiss drug reference book is still the most popular source of drug information used to solve all kinds of drug related problems. The Internet as a source of drug information is of minor importance, even though 88% of the pharmacies have Internet access. Deficits in drug information were reported for paediatrics, phytotherapy, drugs during pregnancy/lactation and for therapy guidelines. According to 35% of the pharmacists, the importance of offering drug information to customers will increase in the future. Most of the pharmacists are not afraid that Internet pharmacies would replace them. CONCLUSIONS: The results show that the majority of the community pharmacists are only partially satisfied with the sources of drug information currently available. The Internet still plays a minor role for solving drug-related problems in daily practice, even though the available infrastructure makes the community pharmacies able to use the Internet more frequently. The pharmacists need more websites tailored to their needs. The pharmacists have clear visions about possible future developments. They do, however, have to adopt quickly to the changes ahead in order to remain competitive.</t>
  </si>
  <si>
    <t>J2: Pharm World Sci; Zehnder, Simon Beutler, Marianne Bruppacher, Rudolf Ehrenhofer, Thomas Hersberger, Kurt E; ID: 453</t>
  </si>
  <si>
    <t>Zehnder,Simon. Institute for Clinical Pharmacy, Pharmaceutical Care Research Group, Pharmacenter, University of Basel, Klingelbergstrasse 50, 4056 Basel, Switzerland. szehnder@datacomm.ch</t>
  </si>
  <si>
    <t>http://ovidsp.ovid.com/ovidweb.cgi?T=JS&amp;CSC=Y&amp;NEWS=N&amp;PAGE=fulltext&amp;D=med5&amp;AN=15446775</t>
  </si>
  <si>
    <t>MEDLINE; Ovid Technologies; Needs and use of drug information sources in community pharmacies: a questionnaire based survey in German-speaking Switzerland</t>
  </si>
  <si>
    <t>Zellmer,W. A.;Author,Addresses;Correspondence,Address;Zellmer, Email wzellmer msn com,W.A.</t>
  </si>
  <si>
    <t>20554594; The education of a provincial pharmacist</t>
  </si>
  <si>
    <t>medical education;pharmacist;acquired immune deficiency syndrome;awards and prizes;career;conference paper;cultural anthropology;drug abuse;health care organization;health care quality;hospital pharmacy;human;Human immunodeficiency virus infection;international cooperation;leprosy;malaria;medical expert;onchocerciasis;pharmacy student;priority journal;public health;quality of life;trachoma;tuberculosis;United States;voluntary worker;world health organization;Public Health, Social Medicine and Epidemiology (17);Health Policy, Economics and Management (36);Pharmacy (39)</t>
  </si>
  <si>
    <t>(Zellmer W.A., wzellmer@msn.com) American Society of Health-Systems Pharmacy, 7272 Wisconsin Ave., Bethesda, United States.; ID: 1337</t>
  </si>
  <si>
    <t>1079-2082 1535-2900 (electronic)</t>
  </si>
  <si>
    <t>http://www.ncbi.nlm.nih.gov/pubmed/20554594</t>
  </si>
  <si>
    <t>The education of a provincial pharmacist</t>
  </si>
  <si>
    <t>Zhai,X. B.;Gu,Z. C.;Liu,X. Y.</t>
  </si>
  <si>
    <t>PMC4762444; Effectiveness of the clinical pharmacist in reducing mortality in hospitalized cardiac patients: a propensity score-matched analysis</t>
  </si>
  <si>
    <t>BACKGROUND: Pharmacist-led medication review services have been assessed in the meta-analyses in hospital. Of the 135 relevant articles located, 21 studies met the inclusion criteria; however, there was no statistically significant difference found between pharmacists' interventions and usual care for mortality (odds ratio 1.50, 95% confidence interval 0.65, 3.46, P=0.34). These analyses may not have found a statistically significant effect because they did not adequately control the wide variation in the delivery of care and patient selection parameters. Additionally, the investigators did not conduct research on the cases of death specifically and did not identify all possible drug-related problems (DRPs) that could cause or contribute to mortality and then convince physicians to correct. So there will be a condition to use a more precise approach to evaluate the effect of clinical pharmacist interventions on the mortality rates of hospitalized cardiac patients. OBJECTIVE: To evaluate the impact of the clinical pharmacist as a direct patient-care team member on the mortality of all patients admitted to the cardiology unit. METHODS: A comparative study was conducted in a cardiology unit of a university-affiliated hospital. The clinical pharmacists did not perform any intervention associated with improper use of medications during Phase I (preintervention) and consulted with the physicians to address the DRPs during Phase II (postintervention). The two phases were compared to evaluate the outcome, and propensity score (PS) matching was applied to enhance the comparability. The primary endpoint of the study was the composite of all-cause mortality during Phase I and Phase II. RESULTS: Pharmacists were consulted by the physicians to correct any drug-related issues that they suspected may cause or contribute to a fatal outcome in the cardiology ward. A total of 1,541 interventions were suggested by the clinical pharmacist in the study group; 1,416 (92.0%) of them were accepted by the cardiology team, and violation of incompatibilities had the highest percentage of acceptance by the cardiology team. All-cause mortality was 1.5% during Phase I (preintervention) and was reduced to 0.9% during Phase II (postintervention), and the difference was statistically significant (P=0.0005). After PS matching, all-cause mortality changed from 1.7% during Phase I down to 1.0% during Phase II, and the difference was also statistically significant (P=0.0074). CONCLUSION: DRPs that were suspected to cause or contribute to a possibly fatal outcome were determined by clinical pharmacist service in patients hospitalized in a cardiology ward. Correction of these DRPs by physicians after pharmacist's advice caused a significant decrease in mortality as analyzed by PS matching. The significant reduction in the mortality rate in this patient population observed in this study is "hypothesis generating" for future randomized studies.</t>
  </si>
  <si>
    <t>J2: Ther Clin Risk Manag; Zhai, Xiao-Bo Gu, Zhi-Chun Liu, Xiao-Yan; ID: 6</t>
  </si>
  <si>
    <t>Zhai,Xiao-Bo. Department of Pharmacy, Shanghai East Hospital, Affiliated to Tongji University School of Medicine, Shanghai, People's Republic of China. Gu,Zhi-Chun. Department of Pharmacy, Renji Hospital, Shanghai Jiao Tong University School of Medicine, Shanghai, People's Republic of China. Liu,Xiao-Yan. Department of Pharmacy, Renji Hospital, Shanghai Jiao Tong University School of Medicine, Shanghai, People's Republic of China.</t>
  </si>
  <si>
    <t>http://ovidsp.ovid.com/ovidweb.cgi?T=JS&amp;CSC=Y&amp;NEWS=N&amp;PAGE=fulltext&amp;D=prem&amp;AN=26937196</t>
  </si>
  <si>
    <t>http://dx.doi.org/10.2147/TCRM.S98300</t>
  </si>
  <si>
    <t>MEDLINE; Ovid Technologies; Effectiveness of the clinical pharmacist in reducing mortality in hospitalized cardiac patients: a propensity score-matched analysis</t>
  </si>
  <si>
    <t>Zhao,R. Y.;He,X. W.;Shan,Y. M.;Zhu,L. L.;Zhou,Q.</t>
  </si>
  <si>
    <t>PMC4516029; A stewardship intervention program for safe medication management and use of antidiabetic drugs</t>
  </si>
  <si>
    <t>BACKGROUND: Diabetes patients are complex due to considerations of polypharmacy, multimorbidities, medication adherence, dietary habits, health literacy, socioeconomic status, and cultural factors. Meanwhile, insulin and oral hypoglycemic agents are high-alert medications. Therefore it is necessary to require a multidisciplinary team's integrated endeavors to enhance safe medication management and use of antidiabetic drugs. METHODS: A 5-year stewardship intervention program, including organizational measures and quality improvement activities in storage, prescription, dispensing, administration, and monitoring, was performed in the Second Affiliated Hospital of Zhejiang University, People's Republic of China, a 3,200-bed hospital with 3.5 million outpatient visits annually. RESULTS: The Second Affiliated Hospital of Zhejiang University has obtained a 100% implementation rate of standard storage of antidiabetic drugs in the Pharmacy and wards since August 2012. A zero occurrence of dispensing errors related to highly "look-alike" and "sound-alike" NovoMix 30() (biphasic insulin aspart) and NovoRapid() (insulin aspart) has been achieved since October 2011. Insulin injection accuracy among ward nurses significantly increased from 82% (first quarter 2011) to 96% (fourth quarter 2011) (P10 seconds (99.4%), and using the pen needle only once (88.7%). On-site inspection indicated of great improvement in the percentage of drug-related problems in the antidiabetes regimen between the first and second quarter of 2014 (1.08% versus 0.28%) (P&lt;0.05). CONCLUSION: Quality improvements in safe medication management and use of antidiabetic drugs can be achieved by multidisciplinary collaboration among pharmacists, nurses, physicians, and information engineers.</t>
  </si>
  <si>
    <t>J2: Clin Interv Aging; Zhao, Rui-yi He, Xiao-wen Shan, Yan-min Zhu, Ling-ling Zhou, Quan; ID: 770</t>
  </si>
  <si>
    <t>Zhao,Rui-yi. Clinical Nurse Specialist Section, Division of Nursing, Second Affiliated Hospital, School of Medicine, Zhejiang University, Hangzhou, Zhejiang Province, People's Republic of China. He,Xiao-wen. Clinical Nurse Specialist Section, Division of Nursing, Second Affiliated Hospital, School of Medicine, Zhejiang University, Hangzhou, Zhejiang Province, People's Republic of China. Shan,Yan-min. Clinical Nurse Specialist Section, Division of Nursing, Second Affiliated Hospital, School of Medicine, Zhejiang University, Hangzhou, Zhejiang Province, People's Republic of China. Zhu,Ling-ling. Geriatric VIP Care Ward, Division of Nursing, Second Affiliated Hospital, School of Medicine, Zhejiang University, Hangzhou, Zhejiang Province, People's Republic of China. Zhou,Quan. Department of Pharmacy, Second Affiliated Hospital, School of Medicine, Zhejiang University, Hangzhou, Zhejiang Province, People's Republic of China.</t>
  </si>
  <si>
    <t>http://ovidsp.ovid.com/ovidweb.cgi?T=JS&amp;CSC=Y&amp;NEWS=N&amp;PAGE=fulltext&amp;D=prem&amp;AN=26229454</t>
  </si>
  <si>
    <t>http://dx.doi.org/10.2147/CIA.S87456</t>
  </si>
  <si>
    <t>MEDLINE; Ovid Technologies; A stewardship intervention program for safe medication management and use of antidiabetic drugs</t>
  </si>
  <si>
    <t>Zhu,J.;Bandi,V.;Qiu,S.;Figueroa,D. J.;Evans,J. F.;Barnes,N.;Guntupalli,K. K.;Jeffery,P. K.</t>
  </si>
  <si>
    <t>Cysteinyl Leukotriene 1 Receptor Expression Associated With Bronchial Inflammation in Severe Exacerbations of COPD</t>
  </si>
  <si>
    <t>357 11p</t>
  </si>
  <si>
    <t>Bronchi -- Pathology;Pulmonary Disease, Chronic Obstructive -- Metabolism;Pulmonary Disease, Chronic Obstructive -- Pathology;RNA -- Metabolism;Receptors, Cell Surface;Receptors, Cell Surface -- Metabolism;Adult;Aged;Bronchi -- Metabolism;Case Control Studies;Prospective Studies;Female;Human;Male;Middle Age;Pulmonary Disease, Chronic Obstructive -- Etiology;Respiratory Mucosa -- Metabolism;Respiratory Mucosa -- Pathology;Smoking;Smoking -- Metabolism</t>
  </si>
  <si>
    <t>BACKGROUND: Cysteinyl leukotriene 1 (CysLT1) receptor expression is known to be increased in the airway mucosa of patients with asthma, especially during exacerbations; however, nothing is known of its expression in COPD. METHODS: We applied immunohistochemistry and in situ hybridization to endobronchial biopsies to determine inflammatory cell CysLT1 receptor protein and mRNA expression in the following: (1) 15 nonsmoker control subjects (NSC), (2) 16 smokers with moderate to severe COPD in its stable phase (S-COPD), and (3) 15 smokers with COPD hospitalized for a severe exacerbation (SE-COPD). RESULTS: The total number of bronchial mucosal inflammatory cells (CD45+) and those expressing CysLT1 receptor protein were significantly greater in SE-COPD (CysLT1 receptor protein: median range] = 139 31-634]) as compared with S-COPD (32 6-114]) or NSC (16 4-66]) (P .001 for both). CysLT1 receptor gene expression showed similar differences. A greater proportion of CD451 cells expressed CysLT1 receptor protein in SE-COPD (median range] = 22% 8-81]) compared with S-COPD (10% 4-32]) (P .03) or NSC (7% 1-19]) (P .002). In SE-COPD, the relative frequencies of CysLT1 receptor-expressing cells were as follows: tryptase1 mast cells CD681 monocytes/macrophage neutrophils CD201 B lymphocytes = EG21 eosinophils. Moreover, there were positive correlations between the numbers of cells expressing CysLT1 receptor protein and the numbers of CD451 cells (r = 0.78; P .003) and tryptase1 mast cells (r = 0.62; P .02). CONCLUSIONS: Bronchial mucosal CysLT1 receptor-positive inflammatory cells are present in the bronchial mucosa in COPD in greatest number in those experiencing a severe exacerbation.From the Lung Pathology Unit, Department of Respiratory Medicine (Drs Zhu, Qiu, and Jeffery), Imperial College London, London, England; Department of Medicine (Drs Bandi and Guntupalli), Baylor College of Medicine, Ben Taub General Hospital, Houston, TX; Department of Pharmacology (Drs Figueroa and Evans), Merck &amp; Co Inc, West Point, PA; and Department of Respiratory Medicine (Dr Barnes), Barts and The London Hospital, London, England.Correspondence to: Peter K. Jeffery, DSc, Lung Pathology, Imperial College London, Royal Brompton Hospital, Sydney St, London, SW3 6NP, England; e-mail: p.jeffery@imperial.ac.ukAuthor contributions:Dr Zhu: contributed to designing and performing the double immunostaining and in situ hybridizations, counting, data analyses, and drafting and revising the manuscript.Dr Bandi: contributed to subject recruitment, performing the bronchial biopsy, collecting relevant clinical data, and approving the manuscript.Dr Qiu: contributed to performing the immunohistochemical staining, preparing figures, and approving the manuscript.Dr Figueroa: contributed to supplying the CysLT1 receptor cDNA probe and antisera, study design, data interpretation, and approving the manuscript.Dr Evans: contributed to study design, data interpretation, and revising and approving the manuscript.Dr Barnes: contributed as co-principal investigator and approving the manuscript.Dr Guntupalli: contribute to recruiting subjects, performing the bronchial biopsy, collecting relevant clinical data and approving the manuscript.Dr Jeffery: initiated and served as the principal investigator for the study, oversaw data analysis, and revised the manuscript.Financial/nonfinancial disclosures: The authors have reported to CHEST the following conflicts of interest: Dr Figueroa was previously employed by Merck &amp; Co Inc and is currently employed by GlaxoSmithKline. Dr Barnes has acted on Merck &amp; Co Inc and GlaxoSmithKline advisory boards and lectured at Merck &amp; Co Inc-sponsored symposia for which he has received remuneration. Dr Jeffery has been reimbursed by GlaxoSmithKline, AstraZeneca, and Merck &amp; Co Inc for attending international conferences, participated as a paid speaker, and has served as a paid consultant to GlaxoSmithKline, AstraZeneca, and Argenta, and received research grants from GlaxoSmithKline, Argenta, AstraZeneca, and Merck &amp; Co Inc, including a g ant to conduct the analyses of the study presented herein. Drs Zhu, Bandi, Qiu, Evans, and Guntupalli have reported that no potential conflicts of interest exist with any companies/organizations whose products or services may be discussed in this article.Role of sponsors: The sponsors had no role in the design of the study, the collection and analysis of the data, or in the preparation of the manuscript.Other contributions: We thank Martin Spitaler, PhD, and Stephen M. Rothery, MSc (FILM, Imperial College London, London, England) for assistance with confocal microscopy.Additional information: The e-Appendix and e-Tables can be found in the 'Supplemental Materials' area of the online article.Funding/Support: This work was supported by research grants from the National Institutes of Health Grant NO1 AI065298], Merck Sharp &amp; Dohme Limited UK, and by departmental funds.Reproduction of this article is prohibited without written permission from the American College of Chest Physicians. See online for more details.</t>
  </si>
  <si>
    <t>Entry Date: 20130111. Revision Date: 20150712. Publication Type: Journal Article; research. Journal Subset: Biomedical; Peer Reviewed; USA. Special Interest: Critical Care. NLM UID: 0231335. PMID: 22871757.; ID: 1861</t>
  </si>
  <si>
    <t>http://proxy.lib.umich.edu/login?url=http://search.ebscohost.com/login.aspx?direct=true&amp;db=ccm&amp;AN=108068495&amp;site=ehost-live&amp;scope=site</t>
  </si>
  <si>
    <t>10.1378/chest.11-1581</t>
  </si>
  <si>
    <t>ccm; EBSCOhost; Cysteinyl Leukotriene 1 Receptor Expression Associated With Bronchial Inflammation in Severe Exacerbations of COPD</t>
  </si>
  <si>
    <t>Ziauddeen,H.;Nathan,P. J.;Dodds,C.;Maltby,K.;Miller,S. R.;Waterworth,D.;Song,K.;Warren,L.;Hosking,L.;Zucchetto,M.;Bush,M.;Johnson,L. V.;Sarai,B.;Mogg,K.;Bradley,B. P.;Richards,D. B.;Fletcher,P. C.;Bullmore,E. T.;Author,Addresses;Clinical,Unit Cambridge;and Development, GlaxoSmithKline Cambridge,United Kingdom;Department of Psychiatry, Cambridge Biomedical Campus,University of;Cambridge,Cambridge United Kingdom;School of,Psychology;Psychiatry,Monash University;Clayton,V. I. C. A.;Projects Clinical,Platforms;Sciences;GlaxoSmithKline,King of Prussia P.A.United States;Projects Clinical,Platforms;Sciences,GlaxoSmithKline;Research Triangle Park,N.C.United States;Projects Clinical,Platforms;Sciences;GlaxoSmithKline,Stevenage United Kingdom;GlaxoSmithKline,Research;Development Ltd,Stevenage;United,Kingdom;Kinetigen,Research Triangle Park N. C. United;States;Department of Psychology, University,of Southampton;Southampton,United Kingdom;Metabolic,Research;Laboratories,Institute of Metabolic Science University of Cambridge;Cambridge,United Kingdom;Cambridgeshire;and Peterborough Nhs Foundation Trust, Cambridge,United Kingdom;Addenbrooke's,Centre for;Investigations,Academic Discovery Performance Unit GlaxoSmithKline;Cambridge,United Kingdom;Correspondence,Address;Clinical,Unit Cambridge;Development;GlaxoSmithKline,Cambridge United Kingdom</t>
  </si>
  <si>
    <t>23934621; The effects of alcohol on the pharmacokinetics and pharmacodynamics of the selective mu-opioid receptor antagonist gsk1521498 in healthy subjects</t>
  </si>
  <si>
    <t>(MAJOR FOCUS);alcohol;gsk 1521498 (adverse drug reaction, clinical trial, drug analysis, oral drug;administration, pharmacokinetics, pharmacology);mu opiate receptor antagonist (clinical trial, drug analysis, oral drug;placebo;unclassified drug;drug alcohol interaction;abdominal distension (side effect);adult;alertness;area under the curve;article;attention disturbance (side effect);clinical article;controlled study;coordination disorder (side effect);crossover procedure;decreased appetite (side effect);dizziness (side effect);double blind procedure;drug absorption;drug elimination;drug half life;drug structure;drug tolerability;drunk sensation;euphoria;fatigue (side effect);female;gait disorder (side effect);genetic polymorphism;headache (side effect);human;male;maximum plasma concentration;mood;nausea (side effect);nausea and vomiting (side effect);randomized controlled trial;reaction time;risk assessment;side effect (side effect);skin irritation (side effect);somnolence (side effect);time to maximum plasma concentration;vomiting (side effect);DRUG TRADE NAMES;gsk 1521498;alcohol (64-17-5);Clinical and Experimental Pharmacology (30);Drug Literature Index (37);Adverse Reactions Titles (38)</t>
  </si>
  <si>
    <t>The muopioid system has a key role in hedonic and motivational processes critical to substance addiction. However, existing muopioid antagonists havehad limited success as anti-addiction treatments. GSK1521498 is a selective and potent muopioid antagonist being developed for the treatment of overeating and substance addictions. In this study, 28 healthy participants were administered single doses of GSK1521498 20 mg, ethanol 0.5 g/kg body weight, or both in combination, in a double blind placebo controlled four-way crossover design. The primary objective was to determine the risk ofsignificant adverse pharmacodynamic and pharmacokinetic (PK) interactions. The effects of GSK1521498 on hedonic and consummatory responses to alcohol and the attentional processing of alcohol-related stimuli, and their modulation by the OPRM1 A118G polymorphism were also explored.GSK1521498 20 mg was well tolerated alone and in combination with ethanol. There were mild transient effects of GSK1521498 on alertness and mood that were greater when it was combined with ethanol. These effects were not of clinical significance. There were no effects of GSK1521498 on reactiontime, hedonic or consummatory responses. These findings provide encouraging safety and PK data to support continued development of GSK1521498 for the treatment of alcohol addiction. ‚î¨‚åê 2013, The American College of Clinical Pharmacology.</t>
  </si>
  <si>
    <t>(Ziauddeen H., hz238@cam.ac.uk; Nathan P.J.; Dodds C.; Maltby K.; Miller S.R.; Sarai B.; Bullmore E.T.) (Ziauddeen H., hz238@cam.ac.uk; Nathan P.J.; Fletcher P.C.; Bullmore E.T.) (Nathan P.J.) (Waterworth D.; Song K.) (Warren L.) (Miller S.R.; Hosking L.) (Zucchetto M.) (Bush M.; Johnson L.V.) (Mogg K.; Bradley B.P.) (Ziauddeen H., hz238@cam.ac.uk; Fletcher P.C.) (Ziauddeen H., hz238@cam.ac.uk; Fletcher P.C.; Bullmore E.T.) (CPFT) (Richards D.B.; Bullmore E.T.) Wiley-Blackwell Publishing Ltd, 9600 Garsington Rd, Chiswell Green Ln, Oxford, United Kingdom.; ID: 988</t>
  </si>
  <si>
    <t>http://www.ncbi.nlm.nih.gov/pubmed/23934621</t>
  </si>
  <si>
    <t>The effects of alcohol on the pharmacokinetics and pharmacodynamics of the selective mu-opioid receptor antagonist gsk1521498 in healthy subjects</t>
  </si>
  <si>
    <t>Zimmer,B. A.;Chiodo,K. A.;Roberts,D. C.</t>
  </si>
  <si>
    <t>NIHMS533684 PMC4327829; Reduction of the reinforcing effectiveness of cocaine by continuous D-amphetamine treatment in rats: importance of active self-administration during treatment period</t>
  </si>
  <si>
    <t>Animals;*Cocaine/ai Antagonists &amp; Inhibitors];*Dextroamphetamine/pd Pharmacology];Drug Interactions;Male;Rats;Rats, Sprague-Dawley;*Reinforcement (Psychology);Self Administration;I5Y540LHVR (Cocaine);TZ47U051FI (Dextroamphetamine)</t>
  </si>
  <si>
    <t>RATIONALE: Continuous administration of D-amphetamine has shown promise as a treatment for psychostimulant addiction. In rodent studies, constant infusion of D-amphetamine (5 mg/kg/day) has been shown to reduce cocaine-reinforced responding in the dose range of 0.19-0.75 mg/kg/inf. OBJECTIVES: The present study tested whether these effects were a reflection of pharmacological interactions between D-amphetamine and cocaine or if they resulted from associative learning mechanisms METHODS: After stable progressive ratio (PR) baselines were established, rats were implanted with subcutaneous osmotic minipumps filled with either D-amphetamine (5 mg/kg/day-groups 1 and 2) or saline (group 3). During the treatment period, groups 1 and 3 self-administered cocaine at a dose that was previously shown to produce the most robust effects in combination with D-amphetamine treatment (0.19 mg/kg/inf), while group 2 received passive cocaine infusions. RESULTS: In replication of previous studies, D-amphetamine treatment resulted in a significant (35 %) decrease in breakpoints relative to saline controls. By contrast, no reductions in breakpoints were observed in animals that received passive cocaine infusions during the treatment period (group 2). CONCLUSIONS: Active self-administration of cocaine during the treatment period appears to be an important factor in reducing cocaine-reinforced breakpoints. These findings suggest learning mechanisms are involved in the therapeutic effects of continuous D-amphetamine, and pharmacological interaction mechanisms such as cross-tolerance cannot completely account for the observed decreases in cocaine seeking.</t>
  </si>
  <si>
    <t>J2: Psychopharmacology (Berl); Zimmer, Benjamin A Chiodo, Keri A Roberts, David C S Comment in: Psychopharmacology (Berl). 2014 Jan;231(2):457-8; PMID: 24306281 P50 DA006634 (United States NIDA NIH HHS) P50 DA06634 (United States NIDA NIH HHS) R01 DA014030 (United States NIDA NIH HHS) R01 DA030161 (United States NIDA NIH HHS) R01 DA14030 (United States NIDA NIH HHS); ID: 54</t>
  </si>
  <si>
    <t>Zimmer,Benjamin A. Department of Physiology and Pharmacology, Wake Forest University Health Sciences, Medical Center BLVD, Winston-Salem, NC, 27157, USA, bzimmer@wakehealth.edu.</t>
  </si>
  <si>
    <t>http://ovidsp.ovid.com/ovidweb.cgi?T=JS&amp;CSC=Y&amp;NEWS=N&amp;PAGE=fulltext&amp;D=medl&amp;AN=24146137</t>
  </si>
  <si>
    <t>http://dx.doi.org/10.1007/s00213-013-3305-4</t>
  </si>
  <si>
    <t>MEDLINE; Ovid Technologies; Reduction of the reinforcing effectiveness of cocaine by continuous D-amphetamine treatment in rats: importance of active self-administration during treatment period</t>
  </si>
  <si>
    <t>Zimmerman,D. E.;Cohen,V.;Author,Addresses;Maimonides,Medical Center;Brooklyn,United States;Correspondence,Address;DE Zimmerman, Maimonides Medical Center Tenth,Avenue Brooklyn;United,States</t>
  </si>
  <si>
    <t>Optimizing the safe and effective prescribing of opioids for pain management in the emergency department</t>
  </si>
  <si>
    <t>benzodiazepine;opiate;analgesia;emergency ward;health care;human;pharmacist;United States;abuse;college;computerized provider order entry;drug therapy;education;emergency physician;epidemic;health;inappropriate prescribing;laboratory;pain;patient;patient information;pharmacy;prescription;statistics;therapy</t>
  </si>
  <si>
    <t>Opioid abuse and misuse has become an epidemic to the United States. The New York City Department of Health and American College of Emergency Physicians have released statement positions and recommendations for prescribing of opioid medications in the emergency department.1,2 The goal of these recommendations is to reduce the misuse and over prescribing of opioid medications. The Emergency Department Clinical Pharmacist and Pharmacy Resident in coordination with a multidisciplinary team of clinicians have developed initiatives to ensure the Maimonides Medical Center EmergencyDepartment is incompliance with the newrecommendations.The specific areas of interest for this study include medication orders for chronic nonmalignant pain patients, concurrent benzodiazepine use, and discharge prescriptions for opioid containing medications. The purpose of this study is to determine the effectiveness of opioid prescribing initiatives that are aimed to reduce opioidmisuse and abuse. This study will be done by surveying and collecting information on patients with opioid orders for chronic nonmalignant pain and patients who are discharged with opioid prescriptions both before and after the initiatives were implemented to calculate the frequency of opioid misuse. Information that will be collected includes deidentified patient information, opioid medication(s) ordered, concurrent and home medication(s), and basic laboratory information. Orders for chronic non-malignant pain will be considered inappropriate if non-opioid therapies have not been attempted prior to opioid prescribing unless contraindications to therapy are present. Discharge prescriptions will be considered inappropriate if a 6-day supply or greater is dispensed. The initiatives consist of prescriber education, modifications to the computer physician order entry system. An estimated 250 orders will be included in this analysis. Descriptive statistics will be used in this analysis.</t>
  </si>
  <si>
    <t>(Zimmerman D.E.; Cohen V.) 52nd Annual Assembly of the New York State Council of Health-system Pharmacists, NYSCHP 2013 Verona, NY, United States 2013-05-02 to 2013-05-05 SAGE Publications Inc.; ID: 1046</t>
  </si>
  <si>
    <t>Zorrilla,E. P.;Heilig,M.;de Wit,H.;Shaham,Y.</t>
  </si>
  <si>
    <t>NIHMS436824 PMC3596012; Behavioral, biological, and chemical perspectives on targeting CRF(1) receptor antagonists to treat alcoholism</t>
  </si>
  <si>
    <t>*Alcoholism/dt Drug Therapy];Animals;*Anxiety/ci Chemically Induced];Clinical Trials as Topic;*Depressive Disorder, Major/ci Chemically Induced];Disease Models, Animal;Drug Discovery;*Ethanol/ae Adverse Effects];Humans;*Receptors, Corticotropin-Releasing Hormone/ai Antagonists &amp; Inhibitors];Receptors, Corticotropin-Releasing Hormone/ge Genetics];Receptors, Corticotropin-Releasing Hormone/me Metabolism];*Substance Withdrawal Syndrome/dt Drug Therapy];0 (Receptors, Corticotropin-Releasing Hormone);3K9958V90M (Ethanol)</t>
  </si>
  <si>
    <t>BACKGROUND: Alcohol use disorders are chronic disabling conditions for which existing pharmacotherapies have only modest efficacy. In the present review, derived from the 2012 Behavior, Biology and Chemistry "Translational Research in Addiction" symposium, we summarize the anti-relapse potential of corticotropin-releasing factor type 1 (CRF(1)) receptor antagonists to reduce negative emotional symptoms of acute and protracted alcohol withdrawal and stress-induced relapse to alcohol seeking. METHODS: We review the biology of CRF(1) systems, the activity of CRF(1) receptor antagonists in animal models of anxiolytic and antidepressant activity, and experimental findings in alcohol addiction models. We also update the clinical trial status of CRF(1) receptor antagonists, including pexacerfont (BMS-562086), emicerfont (GW876008), verucerfont (GSK561679), CP316311, SSR125543A, R121919/NBI30775, R317573/19567470/CRA5626, and ONO-2333Ms. Finally, we discuss the potential heterogeneity and pharmacogenomics of CRF(1) receptor pharmacotherapy for alcohol dependence. RESULTS: The evidence suggests that brain penetrant-CRF(1) receptor antagonists have therapeutic potential for alcohol dependence. Lead compounds with clinically desirable pharmacokinetic properties now exist, and longer receptor residence rates (i.e., slow dissociation) may predict greater CRF(1) receptor antagonist efficacy. Functional variants in genes that encode CRF system molecules, including polymorphisms in Crhr1 (rs110402, rs1876831, rs242938) and Crhbp genes (rs10055255, rs3811939) may promote alcohol seeking and consumption by altering basal or stress-induced CRF system activation. CONCLUSIONS: Ongoing clinical trials with pexacerfont and verucerfont in moderately to highly severe dependent anxious alcoholics may yield insight as to the role of CRF(1) receptor antagonists in a personalized medicine approach to treat drug or alcohol dependence.Copyright ‚î¨‚åê 2013 Elsevier Ireland Ltd. All rights reserved.</t>
  </si>
  <si>
    <t>J2: Drug Alcohol Depend; Zorrilla, Eric P Heilig, Markus de Wit, Harriet Shaham, Yavin S0376-8716(12)00493-0 AA006420 (United States NIAAA NIH HHS) DA02812 (United States NIDA NIH HHS) DK026741 (United States NIDDK NIH HHS) DK070118 (United States NIDDK NIH HHS) P01 DK026741 (United States NIDDK NIH HHS) P60 AA006420 (United States NIAAA NIH HHS) R01 DA002812 (United States NIDA NIH HHS) R01 DK070118 (United States NIDDK NIH HHS) R13 DA029347 (United States NIDA NIH HHS) R13DA029347 (United States NIDA NIH HHS) (United States Intramural NIH HHS); ID: 151</t>
  </si>
  <si>
    <t>Zorrilla,Eric P. Committee on the Neurobiology of Addictive Disorders, The Scripps Research Institute, La Jolla, CA 92037, USA. ezorrilla@scripps.edu</t>
  </si>
  <si>
    <t>http://ovidsp.ovid.com/ovidweb.cgi?T=JS&amp;CSC=Y&amp;NEWS=N&amp;PAGE=fulltext&amp;D=medl&amp;AN=23294766</t>
  </si>
  <si>
    <t>http://dx.doi.org/10.1016/j.drugalcdep.2012.12.017</t>
  </si>
  <si>
    <t>MEDLINE; Ovid Technologies; Behavioral, biological, and chemical perspectives on targeting CRF(1) receptor antagonists to treat alcoholism</t>
  </si>
  <si>
    <t>Zou,D.;Tannenbaum,C.</t>
  </si>
  <si>
    <t>PMC3962060; Educational needs, practice patterns and quality indicators to improve geriatric pharmacy care</t>
  </si>
  <si>
    <t>BACKGROUND: As the population ages and pressure increases to reduce adverse drug reactions and drug-related hospitalizations in the elderly, there will be a growing demand for pharmacists to competently take on shared responsibility for effective and safe prescribing in older adults. METHODS: A cross-sectional postal survey was distributed to 3927 hospital and community pharmacists across Quebec about their educational needs and practice patterns in geriatric care. Perceptions of different quality performance indicators were sought. Modifiable factors associated with higher performance were determined using univariate logistic regression. RESULTS: Seven hundred six pharmacists (18%) completed the survey. Less than 50% were aware of the prevalence of polypharmacy, inappropriate prescribing, drug-related hospitalizations or falls in the geriatric population. Forty-one percent of community pharmacists and 74% of hospital pharmacists acknowledged familiarity with the Beers criteria of drugs to avoid in the elderly. The likelihood of screening for inappropriate prescriptions was 2.96 (95% confidence interval = 1.97-4.47) among pharmacists familiar with the Beers criteria and 2.24 (95% confidence interval = 1.50-3.34) among those who received continuing geriatric education in the workplace. On average, pharmacists reported having time to conduct detailed medication reviews in 30% of their older patients. The 2 quality indicators of geriatric care that were ranked most pertinent were being able to track the number of patients requiring hospitalization for drug-related problems and monitoring rates of inappropriate prescriptions. Ninety-six percent of respondents desired continuing education about geriatric care. CONCLUSION: Exposure to continuing education in geriatric pharmacotherapy in the workplace is the most consistent determinant of professional performance to improve drug outcomes in the elderly.</t>
  </si>
  <si>
    <t>J2: Can Pharm J (Ott); Zou, Dan Tannenbaum, Cara; ID: 108</t>
  </si>
  <si>
    <t>Zou,Dan. Faculties of Pharmacy (Zou, Tannenbaum) and Medicine (Tannenbaum), Universite de Montreal, Montreal, Quebec. Tannenbaum,Cara. Faculties of Pharmacy (Zou, Tannenbaum) and Medicine (Tannenbaum), Universite de Montreal, Montreal, Quebec.</t>
  </si>
  <si>
    <t>http://ovidsp.ovid.com/ovidweb.cgi?T=JS&amp;CSC=Y&amp;NEWS=N&amp;PAGE=fulltext&amp;D=prem&amp;AN=24660011</t>
  </si>
  <si>
    <t>http://dx.doi.org/10.1177/1715163514521378</t>
  </si>
  <si>
    <t>MEDLINE; Ovid Technologies; Educational needs, practice patterns and quality indicators to improve geriatric pharmacy care</t>
  </si>
  <si>
    <t>Zozaya,H.;Gutierrez,L.;Bernad,M. J.;Sumano,H.</t>
  </si>
  <si>
    <t>PMC3608154; Pharmacokinetics of a peroral single dose of two long-acting formulations and an aqueous formulation of doxycycline hyclate in horses</t>
  </si>
  <si>
    <t>Acta Veterinaria Scandinavica</t>
  </si>
  <si>
    <t>Acta Vet.Scand.</t>
  </si>
  <si>
    <t>Absorption;Administration, Oral;Animals;Anti-Bacterial Agents/ad Administration &amp; Dosage];*Anti-Bacterial Agents/pk Pharmacokinetics];Area Under Curve;Doxycycline/ad Administration &amp; Dosage];*Doxycycline/pk Pharmacokinetics];Female;Half-Life;*Horses/bl Blood];Horses/me Metabolism];Male;0 (Anti-Bacterial Agents);N12000U13O (Doxycycline)</t>
  </si>
  <si>
    <t>BACKGROUND: Doxycyline (Dox) is a semisynthetic antibacterial drug with pharmacological advantages over its parent drug (tetracycline) in the treatment of various bacterial diseases in horses. Yet, at present a horse-customized pharmaceutical formulation is not available. Based on its pharmacokinetic/pharmacodynamic (PK/PD) ratio, Dox is considered a time-dependent antibacterial drug and ideally expected to achieve sustained plasma drug concentrations both at or slightly above the minimal inhibitory concentration (MIC) level for as long as possible between dosing intervals. Hence, the objective of this study was to formulate two long-acting (LA) doxycyline hyclate (Dox-h) formulations for oral administration and define their pharmacokinetics in non-fasted adult horses to obtain better bioavailability and longer mean residence time, features needed to comply better with its pharmacokinetic/pharmacodynamic (PK/PD) ratios. RESULTS: Pharmacokinetic parameters were determined after the oral administration of a single 10 mg/kg bolus dose of two 20% Dox-h formulations: one based on a beta cyclodextrin (Dox-beta) matrix and a second one on a poloxamer (Dox-pol) matrix. The results were compared with the pharmacokinetics of a single 10 mg/kg bolus oral dose of a freshly made aqueous Dox-h solution (Dox-a). Dox-pol showed the greatest values for relative bioavailability (548%); maximum serum concentration (Cmax) value was 1.3+/-0.7 mug/mL with time to reach the Cmax (Tmax) of 5.9+/-1.7 h, area under the curve (AUC) of 17.0+/-2.2 mug h/ml and elimination half-life (T1/2 beta) of 4.9+/-1.0 h. CONCLUSIONS: Considering a minimal inhibitory concentration MIC of 0.25 mug/mL, clinically effective plasma concentrations might be obtained for up to 24 h administering Dox-pol. This is an oral paste formulation that might optimize the use of Dox-h in horses in terms of PK/PD ratio congruency, and it is likely that it may also improve prescription compliance due to its ease of administration.</t>
  </si>
  <si>
    <t>J2: Acta Vet Scand; Zozaya, Heidi Gutierrez, Lilia Bernad, Maria Josefa Sumano, Hector; ID: 124</t>
  </si>
  <si>
    <t>1751-0147</t>
  </si>
  <si>
    <t>Zozaya,Heidi. Department of Physiology and Pharmacology, School of Veterinary Medicine, National Autonomous University of Mexico (UNAM), Av, Universidad 3000, Coyoacan Mexico City 04360, Mexico.</t>
  </si>
  <si>
    <t>http://ovidsp.ovid.com/ovidweb.cgi?T=JS&amp;CSC=Y&amp;NEWS=N&amp;PAGE=fulltext&amp;D=medl&amp;AN=23497696</t>
  </si>
  <si>
    <t>http://dx.doi.org/10.1186/1751-0147-55-21</t>
  </si>
  <si>
    <t>MEDLINE; Ovid Technologies; Pharmacokinetics of a peroral single dose of two long-acting formulations and an aqueous formulation of doxycycline hyclate in horses</t>
  </si>
  <si>
    <t>Zvejniece,L.;Vavers,E.;Svalbe,B.;Domracheva,I.;Vorona,M.;Veinberg,G.;Kalvinsh,I.;Dambrova,M.;Author,Addresses;Correspondence,Address;Zvejniece,L.</t>
  </si>
  <si>
    <t>Allosteric modulator of sigma-1 receptors enhance cognition and memory</t>
  </si>
  <si>
    <t>115 SUPPL. 1</t>
  </si>
  <si>
    <t>(MAJOR FOCUS);sigma 1 opiate receptor;2 4 methoxy 3 (2 phenylethoxy)phenyl] n,n dipropylethylamine;bradykinin;cholinergic receptor stimulating agent;pentazocine;piracetam;scopolamine;clinical pharmacology;cognition;memory;abuse;agonist;analgesia;analysis of variance;anxiety;assay;Bagg albino mouse;cognitive defect;in vitro study;Institute for Cancer Research mouse;learning;locomotion;male;mouse;passive avoidance test;pharmacology;post hoc analysis;procedures;schizophrenia;statistical significance;Wistar rat;Y-maze test</t>
  </si>
  <si>
    <t>Background: The sigma-1 receptors (Sig1-R) have been studied to elucidate their possible pharmacological applications, which involve learning and memory processes, depression and anxiety, schizophrenia, analgesia and some effects of drugs of abuse. Herein we describe a novel 4, 5-disubstituted derivative of piracetam E1R, which act as positive allosteric modulator of Sig1-R and enhances cognition and memory processes in mice. Methods: Male ICR mice, Balb/c mice and Wistar rats were used in the passive avoidance (PA) test, Y-maze test and for in vitro studies, respectively. The experimental procedures were performed in accordance with the guidelines reported in EU Directive 2010/63/EU. We characterised the mechanism of action of E1R in 3H](+)-pentazocine binding and bradykinin (BDK)-induced intracellular Ca(2+) concentration (Ca(2+)](i)) increase assays. The effects of E1R on cognition and locomotion were evaluated using PA test. The effect of E1R on scopolamine- induced cognitive deficits was assessed in PA and Y-maze tests. A selective Sig1-R antagonist NE-100 was used to study the involvement of the Sig1-R in the effects of E1R on PA and Y-maze tests. The data were analysed using a one-way ANOVA followed by post-hoc tests. P-values less than 0.05 were considered statistically significant. Results: E1R did not displace 3H](+)-pentazocine from the Sig1-R. The pre-incubation with E1R potentiated 3 times the effect of selective Sig1-R agonist PRE-084 on the Ca(2+)](i) changes, thus confirming the Sig1-R positive allosteric modulator effect in vitro. E1R at doses of 1 and 10 mg/kg facilitated PA retention. Furthermore, E1R at dose of 5 and 10 mg/kg alleviated the scopolamine-induced cognitive impairment during the PA and Y-maze tests. The in vivo and in vitro effects of E1R were blocked by treatment with the selective Sig1-R antagonist NE-100. Conclusions: For the first time, we show that positive allosteric modulator of Sig1-R enhances cognition and demonstrates efficacy against scopolamine-induced cholinergic dysfunction in mice. These effects of E1R are attributed to its positive modulatory action on the Sig1-R. Therefore, positive allosteric modulators of Sig1-R may be interesting as both a novel tool for studying Sig1-R pharmacology and a novel drug candidate for treating cognitive disorders.</t>
  </si>
  <si>
    <t>(Zvejniece L.; Vavers E.; Svalbe B.; Domracheva I.; Vorona M.; Veinberg G.; Kalvinsh I.; Dambrova M.) 17th World Congress of Basic and Clinical Pharmacology Cape Town, South Africa 2014-07-13 to 2014-07-18 Blackwell Publishing Ltd; ID: 899</t>
  </si>
  <si>
    <t>Zweben,A.</t>
  </si>
  <si>
    <t>Integrating pharmacotherapy and psychosocial interventions in the treatment of individuals with alcohol problems...Summit on Social Work and the Neurobiology of Addictions hosted by the School of Social Work at the University of Texas at Austin on June 11-13, 2000</t>
  </si>
  <si>
    <t>Journal of Social Work Practice in the Addictions</t>
  </si>
  <si>
    <t>80 16p</t>
  </si>
  <si>
    <t>Alcoholism -- Therapy;Alcoholism -- Drug Therapy;Psychotherapy -- Methods;Combined Modality Therapy;Treatment Outcomes;Clinical Trials;Motivation;Self-Efficacy;Patient Compliance;Cognitive Therapy;Counseling;Wisconsin;Colleges and Universities -- Wisconsin;Social Work;Human</t>
  </si>
  <si>
    <t>Both research and clinical experiences suggest that there are separate and overlapping benefits of medications and psychosocial treatments for alcohol problems. Evidence has shown that medication(s) combined with a moderate intensity psychosocial therapy can produce outcomes beyond what each of these approaches can produce alone. Taking medication can be helpful in facilitating longer periods of abstinence that in turn affords practitioners a greater opportunity to enhance patients' individual and social coping resources and to increase their motivation to change. Combining effective pharmacological and psychosocial interventions may provide the impetus to integrate alcoholism treatment into the general health care delivery system, thereby helping to increase the accessibility of care and well-being for individuals seeking or needing help with alcohol problems.</t>
  </si>
  <si>
    <t>Entry Date: 20020503. Revision Date: 20150819. Publication Type: Journal Article; clinical trial; research; tables/charts. Journal Subset: Allied Health; Peer Reviewed; USA. NLM UID: 100898201.; ID: 1925</t>
  </si>
  <si>
    <t>1533-256X</t>
  </si>
  <si>
    <t>Professor and Director, Center for Addiction and Behavioral Health Research, School of Social Welfare, University of Wisconsin-Milwaukee, P.O. Box 786, Milwaukee, WI 53201</t>
  </si>
  <si>
    <t>http://proxy.lib.umich.edu/login?url=http://search.ebscohost.com/login.aspx?direct=true&amp;db=ccm&amp;AN=106920406&amp;site=ehost-live&amp;scope=site</t>
  </si>
  <si>
    <t>ccm; EBSCOhost; Integrating pharmacotherapy and psychosocial interventions in the treatment of individuals with alcohol problems...Summit on Social Work and the Neurobiology of Addictions hosted by the School of Social Work at the University of (TRUNCATED)</t>
  </si>
</sst>
</file>

<file path=xl/styles.xml><?xml version="1.0" encoding="utf-8"?>
<styleSheet xmlns="http://schemas.openxmlformats.org/spreadsheetml/2006/main" xmlns:mc="http://schemas.openxmlformats.org/markup-compatibility/2006" xmlns:x14ac="http://schemas.microsoft.com/office/spreadsheetml/2009/9/ac" mc:Ignorable="x14ac">
  <fonts count="1" x14ac:knownFonts="1">
    <font>
      <sz val="12"/>
      <color theme="1"/>
      <name val="Calibri"/>
      <family val="2"/>
      <scheme val="minor"/>
    </font>
  </fonts>
  <fills count="2">
    <fill>
      <patternFill patternType="none"/>
    </fill>
    <fill>
      <patternFill patternType="gray125"/>
    </fill>
  </fills>
  <borders count="1">
    <border>
      <left/>
      <right/>
      <top/>
      <bottom/>
      <diagonal/>
    </border>
  </borders>
  <cellStyleXfs count="1">
    <xf numFmtId="0" fontId="0" fillId="0" borderId="0"/>
  </cellStyleXfs>
  <cellXfs count="5">
    <xf numFmtId="0" fontId="0" fillId="0" borderId="0" xfId="0"/>
    <xf numFmtId="16" fontId="0" fillId="0" borderId="0" xfId="0" applyNumberFormat="1"/>
    <xf numFmtId="17" fontId="0" fillId="0" borderId="0" xfId="0" applyNumberFormat="1"/>
    <xf numFmtId="46" fontId="0" fillId="0" borderId="0" xfId="0" applyNumberFormat="1"/>
    <xf numFmtId="11" fontId="0" fillId="0" borderId="0" xfId="0" applyNumberFormat="1"/>
  </cellXfs>
  <cellStyles count="1">
    <cellStyle name="Normal" xfId="0" builtinId="0"/>
  </cellStyles>
  <dxfs count="0"/>
  <tableStyles count="0" defaultTableStyle="TableStyleMedium9" defaultPivotStyle="PivotStyleMedium4"/>
</styleSheet>
</file>

<file path=xl/_rels/workbook.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haredStrings" Target="sharedStrings.xml"/><Relationship Id="rId1" Type="http://schemas.openxmlformats.org/officeDocument/2006/relationships/worksheet" Target="worksheets/sheet1.xml"/><Relationship Id="rId2" Type="http://schemas.openxmlformats.org/officeDocument/2006/relationships/theme" Target="theme/theme1.xml"/></Relationships>
</file>

<file path=xl/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xl/worksheets/sheet1.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dimension ref="A2:BF1629"/>
  <sheetViews>
    <sheetView tabSelected="1" workbookViewId="0"/>
  </sheetViews>
  <sheetFormatPr baseColWidth="10" defaultRowHeight="15" x14ac:dyDescent="0"/>
  <sheetData>
    <row r="2" spans="1:58">
      <c r="A2" t="s">
        <v>0</v>
      </c>
      <c r="B2" t="s">
        <v>1</v>
      </c>
      <c r="C2" t="s">
        <v>2</v>
      </c>
      <c r="D2" t="s">
        <v>3</v>
      </c>
      <c r="E2" t="s">
        <v>4</v>
      </c>
      <c r="F2" t="s">
        <v>5</v>
      </c>
      <c r="G2" t="s">
        <v>6</v>
      </c>
      <c r="H2" t="s">
        <v>7</v>
      </c>
      <c r="I2" t="s">
        <v>8</v>
      </c>
      <c r="J2" t="s">
        <v>9</v>
      </c>
      <c r="K2" t="s">
        <v>10</v>
      </c>
      <c r="L2" t="s">
        <v>11</v>
      </c>
      <c r="M2" t="s">
        <v>12</v>
      </c>
      <c r="N2" t="s">
        <v>13</v>
      </c>
      <c r="O2" t="s">
        <v>14</v>
      </c>
      <c r="P2" t="s">
        <v>15</v>
      </c>
      <c r="Q2" t="s">
        <v>16</v>
      </c>
      <c r="R2" t="s">
        <v>17</v>
      </c>
      <c r="S2" t="s">
        <v>18</v>
      </c>
      <c r="T2" t="s">
        <v>19</v>
      </c>
      <c r="U2" t="s">
        <v>20</v>
      </c>
      <c r="V2" t="s">
        <v>21</v>
      </c>
      <c r="W2" t="s">
        <v>22</v>
      </c>
      <c r="X2" t="s">
        <v>23</v>
      </c>
      <c r="Y2" t="s">
        <v>24</v>
      </c>
      <c r="Z2" t="s">
        <v>25</v>
      </c>
      <c r="AA2" t="s">
        <v>26</v>
      </c>
      <c r="AB2" t="s">
        <v>27</v>
      </c>
      <c r="AC2" t="s">
        <v>28</v>
      </c>
      <c r="AD2" t="s">
        <v>29</v>
      </c>
      <c r="AE2" t="s">
        <v>30</v>
      </c>
      <c r="AF2" t="s">
        <v>31</v>
      </c>
      <c r="AG2" t="s">
        <v>32</v>
      </c>
      <c r="AH2" t="s">
        <v>33</v>
      </c>
      <c r="AI2" t="s">
        <v>34</v>
      </c>
      <c r="AJ2" t="s">
        <v>35</v>
      </c>
      <c r="AK2" t="s">
        <v>36</v>
      </c>
      <c r="AL2" t="s">
        <v>37</v>
      </c>
      <c r="AM2" t="s">
        <v>38</v>
      </c>
      <c r="AN2" t="s">
        <v>39</v>
      </c>
      <c r="AO2" t="s">
        <v>40</v>
      </c>
      <c r="AP2" t="s">
        <v>41</v>
      </c>
      <c r="AQ2" t="s">
        <v>42</v>
      </c>
      <c r="AR2" t="s">
        <v>43</v>
      </c>
      <c r="AS2" t="s">
        <v>44</v>
      </c>
      <c r="AT2" t="s">
        <v>45</v>
      </c>
      <c r="AU2" t="s">
        <v>46</v>
      </c>
      <c r="AV2" t="s">
        <v>47</v>
      </c>
      <c r="AW2" t="s">
        <v>48</v>
      </c>
      <c r="AX2" t="s">
        <v>49</v>
      </c>
      <c r="AY2" t="s">
        <v>50</v>
      </c>
      <c r="AZ2" t="s">
        <v>51</v>
      </c>
      <c r="BA2" t="s">
        <v>52</v>
      </c>
      <c r="BB2" t="s">
        <v>53</v>
      </c>
      <c r="BC2" t="s">
        <v>54</v>
      </c>
      <c r="BD2" t="s">
        <v>55</v>
      </c>
      <c r="BE2" t="s">
        <v>56</v>
      </c>
      <c r="BF2" t="s">
        <v>57</v>
      </c>
    </row>
    <row r="4" spans="1:58">
      <c r="A4" t="s">
        <v>58</v>
      </c>
      <c r="C4" t="s">
        <v>59</v>
      </c>
      <c r="D4" t="s">
        <v>60</v>
      </c>
      <c r="E4" t="s">
        <v>61</v>
      </c>
      <c r="F4">
        <v>2016</v>
      </c>
      <c r="G4" t="s">
        <v>61</v>
      </c>
      <c r="H4">
        <v>73</v>
      </c>
      <c r="I4">
        <v>8</v>
      </c>
      <c r="J4" t="s">
        <v>62</v>
      </c>
      <c r="K4" t="s">
        <v>63</v>
      </c>
      <c r="L4" t="s">
        <v>64</v>
      </c>
      <c r="M4" t="s">
        <v>61</v>
      </c>
      <c r="N4" t="s">
        <v>65</v>
      </c>
      <c r="O4" t="s">
        <v>61</v>
      </c>
      <c r="Q4" t="s">
        <v>61</v>
      </c>
      <c r="R4" t="s">
        <v>61</v>
      </c>
      <c r="S4" t="s">
        <v>61</v>
      </c>
      <c r="T4" t="s">
        <v>61</v>
      </c>
      <c r="X4" t="s">
        <v>61</v>
      </c>
      <c r="Y4" t="s">
        <v>66</v>
      </c>
      <c r="Z4" t="s">
        <v>61</v>
      </c>
      <c r="AA4" t="s">
        <v>61</v>
      </c>
      <c r="AB4">
        <v>114503190</v>
      </c>
      <c r="AC4" t="s">
        <v>67</v>
      </c>
      <c r="AD4" t="s">
        <v>61</v>
      </c>
      <c r="AE4" t="s">
        <v>61</v>
      </c>
      <c r="AF4" t="s">
        <v>61</v>
      </c>
      <c r="AG4" t="s">
        <v>68</v>
      </c>
      <c r="AH4" t="s">
        <v>61</v>
      </c>
      <c r="AI4" t="s">
        <v>61</v>
      </c>
      <c r="AJ4" t="s">
        <v>61</v>
      </c>
      <c r="AK4" t="s">
        <v>61</v>
      </c>
      <c r="AL4" t="s">
        <v>61</v>
      </c>
      <c r="AM4" t="s">
        <v>69</v>
      </c>
      <c r="AN4" t="s">
        <v>61</v>
      </c>
      <c r="AO4" t="s">
        <v>61</v>
      </c>
      <c r="AP4" t="s">
        <v>61</v>
      </c>
      <c r="AQ4" t="s">
        <v>61</v>
      </c>
      <c r="AR4" t="s">
        <v>61</v>
      </c>
      <c r="AS4" t="s">
        <v>61</v>
      </c>
      <c r="AT4" t="s">
        <v>61</v>
      </c>
      <c r="AU4" t="s">
        <v>61</v>
      </c>
      <c r="AV4" t="s">
        <v>61</v>
      </c>
      <c r="AW4" t="s">
        <v>61</v>
      </c>
      <c r="AX4" t="s">
        <v>61</v>
      </c>
      <c r="AY4" t="s">
        <v>61</v>
      </c>
      <c r="AZ4" t="s">
        <v>61</v>
      </c>
      <c r="BA4" t="s">
        <v>61</v>
      </c>
      <c r="BB4" t="s">
        <v>61</v>
      </c>
      <c r="BC4" t="s">
        <v>61</v>
      </c>
      <c r="BD4" t="s">
        <v>61</v>
      </c>
      <c r="BE4" t="s">
        <v>61</v>
      </c>
      <c r="BF4" t="s">
        <v>61</v>
      </c>
    </row>
    <row r="5" spans="1:58">
      <c r="A5" t="s">
        <v>58</v>
      </c>
      <c r="C5" t="s">
        <v>70</v>
      </c>
      <c r="D5" t="s">
        <v>60</v>
      </c>
      <c r="E5" t="s">
        <v>61</v>
      </c>
      <c r="F5">
        <v>2014</v>
      </c>
      <c r="G5" t="s">
        <v>61</v>
      </c>
      <c r="H5">
        <v>71</v>
      </c>
      <c r="I5">
        <v>3</v>
      </c>
      <c r="J5">
        <v>243</v>
      </c>
      <c r="K5" t="s">
        <v>71</v>
      </c>
      <c r="L5" t="s">
        <v>72</v>
      </c>
      <c r="M5" t="s">
        <v>61</v>
      </c>
      <c r="N5" t="s">
        <v>73</v>
      </c>
      <c r="O5" t="s">
        <v>61</v>
      </c>
      <c r="Q5" t="s">
        <v>61</v>
      </c>
      <c r="R5" t="s">
        <v>61</v>
      </c>
      <c r="S5" t="s">
        <v>61</v>
      </c>
      <c r="T5" t="s">
        <v>61</v>
      </c>
      <c r="X5" t="s">
        <v>61</v>
      </c>
      <c r="Y5" t="s">
        <v>66</v>
      </c>
      <c r="Z5" t="s">
        <v>61</v>
      </c>
      <c r="AA5" t="s">
        <v>61</v>
      </c>
      <c r="AB5">
        <v>104015991</v>
      </c>
      <c r="AC5" t="s">
        <v>67</v>
      </c>
      <c r="AD5" t="s">
        <v>61</v>
      </c>
      <c r="AE5" t="s">
        <v>61</v>
      </c>
      <c r="AF5" t="s">
        <v>61</v>
      </c>
      <c r="AG5" t="s">
        <v>74</v>
      </c>
      <c r="AH5" t="s">
        <v>61</v>
      </c>
      <c r="AI5" t="s">
        <v>75</v>
      </c>
      <c r="AJ5" t="s">
        <v>61</v>
      </c>
      <c r="AK5" t="s">
        <v>61</v>
      </c>
      <c r="AL5" t="s">
        <v>61</v>
      </c>
      <c r="AM5" t="s">
        <v>76</v>
      </c>
      <c r="AN5" t="s">
        <v>61</v>
      </c>
      <c r="AO5" t="s">
        <v>61</v>
      </c>
      <c r="AP5" t="s">
        <v>61</v>
      </c>
      <c r="AQ5" t="s">
        <v>61</v>
      </c>
      <c r="AR5" t="s">
        <v>61</v>
      </c>
      <c r="AS5" t="s">
        <v>61</v>
      </c>
      <c r="AT5" t="s">
        <v>61</v>
      </c>
      <c r="AU5" t="s">
        <v>61</v>
      </c>
      <c r="AV5" t="s">
        <v>61</v>
      </c>
      <c r="AW5" t="s">
        <v>61</v>
      </c>
      <c r="AX5" t="s">
        <v>61</v>
      </c>
      <c r="AY5" t="s">
        <v>61</v>
      </c>
      <c r="AZ5" t="s">
        <v>61</v>
      </c>
      <c r="BA5" t="s">
        <v>61</v>
      </c>
      <c r="BB5" t="s">
        <v>61</v>
      </c>
      <c r="BC5" t="s">
        <v>61</v>
      </c>
      <c r="BD5" t="s">
        <v>61</v>
      </c>
      <c r="BE5" t="s">
        <v>61</v>
      </c>
      <c r="BF5" t="s">
        <v>61</v>
      </c>
    </row>
    <row r="6" spans="1:58">
      <c r="A6" t="s">
        <v>58</v>
      </c>
      <c r="C6" t="s">
        <v>70</v>
      </c>
      <c r="D6" t="s">
        <v>77</v>
      </c>
      <c r="E6" t="s">
        <v>61</v>
      </c>
      <c r="F6">
        <v>2014</v>
      </c>
      <c r="G6" t="s">
        <v>61</v>
      </c>
      <c r="H6" t="s">
        <v>61</v>
      </c>
      <c r="I6" t="s">
        <v>61</v>
      </c>
      <c r="J6">
        <v>305</v>
      </c>
      <c r="K6" t="s">
        <v>78</v>
      </c>
      <c r="L6" t="s">
        <v>79</v>
      </c>
      <c r="M6" t="s">
        <v>61</v>
      </c>
      <c r="N6" t="s">
        <v>80</v>
      </c>
      <c r="O6" t="s">
        <v>61</v>
      </c>
      <c r="Q6" t="s">
        <v>61</v>
      </c>
      <c r="R6" t="s">
        <v>61</v>
      </c>
      <c r="S6" t="s">
        <v>61</v>
      </c>
      <c r="T6" t="s">
        <v>61</v>
      </c>
      <c r="X6" t="s">
        <v>61</v>
      </c>
      <c r="Y6" t="s">
        <v>81</v>
      </c>
      <c r="Z6" t="s">
        <v>61</v>
      </c>
      <c r="AA6" t="s">
        <v>61</v>
      </c>
      <c r="AB6">
        <v>103906322</v>
      </c>
      <c r="AC6" t="s">
        <v>67</v>
      </c>
      <c r="AD6" t="s">
        <v>61</v>
      </c>
      <c r="AE6" t="s">
        <v>61</v>
      </c>
      <c r="AF6" t="s">
        <v>61</v>
      </c>
      <c r="AG6" t="s">
        <v>82</v>
      </c>
      <c r="AH6" t="s">
        <v>61</v>
      </c>
      <c r="AI6" t="s">
        <v>61</v>
      </c>
      <c r="AJ6" t="s">
        <v>61</v>
      </c>
      <c r="AK6" t="s">
        <v>61</v>
      </c>
      <c r="AL6" t="s">
        <v>61</v>
      </c>
      <c r="AM6" t="s">
        <v>76</v>
      </c>
      <c r="AN6" t="s">
        <v>61</v>
      </c>
      <c r="AO6" t="s">
        <v>61</v>
      </c>
      <c r="AP6" t="s">
        <v>61</v>
      </c>
      <c r="AQ6" t="s">
        <v>61</v>
      </c>
      <c r="AR6" t="s">
        <v>61</v>
      </c>
      <c r="AS6" t="s">
        <v>61</v>
      </c>
      <c r="AT6" t="s">
        <v>61</v>
      </c>
      <c r="AU6" t="s">
        <v>61</v>
      </c>
      <c r="AV6" t="s">
        <v>61</v>
      </c>
      <c r="AW6" t="s">
        <v>61</v>
      </c>
      <c r="AX6" t="s">
        <v>61</v>
      </c>
      <c r="AY6" t="s">
        <v>61</v>
      </c>
      <c r="AZ6" t="s">
        <v>61</v>
      </c>
      <c r="BA6" t="s">
        <v>61</v>
      </c>
      <c r="BB6" t="s">
        <v>61</v>
      </c>
      <c r="BC6" t="s">
        <v>61</v>
      </c>
      <c r="BD6" t="s">
        <v>61</v>
      </c>
      <c r="BE6" t="s">
        <v>61</v>
      </c>
      <c r="BF6" t="s">
        <v>61</v>
      </c>
    </row>
    <row r="7" spans="1:58">
      <c r="A7" t="s">
        <v>58</v>
      </c>
      <c r="C7" t="s">
        <v>83</v>
      </c>
      <c r="D7" t="s">
        <v>84</v>
      </c>
      <c r="E7" t="s">
        <v>61</v>
      </c>
      <c r="F7">
        <v>2014</v>
      </c>
      <c r="G7" t="s">
        <v>85</v>
      </c>
      <c r="H7" t="s">
        <v>86</v>
      </c>
      <c r="I7" t="s">
        <v>61</v>
      </c>
      <c r="J7">
        <v>2</v>
      </c>
      <c r="K7">
        <v>53</v>
      </c>
      <c r="L7" t="s">
        <v>87</v>
      </c>
      <c r="M7" t="s">
        <v>61</v>
      </c>
      <c r="N7" t="s">
        <v>88</v>
      </c>
      <c r="O7" t="s">
        <v>61</v>
      </c>
      <c r="Q7" t="s">
        <v>61</v>
      </c>
      <c r="R7" t="s">
        <v>61</v>
      </c>
      <c r="S7" t="s">
        <v>61</v>
      </c>
      <c r="T7" t="s">
        <v>61</v>
      </c>
      <c r="X7" t="s">
        <v>61</v>
      </c>
      <c r="Y7" t="s">
        <v>89</v>
      </c>
      <c r="Z7" t="s">
        <v>61</v>
      </c>
      <c r="AA7" t="s">
        <v>61</v>
      </c>
      <c r="AB7">
        <v>24698083</v>
      </c>
      <c r="AC7" t="s">
        <v>67</v>
      </c>
      <c r="AD7" t="s">
        <v>61</v>
      </c>
      <c r="AE7" t="s">
        <v>61</v>
      </c>
      <c r="AF7" t="s">
        <v>61</v>
      </c>
      <c r="AG7" t="s">
        <v>90</v>
      </c>
      <c r="AH7" t="s">
        <v>61</v>
      </c>
      <c r="AI7" t="s">
        <v>91</v>
      </c>
      <c r="AJ7" t="s">
        <v>61</v>
      </c>
      <c r="AK7" t="s">
        <v>61</v>
      </c>
      <c r="AL7" t="s">
        <v>61</v>
      </c>
      <c r="AM7" t="s">
        <v>92</v>
      </c>
      <c r="AN7" t="s">
        <v>61</v>
      </c>
      <c r="AO7" t="s">
        <v>61</v>
      </c>
      <c r="AP7" t="s">
        <v>61</v>
      </c>
      <c r="AQ7" t="s">
        <v>61</v>
      </c>
      <c r="AR7" t="s">
        <v>61</v>
      </c>
      <c r="AS7" t="s">
        <v>61</v>
      </c>
      <c r="AT7" t="s">
        <v>61</v>
      </c>
      <c r="AU7" t="s">
        <v>61</v>
      </c>
      <c r="AV7" t="s">
        <v>61</v>
      </c>
      <c r="AW7" t="s">
        <v>61</v>
      </c>
      <c r="AX7" t="s">
        <v>61</v>
      </c>
      <c r="AY7" t="s">
        <v>61</v>
      </c>
      <c r="AZ7" t="s">
        <v>61</v>
      </c>
      <c r="BA7" t="s">
        <v>61</v>
      </c>
      <c r="BB7" t="s">
        <v>61</v>
      </c>
      <c r="BC7" t="s">
        <v>61</v>
      </c>
      <c r="BD7" t="s">
        <v>61</v>
      </c>
      <c r="BE7" t="s">
        <v>61</v>
      </c>
      <c r="BF7" t="s">
        <v>61</v>
      </c>
    </row>
    <row r="8" spans="1:58">
      <c r="A8" t="s">
        <v>58</v>
      </c>
      <c r="C8" t="s">
        <v>93</v>
      </c>
      <c r="D8" t="s">
        <v>60</v>
      </c>
      <c r="E8" t="s">
        <v>61</v>
      </c>
      <c r="F8">
        <v>2014</v>
      </c>
      <c r="G8" s="1">
        <v>42401</v>
      </c>
      <c r="H8">
        <v>71</v>
      </c>
      <c r="I8">
        <v>3</v>
      </c>
      <c r="J8">
        <v>243</v>
      </c>
      <c r="K8">
        <v>246</v>
      </c>
      <c r="L8" t="s">
        <v>94</v>
      </c>
      <c r="M8" t="s">
        <v>95</v>
      </c>
      <c r="N8" t="s">
        <v>96</v>
      </c>
      <c r="O8" t="s">
        <v>61</v>
      </c>
      <c r="Q8" t="s">
        <v>61</v>
      </c>
      <c r="R8" t="s">
        <v>61</v>
      </c>
      <c r="S8" t="s">
        <v>61</v>
      </c>
      <c r="T8" t="s">
        <v>61</v>
      </c>
      <c r="X8" t="s">
        <v>61</v>
      </c>
      <c r="Y8" t="s">
        <v>97</v>
      </c>
      <c r="Z8" t="s">
        <v>61</v>
      </c>
      <c r="AA8" t="s">
        <v>61</v>
      </c>
      <c r="AB8">
        <v>24429020</v>
      </c>
      <c r="AC8" t="s">
        <v>67</v>
      </c>
      <c r="AD8" t="s">
        <v>61</v>
      </c>
      <c r="AE8" t="s">
        <v>61</v>
      </c>
      <c r="AF8" t="s">
        <v>61</v>
      </c>
      <c r="AG8" t="s">
        <v>98</v>
      </c>
      <c r="AH8" t="s">
        <v>61</v>
      </c>
      <c r="AI8" t="s">
        <v>99</v>
      </c>
      <c r="AJ8" t="s">
        <v>61</v>
      </c>
      <c r="AK8" t="s">
        <v>61</v>
      </c>
      <c r="AL8" t="s">
        <v>61</v>
      </c>
      <c r="AM8" t="s">
        <v>100</v>
      </c>
      <c r="AN8" t="s">
        <v>61</v>
      </c>
      <c r="AO8" t="s">
        <v>61</v>
      </c>
      <c r="AP8" t="s">
        <v>61</v>
      </c>
      <c r="AQ8" t="s">
        <v>61</v>
      </c>
      <c r="AR8" t="s">
        <v>61</v>
      </c>
      <c r="AS8" t="s">
        <v>61</v>
      </c>
      <c r="AT8" t="s">
        <v>61</v>
      </c>
      <c r="AU8" t="s">
        <v>61</v>
      </c>
      <c r="AV8" t="s">
        <v>61</v>
      </c>
      <c r="AW8" t="s">
        <v>61</v>
      </c>
      <c r="AX8" t="s">
        <v>61</v>
      </c>
      <c r="AY8" t="s">
        <v>61</v>
      </c>
      <c r="AZ8" t="s">
        <v>61</v>
      </c>
      <c r="BA8" t="s">
        <v>61</v>
      </c>
      <c r="BB8" t="s">
        <v>61</v>
      </c>
      <c r="BC8" t="s">
        <v>61</v>
      </c>
      <c r="BD8" t="s">
        <v>61</v>
      </c>
      <c r="BE8" t="s">
        <v>61</v>
      </c>
      <c r="BF8" t="s">
        <v>61</v>
      </c>
    </row>
    <row r="9" spans="1:58">
      <c r="A9" t="s">
        <v>58</v>
      </c>
      <c r="C9" t="s">
        <v>70</v>
      </c>
      <c r="D9" t="s">
        <v>77</v>
      </c>
      <c r="E9" t="s">
        <v>61</v>
      </c>
      <c r="F9">
        <v>2013</v>
      </c>
      <c r="G9" t="s">
        <v>61</v>
      </c>
      <c r="H9" t="s">
        <v>61</v>
      </c>
      <c r="I9" t="s">
        <v>61</v>
      </c>
      <c r="J9">
        <v>294</v>
      </c>
      <c r="K9" t="s">
        <v>101</v>
      </c>
      <c r="L9" t="s">
        <v>102</v>
      </c>
      <c r="M9" t="s">
        <v>61</v>
      </c>
      <c r="N9" t="s">
        <v>103</v>
      </c>
      <c r="O9" t="s">
        <v>61</v>
      </c>
      <c r="Q9" t="s">
        <v>61</v>
      </c>
      <c r="R9" t="s">
        <v>61</v>
      </c>
      <c r="S9" t="s">
        <v>61</v>
      </c>
      <c r="T9" t="s">
        <v>61</v>
      </c>
      <c r="X9" t="s">
        <v>61</v>
      </c>
      <c r="Y9" t="s">
        <v>81</v>
      </c>
      <c r="Z9" t="s">
        <v>61</v>
      </c>
      <c r="AA9" t="s">
        <v>61</v>
      </c>
      <c r="AB9">
        <v>103906210</v>
      </c>
      <c r="AC9" t="s">
        <v>67</v>
      </c>
      <c r="AD9" t="s">
        <v>61</v>
      </c>
      <c r="AE9" t="s">
        <v>61</v>
      </c>
      <c r="AF9" t="s">
        <v>61</v>
      </c>
      <c r="AG9" t="s">
        <v>104</v>
      </c>
      <c r="AH9" t="s">
        <v>61</v>
      </c>
      <c r="AI9" t="s">
        <v>61</v>
      </c>
      <c r="AJ9" t="s">
        <v>61</v>
      </c>
      <c r="AK9" t="s">
        <v>61</v>
      </c>
      <c r="AL9" t="s">
        <v>61</v>
      </c>
      <c r="AM9" t="s">
        <v>76</v>
      </c>
      <c r="AN9" t="s">
        <v>61</v>
      </c>
      <c r="AO9" t="s">
        <v>61</v>
      </c>
      <c r="AP9" t="s">
        <v>61</v>
      </c>
      <c r="AQ9" t="s">
        <v>61</v>
      </c>
      <c r="AR9" t="s">
        <v>61</v>
      </c>
      <c r="AS9" t="s">
        <v>61</v>
      </c>
      <c r="AT9" t="s">
        <v>61</v>
      </c>
      <c r="AU9" t="s">
        <v>61</v>
      </c>
      <c r="AV9" t="s">
        <v>61</v>
      </c>
      <c r="AW9" t="s">
        <v>61</v>
      </c>
      <c r="AX9" t="s">
        <v>61</v>
      </c>
      <c r="AY9" t="s">
        <v>61</v>
      </c>
      <c r="AZ9" t="s">
        <v>61</v>
      </c>
      <c r="BA9" t="s">
        <v>61</v>
      </c>
      <c r="BB9" t="s">
        <v>61</v>
      </c>
      <c r="BC9" t="s">
        <v>61</v>
      </c>
      <c r="BD9" t="s">
        <v>61</v>
      </c>
      <c r="BE9" t="s">
        <v>61</v>
      </c>
      <c r="BF9" t="s">
        <v>61</v>
      </c>
    </row>
    <row r="10" spans="1:58">
      <c r="A10" t="s">
        <v>58</v>
      </c>
      <c r="C10" t="s">
        <v>105</v>
      </c>
      <c r="D10" t="s">
        <v>106</v>
      </c>
      <c r="E10" t="s">
        <v>61</v>
      </c>
      <c r="F10">
        <v>2012</v>
      </c>
      <c r="G10" t="s">
        <v>61</v>
      </c>
      <c r="H10">
        <v>145</v>
      </c>
      <c r="I10">
        <v>4</v>
      </c>
      <c r="J10" t="s">
        <v>107</v>
      </c>
      <c r="K10" t="s">
        <v>108</v>
      </c>
      <c r="L10" t="s">
        <v>109</v>
      </c>
      <c r="M10" t="s">
        <v>61</v>
      </c>
      <c r="N10" t="s">
        <v>110</v>
      </c>
      <c r="O10" t="s">
        <v>61</v>
      </c>
      <c r="Q10" t="s">
        <v>61</v>
      </c>
      <c r="R10" t="s">
        <v>61</v>
      </c>
      <c r="S10" t="s">
        <v>61</v>
      </c>
      <c r="T10" t="s">
        <v>61</v>
      </c>
      <c r="X10" t="s">
        <v>61</v>
      </c>
      <c r="Y10" t="s">
        <v>111</v>
      </c>
      <c r="Z10" t="s">
        <v>61</v>
      </c>
      <c r="AA10" t="s">
        <v>61</v>
      </c>
      <c r="AB10">
        <v>104487580</v>
      </c>
      <c r="AC10" t="s">
        <v>67</v>
      </c>
      <c r="AD10" t="s">
        <v>61</v>
      </c>
      <c r="AE10" t="s">
        <v>61</v>
      </c>
      <c r="AF10" t="s">
        <v>61</v>
      </c>
      <c r="AG10" t="s">
        <v>112</v>
      </c>
      <c r="AH10" t="s">
        <v>61</v>
      </c>
      <c r="AI10" t="s">
        <v>113</v>
      </c>
      <c r="AJ10" t="s">
        <v>61</v>
      </c>
      <c r="AK10" t="s">
        <v>61</v>
      </c>
      <c r="AL10" t="s">
        <v>61</v>
      </c>
      <c r="AM10" t="s">
        <v>114</v>
      </c>
      <c r="AN10" t="s">
        <v>61</v>
      </c>
      <c r="AO10" t="s">
        <v>61</v>
      </c>
      <c r="AP10" t="s">
        <v>61</v>
      </c>
      <c r="AQ10" t="s">
        <v>61</v>
      </c>
      <c r="AR10" t="s">
        <v>61</v>
      </c>
      <c r="AS10" t="s">
        <v>61</v>
      </c>
      <c r="AT10" t="s">
        <v>61</v>
      </c>
      <c r="AU10" t="s">
        <v>61</v>
      </c>
      <c r="AV10" t="s">
        <v>61</v>
      </c>
      <c r="AW10" t="s">
        <v>61</v>
      </c>
      <c r="AX10" t="s">
        <v>61</v>
      </c>
      <c r="AY10" t="s">
        <v>61</v>
      </c>
      <c r="AZ10" t="s">
        <v>61</v>
      </c>
      <c r="BA10" t="s">
        <v>61</v>
      </c>
      <c r="BB10" t="s">
        <v>61</v>
      </c>
      <c r="BC10" t="s">
        <v>61</v>
      </c>
      <c r="BD10" t="s">
        <v>61</v>
      </c>
      <c r="BE10" t="s">
        <v>61</v>
      </c>
      <c r="BF10" t="s">
        <v>61</v>
      </c>
    </row>
    <row r="11" spans="1:58">
      <c r="A11" t="s">
        <v>115</v>
      </c>
      <c r="C11" t="s">
        <v>116</v>
      </c>
      <c r="D11" t="s">
        <v>117</v>
      </c>
      <c r="E11" t="s">
        <v>118</v>
      </c>
      <c r="F11">
        <v>2012</v>
      </c>
      <c r="G11" t="s">
        <v>119</v>
      </c>
      <c r="H11">
        <v>38</v>
      </c>
      <c r="I11">
        <v>6</v>
      </c>
      <c r="J11">
        <v>3</v>
      </c>
      <c r="K11">
        <v>5</v>
      </c>
      <c r="L11" t="s">
        <v>120</v>
      </c>
      <c r="M11" t="s">
        <v>121</v>
      </c>
      <c r="N11" t="s">
        <v>122</v>
      </c>
      <c r="O11" t="s">
        <v>61</v>
      </c>
      <c r="Q11" t="s">
        <v>61</v>
      </c>
      <c r="R11" t="s">
        <v>61</v>
      </c>
      <c r="S11" t="s">
        <v>61</v>
      </c>
      <c r="T11" t="s">
        <v>61</v>
      </c>
      <c r="X11" t="s">
        <v>61</v>
      </c>
      <c r="Y11" t="s">
        <v>123</v>
      </c>
      <c r="Z11" t="s">
        <v>61</v>
      </c>
      <c r="AA11" t="s">
        <v>61</v>
      </c>
      <c r="AB11">
        <v>22657720</v>
      </c>
      <c r="AC11" t="s">
        <v>67</v>
      </c>
      <c r="AD11" t="s">
        <v>61</v>
      </c>
      <c r="AE11" t="s">
        <v>61</v>
      </c>
      <c r="AF11" t="s">
        <v>61</v>
      </c>
      <c r="AG11" t="s">
        <v>124</v>
      </c>
      <c r="AH11" t="s">
        <v>61</v>
      </c>
      <c r="AI11" t="s">
        <v>125</v>
      </c>
      <c r="AJ11" t="s">
        <v>61</v>
      </c>
      <c r="AK11" t="s">
        <v>61</v>
      </c>
      <c r="AL11" t="s">
        <v>61</v>
      </c>
      <c r="AM11" t="s">
        <v>126</v>
      </c>
      <c r="AN11" t="s">
        <v>61</v>
      </c>
      <c r="AO11" t="s">
        <v>61</v>
      </c>
      <c r="AP11" t="s">
        <v>61</v>
      </c>
      <c r="AQ11" t="s">
        <v>61</v>
      </c>
      <c r="AR11" t="s">
        <v>61</v>
      </c>
      <c r="AS11" t="s">
        <v>61</v>
      </c>
      <c r="AT11" t="s">
        <v>61</v>
      </c>
      <c r="AU11" t="s">
        <v>61</v>
      </c>
      <c r="AV11" t="s">
        <v>61</v>
      </c>
      <c r="AW11" t="s">
        <v>61</v>
      </c>
      <c r="AX11" t="s">
        <v>61</v>
      </c>
      <c r="AY11" t="s">
        <v>61</v>
      </c>
      <c r="AZ11" t="s">
        <v>61</v>
      </c>
      <c r="BA11" t="s">
        <v>61</v>
      </c>
      <c r="BB11" t="s">
        <v>61</v>
      </c>
      <c r="BC11" t="s">
        <v>61</v>
      </c>
      <c r="BD11" t="s">
        <v>61</v>
      </c>
      <c r="BE11" t="s">
        <v>61</v>
      </c>
      <c r="BF11" t="s">
        <v>61</v>
      </c>
    </row>
    <row r="12" spans="1:58">
      <c r="A12" t="s">
        <v>58</v>
      </c>
      <c r="C12" t="s">
        <v>127</v>
      </c>
      <c r="D12" t="s">
        <v>128</v>
      </c>
      <c r="E12" t="s">
        <v>61</v>
      </c>
      <c r="F12">
        <v>2012</v>
      </c>
      <c r="G12" t="s">
        <v>129</v>
      </c>
      <c r="H12">
        <v>24</v>
      </c>
      <c r="I12">
        <v>10</v>
      </c>
      <c r="J12">
        <v>112</v>
      </c>
      <c r="K12">
        <v>116</v>
      </c>
      <c r="L12" t="s">
        <v>130</v>
      </c>
      <c r="M12" t="s">
        <v>131</v>
      </c>
      <c r="N12" t="s">
        <v>132</v>
      </c>
      <c r="O12" t="s">
        <v>61</v>
      </c>
      <c r="Q12" t="s">
        <v>61</v>
      </c>
      <c r="R12" t="s">
        <v>61</v>
      </c>
      <c r="S12" t="s">
        <v>61</v>
      </c>
      <c r="T12" t="s">
        <v>61</v>
      </c>
      <c r="X12" t="s">
        <v>61</v>
      </c>
      <c r="Y12" t="s">
        <v>133</v>
      </c>
      <c r="Z12" t="s">
        <v>61</v>
      </c>
      <c r="AA12" t="s">
        <v>61</v>
      </c>
      <c r="AB12">
        <v>23045763</v>
      </c>
      <c r="AC12" t="s">
        <v>67</v>
      </c>
      <c r="AD12" t="s">
        <v>61</v>
      </c>
      <c r="AE12" t="s">
        <v>61</v>
      </c>
      <c r="AF12" t="s">
        <v>61</v>
      </c>
      <c r="AG12" t="s">
        <v>134</v>
      </c>
      <c r="AH12" t="s">
        <v>61</v>
      </c>
      <c r="AI12" t="s">
        <v>61</v>
      </c>
      <c r="AJ12" t="s">
        <v>61</v>
      </c>
      <c r="AK12" t="s">
        <v>61</v>
      </c>
      <c r="AL12" t="s">
        <v>61</v>
      </c>
      <c r="AM12" t="s">
        <v>135</v>
      </c>
      <c r="AN12" t="s">
        <v>61</v>
      </c>
      <c r="AO12" t="s">
        <v>61</v>
      </c>
      <c r="AP12" t="s">
        <v>61</v>
      </c>
      <c r="AQ12" t="s">
        <v>61</v>
      </c>
      <c r="AR12" t="s">
        <v>61</v>
      </c>
      <c r="AS12" t="s">
        <v>61</v>
      </c>
      <c r="AT12" t="s">
        <v>61</v>
      </c>
      <c r="AU12" t="s">
        <v>61</v>
      </c>
      <c r="AV12" t="s">
        <v>61</v>
      </c>
      <c r="AW12" t="s">
        <v>61</v>
      </c>
      <c r="AX12" t="s">
        <v>61</v>
      </c>
      <c r="AY12" t="s">
        <v>61</v>
      </c>
      <c r="AZ12" t="s">
        <v>61</v>
      </c>
      <c r="BA12" t="s">
        <v>61</v>
      </c>
      <c r="BB12" t="s">
        <v>61</v>
      </c>
      <c r="BC12" t="s">
        <v>61</v>
      </c>
      <c r="BD12" t="s">
        <v>61</v>
      </c>
      <c r="BE12" t="s">
        <v>61</v>
      </c>
      <c r="BF12" t="s">
        <v>61</v>
      </c>
    </row>
    <row r="13" spans="1:58">
      <c r="A13" t="s">
        <v>58</v>
      </c>
      <c r="C13" t="s">
        <v>136</v>
      </c>
      <c r="D13" t="s">
        <v>77</v>
      </c>
      <c r="E13" t="s">
        <v>61</v>
      </c>
      <c r="F13">
        <v>2011</v>
      </c>
      <c r="G13" t="s">
        <v>61</v>
      </c>
      <c r="H13" t="s">
        <v>61</v>
      </c>
      <c r="I13" t="s">
        <v>61</v>
      </c>
      <c r="J13">
        <v>231</v>
      </c>
      <c r="K13" t="s">
        <v>137</v>
      </c>
      <c r="L13" t="s">
        <v>138</v>
      </c>
      <c r="M13" t="s">
        <v>61</v>
      </c>
      <c r="N13" t="s">
        <v>139</v>
      </c>
      <c r="O13" t="s">
        <v>61</v>
      </c>
      <c r="Q13" t="s">
        <v>61</v>
      </c>
      <c r="R13" t="s">
        <v>61</v>
      </c>
      <c r="S13" t="s">
        <v>61</v>
      </c>
      <c r="T13" t="s">
        <v>61</v>
      </c>
      <c r="X13" t="s">
        <v>61</v>
      </c>
      <c r="Y13" t="s">
        <v>81</v>
      </c>
      <c r="Z13" t="s">
        <v>61</v>
      </c>
      <c r="AA13" t="s">
        <v>61</v>
      </c>
      <c r="AB13">
        <v>104627258</v>
      </c>
      <c r="AC13" t="s">
        <v>67</v>
      </c>
      <c r="AD13" t="s">
        <v>61</v>
      </c>
      <c r="AE13" t="s">
        <v>61</v>
      </c>
      <c r="AF13" t="s">
        <v>61</v>
      </c>
      <c r="AG13" t="s">
        <v>140</v>
      </c>
      <c r="AH13" t="s">
        <v>61</v>
      </c>
      <c r="AI13" t="s">
        <v>61</v>
      </c>
      <c r="AJ13" t="s">
        <v>61</v>
      </c>
      <c r="AK13" t="s">
        <v>61</v>
      </c>
      <c r="AL13" t="s">
        <v>61</v>
      </c>
      <c r="AM13" t="s">
        <v>141</v>
      </c>
      <c r="AN13" t="s">
        <v>61</v>
      </c>
      <c r="AO13" t="s">
        <v>61</v>
      </c>
      <c r="AP13" t="s">
        <v>61</v>
      </c>
      <c r="AQ13" t="s">
        <v>61</v>
      </c>
      <c r="AR13" t="s">
        <v>61</v>
      </c>
      <c r="AS13" t="s">
        <v>61</v>
      </c>
      <c r="AT13" t="s">
        <v>61</v>
      </c>
      <c r="AU13" t="s">
        <v>61</v>
      </c>
      <c r="AV13" t="s">
        <v>61</v>
      </c>
      <c r="AW13" t="s">
        <v>61</v>
      </c>
      <c r="AX13" t="s">
        <v>61</v>
      </c>
      <c r="AY13" t="s">
        <v>61</v>
      </c>
      <c r="AZ13" t="s">
        <v>61</v>
      </c>
      <c r="BA13" t="s">
        <v>61</v>
      </c>
      <c r="BB13" t="s">
        <v>61</v>
      </c>
      <c r="BC13" t="s">
        <v>61</v>
      </c>
      <c r="BD13" t="s">
        <v>61</v>
      </c>
      <c r="BE13" t="s">
        <v>61</v>
      </c>
      <c r="BF13" t="s">
        <v>61</v>
      </c>
    </row>
    <row r="14" spans="1:58">
      <c r="A14" t="s">
        <v>142</v>
      </c>
      <c r="C14" t="s">
        <v>143</v>
      </c>
      <c r="D14" t="s">
        <v>61</v>
      </c>
      <c r="E14" t="s">
        <v>61</v>
      </c>
      <c r="F14">
        <v>2010</v>
      </c>
      <c r="G14" s="2">
        <v>36739</v>
      </c>
      <c r="H14" t="s">
        <v>61</v>
      </c>
      <c r="I14" t="s">
        <v>61</v>
      </c>
      <c r="J14">
        <v>4</v>
      </c>
      <c r="K14" t="s">
        <v>61</v>
      </c>
      <c r="L14" t="s">
        <v>144</v>
      </c>
      <c r="M14" t="s">
        <v>145</v>
      </c>
      <c r="N14" t="s">
        <v>146</v>
      </c>
      <c r="O14" t="s">
        <v>61</v>
      </c>
      <c r="Q14" t="s">
        <v>61</v>
      </c>
      <c r="R14" t="s">
        <v>61</v>
      </c>
      <c r="S14" t="s">
        <v>147</v>
      </c>
      <c r="T14" t="s">
        <v>148</v>
      </c>
      <c r="X14" t="s">
        <v>61</v>
      </c>
      <c r="Y14" t="s">
        <v>61</v>
      </c>
      <c r="Z14" t="s">
        <v>61</v>
      </c>
      <c r="AA14" t="s">
        <v>149</v>
      </c>
      <c r="AB14" t="s">
        <v>150</v>
      </c>
      <c r="AC14" t="s">
        <v>67</v>
      </c>
      <c r="AD14" t="s">
        <v>61</v>
      </c>
      <c r="AE14" t="s">
        <v>61</v>
      </c>
      <c r="AF14" t="s">
        <v>61</v>
      </c>
      <c r="AG14" t="s">
        <v>61</v>
      </c>
      <c r="AH14" t="s">
        <v>61</v>
      </c>
      <c r="AI14" t="s">
        <v>61</v>
      </c>
      <c r="AJ14" t="s">
        <v>61</v>
      </c>
      <c r="AK14" t="s">
        <v>61</v>
      </c>
      <c r="AL14" t="s">
        <v>61</v>
      </c>
      <c r="AM14" t="s">
        <v>151</v>
      </c>
      <c r="AN14" t="s">
        <v>61</v>
      </c>
      <c r="AO14" t="s">
        <v>61</v>
      </c>
      <c r="AP14" t="s">
        <v>61</v>
      </c>
      <c r="AQ14" t="s">
        <v>61</v>
      </c>
      <c r="AR14" t="s">
        <v>61</v>
      </c>
      <c r="AS14" t="s">
        <v>61</v>
      </c>
      <c r="AT14" t="s">
        <v>61</v>
      </c>
      <c r="AU14" t="s">
        <v>61</v>
      </c>
      <c r="AV14" t="s">
        <v>61</v>
      </c>
      <c r="AW14" t="s">
        <v>61</v>
      </c>
      <c r="AX14" t="s">
        <v>61</v>
      </c>
      <c r="AY14" t="s">
        <v>61</v>
      </c>
      <c r="AZ14" t="s">
        <v>61</v>
      </c>
      <c r="BA14" t="s">
        <v>61</v>
      </c>
      <c r="BB14" t="s">
        <v>61</v>
      </c>
      <c r="BC14" t="s">
        <v>61</v>
      </c>
      <c r="BD14" t="s">
        <v>61</v>
      </c>
      <c r="BE14" t="s">
        <v>61</v>
      </c>
      <c r="BF14" t="s">
        <v>61</v>
      </c>
    </row>
    <row r="15" spans="1:58">
      <c r="A15" t="s">
        <v>58</v>
      </c>
      <c r="C15" t="s">
        <v>152</v>
      </c>
      <c r="D15" t="s">
        <v>153</v>
      </c>
      <c r="E15" t="s">
        <v>61</v>
      </c>
      <c r="F15">
        <v>2010</v>
      </c>
      <c r="G15" t="s">
        <v>154</v>
      </c>
      <c r="H15">
        <v>50</v>
      </c>
      <c r="I15">
        <v>4</v>
      </c>
      <c r="J15">
        <v>471</v>
      </c>
      <c r="K15">
        <v>472</v>
      </c>
      <c r="L15" t="s">
        <v>155</v>
      </c>
      <c r="M15" t="s">
        <v>61</v>
      </c>
      <c r="N15" t="s">
        <v>156</v>
      </c>
      <c r="O15" t="s">
        <v>61</v>
      </c>
      <c r="Q15" t="s">
        <v>61</v>
      </c>
      <c r="R15" t="s">
        <v>61</v>
      </c>
      <c r="S15" t="s">
        <v>61</v>
      </c>
      <c r="T15" t="s">
        <v>61</v>
      </c>
      <c r="X15" t="s">
        <v>61</v>
      </c>
      <c r="Y15" t="s">
        <v>157</v>
      </c>
      <c r="Z15" t="s">
        <v>61</v>
      </c>
      <c r="AA15" t="s">
        <v>61</v>
      </c>
      <c r="AB15">
        <v>20621862</v>
      </c>
      <c r="AC15" t="s">
        <v>67</v>
      </c>
      <c r="AD15" t="s">
        <v>61</v>
      </c>
      <c r="AE15" t="s">
        <v>61</v>
      </c>
      <c r="AF15" t="s">
        <v>61</v>
      </c>
      <c r="AG15" t="s">
        <v>158</v>
      </c>
      <c r="AH15" t="s">
        <v>61</v>
      </c>
      <c r="AI15" t="s">
        <v>159</v>
      </c>
      <c r="AJ15" t="s">
        <v>61</v>
      </c>
      <c r="AK15" t="s">
        <v>61</v>
      </c>
      <c r="AL15" t="s">
        <v>61</v>
      </c>
      <c r="AM15" t="s">
        <v>160</v>
      </c>
      <c r="AN15" t="s">
        <v>61</v>
      </c>
      <c r="AO15" t="s">
        <v>61</v>
      </c>
      <c r="AP15" t="s">
        <v>61</v>
      </c>
      <c r="AQ15" t="s">
        <v>61</v>
      </c>
      <c r="AR15" t="s">
        <v>61</v>
      </c>
      <c r="AS15" t="s">
        <v>61</v>
      </c>
      <c r="AT15" t="s">
        <v>61</v>
      </c>
      <c r="AU15" t="s">
        <v>61</v>
      </c>
      <c r="AV15" t="s">
        <v>61</v>
      </c>
      <c r="AW15" t="s">
        <v>61</v>
      </c>
      <c r="AX15" t="s">
        <v>61</v>
      </c>
      <c r="AY15" t="s">
        <v>61</v>
      </c>
      <c r="AZ15" t="s">
        <v>61</v>
      </c>
      <c r="BA15" t="s">
        <v>61</v>
      </c>
      <c r="BB15" t="s">
        <v>61</v>
      </c>
      <c r="BC15" t="s">
        <v>61</v>
      </c>
      <c r="BD15" t="s">
        <v>61</v>
      </c>
      <c r="BE15" t="s">
        <v>61</v>
      </c>
      <c r="BF15" t="s">
        <v>61</v>
      </c>
    </row>
    <row r="16" spans="1:58">
      <c r="A16" t="s">
        <v>58</v>
      </c>
      <c r="C16" t="s">
        <v>161</v>
      </c>
      <c r="D16" t="s">
        <v>162</v>
      </c>
      <c r="E16" t="s">
        <v>163</v>
      </c>
      <c r="F16">
        <v>2009</v>
      </c>
      <c r="G16" t="s">
        <v>61</v>
      </c>
      <c r="H16">
        <v>49</v>
      </c>
      <c r="I16">
        <v>9</v>
      </c>
      <c r="J16">
        <v>1091</v>
      </c>
      <c r="K16" t="s">
        <v>164</v>
      </c>
      <c r="L16" t="s">
        <v>165</v>
      </c>
      <c r="M16" t="s">
        <v>61</v>
      </c>
      <c r="N16" t="s">
        <v>166</v>
      </c>
      <c r="O16" t="s">
        <v>61</v>
      </c>
      <c r="Q16" t="s">
        <v>61</v>
      </c>
      <c r="R16" t="s">
        <v>61</v>
      </c>
      <c r="S16" t="s">
        <v>61</v>
      </c>
      <c r="T16" t="s">
        <v>61</v>
      </c>
      <c r="X16" t="s">
        <v>61</v>
      </c>
      <c r="Y16" t="s">
        <v>167</v>
      </c>
      <c r="Z16" t="s">
        <v>61</v>
      </c>
      <c r="AA16" t="s">
        <v>61</v>
      </c>
      <c r="AB16">
        <v>105444143</v>
      </c>
      <c r="AC16" t="s">
        <v>67</v>
      </c>
      <c r="AD16" t="s">
        <v>61</v>
      </c>
      <c r="AE16" t="s">
        <v>61</v>
      </c>
      <c r="AF16" t="s">
        <v>61</v>
      </c>
      <c r="AG16" t="s">
        <v>168</v>
      </c>
      <c r="AH16" t="s">
        <v>61</v>
      </c>
      <c r="AI16" t="s">
        <v>61</v>
      </c>
      <c r="AJ16" t="s">
        <v>61</v>
      </c>
      <c r="AK16" t="s">
        <v>61</v>
      </c>
      <c r="AL16" t="s">
        <v>61</v>
      </c>
      <c r="AM16" t="s">
        <v>169</v>
      </c>
      <c r="AN16" t="s">
        <v>61</v>
      </c>
      <c r="AO16" t="s">
        <v>61</v>
      </c>
      <c r="AP16" t="s">
        <v>61</v>
      </c>
      <c r="AQ16" t="s">
        <v>61</v>
      </c>
      <c r="AR16" t="s">
        <v>61</v>
      </c>
      <c r="AS16" t="s">
        <v>61</v>
      </c>
      <c r="AT16" t="s">
        <v>61</v>
      </c>
      <c r="AU16" t="s">
        <v>61</v>
      </c>
      <c r="AV16" t="s">
        <v>61</v>
      </c>
      <c r="AW16" t="s">
        <v>61</v>
      </c>
      <c r="AX16" t="s">
        <v>61</v>
      </c>
      <c r="AY16" t="s">
        <v>61</v>
      </c>
      <c r="AZ16" t="s">
        <v>61</v>
      </c>
      <c r="BA16" t="s">
        <v>61</v>
      </c>
      <c r="BB16" t="s">
        <v>61</v>
      </c>
      <c r="BC16" t="s">
        <v>61</v>
      </c>
      <c r="BD16" t="s">
        <v>61</v>
      </c>
      <c r="BE16" t="s">
        <v>61</v>
      </c>
      <c r="BF16" t="s">
        <v>61</v>
      </c>
    </row>
    <row r="17" spans="1:58">
      <c r="A17" t="s">
        <v>58</v>
      </c>
      <c r="C17" t="s">
        <v>170</v>
      </c>
      <c r="D17" t="s">
        <v>171</v>
      </c>
      <c r="E17" t="s">
        <v>61</v>
      </c>
      <c r="F17">
        <v>2009</v>
      </c>
      <c r="G17" t="s">
        <v>61</v>
      </c>
      <c r="H17" t="s">
        <v>61</v>
      </c>
      <c r="I17" t="s">
        <v>61</v>
      </c>
      <c r="J17">
        <v>4</v>
      </c>
      <c r="K17" t="s">
        <v>172</v>
      </c>
      <c r="L17" t="s">
        <v>173</v>
      </c>
      <c r="M17" t="s">
        <v>61</v>
      </c>
      <c r="N17" t="s">
        <v>174</v>
      </c>
      <c r="O17" t="s">
        <v>61</v>
      </c>
      <c r="Q17" t="s">
        <v>61</v>
      </c>
      <c r="R17" t="s">
        <v>61</v>
      </c>
      <c r="S17" t="s">
        <v>61</v>
      </c>
      <c r="T17" t="s">
        <v>61</v>
      </c>
      <c r="X17" t="s">
        <v>61</v>
      </c>
      <c r="Y17" t="s">
        <v>175</v>
      </c>
      <c r="Z17" t="s">
        <v>61</v>
      </c>
      <c r="AA17" t="s">
        <v>61</v>
      </c>
      <c r="AB17">
        <v>105439661</v>
      </c>
      <c r="AC17" t="s">
        <v>67</v>
      </c>
      <c r="AD17" t="s">
        <v>61</v>
      </c>
      <c r="AE17" t="s">
        <v>61</v>
      </c>
      <c r="AF17" t="s">
        <v>61</v>
      </c>
      <c r="AG17" t="s">
        <v>176</v>
      </c>
      <c r="AH17" t="s">
        <v>61</v>
      </c>
      <c r="AI17" t="s">
        <v>61</v>
      </c>
      <c r="AJ17" t="s">
        <v>61</v>
      </c>
      <c r="AK17" t="s">
        <v>61</v>
      </c>
      <c r="AL17" t="s">
        <v>61</v>
      </c>
      <c r="AM17" t="s">
        <v>177</v>
      </c>
      <c r="AN17" t="s">
        <v>61</v>
      </c>
      <c r="AO17" t="s">
        <v>61</v>
      </c>
      <c r="AP17" t="s">
        <v>61</v>
      </c>
      <c r="AQ17" t="s">
        <v>61</v>
      </c>
      <c r="AR17" t="s">
        <v>61</v>
      </c>
      <c r="AS17" t="s">
        <v>61</v>
      </c>
      <c r="AT17" t="s">
        <v>61</v>
      </c>
      <c r="AU17" t="s">
        <v>61</v>
      </c>
      <c r="AV17" t="s">
        <v>61</v>
      </c>
      <c r="AW17" t="s">
        <v>61</v>
      </c>
      <c r="AX17" t="s">
        <v>61</v>
      </c>
      <c r="AY17" t="s">
        <v>61</v>
      </c>
      <c r="AZ17" t="s">
        <v>61</v>
      </c>
      <c r="BA17" t="s">
        <v>61</v>
      </c>
      <c r="BB17" t="s">
        <v>61</v>
      </c>
      <c r="BC17" t="s">
        <v>61</v>
      </c>
      <c r="BD17" t="s">
        <v>61</v>
      </c>
      <c r="BE17" t="s">
        <v>61</v>
      </c>
      <c r="BF17" t="s">
        <v>61</v>
      </c>
    </row>
    <row r="18" spans="1:58">
      <c r="A18" t="s">
        <v>58</v>
      </c>
      <c r="C18" t="s">
        <v>178</v>
      </c>
      <c r="D18" t="s">
        <v>179</v>
      </c>
      <c r="E18" t="s">
        <v>61</v>
      </c>
      <c r="F18">
        <v>2007</v>
      </c>
      <c r="G18" t="s">
        <v>61</v>
      </c>
      <c r="H18">
        <v>5</v>
      </c>
      <c r="I18">
        <v>1</v>
      </c>
      <c r="J18">
        <v>32</v>
      </c>
      <c r="K18" t="s">
        <v>180</v>
      </c>
      <c r="L18" t="s">
        <v>181</v>
      </c>
      <c r="M18" t="s">
        <v>182</v>
      </c>
      <c r="N18" t="s">
        <v>183</v>
      </c>
      <c r="O18" t="s">
        <v>61</v>
      </c>
      <c r="Q18" t="s">
        <v>61</v>
      </c>
      <c r="R18" t="s">
        <v>61</v>
      </c>
      <c r="S18" t="s">
        <v>61</v>
      </c>
      <c r="T18" t="s">
        <v>61</v>
      </c>
      <c r="X18" t="s">
        <v>61</v>
      </c>
      <c r="Y18" t="s">
        <v>184</v>
      </c>
      <c r="Z18" t="s">
        <v>61</v>
      </c>
      <c r="AA18" t="s">
        <v>61</v>
      </c>
      <c r="AB18">
        <v>106126087</v>
      </c>
      <c r="AC18" t="s">
        <v>67</v>
      </c>
      <c r="AD18" t="s">
        <v>61</v>
      </c>
      <c r="AE18" t="s">
        <v>61</v>
      </c>
      <c r="AF18" t="s">
        <v>61</v>
      </c>
      <c r="AG18" t="s">
        <v>185</v>
      </c>
      <c r="AH18" t="s">
        <v>61</v>
      </c>
      <c r="AI18" t="s">
        <v>61</v>
      </c>
      <c r="AJ18" t="s">
        <v>61</v>
      </c>
      <c r="AK18" t="s">
        <v>61</v>
      </c>
      <c r="AL18" t="s">
        <v>61</v>
      </c>
      <c r="AM18" t="s">
        <v>186</v>
      </c>
      <c r="AN18" t="s">
        <v>61</v>
      </c>
      <c r="AO18" t="s">
        <v>61</v>
      </c>
      <c r="AP18" t="s">
        <v>61</v>
      </c>
      <c r="AQ18" t="s">
        <v>61</v>
      </c>
      <c r="AR18" t="s">
        <v>61</v>
      </c>
      <c r="AS18" t="s">
        <v>61</v>
      </c>
      <c r="AT18" t="s">
        <v>61</v>
      </c>
      <c r="AU18" t="s">
        <v>61</v>
      </c>
      <c r="AV18" t="s">
        <v>61</v>
      </c>
      <c r="AW18" t="s">
        <v>61</v>
      </c>
      <c r="AX18" t="s">
        <v>61</v>
      </c>
      <c r="AY18" t="s">
        <v>61</v>
      </c>
      <c r="AZ18" t="s">
        <v>61</v>
      </c>
      <c r="BA18" t="s">
        <v>61</v>
      </c>
      <c r="BB18" t="s">
        <v>61</v>
      </c>
      <c r="BC18" t="s">
        <v>61</v>
      </c>
      <c r="BD18" t="s">
        <v>61</v>
      </c>
      <c r="BE18" t="s">
        <v>61</v>
      </c>
      <c r="BF18" t="s">
        <v>61</v>
      </c>
    </row>
    <row r="19" spans="1:58">
      <c r="A19" t="s">
        <v>58</v>
      </c>
      <c r="C19" t="s">
        <v>187</v>
      </c>
      <c r="D19" t="s">
        <v>188</v>
      </c>
      <c r="E19" t="s">
        <v>61</v>
      </c>
      <c r="F19">
        <v>2006</v>
      </c>
      <c r="G19" t="s">
        <v>61</v>
      </c>
      <c r="H19">
        <v>22</v>
      </c>
      <c r="I19">
        <v>4</v>
      </c>
      <c r="J19">
        <v>234</v>
      </c>
      <c r="K19" t="s">
        <v>189</v>
      </c>
      <c r="L19" t="s">
        <v>190</v>
      </c>
      <c r="M19" t="s">
        <v>61</v>
      </c>
      <c r="N19" t="s">
        <v>191</v>
      </c>
      <c r="O19" t="s">
        <v>61</v>
      </c>
      <c r="Q19" t="s">
        <v>61</v>
      </c>
      <c r="R19" t="s">
        <v>61</v>
      </c>
      <c r="S19" t="s">
        <v>61</v>
      </c>
      <c r="T19" t="s">
        <v>61</v>
      </c>
      <c r="X19" t="s">
        <v>61</v>
      </c>
      <c r="Y19" t="s">
        <v>192</v>
      </c>
      <c r="Z19" t="s">
        <v>61</v>
      </c>
      <c r="AA19" t="s">
        <v>61</v>
      </c>
      <c r="AB19">
        <v>105893875</v>
      </c>
      <c r="AC19" t="s">
        <v>67</v>
      </c>
      <c r="AD19" t="s">
        <v>61</v>
      </c>
      <c r="AE19" t="s">
        <v>61</v>
      </c>
      <c r="AF19" t="s">
        <v>61</v>
      </c>
      <c r="AG19" t="s">
        <v>193</v>
      </c>
      <c r="AH19" t="s">
        <v>61</v>
      </c>
      <c r="AI19" t="s">
        <v>61</v>
      </c>
      <c r="AJ19" t="s">
        <v>61</v>
      </c>
      <c r="AK19" t="s">
        <v>61</v>
      </c>
      <c r="AL19" t="s">
        <v>61</v>
      </c>
      <c r="AM19" t="s">
        <v>194</v>
      </c>
      <c r="AN19" t="s">
        <v>61</v>
      </c>
      <c r="AO19" t="s">
        <v>61</v>
      </c>
      <c r="AP19" t="s">
        <v>61</v>
      </c>
      <c r="AQ19" t="s">
        <v>61</v>
      </c>
      <c r="AR19" t="s">
        <v>61</v>
      </c>
      <c r="AS19" t="s">
        <v>61</v>
      </c>
      <c r="AT19" t="s">
        <v>61</v>
      </c>
      <c r="AU19" t="s">
        <v>61</v>
      </c>
      <c r="AV19" t="s">
        <v>61</v>
      </c>
      <c r="AW19" t="s">
        <v>61</v>
      </c>
      <c r="AX19" t="s">
        <v>61</v>
      </c>
      <c r="AY19" t="s">
        <v>61</v>
      </c>
      <c r="AZ19" t="s">
        <v>61</v>
      </c>
      <c r="BA19" t="s">
        <v>61</v>
      </c>
      <c r="BB19" t="s">
        <v>61</v>
      </c>
      <c r="BC19" t="s">
        <v>61</v>
      </c>
      <c r="BD19" t="s">
        <v>61</v>
      </c>
      <c r="BE19" t="s">
        <v>61</v>
      </c>
      <c r="BF19" t="s">
        <v>61</v>
      </c>
    </row>
    <row r="20" spans="1:58">
      <c r="A20" t="s">
        <v>58</v>
      </c>
      <c r="C20" t="s">
        <v>195</v>
      </c>
      <c r="D20" t="s">
        <v>60</v>
      </c>
      <c r="E20" t="s">
        <v>61</v>
      </c>
      <c r="F20">
        <v>2003</v>
      </c>
      <c r="G20" t="s">
        <v>61</v>
      </c>
      <c r="H20">
        <v>60</v>
      </c>
      <c r="I20">
        <v>19</v>
      </c>
      <c r="J20">
        <v>1995</v>
      </c>
      <c r="K20" t="s">
        <v>196</v>
      </c>
      <c r="L20" t="s">
        <v>197</v>
      </c>
      <c r="M20" t="s">
        <v>61</v>
      </c>
      <c r="N20" t="s">
        <v>198</v>
      </c>
      <c r="O20" t="s">
        <v>61</v>
      </c>
      <c r="Q20" t="s">
        <v>61</v>
      </c>
      <c r="R20" t="s">
        <v>61</v>
      </c>
      <c r="S20" t="s">
        <v>61</v>
      </c>
      <c r="T20" t="s">
        <v>61</v>
      </c>
      <c r="X20" t="s">
        <v>61</v>
      </c>
      <c r="Y20" t="s">
        <v>66</v>
      </c>
      <c r="Z20" t="s">
        <v>61</v>
      </c>
      <c r="AA20" t="s">
        <v>61</v>
      </c>
      <c r="AB20" t="s">
        <v>199</v>
      </c>
      <c r="AC20" t="s">
        <v>67</v>
      </c>
      <c r="AD20" t="s">
        <v>61</v>
      </c>
      <c r="AE20" t="s">
        <v>61</v>
      </c>
      <c r="AF20" t="s">
        <v>61</v>
      </c>
      <c r="AG20" t="s">
        <v>200</v>
      </c>
      <c r="AH20" t="s">
        <v>61</v>
      </c>
      <c r="AI20" t="s">
        <v>61</v>
      </c>
      <c r="AJ20" t="s">
        <v>61</v>
      </c>
      <c r="AK20" t="s">
        <v>61</v>
      </c>
      <c r="AL20" t="s">
        <v>61</v>
      </c>
      <c r="AM20" t="s">
        <v>201</v>
      </c>
      <c r="AN20" t="s">
        <v>61</v>
      </c>
      <c r="AO20" t="s">
        <v>61</v>
      </c>
      <c r="AP20" t="s">
        <v>61</v>
      </c>
      <c r="AQ20" t="s">
        <v>61</v>
      </c>
      <c r="AR20" t="s">
        <v>61</v>
      </c>
      <c r="AS20" t="s">
        <v>61</v>
      </c>
      <c r="AT20" t="s">
        <v>61</v>
      </c>
      <c r="AU20" t="s">
        <v>61</v>
      </c>
      <c r="AV20" t="s">
        <v>61</v>
      </c>
      <c r="AW20" t="s">
        <v>61</v>
      </c>
      <c r="AX20" t="s">
        <v>61</v>
      </c>
      <c r="AY20" t="s">
        <v>61</v>
      </c>
      <c r="AZ20" t="s">
        <v>61</v>
      </c>
      <c r="BA20" t="s">
        <v>61</v>
      </c>
      <c r="BB20" t="s">
        <v>61</v>
      </c>
      <c r="BC20" t="s">
        <v>61</v>
      </c>
      <c r="BD20" t="s">
        <v>61</v>
      </c>
      <c r="BE20" t="s">
        <v>61</v>
      </c>
      <c r="BF20" t="s">
        <v>61</v>
      </c>
    </row>
    <row r="21" spans="1:58">
      <c r="A21" t="s">
        <v>58</v>
      </c>
      <c r="C21" t="s">
        <v>195</v>
      </c>
      <c r="D21" t="s">
        <v>60</v>
      </c>
      <c r="E21" t="s">
        <v>61</v>
      </c>
      <c r="F21">
        <v>2003</v>
      </c>
      <c r="G21" s="1">
        <v>42644</v>
      </c>
      <c r="H21">
        <v>60</v>
      </c>
      <c r="I21">
        <v>19</v>
      </c>
      <c r="J21">
        <v>1995</v>
      </c>
      <c r="K21">
        <v>1998</v>
      </c>
      <c r="L21" t="s">
        <v>202</v>
      </c>
      <c r="M21" t="s">
        <v>61</v>
      </c>
      <c r="N21" t="s">
        <v>203</v>
      </c>
      <c r="O21" t="s">
        <v>61</v>
      </c>
      <c r="Q21" t="s">
        <v>61</v>
      </c>
      <c r="R21" t="s">
        <v>61</v>
      </c>
      <c r="S21" t="s">
        <v>61</v>
      </c>
      <c r="T21" t="s">
        <v>61</v>
      </c>
      <c r="X21" t="s">
        <v>61</v>
      </c>
      <c r="Y21" t="s">
        <v>66</v>
      </c>
      <c r="Z21" t="s">
        <v>61</v>
      </c>
      <c r="AA21" t="s">
        <v>61</v>
      </c>
      <c r="AB21">
        <v>14531247</v>
      </c>
      <c r="AC21" t="s">
        <v>67</v>
      </c>
      <c r="AD21" t="s">
        <v>61</v>
      </c>
      <c r="AE21" t="s">
        <v>61</v>
      </c>
      <c r="AF21" t="s">
        <v>61</v>
      </c>
      <c r="AG21" t="s">
        <v>204</v>
      </c>
      <c r="AH21" t="s">
        <v>61</v>
      </c>
      <c r="AI21" t="s">
        <v>61</v>
      </c>
      <c r="AJ21" t="s">
        <v>61</v>
      </c>
      <c r="AK21" t="s">
        <v>61</v>
      </c>
      <c r="AL21" t="s">
        <v>61</v>
      </c>
      <c r="AM21" t="s">
        <v>205</v>
      </c>
      <c r="AN21" t="s">
        <v>61</v>
      </c>
      <c r="AO21" t="s">
        <v>61</v>
      </c>
      <c r="AP21" t="s">
        <v>61</v>
      </c>
      <c r="AQ21" t="s">
        <v>61</v>
      </c>
      <c r="AR21" t="s">
        <v>61</v>
      </c>
      <c r="AS21" t="s">
        <v>61</v>
      </c>
      <c r="AT21" t="s">
        <v>61</v>
      </c>
      <c r="AU21" t="s">
        <v>61</v>
      </c>
      <c r="AV21" t="s">
        <v>61</v>
      </c>
      <c r="AW21" t="s">
        <v>61</v>
      </c>
      <c r="AX21" t="s">
        <v>61</v>
      </c>
      <c r="AY21" t="s">
        <v>61</v>
      </c>
      <c r="AZ21" t="s">
        <v>61</v>
      </c>
      <c r="BA21" t="s">
        <v>61</v>
      </c>
      <c r="BB21" t="s">
        <v>61</v>
      </c>
      <c r="BC21" t="s">
        <v>61</v>
      </c>
      <c r="BD21" t="s">
        <v>61</v>
      </c>
      <c r="BE21" t="s">
        <v>61</v>
      </c>
      <c r="BF21" t="s">
        <v>61</v>
      </c>
    </row>
    <row r="22" spans="1:58">
      <c r="A22" t="s">
        <v>58</v>
      </c>
      <c r="C22" t="s">
        <v>195</v>
      </c>
      <c r="D22" t="s">
        <v>60</v>
      </c>
      <c r="E22" t="s">
        <v>61</v>
      </c>
      <c r="F22">
        <v>1998</v>
      </c>
      <c r="G22" t="s">
        <v>61</v>
      </c>
      <c r="H22">
        <v>55</v>
      </c>
      <c r="I22">
        <v>16</v>
      </c>
      <c r="J22">
        <v>1721</v>
      </c>
      <c r="K22" t="s">
        <v>206</v>
      </c>
      <c r="L22" t="s">
        <v>207</v>
      </c>
      <c r="M22" t="s">
        <v>61</v>
      </c>
      <c r="N22" t="s">
        <v>208</v>
      </c>
      <c r="O22" t="s">
        <v>61</v>
      </c>
      <c r="Q22" t="s">
        <v>61</v>
      </c>
      <c r="R22" t="s">
        <v>61</v>
      </c>
      <c r="S22" t="s">
        <v>61</v>
      </c>
      <c r="T22" t="s">
        <v>61</v>
      </c>
      <c r="X22" t="s">
        <v>61</v>
      </c>
      <c r="Y22" t="s">
        <v>66</v>
      </c>
      <c r="Z22" t="s">
        <v>61</v>
      </c>
      <c r="AA22" t="s">
        <v>61</v>
      </c>
      <c r="AB22">
        <v>105972264</v>
      </c>
      <c r="AC22" t="s">
        <v>67</v>
      </c>
      <c r="AD22" t="s">
        <v>61</v>
      </c>
      <c r="AE22" t="s">
        <v>61</v>
      </c>
      <c r="AF22" t="s">
        <v>61</v>
      </c>
      <c r="AG22" t="s">
        <v>209</v>
      </c>
      <c r="AH22" t="s">
        <v>61</v>
      </c>
      <c r="AI22" t="s">
        <v>61</v>
      </c>
      <c r="AJ22" t="s">
        <v>61</v>
      </c>
      <c r="AK22" t="s">
        <v>61</v>
      </c>
      <c r="AL22" t="s">
        <v>61</v>
      </c>
      <c r="AM22" t="s">
        <v>201</v>
      </c>
      <c r="AN22" t="s">
        <v>61</v>
      </c>
      <c r="AO22" t="s">
        <v>61</v>
      </c>
      <c r="AP22" t="s">
        <v>61</v>
      </c>
      <c r="AQ22" t="s">
        <v>61</v>
      </c>
      <c r="AR22" t="s">
        <v>61</v>
      </c>
      <c r="AS22" t="s">
        <v>61</v>
      </c>
      <c r="AT22" t="s">
        <v>61</v>
      </c>
      <c r="AU22" t="s">
        <v>61</v>
      </c>
      <c r="AV22" t="s">
        <v>61</v>
      </c>
      <c r="AW22" t="s">
        <v>61</v>
      </c>
      <c r="AX22" t="s">
        <v>61</v>
      </c>
      <c r="AY22" t="s">
        <v>61</v>
      </c>
      <c r="AZ22" t="s">
        <v>61</v>
      </c>
      <c r="BA22" t="s">
        <v>61</v>
      </c>
      <c r="BB22" t="s">
        <v>61</v>
      </c>
      <c r="BC22" t="s">
        <v>61</v>
      </c>
      <c r="BD22" t="s">
        <v>61</v>
      </c>
      <c r="BE22" t="s">
        <v>61</v>
      </c>
      <c r="BF22" t="s">
        <v>61</v>
      </c>
    </row>
    <row r="23" spans="1:58">
      <c r="A23" t="s">
        <v>58</v>
      </c>
      <c r="C23" t="s">
        <v>195</v>
      </c>
      <c r="D23" t="s">
        <v>60</v>
      </c>
      <c r="E23" t="s">
        <v>61</v>
      </c>
      <c r="F23">
        <v>1998</v>
      </c>
      <c r="G23" s="1">
        <v>42597</v>
      </c>
      <c r="H23">
        <v>55</v>
      </c>
      <c r="I23">
        <v>16</v>
      </c>
      <c r="J23">
        <v>1721</v>
      </c>
      <c r="K23">
        <v>1724</v>
      </c>
      <c r="L23" t="s">
        <v>210</v>
      </c>
      <c r="M23" t="s">
        <v>61</v>
      </c>
      <c r="N23" t="s">
        <v>211</v>
      </c>
      <c r="O23" t="s">
        <v>61</v>
      </c>
      <c r="Q23" t="s">
        <v>61</v>
      </c>
      <c r="R23" t="s">
        <v>61</v>
      </c>
      <c r="S23" t="s">
        <v>61</v>
      </c>
      <c r="T23" t="s">
        <v>61</v>
      </c>
      <c r="X23" t="s">
        <v>61</v>
      </c>
      <c r="Y23" t="s">
        <v>66</v>
      </c>
      <c r="Z23" t="s">
        <v>61</v>
      </c>
      <c r="AA23" t="s">
        <v>61</v>
      </c>
      <c r="AB23">
        <v>9740911</v>
      </c>
      <c r="AC23" t="s">
        <v>67</v>
      </c>
      <c r="AD23" t="s">
        <v>61</v>
      </c>
      <c r="AE23" t="s">
        <v>61</v>
      </c>
      <c r="AF23" t="s">
        <v>61</v>
      </c>
      <c r="AG23" t="s">
        <v>212</v>
      </c>
      <c r="AH23" t="s">
        <v>61</v>
      </c>
      <c r="AI23" t="s">
        <v>61</v>
      </c>
      <c r="AJ23" t="s">
        <v>61</v>
      </c>
      <c r="AK23" t="s">
        <v>61</v>
      </c>
      <c r="AL23" t="s">
        <v>61</v>
      </c>
      <c r="AM23" t="s">
        <v>205</v>
      </c>
      <c r="AN23" t="s">
        <v>61</v>
      </c>
      <c r="AO23" t="s">
        <v>61</v>
      </c>
      <c r="AP23" t="s">
        <v>61</v>
      </c>
      <c r="AQ23" t="s">
        <v>61</v>
      </c>
      <c r="AR23" t="s">
        <v>61</v>
      </c>
      <c r="AS23" t="s">
        <v>61</v>
      </c>
      <c r="AT23" t="s">
        <v>61</v>
      </c>
      <c r="AU23" t="s">
        <v>61</v>
      </c>
      <c r="AV23" t="s">
        <v>61</v>
      </c>
      <c r="AW23" t="s">
        <v>61</v>
      </c>
      <c r="AX23" t="s">
        <v>61</v>
      </c>
      <c r="AY23" t="s">
        <v>61</v>
      </c>
      <c r="AZ23" t="s">
        <v>61</v>
      </c>
      <c r="BA23" t="s">
        <v>61</v>
      </c>
      <c r="BB23" t="s">
        <v>61</v>
      </c>
      <c r="BC23" t="s">
        <v>61</v>
      </c>
      <c r="BD23" t="s">
        <v>61</v>
      </c>
      <c r="BE23" t="s">
        <v>61</v>
      </c>
      <c r="BF23" t="s">
        <v>61</v>
      </c>
    </row>
    <row r="24" spans="1:58">
      <c r="A24" t="s">
        <v>142</v>
      </c>
      <c r="C24" t="s">
        <v>213</v>
      </c>
      <c r="D24" t="s">
        <v>61</v>
      </c>
      <c r="E24" t="s">
        <v>61</v>
      </c>
      <c r="F24">
        <v>1994</v>
      </c>
      <c r="G24" t="s">
        <v>61</v>
      </c>
      <c r="H24" t="s">
        <v>61</v>
      </c>
      <c r="I24" t="s">
        <v>61</v>
      </c>
      <c r="J24">
        <v>55</v>
      </c>
      <c r="K24" t="s">
        <v>61</v>
      </c>
      <c r="L24" t="s">
        <v>214</v>
      </c>
      <c r="M24" t="s">
        <v>215</v>
      </c>
      <c r="N24" t="s">
        <v>216</v>
      </c>
      <c r="O24" t="s">
        <v>61</v>
      </c>
      <c r="Q24" t="s">
        <v>61</v>
      </c>
      <c r="R24" t="s">
        <v>61</v>
      </c>
      <c r="S24" t="s">
        <v>217</v>
      </c>
      <c r="T24" t="s">
        <v>61</v>
      </c>
      <c r="X24" t="s">
        <v>61</v>
      </c>
      <c r="Y24" t="s">
        <v>61</v>
      </c>
      <c r="Z24" t="s">
        <v>61</v>
      </c>
      <c r="AA24" t="s">
        <v>61</v>
      </c>
      <c r="AB24" t="s">
        <v>218</v>
      </c>
      <c r="AC24" t="s">
        <v>67</v>
      </c>
      <c r="AD24" t="s">
        <v>61</v>
      </c>
      <c r="AE24" t="s">
        <v>61</v>
      </c>
      <c r="AF24" t="s">
        <v>61</v>
      </c>
      <c r="AG24" t="s">
        <v>61</v>
      </c>
      <c r="AH24" t="s">
        <v>61</v>
      </c>
      <c r="AI24" t="s">
        <v>61</v>
      </c>
      <c r="AJ24" t="s">
        <v>61</v>
      </c>
      <c r="AK24" t="s">
        <v>61</v>
      </c>
      <c r="AL24" t="s">
        <v>61</v>
      </c>
      <c r="AM24" t="s">
        <v>219</v>
      </c>
      <c r="AN24" t="s">
        <v>61</v>
      </c>
      <c r="AO24" t="s">
        <v>61</v>
      </c>
      <c r="AP24" t="s">
        <v>61</v>
      </c>
      <c r="AQ24" t="s">
        <v>61</v>
      </c>
      <c r="AR24" t="s">
        <v>61</v>
      </c>
      <c r="AS24" t="s">
        <v>61</v>
      </c>
      <c r="AT24" t="s">
        <v>61</v>
      </c>
      <c r="AU24" t="s">
        <v>61</v>
      </c>
      <c r="AV24" t="s">
        <v>61</v>
      </c>
      <c r="AW24" t="s">
        <v>61</v>
      </c>
      <c r="AX24" t="s">
        <v>61</v>
      </c>
      <c r="AY24" t="s">
        <v>61</v>
      </c>
      <c r="AZ24" t="s">
        <v>61</v>
      </c>
      <c r="BA24" t="s">
        <v>61</v>
      </c>
      <c r="BB24" t="s">
        <v>61</v>
      </c>
      <c r="BC24" t="s">
        <v>61</v>
      </c>
      <c r="BD24" t="s">
        <v>61</v>
      </c>
      <c r="BE24" t="s">
        <v>61</v>
      </c>
      <c r="BF24" t="s">
        <v>61</v>
      </c>
    </row>
    <row r="25" spans="1:58">
      <c r="A25" t="s">
        <v>142</v>
      </c>
      <c r="C25" t="s">
        <v>220</v>
      </c>
      <c r="D25" t="s">
        <v>61</v>
      </c>
      <c r="E25" t="s">
        <v>61</v>
      </c>
      <c r="F25">
        <v>1993</v>
      </c>
      <c r="G25" t="s">
        <v>61</v>
      </c>
      <c r="H25" t="s">
        <v>61</v>
      </c>
      <c r="I25" t="s">
        <v>61</v>
      </c>
      <c r="J25">
        <v>109</v>
      </c>
      <c r="K25" t="s">
        <v>61</v>
      </c>
      <c r="L25" t="s">
        <v>221</v>
      </c>
      <c r="M25" t="s">
        <v>222</v>
      </c>
      <c r="N25" t="s">
        <v>223</v>
      </c>
      <c r="O25" t="s">
        <v>61</v>
      </c>
      <c r="Q25" t="s">
        <v>61</v>
      </c>
      <c r="R25" t="s">
        <v>61</v>
      </c>
      <c r="S25" t="s">
        <v>224</v>
      </c>
      <c r="T25" t="s">
        <v>61</v>
      </c>
      <c r="X25" t="s">
        <v>61</v>
      </c>
      <c r="Y25" t="s">
        <v>61</v>
      </c>
      <c r="Z25" t="s">
        <v>61</v>
      </c>
      <c r="AA25" t="s">
        <v>61</v>
      </c>
      <c r="AB25" t="s">
        <v>225</v>
      </c>
      <c r="AC25" t="s">
        <v>67</v>
      </c>
      <c r="AD25" t="s">
        <v>61</v>
      </c>
      <c r="AE25" t="s">
        <v>61</v>
      </c>
      <c r="AF25" t="s">
        <v>61</v>
      </c>
      <c r="AG25" t="s">
        <v>61</v>
      </c>
      <c r="AH25" t="s">
        <v>61</v>
      </c>
      <c r="AI25" t="s">
        <v>61</v>
      </c>
      <c r="AJ25" t="s">
        <v>61</v>
      </c>
      <c r="AK25" t="s">
        <v>61</v>
      </c>
      <c r="AL25" t="s">
        <v>61</v>
      </c>
      <c r="AM25" t="s">
        <v>226</v>
      </c>
      <c r="AN25" t="s">
        <v>61</v>
      </c>
      <c r="AO25" t="s">
        <v>61</v>
      </c>
      <c r="AP25" t="s">
        <v>61</v>
      </c>
      <c r="AQ25" t="s">
        <v>61</v>
      </c>
      <c r="AR25" t="s">
        <v>61</v>
      </c>
      <c r="AS25" t="s">
        <v>61</v>
      </c>
      <c r="AT25" t="s">
        <v>61</v>
      </c>
      <c r="AU25" t="s">
        <v>61</v>
      </c>
      <c r="AV25" t="s">
        <v>61</v>
      </c>
      <c r="AW25" t="s">
        <v>61</v>
      </c>
      <c r="AX25" t="s">
        <v>61</v>
      </c>
      <c r="AY25" t="s">
        <v>61</v>
      </c>
      <c r="AZ25" t="s">
        <v>61</v>
      </c>
      <c r="BA25" t="s">
        <v>61</v>
      </c>
      <c r="BB25" t="s">
        <v>61</v>
      </c>
      <c r="BC25" t="s">
        <v>61</v>
      </c>
      <c r="BD25" t="s">
        <v>61</v>
      </c>
      <c r="BE25" t="s">
        <v>61</v>
      </c>
      <c r="BF25" t="s">
        <v>61</v>
      </c>
    </row>
    <row r="26" spans="1:58">
      <c r="A26" t="s">
        <v>142</v>
      </c>
      <c r="C26" t="s">
        <v>227</v>
      </c>
      <c r="D26" t="s">
        <v>61</v>
      </c>
      <c r="E26" t="s">
        <v>61</v>
      </c>
      <c r="F26">
        <v>1990</v>
      </c>
      <c r="G26" s="2">
        <v>36586</v>
      </c>
      <c r="H26" t="s">
        <v>61</v>
      </c>
      <c r="I26" t="s">
        <v>61</v>
      </c>
      <c r="J26">
        <v>421</v>
      </c>
      <c r="K26" t="s">
        <v>61</v>
      </c>
      <c r="L26" t="s">
        <v>228</v>
      </c>
      <c r="M26" t="s">
        <v>229</v>
      </c>
      <c r="N26" t="s">
        <v>230</v>
      </c>
      <c r="O26" t="s">
        <v>61</v>
      </c>
      <c r="Q26" t="s">
        <v>61</v>
      </c>
      <c r="R26" t="s">
        <v>61</v>
      </c>
      <c r="S26" t="s">
        <v>231</v>
      </c>
      <c r="T26" t="s">
        <v>61</v>
      </c>
      <c r="X26" t="s">
        <v>61</v>
      </c>
      <c r="Y26" t="s">
        <v>61</v>
      </c>
      <c r="Z26" t="s">
        <v>61</v>
      </c>
      <c r="AA26" t="s">
        <v>61</v>
      </c>
      <c r="AB26" t="s">
        <v>232</v>
      </c>
      <c r="AC26" t="s">
        <v>67</v>
      </c>
      <c r="AD26" t="s">
        <v>61</v>
      </c>
      <c r="AE26" t="s">
        <v>61</v>
      </c>
      <c r="AF26" t="s">
        <v>61</v>
      </c>
      <c r="AG26" t="s">
        <v>61</v>
      </c>
      <c r="AH26" t="s">
        <v>61</v>
      </c>
      <c r="AI26" t="s">
        <v>61</v>
      </c>
      <c r="AJ26" t="s">
        <v>61</v>
      </c>
      <c r="AK26" t="s">
        <v>61</v>
      </c>
      <c r="AL26" t="s">
        <v>61</v>
      </c>
      <c r="AM26" t="s">
        <v>233</v>
      </c>
      <c r="AN26" t="s">
        <v>61</v>
      </c>
      <c r="AO26" t="s">
        <v>61</v>
      </c>
      <c r="AP26" t="s">
        <v>61</v>
      </c>
      <c r="AQ26" t="s">
        <v>61</v>
      </c>
      <c r="AR26" t="s">
        <v>61</v>
      </c>
      <c r="AS26" t="s">
        <v>61</v>
      </c>
      <c r="AT26" t="s">
        <v>61</v>
      </c>
      <c r="AU26" t="s">
        <v>61</v>
      </c>
      <c r="AV26" t="s">
        <v>61</v>
      </c>
      <c r="AW26" t="s">
        <v>61</v>
      </c>
      <c r="AX26" t="s">
        <v>61</v>
      </c>
      <c r="AY26" t="s">
        <v>61</v>
      </c>
      <c r="AZ26" t="s">
        <v>61</v>
      </c>
      <c r="BA26" t="s">
        <v>61</v>
      </c>
      <c r="BB26" t="s">
        <v>61</v>
      </c>
      <c r="BC26" t="s">
        <v>61</v>
      </c>
      <c r="BD26" t="s">
        <v>61</v>
      </c>
      <c r="BE26" t="s">
        <v>61</v>
      </c>
      <c r="BF26" t="s">
        <v>61</v>
      </c>
    </row>
    <row r="27" spans="1:58">
      <c r="A27" t="s">
        <v>58</v>
      </c>
      <c r="C27" t="s">
        <v>234</v>
      </c>
      <c r="D27" t="s">
        <v>235</v>
      </c>
      <c r="E27" t="s">
        <v>236</v>
      </c>
      <c r="F27">
        <v>1982</v>
      </c>
      <c r="G27" t="s">
        <v>237</v>
      </c>
      <c r="H27" t="s">
        <v>238</v>
      </c>
      <c r="I27">
        <v>7</v>
      </c>
      <c r="J27">
        <v>5</v>
      </c>
      <c r="K27">
        <v>6</v>
      </c>
      <c r="L27" t="s">
        <v>239</v>
      </c>
      <c r="M27" t="s">
        <v>61</v>
      </c>
      <c r="N27" t="s">
        <v>240</v>
      </c>
      <c r="O27" t="s">
        <v>61</v>
      </c>
      <c r="Q27" t="s">
        <v>61</v>
      </c>
      <c r="R27" t="s">
        <v>61</v>
      </c>
      <c r="S27" t="s">
        <v>61</v>
      </c>
      <c r="T27" t="s">
        <v>61</v>
      </c>
      <c r="X27" t="s">
        <v>61</v>
      </c>
      <c r="Y27" t="s">
        <v>241</v>
      </c>
      <c r="Z27" t="s">
        <v>61</v>
      </c>
      <c r="AA27" t="s">
        <v>61</v>
      </c>
      <c r="AB27">
        <v>7113915</v>
      </c>
      <c r="AC27" t="s">
        <v>67</v>
      </c>
      <c r="AD27" t="s">
        <v>61</v>
      </c>
      <c r="AE27" t="s">
        <v>61</v>
      </c>
      <c r="AF27" t="s">
        <v>61</v>
      </c>
      <c r="AG27" t="s">
        <v>242</v>
      </c>
      <c r="AH27" t="s">
        <v>61</v>
      </c>
      <c r="AI27" t="s">
        <v>61</v>
      </c>
      <c r="AJ27" t="s">
        <v>61</v>
      </c>
      <c r="AK27" t="s">
        <v>61</v>
      </c>
      <c r="AL27" t="s">
        <v>61</v>
      </c>
      <c r="AM27" t="s">
        <v>243</v>
      </c>
      <c r="AN27" t="s">
        <v>61</v>
      </c>
      <c r="AO27" t="s">
        <v>61</v>
      </c>
      <c r="AP27" t="s">
        <v>61</v>
      </c>
      <c r="AQ27" t="s">
        <v>61</v>
      </c>
      <c r="AR27" t="s">
        <v>61</v>
      </c>
      <c r="AS27" t="s">
        <v>61</v>
      </c>
      <c r="AT27" t="s">
        <v>61</v>
      </c>
      <c r="AU27" t="s">
        <v>61</v>
      </c>
      <c r="AV27" t="s">
        <v>61</v>
      </c>
      <c r="AW27" t="s">
        <v>61</v>
      </c>
      <c r="AX27" t="s">
        <v>61</v>
      </c>
      <c r="AY27" t="s">
        <v>61</v>
      </c>
      <c r="AZ27" t="s">
        <v>61</v>
      </c>
      <c r="BA27" t="s">
        <v>61</v>
      </c>
      <c r="BB27" t="s">
        <v>61</v>
      </c>
      <c r="BC27" t="s">
        <v>61</v>
      </c>
      <c r="BD27" t="s">
        <v>61</v>
      </c>
      <c r="BE27" t="s">
        <v>61</v>
      </c>
      <c r="BF27" t="s">
        <v>61</v>
      </c>
    </row>
    <row r="28" spans="1:58">
      <c r="A28" t="s">
        <v>142</v>
      </c>
      <c r="C28" t="s">
        <v>244</v>
      </c>
      <c r="D28" t="s">
        <v>61</v>
      </c>
      <c r="E28" t="s">
        <v>61</v>
      </c>
      <c r="F28">
        <v>1978</v>
      </c>
      <c r="G28" s="1">
        <v>42393</v>
      </c>
      <c r="H28" t="s">
        <v>61</v>
      </c>
      <c r="I28" t="s">
        <v>61</v>
      </c>
      <c r="J28">
        <v>112</v>
      </c>
      <c r="K28" t="s">
        <v>61</v>
      </c>
      <c r="L28" t="s">
        <v>245</v>
      </c>
      <c r="M28" t="s">
        <v>246</v>
      </c>
      <c r="N28" t="s">
        <v>247</v>
      </c>
      <c r="O28" t="s">
        <v>61</v>
      </c>
      <c r="Q28" t="s">
        <v>61</v>
      </c>
      <c r="R28" t="s">
        <v>61</v>
      </c>
      <c r="S28" t="s">
        <v>248</v>
      </c>
      <c r="T28" t="s">
        <v>61</v>
      </c>
      <c r="X28" t="s">
        <v>61</v>
      </c>
      <c r="Y28" t="s">
        <v>61</v>
      </c>
      <c r="Z28" t="s">
        <v>61</v>
      </c>
      <c r="AA28" t="s">
        <v>61</v>
      </c>
      <c r="AB28" t="s">
        <v>249</v>
      </c>
      <c r="AC28" t="s">
        <v>67</v>
      </c>
      <c r="AD28" t="s">
        <v>61</v>
      </c>
      <c r="AE28" t="s">
        <v>61</v>
      </c>
      <c r="AF28" t="s">
        <v>61</v>
      </c>
      <c r="AG28" t="s">
        <v>61</v>
      </c>
      <c r="AH28" t="s">
        <v>61</v>
      </c>
      <c r="AI28" t="s">
        <v>61</v>
      </c>
      <c r="AJ28" t="s">
        <v>61</v>
      </c>
      <c r="AK28" t="s">
        <v>61</v>
      </c>
      <c r="AL28" t="s">
        <v>61</v>
      </c>
      <c r="AM28" t="s">
        <v>250</v>
      </c>
      <c r="AN28" t="s">
        <v>61</v>
      </c>
      <c r="AO28" t="s">
        <v>61</v>
      </c>
      <c r="AP28" t="s">
        <v>61</v>
      </c>
      <c r="AQ28" t="s">
        <v>61</v>
      </c>
      <c r="AR28" t="s">
        <v>61</v>
      </c>
      <c r="AS28" t="s">
        <v>61</v>
      </c>
      <c r="AT28" t="s">
        <v>61</v>
      </c>
      <c r="AU28" t="s">
        <v>61</v>
      </c>
      <c r="AV28" t="s">
        <v>61</v>
      </c>
      <c r="AW28" t="s">
        <v>61</v>
      </c>
      <c r="AX28" t="s">
        <v>61</v>
      </c>
      <c r="AY28" t="s">
        <v>61</v>
      </c>
      <c r="AZ28" t="s">
        <v>61</v>
      </c>
      <c r="BA28" t="s">
        <v>61</v>
      </c>
      <c r="BB28" t="s">
        <v>61</v>
      </c>
      <c r="BC28" t="s">
        <v>61</v>
      </c>
      <c r="BD28" t="s">
        <v>61</v>
      </c>
      <c r="BE28" t="s">
        <v>61</v>
      </c>
      <c r="BF28" t="s">
        <v>61</v>
      </c>
    </row>
    <row r="29" spans="1:58">
      <c r="A29" t="s">
        <v>142</v>
      </c>
      <c r="C29" t="s">
        <v>251</v>
      </c>
      <c r="D29" t="s">
        <v>61</v>
      </c>
      <c r="E29" t="s">
        <v>61</v>
      </c>
      <c r="F29">
        <v>1976</v>
      </c>
      <c r="G29" t="s">
        <v>61</v>
      </c>
      <c r="H29" t="s">
        <v>61</v>
      </c>
      <c r="I29" t="s">
        <v>61</v>
      </c>
      <c r="J29">
        <v>204</v>
      </c>
      <c r="K29" t="s">
        <v>61</v>
      </c>
      <c r="L29" t="s">
        <v>252</v>
      </c>
      <c r="M29" t="s">
        <v>253</v>
      </c>
      <c r="N29" t="s">
        <v>254</v>
      </c>
      <c r="O29" t="s">
        <v>61</v>
      </c>
      <c r="Q29" t="s">
        <v>61</v>
      </c>
      <c r="R29" t="s">
        <v>61</v>
      </c>
      <c r="S29" t="s">
        <v>255</v>
      </c>
      <c r="T29" t="s">
        <v>61</v>
      </c>
      <c r="X29" t="s">
        <v>61</v>
      </c>
      <c r="Y29" t="s">
        <v>61</v>
      </c>
      <c r="Z29" t="s">
        <v>61</v>
      </c>
      <c r="AA29" t="s">
        <v>61</v>
      </c>
      <c r="AB29" t="s">
        <v>256</v>
      </c>
      <c r="AC29" t="s">
        <v>67</v>
      </c>
      <c r="AD29" t="s">
        <v>61</v>
      </c>
      <c r="AE29" t="s">
        <v>61</v>
      </c>
      <c r="AF29" t="s">
        <v>61</v>
      </c>
      <c r="AG29" t="s">
        <v>61</v>
      </c>
      <c r="AH29" t="s">
        <v>61</v>
      </c>
      <c r="AI29" t="s">
        <v>61</v>
      </c>
      <c r="AJ29" t="s">
        <v>61</v>
      </c>
      <c r="AK29" t="s">
        <v>61</v>
      </c>
      <c r="AL29" t="s">
        <v>61</v>
      </c>
      <c r="AM29" t="s">
        <v>257</v>
      </c>
      <c r="AN29" t="s">
        <v>61</v>
      </c>
      <c r="AO29" t="s">
        <v>61</v>
      </c>
      <c r="AP29" t="s">
        <v>61</v>
      </c>
      <c r="AQ29" t="s">
        <v>61</v>
      </c>
      <c r="AR29" t="s">
        <v>61</v>
      </c>
      <c r="AS29" t="s">
        <v>61</v>
      </c>
      <c r="AT29" t="s">
        <v>61</v>
      </c>
      <c r="AU29" t="s">
        <v>61</v>
      </c>
      <c r="AV29" t="s">
        <v>61</v>
      </c>
      <c r="AW29" t="s">
        <v>61</v>
      </c>
      <c r="AX29" t="s">
        <v>61</v>
      </c>
      <c r="AY29" t="s">
        <v>61</v>
      </c>
      <c r="AZ29" t="s">
        <v>61</v>
      </c>
      <c r="BA29" t="s">
        <v>61</v>
      </c>
      <c r="BB29" t="s">
        <v>61</v>
      </c>
      <c r="BC29" t="s">
        <v>61</v>
      </c>
      <c r="BD29" t="s">
        <v>61</v>
      </c>
      <c r="BE29" t="s">
        <v>61</v>
      </c>
      <c r="BF29" t="s">
        <v>61</v>
      </c>
    </row>
    <row r="30" spans="1:58">
      <c r="A30" t="s">
        <v>142</v>
      </c>
      <c r="C30" t="s">
        <v>258</v>
      </c>
      <c r="D30" t="s">
        <v>61</v>
      </c>
      <c r="E30" t="s">
        <v>61</v>
      </c>
      <c r="F30">
        <v>1976</v>
      </c>
      <c r="G30" t="s">
        <v>61</v>
      </c>
      <c r="H30" t="s">
        <v>61</v>
      </c>
      <c r="I30" t="s">
        <v>61</v>
      </c>
      <c r="J30">
        <v>191</v>
      </c>
      <c r="K30" t="s">
        <v>61</v>
      </c>
      <c r="L30" t="s">
        <v>259</v>
      </c>
      <c r="M30" t="s">
        <v>260</v>
      </c>
      <c r="N30" t="s">
        <v>261</v>
      </c>
      <c r="O30" t="s">
        <v>61</v>
      </c>
      <c r="Q30" t="s">
        <v>61</v>
      </c>
      <c r="R30" t="s">
        <v>61</v>
      </c>
      <c r="S30" t="s">
        <v>255</v>
      </c>
      <c r="T30" t="s">
        <v>61</v>
      </c>
      <c r="X30" t="s">
        <v>61</v>
      </c>
      <c r="Y30" t="s">
        <v>61</v>
      </c>
      <c r="Z30" t="s">
        <v>61</v>
      </c>
      <c r="AA30" t="s">
        <v>61</v>
      </c>
      <c r="AB30" t="s">
        <v>262</v>
      </c>
      <c r="AC30" t="s">
        <v>67</v>
      </c>
      <c r="AD30" t="s">
        <v>61</v>
      </c>
      <c r="AE30" t="s">
        <v>61</v>
      </c>
      <c r="AF30" t="s">
        <v>61</v>
      </c>
      <c r="AG30" t="s">
        <v>61</v>
      </c>
      <c r="AH30" t="s">
        <v>61</v>
      </c>
      <c r="AI30" t="s">
        <v>61</v>
      </c>
      <c r="AJ30" t="s">
        <v>61</v>
      </c>
      <c r="AK30" t="s">
        <v>61</v>
      </c>
      <c r="AL30" t="s">
        <v>61</v>
      </c>
      <c r="AM30" t="s">
        <v>257</v>
      </c>
      <c r="AN30" t="s">
        <v>61</v>
      </c>
      <c r="AO30" t="s">
        <v>61</v>
      </c>
      <c r="AP30" t="s">
        <v>61</v>
      </c>
      <c r="AQ30" t="s">
        <v>61</v>
      </c>
      <c r="AR30" t="s">
        <v>61</v>
      </c>
      <c r="AS30" t="s">
        <v>61</v>
      </c>
      <c r="AT30" t="s">
        <v>61</v>
      </c>
      <c r="AU30" t="s">
        <v>61</v>
      </c>
      <c r="AV30" t="s">
        <v>61</v>
      </c>
      <c r="AW30" t="s">
        <v>61</v>
      </c>
      <c r="AX30" t="s">
        <v>61</v>
      </c>
      <c r="AY30" t="s">
        <v>61</v>
      </c>
      <c r="AZ30" t="s">
        <v>61</v>
      </c>
      <c r="BA30" t="s">
        <v>61</v>
      </c>
      <c r="BB30" t="s">
        <v>61</v>
      </c>
      <c r="BC30" t="s">
        <v>61</v>
      </c>
      <c r="BD30" t="s">
        <v>61</v>
      </c>
      <c r="BE30" t="s">
        <v>61</v>
      </c>
      <c r="BF30" t="s">
        <v>61</v>
      </c>
    </row>
    <row r="31" spans="1:58">
      <c r="A31" t="s">
        <v>142</v>
      </c>
      <c r="C31" t="s">
        <v>263</v>
      </c>
      <c r="D31" t="s">
        <v>61</v>
      </c>
      <c r="E31" t="s">
        <v>61</v>
      </c>
      <c r="F31">
        <v>1975</v>
      </c>
      <c r="G31" s="1">
        <v>42569</v>
      </c>
      <c r="H31" t="s">
        <v>61</v>
      </c>
      <c r="I31" t="s">
        <v>61</v>
      </c>
      <c r="J31">
        <v>774</v>
      </c>
      <c r="K31" t="s">
        <v>61</v>
      </c>
      <c r="L31" t="s">
        <v>264</v>
      </c>
      <c r="M31" t="s">
        <v>265</v>
      </c>
      <c r="N31" t="s">
        <v>266</v>
      </c>
      <c r="O31" t="s">
        <v>61</v>
      </c>
      <c r="Q31" t="s">
        <v>61</v>
      </c>
      <c r="R31" t="s">
        <v>61</v>
      </c>
      <c r="S31" t="s">
        <v>267</v>
      </c>
      <c r="T31" t="s">
        <v>61</v>
      </c>
      <c r="X31" t="s">
        <v>61</v>
      </c>
      <c r="Y31" t="s">
        <v>61</v>
      </c>
      <c r="Z31" t="s">
        <v>61</v>
      </c>
      <c r="AA31" t="s">
        <v>61</v>
      </c>
      <c r="AB31" t="s">
        <v>268</v>
      </c>
      <c r="AC31" t="s">
        <v>67</v>
      </c>
      <c r="AD31" t="s">
        <v>61</v>
      </c>
      <c r="AE31" t="s">
        <v>61</v>
      </c>
      <c r="AF31" t="s">
        <v>61</v>
      </c>
      <c r="AG31" t="s">
        <v>61</v>
      </c>
      <c r="AH31" t="s">
        <v>61</v>
      </c>
      <c r="AI31" t="s">
        <v>61</v>
      </c>
      <c r="AJ31" t="s">
        <v>61</v>
      </c>
      <c r="AK31" t="s">
        <v>61</v>
      </c>
      <c r="AL31" t="s">
        <v>61</v>
      </c>
      <c r="AM31" t="s">
        <v>269</v>
      </c>
      <c r="AN31" t="s">
        <v>61</v>
      </c>
      <c r="AO31" t="s">
        <v>61</v>
      </c>
      <c r="AP31" t="s">
        <v>61</v>
      </c>
      <c r="AQ31" t="s">
        <v>61</v>
      </c>
      <c r="AR31" t="s">
        <v>61</v>
      </c>
      <c r="AS31" t="s">
        <v>61</v>
      </c>
      <c r="AT31" t="s">
        <v>61</v>
      </c>
      <c r="AU31" t="s">
        <v>61</v>
      </c>
      <c r="AV31" t="s">
        <v>61</v>
      </c>
      <c r="AW31" t="s">
        <v>61</v>
      </c>
      <c r="AX31" t="s">
        <v>61</v>
      </c>
      <c r="AY31" t="s">
        <v>61</v>
      </c>
      <c r="AZ31" t="s">
        <v>61</v>
      </c>
      <c r="BA31" t="s">
        <v>61</v>
      </c>
      <c r="BB31" t="s">
        <v>61</v>
      </c>
      <c r="BC31" t="s">
        <v>61</v>
      </c>
      <c r="BD31" t="s">
        <v>61</v>
      </c>
      <c r="BE31" t="s">
        <v>61</v>
      </c>
      <c r="BF31" t="s">
        <v>61</v>
      </c>
    </row>
    <row r="32" spans="1:58">
      <c r="A32" t="s">
        <v>58</v>
      </c>
      <c r="C32" t="s">
        <v>270</v>
      </c>
      <c r="D32" t="s">
        <v>271</v>
      </c>
      <c r="E32" t="s">
        <v>272</v>
      </c>
      <c r="F32">
        <v>1971</v>
      </c>
      <c r="G32" t="s">
        <v>273</v>
      </c>
      <c r="H32">
        <v>11</v>
      </c>
      <c r="I32">
        <v>2</v>
      </c>
      <c r="J32">
        <v>90</v>
      </c>
      <c r="K32" t="s">
        <v>61</v>
      </c>
      <c r="L32" t="s">
        <v>274</v>
      </c>
      <c r="M32" t="s">
        <v>61</v>
      </c>
      <c r="N32" t="s">
        <v>275</v>
      </c>
      <c r="O32" t="s">
        <v>61</v>
      </c>
      <c r="Q32" t="s">
        <v>61</v>
      </c>
      <c r="R32" t="s">
        <v>61</v>
      </c>
      <c r="S32" t="s">
        <v>61</v>
      </c>
      <c r="T32" t="s">
        <v>61</v>
      </c>
      <c r="X32" t="s">
        <v>61</v>
      </c>
      <c r="Y32" t="s">
        <v>276</v>
      </c>
      <c r="Z32" t="s">
        <v>61</v>
      </c>
      <c r="AA32" t="s">
        <v>61</v>
      </c>
      <c r="AB32">
        <v>5102205</v>
      </c>
      <c r="AC32" t="s">
        <v>67</v>
      </c>
      <c r="AD32" t="s">
        <v>61</v>
      </c>
      <c r="AE32" t="s">
        <v>61</v>
      </c>
      <c r="AF32" t="s">
        <v>61</v>
      </c>
      <c r="AG32" t="s">
        <v>277</v>
      </c>
      <c r="AH32" t="s">
        <v>61</v>
      </c>
      <c r="AI32" t="s">
        <v>61</v>
      </c>
      <c r="AJ32" t="s">
        <v>61</v>
      </c>
      <c r="AK32" t="s">
        <v>61</v>
      </c>
      <c r="AL32" t="s">
        <v>61</v>
      </c>
      <c r="AM32" t="s">
        <v>278</v>
      </c>
      <c r="AN32" t="s">
        <v>61</v>
      </c>
      <c r="AO32" t="s">
        <v>61</v>
      </c>
      <c r="AP32" t="s">
        <v>61</v>
      </c>
      <c r="AQ32" t="s">
        <v>61</v>
      </c>
      <c r="AR32" t="s">
        <v>61</v>
      </c>
      <c r="AS32" t="s">
        <v>61</v>
      </c>
      <c r="AT32" t="s">
        <v>61</v>
      </c>
      <c r="AU32" t="s">
        <v>61</v>
      </c>
      <c r="AV32" t="s">
        <v>61</v>
      </c>
      <c r="AW32" t="s">
        <v>61</v>
      </c>
      <c r="AX32" t="s">
        <v>61</v>
      </c>
      <c r="AY32" t="s">
        <v>61</v>
      </c>
      <c r="AZ32" t="s">
        <v>61</v>
      </c>
      <c r="BA32" t="s">
        <v>61</v>
      </c>
      <c r="BB32" t="s">
        <v>61</v>
      </c>
      <c r="BC32" t="s">
        <v>61</v>
      </c>
      <c r="BD32" t="s">
        <v>61</v>
      </c>
      <c r="BE32" t="s">
        <v>61</v>
      </c>
      <c r="BF32" t="s">
        <v>61</v>
      </c>
    </row>
    <row r="33" spans="1:58">
      <c r="A33" t="s">
        <v>58</v>
      </c>
      <c r="C33" t="s">
        <v>279</v>
      </c>
      <c r="D33" t="s">
        <v>271</v>
      </c>
      <c r="E33" t="s">
        <v>272</v>
      </c>
      <c r="F33">
        <v>1970</v>
      </c>
      <c r="G33" t="s">
        <v>280</v>
      </c>
      <c r="H33">
        <v>10</v>
      </c>
      <c r="I33">
        <v>12</v>
      </c>
      <c r="J33">
        <v>678</v>
      </c>
      <c r="K33">
        <v>679</v>
      </c>
      <c r="L33" t="s">
        <v>281</v>
      </c>
      <c r="M33" t="s">
        <v>61</v>
      </c>
      <c r="N33" t="s">
        <v>282</v>
      </c>
      <c r="O33" t="s">
        <v>61</v>
      </c>
      <c r="Q33" t="s">
        <v>61</v>
      </c>
      <c r="R33" t="s">
        <v>61</v>
      </c>
      <c r="S33" t="s">
        <v>61</v>
      </c>
      <c r="T33" t="s">
        <v>61</v>
      </c>
      <c r="X33" t="s">
        <v>61</v>
      </c>
      <c r="Y33" t="s">
        <v>276</v>
      </c>
      <c r="Z33" t="s">
        <v>61</v>
      </c>
      <c r="AA33" t="s">
        <v>61</v>
      </c>
      <c r="AB33">
        <v>5530855</v>
      </c>
      <c r="AC33" t="s">
        <v>67</v>
      </c>
      <c r="AD33" t="s">
        <v>61</v>
      </c>
      <c r="AE33" t="s">
        <v>61</v>
      </c>
      <c r="AF33" t="s">
        <v>61</v>
      </c>
      <c r="AG33" t="s">
        <v>283</v>
      </c>
      <c r="AH33" t="s">
        <v>61</v>
      </c>
      <c r="AI33" t="s">
        <v>61</v>
      </c>
      <c r="AJ33" t="s">
        <v>61</v>
      </c>
      <c r="AK33" t="s">
        <v>61</v>
      </c>
      <c r="AL33" t="s">
        <v>61</v>
      </c>
      <c r="AM33" t="s">
        <v>284</v>
      </c>
      <c r="AN33" t="s">
        <v>61</v>
      </c>
      <c r="AO33" t="s">
        <v>61</v>
      </c>
      <c r="AP33" t="s">
        <v>61</v>
      </c>
      <c r="AQ33" t="s">
        <v>61</v>
      </c>
      <c r="AR33" t="s">
        <v>61</v>
      </c>
      <c r="AS33" t="s">
        <v>61</v>
      </c>
      <c r="AT33" t="s">
        <v>61</v>
      </c>
      <c r="AU33" t="s">
        <v>61</v>
      </c>
      <c r="AV33" t="s">
        <v>61</v>
      </c>
      <c r="AW33" t="s">
        <v>61</v>
      </c>
      <c r="AX33" t="s">
        <v>61</v>
      </c>
      <c r="AY33" t="s">
        <v>61</v>
      </c>
      <c r="AZ33" t="s">
        <v>61</v>
      </c>
      <c r="BA33" t="s">
        <v>61</v>
      </c>
      <c r="BB33" t="s">
        <v>61</v>
      </c>
      <c r="BC33" t="s">
        <v>61</v>
      </c>
      <c r="BD33" t="s">
        <v>61</v>
      </c>
      <c r="BE33" t="s">
        <v>61</v>
      </c>
      <c r="BF33" t="s">
        <v>61</v>
      </c>
    </row>
    <row r="34" spans="1:58">
      <c r="A34" t="s">
        <v>58</v>
      </c>
      <c r="C34" t="s">
        <v>285</v>
      </c>
      <c r="D34" t="s">
        <v>61</v>
      </c>
      <c r="E34" t="s">
        <v>61</v>
      </c>
      <c r="F34" t="s">
        <v>61</v>
      </c>
      <c r="G34" t="s">
        <v>61</v>
      </c>
      <c r="H34" t="s">
        <v>61</v>
      </c>
      <c r="I34" t="s">
        <v>61</v>
      </c>
      <c r="J34" t="s">
        <v>61</v>
      </c>
      <c r="K34" t="s">
        <v>61</v>
      </c>
      <c r="L34" t="s">
        <v>286</v>
      </c>
      <c r="M34" t="s">
        <v>287</v>
      </c>
      <c r="N34" t="s">
        <v>288</v>
      </c>
      <c r="O34" t="s">
        <v>61</v>
      </c>
      <c r="Q34" t="s">
        <v>61</v>
      </c>
      <c r="R34" t="s">
        <v>61</v>
      </c>
      <c r="S34" t="s">
        <v>61</v>
      </c>
      <c r="T34" t="s">
        <v>61</v>
      </c>
      <c r="X34" t="s">
        <v>61</v>
      </c>
      <c r="Y34" t="s">
        <v>289</v>
      </c>
      <c r="Z34" t="s">
        <v>61</v>
      </c>
      <c r="AA34" t="s">
        <v>61</v>
      </c>
      <c r="AB34" t="s">
        <v>61</v>
      </c>
      <c r="AC34" t="s">
        <v>67</v>
      </c>
      <c r="AD34" t="s">
        <v>61</v>
      </c>
      <c r="AE34" t="s">
        <v>61</v>
      </c>
      <c r="AF34" t="s">
        <v>61</v>
      </c>
      <c r="AG34" t="s">
        <v>61</v>
      </c>
      <c r="AH34" t="s">
        <v>61</v>
      </c>
      <c r="AI34" t="s">
        <v>61</v>
      </c>
      <c r="AJ34" t="s">
        <v>61</v>
      </c>
      <c r="AK34" t="s">
        <v>61</v>
      </c>
      <c r="AL34" t="s">
        <v>61</v>
      </c>
      <c r="AM34" t="s">
        <v>285</v>
      </c>
      <c r="AN34" t="s">
        <v>61</v>
      </c>
      <c r="AO34" t="s">
        <v>61</v>
      </c>
      <c r="AP34" t="s">
        <v>61</v>
      </c>
      <c r="AQ34" t="s">
        <v>61</v>
      </c>
      <c r="AR34" t="s">
        <v>61</v>
      </c>
      <c r="AS34" t="s">
        <v>61</v>
      </c>
      <c r="AT34" t="s">
        <v>61</v>
      </c>
      <c r="AU34" t="s">
        <v>61</v>
      </c>
      <c r="AV34" t="s">
        <v>61</v>
      </c>
      <c r="AW34" t="s">
        <v>61</v>
      </c>
      <c r="AX34" t="s">
        <v>61</v>
      </c>
      <c r="AY34" t="s">
        <v>61</v>
      </c>
      <c r="AZ34" t="s">
        <v>61</v>
      </c>
      <c r="BA34" t="s">
        <v>61</v>
      </c>
      <c r="BB34" t="s">
        <v>61</v>
      </c>
      <c r="BC34" t="s">
        <v>61</v>
      </c>
      <c r="BD34" t="s">
        <v>61</v>
      </c>
      <c r="BE34" t="s">
        <v>61</v>
      </c>
      <c r="BF34" t="s">
        <v>61</v>
      </c>
    </row>
    <row r="35" spans="1:58">
      <c r="A35" t="s">
        <v>58</v>
      </c>
      <c r="C35" t="s">
        <v>290</v>
      </c>
      <c r="D35" t="s">
        <v>61</v>
      </c>
      <c r="E35" t="s">
        <v>61</v>
      </c>
      <c r="F35" t="s">
        <v>61</v>
      </c>
      <c r="G35" t="s">
        <v>61</v>
      </c>
      <c r="H35" t="s">
        <v>61</v>
      </c>
      <c r="I35" t="s">
        <v>61</v>
      </c>
      <c r="J35" t="s">
        <v>61</v>
      </c>
      <c r="K35" t="s">
        <v>61</v>
      </c>
      <c r="L35" t="s">
        <v>291</v>
      </c>
      <c r="M35" t="s">
        <v>61</v>
      </c>
      <c r="N35" t="s">
        <v>292</v>
      </c>
      <c r="O35" t="s">
        <v>61</v>
      </c>
      <c r="Q35" t="s">
        <v>61</v>
      </c>
      <c r="R35" t="s">
        <v>61</v>
      </c>
      <c r="S35" t="s">
        <v>61</v>
      </c>
      <c r="T35" t="s">
        <v>61</v>
      </c>
      <c r="X35" t="s">
        <v>61</v>
      </c>
      <c r="Y35" t="s">
        <v>293</v>
      </c>
      <c r="Z35" t="s">
        <v>61</v>
      </c>
      <c r="AA35" t="s">
        <v>61</v>
      </c>
      <c r="AB35">
        <v>2005504667</v>
      </c>
      <c r="AC35" t="s">
        <v>67</v>
      </c>
      <c r="AD35" t="s">
        <v>61</v>
      </c>
      <c r="AE35" t="s">
        <v>61</v>
      </c>
      <c r="AF35" t="s">
        <v>61</v>
      </c>
      <c r="AG35" t="s">
        <v>61</v>
      </c>
      <c r="AH35" t="s">
        <v>61</v>
      </c>
      <c r="AI35" t="s">
        <v>61</v>
      </c>
      <c r="AJ35" t="s">
        <v>61</v>
      </c>
      <c r="AK35" t="s">
        <v>61</v>
      </c>
      <c r="AL35" t="s">
        <v>61</v>
      </c>
      <c r="AM35" t="s">
        <v>290</v>
      </c>
      <c r="AN35" t="s">
        <v>61</v>
      </c>
      <c r="AO35" t="s">
        <v>61</v>
      </c>
      <c r="AP35" t="s">
        <v>61</v>
      </c>
      <c r="AQ35" t="s">
        <v>61</v>
      </c>
      <c r="AR35" t="s">
        <v>61</v>
      </c>
      <c r="AS35" t="s">
        <v>61</v>
      </c>
      <c r="AT35" t="s">
        <v>61</v>
      </c>
      <c r="AU35" t="s">
        <v>61</v>
      </c>
      <c r="AV35" t="s">
        <v>61</v>
      </c>
      <c r="AW35" t="s">
        <v>61</v>
      </c>
      <c r="AX35" t="s">
        <v>61</v>
      </c>
      <c r="AY35" t="s">
        <v>61</v>
      </c>
      <c r="AZ35" t="s">
        <v>61</v>
      </c>
      <c r="BA35" t="s">
        <v>61</v>
      </c>
      <c r="BB35" t="s">
        <v>61</v>
      </c>
      <c r="BC35" t="s">
        <v>61</v>
      </c>
      <c r="BD35" t="s">
        <v>61</v>
      </c>
      <c r="BE35" t="s">
        <v>61</v>
      </c>
      <c r="BF35" t="s">
        <v>61</v>
      </c>
    </row>
    <row r="36" spans="1:58">
      <c r="A36" t="s">
        <v>58</v>
      </c>
      <c r="C36" t="s">
        <v>294</v>
      </c>
      <c r="D36" t="s">
        <v>61</v>
      </c>
      <c r="E36" t="s">
        <v>61</v>
      </c>
      <c r="F36" t="s">
        <v>61</v>
      </c>
      <c r="G36" t="s">
        <v>61</v>
      </c>
      <c r="H36" t="s">
        <v>61</v>
      </c>
      <c r="I36" t="s">
        <v>61</v>
      </c>
      <c r="J36" t="s">
        <v>61</v>
      </c>
      <c r="K36" t="s">
        <v>61</v>
      </c>
      <c r="L36" t="s">
        <v>295</v>
      </c>
      <c r="M36" t="s">
        <v>296</v>
      </c>
      <c r="N36" t="s">
        <v>297</v>
      </c>
      <c r="O36" t="s">
        <v>61</v>
      </c>
      <c r="Q36" t="s">
        <v>61</v>
      </c>
      <c r="R36" t="s">
        <v>61</v>
      </c>
      <c r="S36" t="s">
        <v>61</v>
      </c>
      <c r="T36" t="s">
        <v>61</v>
      </c>
      <c r="X36" t="s">
        <v>61</v>
      </c>
      <c r="Y36" t="s">
        <v>298</v>
      </c>
      <c r="Z36" t="s">
        <v>61</v>
      </c>
      <c r="AA36" t="s">
        <v>61</v>
      </c>
      <c r="AB36" t="s">
        <v>61</v>
      </c>
      <c r="AC36" t="s">
        <v>67</v>
      </c>
      <c r="AD36" t="s">
        <v>61</v>
      </c>
      <c r="AE36" t="s">
        <v>61</v>
      </c>
      <c r="AF36" t="s">
        <v>61</v>
      </c>
      <c r="AG36" t="s">
        <v>61</v>
      </c>
      <c r="AH36" t="s">
        <v>61</v>
      </c>
      <c r="AI36" t="s">
        <v>61</v>
      </c>
      <c r="AJ36" t="s">
        <v>61</v>
      </c>
      <c r="AK36" t="s">
        <v>61</v>
      </c>
      <c r="AL36" t="s">
        <v>61</v>
      </c>
      <c r="AM36" t="s">
        <v>294</v>
      </c>
      <c r="AN36" t="s">
        <v>61</v>
      </c>
      <c r="AO36" t="s">
        <v>61</v>
      </c>
      <c r="AP36" t="s">
        <v>61</v>
      </c>
      <c r="AQ36" t="s">
        <v>61</v>
      </c>
      <c r="AR36" t="s">
        <v>61</v>
      </c>
      <c r="AS36" t="s">
        <v>61</v>
      </c>
      <c r="AT36" t="s">
        <v>61</v>
      </c>
      <c r="AU36" t="s">
        <v>61</v>
      </c>
      <c r="AV36" t="s">
        <v>61</v>
      </c>
      <c r="AW36" t="s">
        <v>61</v>
      </c>
      <c r="AX36" t="s">
        <v>61</v>
      </c>
      <c r="AY36" t="s">
        <v>61</v>
      </c>
      <c r="AZ36" t="s">
        <v>61</v>
      </c>
      <c r="BA36" t="s">
        <v>61</v>
      </c>
      <c r="BB36" t="s">
        <v>61</v>
      </c>
      <c r="BC36" t="s">
        <v>61</v>
      </c>
      <c r="BD36" t="s">
        <v>61</v>
      </c>
      <c r="BE36" t="s">
        <v>61</v>
      </c>
      <c r="BF36" t="s">
        <v>61</v>
      </c>
    </row>
    <row r="37" spans="1:58">
      <c r="A37" t="s">
        <v>58</v>
      </c>
      <c r="C37" t="s">
        <v>299</v>
      </c>
      <c r="D37" t="s">
        <v>61</v>
      </c>
      <c r="E37" t="s">
        <v>61</v>
      </c>
      <c r="F37" t="s">
        <v>61</v>
      </c>
      <c r="G37" t="s">
        <v>61</v>
      </c>
      <c r="H37" t="s">
        <v>61</v>
      </c>
      <c r="I37" t="s">
        <v>61</v>
      </c>
      <c r="J37" t="s">
        <v>61</v>
      </c>
      <c r="K37" t="s">
        <v>61</v>
      </c>
      <c r="L37" t="s">
        <v>300</v>
      </c>
      <c r="M37" t="s">
        <v>301</v>
      </c>
      <c r="N37" t="s">
        <v>302</v>
      </c>
      <c r="O37" t="s">
        <v>61</v>
      </c>
      <c r="Q37" t="s">
        <v>61</v>
      </c>
      <c r="R37" t="s">
        <v>61</v>
      </c>
      <c r="S37" t="s">
        <v>61</v>
      </c>
      <c r="T37" t="s">
        <v>61</v>
      </c>
      <c r="X37" t="s">
        <v>61</v>
      </c>
      <c r="Y37" t="s">
        <v>303</v>
      </c>
      <c r="Z37" t="s">
        <v>61</v>
      </c>
      <c r="AA37" t="s">
        <v>61</v>
      </c>
      <c r="AB37" t="s">
        <v>61</v>
      </c>
      <c r="AC37" t="s">
        <v>67</v>
      </c>
      <c r="AD37" t="s">
        <v>61</v>
      </c>
      <c r="AE37" t="s">
        <v>61</v>
      </c>
      <c r="AF37" t="s">
        <v>61</v>
      </c>
      <c r="AG37" t="s">
        <v>61</v>
      </c>
      <c r="AH37" t="s">
        <v>61</v>
      </c>
      <c r="AI37" t="s">
        <v>61</v>
      </c>
      <c r="AJ37" t="s">
        <v>61</v>
      </c>
      <c r="AK37" t="s">
        <v>61</v>
      </c>
      <c r="AL37" t="s">
        <v>61</v>
      </c>
      <c r="AM37" t="s">
        <v>299</v>
      </c>
      <c r="AN37" t="s">
        <v>61</v>
      </c>
      <c r="AO37" t="s">
        <v>61</v>
      </c>
      <c r="AP37" t="s">
        <v>61</v>
      </c>
      <c r="AQ37" t="s">
        <v>61</v>
      </c>
      <c r="AR37" t="s">
        <v>61</v>
      </c>
      <c r="AS37" t="s">
        <v>61</v>
      </c>
      <c r="AT37" t="s">
        <v>61</v>
      </c>
      <c r="AU37" t="s">
        <v>61</v>
      </c>
      <c r="AV37" t="s">
        <v>61</v>
      </c>
      <c r="AW37" t="s">
        <v>61</v>
      </c>
      <c r="AX37" t="s">
        <v>61</v>
      </c>
      <c r="AY37" t="s">
        <v>61</v>
      </c>
      <c r="AZ37" t="s">
        <v>61</v>
      </c>
      <c r="BA37" t="s">
        <v>61</v>
      </c>
      <c r="BB37" t="s">
        <v>61</v>
      </c>
      <c r="BC37" t="s">
        <v>61</v>
      </c>
      <c r="BD37" t="s">
        <v>61</v>
      </c>
      <c r="BE37" t="s">
        <v>61</v>
      </c>
      <c r="BF37" t="s">
        <v>61</v>
      </c>
    </row>
    <row r="38" spans="1:58">
      <c r="A38" t="s">
        <v>58</v>
      </c>
      <c r="C38" t="s">
        <v>304</v>
      </c>
      <c r="D38" t="s">
        <v>61</v>
      </c>
      <c r="E38" t="s">
        <v>61</v>
      </c>
      <c r="F38" t="s">
        <v>61</v>
      </c>
      <c r="G38" t="s">
        <v>61</v>
      </c>
      <c r="H38" t="s">
        <v>61</v>
      </c>
      <c r="I38" t="s">
        <v>61</v>
      </c>
      <c r="J38" t="s">
        <v>61</v>
      </c>
      <c r="K38" t="s">
        <v>61</v>
      </c>
      <c r="L38" t="s">
        <v>305</v>
      </c>
      <c r="M38" t="s">
        <v>306</v>
      </c>
      <c r="N38" t="s">
        <v>307</v>
      </c>
      <c r="O38" t="s">
        <v>61</v>
      </c>
      <c r="Q38" t="s">
        <v>61</v>
      </c>
      <c r="R38" t="s">
        <v>61</v>
      </c>
      <c r="S38" t="s">
        <v>61</v>
      </c>
      <c r="T38" t="s">
        <v>61</v>
      </c>
      <c r="X38" t="s">
        <v>61</v>
      </c>
      <c r="Y38" t="s">
        <v>308</v>
      </c>
      <c r="Z38" t="s">
        <v>61</v>
      </c>
      <c r="AA38" t="s">
        <v>61</v>
      </c>
      <c r="AB38" t="s">
        <v>61</v>
      </c>
      <c r="AC38" t="s">
        <v>67</v>
      </c>
      <c r="AD38" t="s">
        <v>61</v>
      </c>
      <c r="AE38" t="s">
        <v>61</v>
      </c>
      <c r="AF38" t="s">
        <v>61</v>
      </c>
      <c r="AG38" t="s">
        <v>61</v>
      </c>
      <c r="AH38" t="s">
        <v>61</v>
      </c>
      <c r="AI38" t="s">
        <v>61</v>
      </c>
      <c r="AJ38" t="s">
        <v>61</v>
      </c>
      <c r="AK38" t="s">
        <v>61</v>
      </c>
      <c r="AL38" t="s">
        <v>61</v>
      </c>
      <c r="AM38" t="s">
        <v>304</v>
      </c>
      <c r="AN38" t="s">
        <v>61</v>
      </c>
      <c r="AO38" t="s">
        <v>61</v>
      </c>
      <c r="AP38" t="s">
        <v>61</v>
      </c>
      <c r="AQ38" t="s">
        <v>61</v>
      </c>
      <c r="AR38" t="s">
        <v>61</v>
      </c>
      <c r="AS38" t="s">
        <v>61</v>
      </c>
      <c r="AT38" t="s">
        <v>61</v>
      </c>
      <c r="AU38" t="s">
        <v>61</v>
      </c>
      <c r="AV38" t="s">
        <v>61</v>
      </c>
      <c r="AW38" t="s">
        <v>61</v>
      </c>
      <c r="AX38" t="s">
        <v>61</v>
      </c>
      <c r="AY38" t="s">
        <v>61</v>
      </c>
      <c r="AZ38" t="s">
        <v>61</v>
      </c>
      <c r="BA38" t="s">
        <v>61</v>
      </c>
      <c r="BB38" t="s">
        <v>61</v>
      </c>
      <c r="BC38" t="s">
        <v>61</v>
      </c>
      <c r="BD38" t="s">
        <v>61</v>
      </c>
      <c r="BE38" t="s">
        <v>61</v>
      </c>
      <c r="BF38" t="s">
        <v>61</v>
      </c>
    </row>
    <row r="39" spans="1:58">
      <c r="A39" t="s">
        <v>58</v>
      </c>
      <c r="C39" t="s">
        <v>309</v>
      </c>
      <c r="D39" t="s">
        <v>61</v>
      </c>
      <c r="E39" t="s">
        <v>61</v>
      </c>
      <c r="F39" t="s">
        <v>61</v>
      </c>
      <c r="G39" t="s">
        <v>61</v>
      </c>
      <c r="H39" t="s">
        <v>61</v>
      </c>
      <c r="I39" t="s">
        <v>61</v>
      </c>
      <c r="J39" t="s">
        <v>61</v>
      </c>
      <c r="K39" t="s">
        <v>61</v>
      </c>
      <c r="L39" t="s">
        <v>310</v>
      </c>
      <c r="M39" t="s">
        <v>311</v>
      </c>
      <c r="N39" t="s">
        <v>312</v>
      </c>
      <c r="O39" t="s">
        <v>61</v>
      </c>
      <c r="Q39" t="s">
        <v>61</v>
      </c>
      <c r="R39" t="s">
        <v>61</v>
      </c>
      <c r="S39" t="s">
        <v>61</v>
      </c>
      <c r="T39" t="s">
        <v>61</v>
      </c>
      <c r="X39" t="s">
        <v>61</v>
      </c>
      <c r="Y39" t="s">
        <v>313</v>
      </c>
      <c r="Z39" t="s">
        <v>61</v>
      </c>
      <c r="AA39" t="s">
        <v>61</v>
      </c>
      <c r="AB39" t="s">
        <v>61</v>
      </c>
      <c r="AC39" t="s">
        <v>67</v>
      </c>
      <c r="AD39" t="s">
        <v>61</v>
      </c>
      <c r="AE39" t="s">
        <v>61</v>
      </c>
      <c r="AF39" t="s">
        <v>61</v>
      </c>
      <c r="AG39" t="s">
        <v>61</v>
      </c>
      <c r="AH39" t="s">
        <v>61</v>
      </c>
      <c r="AI39" t="s">
        <v>61</v>
      </c>
      <c r="AJ39" t="s">
        <v>61</v>
      </c>
      <c r="AK39" t="s">
        <v>61</v>
      </c>
      <c r="AL39" t="s">
        <v>61</v>
      </c>
      <c r="AM39" t="s">
        <v>309</v>
      </c>
      <c r="AN39" t="s">
        <v>61</v>
      </c>
      <c r="AO39" t="s">
        <v>61</v>
      </c>
      <c r="AP39" t="s">
        <v>61</v>
      </c>
      <c r="AQ39" t="s">
        <v>61</v>
      </c>
      <c r="AR39" t="s">
        <v>61</v>
      </c>
      <c r="AS39" t="s">
        <v>61</v>
      </c>
      <c r="AT39" t="s">
        <v>61</v>
      </c>
      <c r="AU39" t="s">
        <v>61</v>
      </c>
      <c r="AV39" t="s">
        <v>61</v>
      </c>
      <c r="AW39" t="s">
        <v>61</v>
      </c>
      <c r="AX39" t="s">
        <v>61</v>
      </c>
      <c r="AY39" t="s">
        <v>61</v>
      </c>
      <c r="AZ39" t="s">
        <v>61</v>
      </c>
      <c r="BA39" t="s">
        <v>61</v>
      </c>
      <c r="BB39" t="s">
        <v>61</v>
      </c>
      <c r="BC39" t="s">
        <v>61</v>
      </c>
      <c r="BD39" t="s">
        <v>61</v>
      </c>
      <c r="BE39" t="s">
        <v>61</v>
      </c>
      <c r="BF39" t="s">
        <v>61</v>
      </c>
    </row>
    <row r="40" spans="1:58">
      <c r="A40" t="s">
        <v>58</v>
      </c>
      <c r="C40" t="s">
        <v>314</v>
      </c>
      <c r="D40" t="s">
        <v>61</v>
      </c>
      <c r="E40" t="s">
        <v>61</v>
      </c>
      <c r="F40" t="s">
        <v>61</v>
      </c>
      <c r="G40" t="s">
        <v>61</v>
      </c>
      <c r="H40" t="s">
        <v>61</v>
      </c>
      <c r="I40" t="s">
        <v>61</v>
      </c>
      <c r="J40" t="s">
        <v>61</v>
      </c>
      <c r="K40" t="s">
        <v>61</v>
      </c>
      <c r="L40" t="s">
        <v>315</v>
      </c>
      <c r="M40" t="s">
        <v>316</v>
      </c>
      <c r="N40" t="s">
        <v>317</v>
      </c>
      <c r="O40" t="s">
        <v>61</v>
      </c>
      <c r="Q40" t="s">
        <v>61</v>
      </c>
      <c r="R40" t="s">
        <v>61</v>
      </c>
      <c r="S40" t="s">
        <v>61</v>
      </c>
      <c r="T40" t="s">
        <v>61</v>
      </c>
      <c r="X40" t="s">
        <v>61</v>
      </c>
      <c r="Y40" t="s">
        <v>318</v>
      </c>
      <c r="Z40" t="s">
        <v>61</v>
      </c>
      <c r="AA40" t="s">
        <v>61</v>
      </c>
      <c r="AB40" t="s">
        <v>61</v>
      </c>
      <c r="AC40" t="s">
        <v>67</v>
      </c>
      <c r="AD40" t="s">
        <v>61</v>
      </c>
      <c r="AE40" t="s">
        <v>61</v>
      </c>
      <c r="AF40" t="s">
        <v>61</v>
      </c>
      <c r="AG40" t="s">
        <v>61</v>
      </c>
      <c r="AH40" t="s">
        <v>61</v>
      </c>
      <c r="AI40" t="s">
        <v>61</v>
      </c>
      <c r="AJ40" t="s">
        <v>61</v>
      </c>
      <c r="AK40" t="s">
        <v>61</v>
      </c>
      <c r="AL40" t="s">
        <v>61</v>
      </c>
      <c r="AM40" t="s">
        <v>314</v>
      </c>
      <c r="AN40" t="s">
        <v>61</v>
      </c>
      <c r="AO40" t="s">
        <v>61</v>
      </c>
      <c r="AP40" t="s">
        <v>61</v>
      </c>
      <c r="AQ40" t="s">
        <v>61</v>
      </c>
      <c r="AR40" t="s">
        <v>61</v>
      </c>
      <c r="AS40" t="s">
        <v>61</v>
      </c>
      <c r="AT40" t="s">
        <v>61</v>
      </c>
      <c r="AU40" t="s">
        <v>61</v>
      </c>
      <c r="AV40" t="s">
        <v>61</v>
      </c>
      <c r="AW40" t="s">
        <v>61</v>
      </c>
      <c r="AX40" t="s">
        <v>61</v>
      </c>
      <c r="AY40" t="s">
        <v>61</v>
      </c>
      <c r="AZ40" t="s">
        <v>61</v>
      </c>
      <c r="BA40" t="s">
        <v>61</v>
      </c>
      <c r="BB40" t="s">
        <v>61</v>
      </c>
      <c r="BC40" t="s">
        <v>61</v>
      </c>
      <c r="BD40" t="s">
        <v>61</v>
      </c>
      <c r="BE40" t="s">
        <v>61</v>
      </c>
      <c r="BF40" t="s">
        <v>61</v>
      </c>
    </row>
    <row r="41" spans="1:58">
      <c r="A41" t="s">
        <v>58</v>
      </c>
      <c r="C41" t="s">
        <v>319</v>
      </c>
      <c r="D41" t="s">
        <v>61</v>
      </c>
      <c r="E41" t="s">
        <v>61</v>
      </c>
      <c r="F41" t="s">
        <v>61</v>
      </c>
      <c r="G41" t="s">
        <v>61</v>
      </c>
      <c r="H41" t="s">
        <v>61</v>
      </c>
      <c r="I41" t="s">
        <v>61</v>
      </c>
      <c r="J41" t="s">
        <v>61</v>
      </c>
      <c r="K41" t="s">
        <v>61</v>
      </c>
      <c r="L41" t="s">
        <v>320</v>
      </c>
      <c r="M41" t="s">
        <v>321</v>
      </c>
      <c r="N41" t="s">
        <v>322</v>
      </c>
      <c r="O41" t="s">
        <v>61</v>
      </c>
      <c r="Q41" t="s">
        <v>61</v>
      </c>
      <c r="R41" t="s">
        <v>61</v>
      </c>
      <c r="S41" t="s">
        <v>61</v>
      </c>
      <c r="T41" t="s">
        <v>61</v>
      </c>
      <c r="X41" t="s">
        <v>61</v>
      </c>
      <c r="Y41" s="2">
        <v>812148</v>
      </c>
      <c r="Z41" t="s">
        <v>61</v>
      </c>
      <c r="AA41" t="s">
        <v>61</v>
      </c>
      <c r="AB41" t="s">
        <v>61</v>
      </c>
      <c r="AC41" t="s">
        <v>323</v>
      </c>
      <c r="AD41" t="s">
        <v>61</v>
      </c>
      <c r="AE41" t="s">
        <v>61</v>
      </c>
      <c r="AF41" t="s">
        <v>61</v>
      </c>
      <c r="AG41" t="s">
        <v>61</v>
      </c>
      <c r="AH41" t="s">
        <v>61</v>
      </c>
      <c r="AI41" t="s">
        <v>61</v>
      </c>
      <c r="AJ41" t="s">
        <v>61</v>
      </c>
      <c r="AK41" t="s">
        <v>61</v>
      </c>
      <c r="AL41" t="s">
        <v>61</v>
      </c>
      <c r="AM41" t="s">
        <v>319</v>
      </c>
      <c r="AN41" t="s">
        <v>61</v>
      </c>
      <c r="AO41" t="s">
        <v>61</v>
      </c>
      <c r="AP41" t="s">
        <v>61</v>
      </c>
      <c r="AQ41" t="s">
        <v>61</v>
      </c>
      <c r="AR41" t="s">
        <v>61</v>
      </c>
      <c r="AS41" t="s">
        <v>61</v>
      </c>
      <c r="AT41" t="s">
        <v>61</v>
      </c>
      <c r="AU41" t="s">
        <v>61</v>
      </c>
      <c r="AV41" t="s">
        <v>61</v>
      </c>
      <c r="AW41" t="s">
        <v>61</v>
      </c>
      <c r="AX41" t="s">
        <v>61</v>
      </c>
      <c r="AY41" t="s">
        <v>61</v>
      </c>
      <c r="AZ41" t="s">
        <v>61</v>
      </c>
      <c r="BA41" t="s">
        <v>61</v>
      </c>
      <c r="BB41" t="s">
        <v>61</v>
      </c>
      <c r="BC41" t="s">
        <v>61</v>
      </c>
      <c r="BD41" t="s">
        <v>61</v>
      </c>
      <c r="BE41" t="s">
        <v>61</v>
      </c>
      <c r="BF41" t="s">
        <v>61</v>
      </c>
    </row>
    <row r="42" spans="1:58">
      <c r="A42" t="s">
        <v>58</v>
      </c>
      <c r="C42" t="s">
        <v>324</v>
      </c>
      <c r="D42" t="s">
        <v>61</v>
      </c>
      <c r="E42" t="s">
        <v>61</v>
      </c>
      <c r="F42" t="s">
        <v>61</v>
      </c>
      <c r="G42" t="s">
        <v>61</v>
      </c>
      <c r="H42" t="s">
        <v>61</v>
      </c>
      <c r="I42" t="s">
        <v>61</v>
      </c>
      <c r="J42" t="s">
        <v>61</v>
      </c>
      <c r="K42" t="s">
        <v>61</v>
      </c>
      <c r="L42" t="s">
        <v>325</v>
      </c>
      <c r="M42" t="s">
        <v>61</v>
      </c>
      <c r="N42" t="s">
        <v>326</v>
      </c>
      <c r="O42" t="s">
        <v>61</v>
      </c>
      <c r="Q42" t="s">
        <v>61</v>
      </c>
      <c r="R42" t="s">
        <v>61</v>
      </c>
      <c r="S42" t="s">
        <v>61</v>
      </c>
      <c r="T42" t="s">
        <v>61</v>
      </c>
      <c r="X42" t="s">
        <v>61</v>
      </c>
      <c r="Y42" t="s">
        <v>293</v>
      </c>
      <c r="Z42" t="s">
        <v>61</v>
      </c>
      <c r="AA42" t="s">
        <v>61</v>
      </c>
      <c r="AB42">
        <v>2003385214</v>
      </c>
      <c r="AC42" t="s">
        <v>67</v>
      </c>
      <c r="AD42" t="s">
        <v>61</v>
      </c>
      <c r="AE42" t="s">
        <v>61</v>
      </c>
      <c r="AF42" t="s">
        <v>61</v>
      </c>
      <c r="AG42" t="s">
        <v>61</v>
      </c>
      <c r="AH42" t="s">
        <v>61</v>
      </c>
      <c r="AI42" t="s">
        <v>61</v>
      </c>
      <c r="AJ42" t="s">
        <v>61</v>
      </c>
      <c r="AK42" t="s">
        <v>61</v>
      </c>
      <c r="AL42" t="s">
        <v>61</v>
      </c>
      <c r="AM42" t="s">
        <v>324</v>
      </c>
      <c r="AN42" t="s">
        <v>61</v>
      </c>
      <c r="AO42" t="s">
        <v>61</v>
      </c>
      <c r="AP42" t="s">
        <v>61</v>
      </c>
      <c r="AQ42" t="s">
        <v>61</v>
      </c>
      <c r="AR42" t="s">
        <v>61</v>
      </c>
      <c r="AS42" t="s">
        <v>61</v>
      </c>
      <c r="AT42" t="s">
        <v>61</v>
      </c>
      <c r="AU42" t="s">
        <v>61</v>
      </c>
      <c r="AV42" t="s">
        <v>61</v>
      </c>
      <c r="AW42" t="s">
        <v>61</v>
      </c>
      <c r="AX42" t="s">
        <v>61</v>
      </c>
      <c r="AY42" t="s">
        <v>61</v>
      </c>
      <c r="AZ42" t="s">
        <v>61</v>
      </c>
      <c r="BA42" t="s">
        <v>61</v>
      </c>
      <c r="BB42" t="s">
        <v>61</v>
      </c>
      <c r="BC42" t="s">
        <v>61</v>
      </c>
      <c r="BD42" t="s">
        <v>61</v>
      </c>
      <c r="BE42" t="s">
        <v>61</v>
      </c>
      <c r="BF42" t="s">
        <v>61</v>
      </c>
    </row>
    <row r="43" spans="1:58">
      <c r="A43" t="s">
        <v>58</v>
      </c>
      <c r="C43" t="s">
        <v>327</v>
      </c>
      <c r="D43" t="s">
        <v>61</v>
      </c>
      <c r="E43" t="s">
        <v>61</v>
      </c>
      <c r="F43" t="s">
        <v>61</v>
      </c>
      <c r="G43" t="s">
        <v>61</v>
      </c>
      <c r="H43" t="s">
        <v>61</v>
      </c>
      <c r="I43" t="s">
        <v>61</v>
      </c>
      <c r="J43" t="s">
        <v>61</v>
      </c>
      <c r="K43" t="s">
        <v>61</v>
      </c>
      <c r="L43" t="s">
        <v>328</v>
      </c>
      <c r="M43" t="s">
        <v>61</v>
      </c>
      <c r="N43" t="s">
        <v>329</v>
      </c>
      <c r="O43" t="s">
        <v>61</v>
      </c>
      <c r="Q43" t="s">
        <v>61</v>
      </c>
      <c r="R43" t="s">
        <v>61</v>
      </c>
      <c r="S43" t="s">
        <v>61</v>
      </c>
      <c r="T43" t="s">
        <v>61</v>
      </c>
      <c r="X43" t="s">
        <v>61</v>
      </c>
      <c r="Y43" t="s">
        <v>293</v>
      </c>
      <c r="Z43" t="s">
        <v>61</v>
      </c>
      <c r="AA43" t="s">
        <v>61</v>
      </c>
      <c r="AB43">
        <v>2005473583</v>
      </c>
      <c r="AC43" t="s">
        <v>67</v>
      </c>
      <c r="AD43" t="s">
        <v>61</v>
      </c>
      <c r="AE43" t="s">
        <v>61</v>
      </c>
      <c r="AF43" t="s">
        <v>61</v>
      </c>
      <c r="AG43" t="s">
        <v>61</v>
      </c>
      <c r="AH43" t="s">
        <v>61</v>
      </c>
      <c r="AI43" t="s">
        <v>61</v>
      </c>
      <c r="AJ43" t="s">
        <v>61</v>
      </c>
      <c r="AK43" t="s">
        <v>61</v>
      </c>
      <c r="AL43" t="s">
        <v>61</v>
      </c>
      <c r="AM43" t="s">
        <v>327</v>
      </c>
      <c r="AN43" t="s">
        <v>61</v>
      </c>
      <c r="AO43" t="s">
        <v>61</v>
      </c>
      <c r="AP43" t="s">
        <v>61</v>
      </c>
      <c r="AQ43" t="s">
        <v>61</v>
      </c>
      <c r="AR43" t="s">
        <v>61</v>
      </c>
      <c r="AS43" t="s">
        <v>61</v>
      </c>
      <c r="AT43" t="s">
        <v>61</v>
      </c>
      <c r="AU43" t="s">
        <v>61</v>
      </c>
      <c r="AV43" t="s">
        <v>61</v>
      </c>
      <c r="AW43" t="s">
        <v>61</v>
      </c>
      <c r="AX43" t="s">
        <v>61</v>
      </c>
      <c r="AY43" t="s">
        <v>61</v>
      </c>
      <c r="AZ43" t="s">
        <v>61</v>
      </c>
      <c r="BA43" t="s">
        <v>61</v>
      </c>
      <c r="BB43" t="s">
        <v>61</v>
      </c>
      <c r="BC43" t="s">
        <v>61</v>
      </c>
      <c r="BD43" t="s">
        <v>61</v>
      </c>
      <c r="BE43" t="s">
        <v>61</v>
      </c>
      <c r="BF43" t="s">
        <v>61</v>
      </c>
    </row>
    <row r="44" spans="1:58">
      <c r="A44" t="s">
        <v>58</v>
      </c>
      <c r="C44" t="s">
        <v>330</v>
      </c>
      <c r="D44" t="s">
        <v>61</v>
      </c>
      <c r="E44" t="s">
        <v>61</v>
      </c>
      <c r="F44" t="s">
        <v>61</v>
      </c>
      <c r="G44" t="s">
        <v>61</v>
      </c>
      <c r="H44" t="s">
        <v>61</v>
      </c>
      <c r="I44" t="s">
        <v>61</v>
      </c>
      <c r="J44" t="s">
        <v>61</v>
      </c>
      <c r="K44" t="s">
        <v>61</v>
      </c>
      <c r="L44" t="s">
        <v>331</v>
      </c>
      <c r="M44" t="s">
        <v>61</v>
      </c>
      <c r="N44" t="s">
        <v>332</v>
      </c>
      <c r="O44" t="s">
        <v>61</v>
      </c>
      <c r="Q44" t="s">
        <v>61</v>
      </c>
      <c r="R44" t="s">
        <v>61</v>
      </c>
      <c r="S44" t="s">
        <v>61</v>
      </c>
      <c r="T44" t="s">
        <v>61</v>
      </c>
      <c r="X44" t="s">
        <v>61</v>
      </c>
      <c r="Y44" t="s">
        <v>293</v>
      </c>
      <c r="Z44" t="s">
        <v>61</v>
      </c>
      <c r="AA44" t="s">
        <v>61</v>
      </c>
      <c r="AB44">
        <v>2002317927</v>
      </c>
      <c r="AC44" t="s">
        <v>67</v>
      </c>
      <c r="AD44" t="s">
        <v>61</v>
      </c>
      <c r="AE44" t="s">
        <v>61</v>
      </c>
      <c r="AF44" t="s">
        <v>61</v>
      </c>
      <c r="AG44" t="s">
        <v>61</v>
      </c>
      <c r="AH44" t="s">
        <v>61</v>
      </c>
      <c r="AI44" t="s">
        <v>61</v>
      </c>
      <c r="AJ44" t="s">
        <v>61</v>
      </c>
      <c r="AK44" t="s">
        <v>61</v>
      </c>
      <c r="AL44" t="s">
        <v>61</v>
      </c>
      <c r="AM44" t="s">
        <v>330</v>
      </c>
      <c r="AN44" t="s">
        <v>61</v>
      </c>
      <c r="AO44" t="s">
        <v>61</v>
      </c>
      <c r="AP44" t="s">
        <v>61</v>
      </c>
      <c r="AQ44" t="s">
        <v>61</v>
      </c>
      <c r="AR44" t="s">
        <v>61</v>
      </c>
      <c r="AS44" t="s">
        <v>61</v>
      </c>
      <c r="AT44" t="s">
        <v>61</v>
      </c>
      <c r="AU44" t="s">
        <v>61</v>
      </c>
      <c r="AV44" t="s">
        <v>61</v>
      </c>
      <c r="AW44" t="s">
        <v>61</v>
      </c>
      <c r="AX44" t="s">
        <v>61</v>
      </c>
      <c r="AY44" t="s">
        <v>61</v>
      </c>
      <c r="AZ44" t="s">
        <v>61</v>
      </c>
      <c r="BA44" t="s">
        <v>61</v>
      </c>
      <c r="BB44" t="s">
        <v>61</v>
      </c>
      <c r="BC44" t="s">
        <v>61</v>
      </c>
      <c r="BD44" t="s">
        <v>61</v>
      </c>
      <c r="BE44" t="s">
        <v>61</v>
      </c>
      <c r="BF44" t="s">
        <v>61</v>
      </c>
    </row>
    <row r="45" spans="1:58">
      <c r="A45" t="s">
        <v>58</v>
      </c>
      <c r="B45" t="s">
        <v>333</v>
      </c>
      <c r="C45" t="s">
        <v>334</v>
      </c>
      <c r="D45" t="s">
        <v>335</v>
      </c>
      <c r="E45" t="s">
        <v>61</v>
      </c>
      <c r="F45">
        <v>2015</v>
      </c>
      <c r="G45" t="s">
        <v>61</v>
      </c>
      <c r="H45" t="s">
        <v>336</v>
      </c>
      <c r="I45" t="s">
        <v>61</v>
      </c>
      <c r="J45" t="s">
        <v>61</v>
      </c>
      <c r="K45" t="s">
        <v>61</v>
      </c>
      <c r="L45" t="s">
        <v>337</v>
      </c>
      <c r="M45" t="s">
        <v>338</v>
      </c>
      <c r="N45" t="s">
        <v>339</v>
      </c>
      <c r="O45" t="s">
        <v>61</v>
      </c>
      <c r="Q45" t="s">
        <v>61</v>
      </c>
      <c r="R45" t="s">
        <v>61</v>
      </c>
      <c r="S45" t="s">
        <v>61</v>
      </c>
      <c r="T45" t="s">
        <v>61</v>
      </c>
      <c r="X45" t="s">
        <v>61</v>
      </c>
      <c r="Y45" t="s">
        <v>340</v>
      </c>
      <c r="Z45" t="s">
        <v>61</v>
      </c>
      <c r="AA45" t="s">
        <v>61</v>
      </c>
      <c r="AB45" t="s">
        <v>61</v>
      </c>
      <c r="AC45" t="s">
        <v>67</v>
      </c>
      <c r="AD45" t="s">
        <v>61</v>
      </c>
      <c r="AE45" t="s">
        <v>61</v>
      </c>
      <c r="AF45" t="s">
        <v>61</v>
      </c>
      <c r="AG45" t="s">
        <v>61</v>
      </c>
      <c r="AH45" t="s">
        <v>61</v>
      </c>
      <c r="AI45" t="s">
        <v>61</v>
      </c>
      <c r="AJ45" t="s">
        <v>61</v>
      </c>
      <c r="AK45" t="s">
        <v>61</v>
      </c>
      <c r="AL45" t="s">
        <v>61</v>
      </c>
      <c r="AM45" t="s">
        <v>334</v>
      </c>
      <c r="AN45" t="s">
        <v>61</v>
      </c>
      <c r="AO45" t="s">
        <v>61</v>
      </c>
      <c r="AP45" t="s">
        <v>61</v>
      </c>
      <c r="AQ45" t="s">
        <v>61</v>
      </c>
      <c r="AR45" t="s">
        <v>61</v>
      </c>
      <c r="AS45" t="s">
        <v>61</v>
      </c>
      <c r="AT45" t="s">
        <v>61</v>
      </c>
      <c r="AU45" t="s">
        <v>61</v>
      </c>
      <c r="AV45" t="s">
        <v>61</v>
      </c>
      <c r="AW45" t="s">
        <v>61</v>
      </c>
      <c r="AX45" t="s">
        <v>61</v>
      </c>
      <c r="AY45" t="s">
        <v>61</v>
      </c>
      <c r="AZ45" t="s">
        <v>61</v>
      </c>
      <c r="BA45" t="s">
        <v>61</v>
      </c>
      <c r="BB45" t="s">
        <v>61</v>
      </c>
      <c r="BC45" t="s">
        <v>61</v>
      </c>
      <c r="BD45" t="s">
        <v>61</v>
      </c>
      <c r="BE45" t="s">
        <v>61</v>
      </c>
      <c r="BF45" t="s">
        <v>61</v>
      </c>
    </row>
    <row r="46" spans="1:58">
      <c r="A46" t="s">
        <v>58</v>
      </c>
      <c r="B46" t="s">
        <v>341</v>
      </c>
      <c r="C46" t="s">
        <v>342</v>
      </c>
      <c r="D46" t="s">
        <v>343</v>
      </c>
      <c r="E46" t="s">
        <v>61</v>
      </c>
      <c r="F46">
        <v>2011</v>
      </c>
      <c r="G46" t="s">
        <v>344</v>
      </c>
      <c r="H46">
        <v>9</v>
      </c>
      <c r="I46">
        <v>5</v>
      </c>
      <c r="J46">
        <v>354</v>
      </c>
      <c r="K46">
        <v>358</v>
      </c>
      <c r="L46" t="s">
        <v>345</v>
      </c>
      <c r="M46" t="s">
        <v>346</v>
      </c>
      <c r="N46" t="s">
        <v>347</v>
      </c>
      <c r="O46" t="s">
        <v>61</v>
      </c>
      <c r="Q46" t="s">
        <v>61</v>
      </c>
      <c r="R46" t="s">
        <v>61</v>
      </c>
      <c r="S46" t="s">
        <v>61</v>
      </c>
      <c r="T46" t="s">
        <v>61</v>
      </c>
      <c r="X46" t="s">
        <v>61</v>
      </c>
      <c r="Y46" t="s">
        <v>348</v>
      </c>
      <c r="Z46" t="s">
        <v>61</v>
      </c>
      <c r="AA46" t="s">
        <v>61</v>
      </c>
      <c r="AB46" t="s">
        <v>349</v>
      </c>
      <c r="AC46" t="s">
        <v>67</v>
      </c>
      <c r="AD46" t="s">
        <v>61</v>
      </c>
      <c r="AE46" t="s">
        <v>61</v>
      </c>
      <c r="AF46" t="s">
        <v>61</v>
      </c>
      <c r="AG46" t="s">
        <v>61</v>
      </c>
      <c r="AH46" t="s">
        <v>61</v>
      </c>
      <c r="AI46" t="s">
        <v>61</v>
      </c>
      <c r="AJ46" t="s">
        <v>61</v>
      </c>
      <c r="AK46" t="s">
        <v>61</v>
      </c>
      <c r="AL46" t="s">
        <v>61</v>
      </c>
      <c r="AM46" t="s">
        <v>342</v>
      </c>
      <c r="AN46" t="s">
        <v>61</v>
      </c>
      <c r="AO46" t="s">
        <v>61</v>
      </c>
      <c r="AP46" t="s">
        <v>61</v>
      </c>
      <c r="AQ46" t="s">
        <v>61</v>
      </c>
      <c r="AR46" t="s">
        <v>61</v>
      </c>
      <c r="AS46" t="s">
        <v>61</v>
      </c>
      <c r="AT46" t="s">
        <v>61</v>
      </c>
      <c r="AU46" t="s">
        <v>61</v>
      </c>
      <c r="AV46" t="s">
        <v>61</v>
      </c>
      <c r="AW46" t="s">
        <v>61</v>
      </c>
      <c r="AX46" t="s">
        <v>61</v>
      </c>
      <c r="AY46" t="s">
        <v>61</v>
      </c>
      <c r="AZ46" t="s">
        <v>61</v>
      </c>
      <c r="BA46" t="s">
        <v>61</v>
      </c>
      <c r="BB46" t="s">
        <v>61</v>
      </c>
      <c r="BC46" t="s">
        <v>61</v>
      </c>
      <c r="BD46" t="s">
        <v>61</v>
      </c>
      <c r="BE46" t="s">
        <v>61</v>
      </c>
      <c r="BF46" t="s">
        <v>61</v>
      </c>
    </row>
    <row r="47" spans="1:58">
      <c r="A47" t="s">
        <v>58</v>
      </c>
      <c r="B47" t="s">
        <v>350</v>
      </c>
      <c r="C47" t="s">
        <v>351</v>
      </c>
      <c r="D47" t="s">
        <v>352</v>
      </c>
      <c r="E47" t="s">
        <v>61</v>
      </c>
      <c r="F47">
        <v>2014</v>
      </c>
      <c r="G47" t="s">
        <v>119</v>
      </c>
      <c r="H47">
        <v>5</v>
      </c>
      <c r="I47">
        <v>3</v>
      </c>
      <c r="J47">
        <v>57</v>
      </c>
      <c r="K47">
        <v>61</v>
      </c>
      <c r="L47" t="s">
        <v>61</v>
      </c>
      <c r="M47" t="s">
        <v>353</v>
      </c>
      <c r="N47" t="s">
        <v>354</v>
      </c>
      <c r="O47" t="s">
        <v>61</v>
      </c>
      <c r="Q47" t="s">
        <v>61</v>
      </c>
      <c r="R47" t="s">
        <v>61</v>
      </c>
      <c r="S47" t="s">
        <v>61</v>
      </c>
      <c r="T47" t="s">
        <v>61</v>
      </c>
      <c r="X47" t="s">
        <v>61</v>
      </c>
      <c r="Y47" t="s">
        <v>355</v>
      </c>
      <c r="Z47" t="s">
        <v>61</v>
      </c>
      <c r="AA47" t="s">
        <v>356</v>
      </c>
      <c r="AB47">
        <v>25278667</v>
      </c>
      <c r="AC47" t="s">
        <v>67</v>
      </c>
      <c r="AD47" t="s">
        <v>61</v>
      </c>
      <c r="AE47" t="s">
        <v>61</v>
      </c>
      <c r="AF47" t="s">
        <v>61</v>
      </c>
      <c r="AG47" t="s">
        <v>357</v>
      </c>
      <c r="AH47" t="s">
        <v>61</v>
      </c>
      <c r="AI47" t="s">
        <v>358</v>
      </c>
      <c r="AJ47" t="s">
        <v>61</v>
      </c>
      <c r="AK47" t="s">
        <v>61</v>
      </c>
      <c r="AL47" t="s">
        <v>61</v>
      </c>
      <c r="AM47" t="s">
        <v>359</v>
      </c>
      <c r="AN47" t="s">
        <v>61</v>
      </c>
      <c r="AO47" t="s">
        <v>61</v>
      </c>
      <c r="AP47" t="s">
        <v>61</v>
      </c>
      <c r="AQ47" t="s">
        <v>61</v>
      </c>
      <c r="AR47" t="s">
        <v>61</v>
      </c>
      <c r="AS47" t="s">
        <v>61</v>
      </c>
      <c r="AT47" t="s">
        <v>61</v>
      </c>
      <c r="AU47" t="s">
        <v>61</v>
      </c>
      <c r="AV47" t="s">
        <v>61</v>
      </c>
      <c r="AW47" t="s">
        <v>61</v>
      </c>
      <c r="AX47" t="s">
        <v>61</v>
      </c>
      <c r="AY47" t="s">
        <v>61</v>
      </c>
      <c r="AZ47" t="s">
        <v>61</v>
      </c>
      <c r="BA47" t="s">
        <v>61</v>
      </c>
      <c r="BB47" t="s">
        <v>61</v>
      </c>
      <c r="BC47" t="s">
        <v>61</v>
      </c>
      <c r="BD47" t="s">
        <v>61</v>
      </c>
      <c r="BE47" t="s">
        <v>61</v>
      </c>
      <c r="BF47" t="s">
        <v>61</v>
      </c>
    </row>
    <row r="48" spans="1:58">
      <c r="A48" t="s">
        <v>58</v>
      </c>
      <c r="B48" t="s">
        <v>360</v>
      </c>
      <c r="C48" t="s">
        <v>361</v>
      </c>
      <c r="D48" t="s">
        <v>362</v>
      </c>
      <c r="E48" t="s">
        <v>61</v>
      </c>
      <c r="F48">
        <v>2000</v>
      </c>
      <c r="G48" t="s">
        <v>363</v>
      </c>
      <c r="H48">
        <v>24</v>
      </c>
      <c r="I48">
        <v>1</v>
      </c>
      <c r="J48">
        <v>39</v>
      </c>
      <c r="K48">
        <v>47</v>
      </c>
      <c r="L48" t="s">
        <v>364</v>
      </c>
      <c r="M48" t="s">
        <v>365</v>
      </c>
      <c r="N48" t="s">
        <v>366</v>
      </c>
      <c r="O48" t="s">
        <v>61</v>
      </c>
      <c r="Q48" t="s">
        <v>61</v>
      </c>
      <c r="R48" t="s">
        <v>61</v>
      </c>
      <c r="S48" t="s">
        <v>61</v>
      </c>
      <c r="T48" t="s">
        <v>61</v>
      </c>
      <c r="X48" t="s">
        <v>61</v>
      </c>
      <c r="Y48" t="s">
        <v>367</v>
      </c>
      <c r="Z48" t="s">
        <v>61</v>
      </c>
      <c r="AA48" t="s">
        <v>368</v>
      </c>
      <c r="AB48">
        <v>10656191</v>
      </c>
      <c r="AC48" t="s">
        <v>67</v>
      </c>
      <c r="AD48" t="s">
        <v>61</v>
      </c>
      <c r="AE48" t="s">
        <v>61</v>
      </c>
      <c r="AF48" t="s">
        <v>61</v>
      </c>
      <c r="AG48" t="s">
        <v>369</v>
      </c>
      <c r="AH48" t="s">
        <v>61</v>
      </c>
      <c r="AI48" t="s">
        <v>61</v>
      </c>
      <c r="AJ48" t="s">
        <v>61</v>
      </c>
      <c r="AK48" t="s">
        <v>61</v>
      </c>
      <c r="AL48" t="s">
        <v>61</v>
      </c>
      <c r="AM48" t="s">
        <v>370</v>
      </c>
      <c r="AN48" t="s">
        <v>61</v>
      </c>
      <c r="AO48" t="s">
        <v>61</v>
      </c>
      <c r="AP48" t="s">
        <v>61</v>
      </c>
      <c r="AQ48" t="s">
        <v>61</v>
      </c>
      <c r="AR48" t="s">
        <v>61</v>
      </c>
      <c r="AS48" t="s">
        <v>61</v>
      </c>
      <c r="AT48" t="s">
        <v>61</v>
      </c>
      <c r="AU48" t="s">
        <v>61</v>
      </c>
      <c r="AV48" t="s">
        <v>61</v>
      </c>
      <c r="AW48" t="s">
        <v>61</v>
      </c>
      <c r="AX48" t="s">
        <v>61</v>
      </c>
      <c r="AY48" t="s">
        <v>61</v>
      </c>
      <c r="AZ48" t="s">
        <v>61</v>
      </c>
      <c r="BA48" t="s">
        <v>61</v>
      </c>
      <c r="BB48" t="s">
        <v>61</v>
      </c>
      <c r="BC48" t="s">
        <v>61</v>
      </c>
      <c r="BD48" t="s">
        <v>61</v>
      </c>
      <c r="BE48" t="s">
        <v>61</v>
      </c>
      <c r="BF48" t="s">
        <v>61</v>
      </c>
    </row>
    <row r="49" spans="1:58">
      <c r="A49" t="s">
        <v>58</v>
      </c>
      <c r="B49" t="s">
        <v>371</v>
      </c>
      <c r="C49" t="s">
        <v>372</v>
      </c>
      <c r="D49" t="s">
        <v>373</v>
      </c>
      <c r="E49" t="s">
        <v>61</v>
      </c>
      <c r="F49">
        <v>2013</v>
      </c>
      <c r="G49" t="s">
        <v>61</v>
      </c>
      <c r="H49">
        <v>12</v>
      </c>
      <c r="I49">
        <v>3</v>
      </c>
      <c r="J49">
        <v>357</v>
      </c>
      <c r="K49">
        <v>361</v>
      </c>
      <c r="L49" t="s">
        <v>374</v>
      </c>
      <c r="M49" t="s">
        <v>375</v>
      </c>
      <c r="N49" t="s">
        <v>376</v>
      </c>
      <c r="O49" t="s">
        <v>61</v>
      </c>
      <c r="Q49" t="s">
        <v>61</v>
      </c>
      <c r="R49" t="s">
        <v>61</v>
      </c>
      <c r="S49" t="s">
        <v>61</v>
      </c>
      <c r="T49" t="s">
        <v>61</v>
      </c>
      <c r="X49" t="s">
        <v>61</v>
      </c>
      <c r="Y49" t="s">
        <v>377</v>
      </c>
      <c r="Z49" t="s">
        <v>61</v>
      </c>
      <c r="AA49" t="s">
        <v>61</v>
      </c>
      <c r="AB49">
        <v>2013571679</v>
      </c>
      <c r="AC49" t="s">
        <v>67</v>
      </c>
      <c r="AD49" t="s">
        <v>61</v>
      </c>
      <c r="AE49" t="s">
        <v>61</v>
      </c>
      <c r="AF49" t="s">
        <v>61</v>
      </c>
      <c r="AG49" t="s">
        <v>61</v>
      </c>
      <c r="AH49" t="s">
        <v>61</v>
      </c>
      <c r="AI49" t="s">
        <v>61</v>
      </c>
      <c r="AJ49" t="s">
        <v>61</v>
      </c>
      <c r="AK49" t="s">
        <v>61</v>
      </c>
      <c r="AL49" t="s">
        <v>61</v>
      </c>
      <c r="AM49" t="s">
        <v>372</v>
      </c>
      <c r="AN49" t="s">
        <v>61</v>
      </c>
      <c r="AO49" t="s">
        <v>61</v>
      </c>
      <c r="AP49" t="s">
        <v>61</v>
      </c>
      <c r="AQ49" t="s">
        <v>61</v>
      </c>
      <c r="AR49" t="s">
        <v>61</v>
      </c>
      <c r="AS49" t="s">
        <v>61</v>
      </c>
      <c r="AT49" t="s">
        <v>61</v>
      </c>
      <c r="AU49" t="s">
        <v>61</v>
      </c>
      <c r="AV49" t="s">
        <v>61</v>
      </c>
      <c r="AW49" t="s">
        <v>61</v>
      </c>
      <c r="AX49" t="s">
        <v>61</v>
      </c>
      <c r="AY49" t="s">
        <v>61</v>
      </c>
      <c r="AZ49" t="s">
        <v>61</v>
      </c>
      <c r="BA49" t="s">
        <v>61</v>
      </c>
      <c r="BB49" t="s">
        <v>61</v>
      </c>
      <c r="BC49" t="s">
        <v>61</v>
      </c>
      <c r="BD49" t="s">
        <v>61</v>
      </c>
      <c r="BE49" t="s">
        <v>61</v>
      </c>
      <c r="BF49" t="s">
        <v>61</v>
      </c>
    </row>
    <row r="50" spans="1:58">
      <c r="A50" t="s">
        <v>58</v>
      </c>
      <c r="B50" t="s">
        <v>378</v>
      </c>
      <c r="C50" t="s">
        <v>379</v>
      </c>
      <c r="D50" t="s">
        <v>380</v>
      </c>
      <c r="E50" t="s">
        <v>61</v>
      </c>
      <c r="F50">
        <v>2013</v>
      </c>
      <c r="G50" t="s">
        <v>381</v>
      </c>
      <c r="H50">
        <v>52</v>
      </c>
      <c r="I50">
        <v>2</v>
      </c>
      <c r="J50" t="s">
        <v>382</v>
      </c>
      <c r="K50" t="s">
        <v>61</v>
      </c>
      <c r="L50" t="s">
        <v>383</v>
      </c>
      <c r="M50" t="s">
        <v>384</v>
      </c>
      <c r="N50" t="s">
        <v>385</v>
      </c>
      <c r="O50" t="s">
        <v>61</v>
      </c>
      <c r="Q50" t="s">
        <v>61</v>
      </c>
      <c r="R50" t="s">
        <v>61</v>
      </c>
      <c r="S50" t="s">
        <v>61</v>
      </c>
      <c r="T50" t="s">
        <v>61</v>
      </c>
      <c r="X50" t="s">
        <v>61</v>
      </c>
      <c r="Y50" t="s">
        <v>386</v>
      </c>
      <c r="Z50" t="s">
        <v>61</v>
      </c>
      <c r="AA50" t="s">
        <v>61</v>
      </c>
      <c r="AB50" t="s">
        <v>61</v>
      </c>
      <c r="AC50" t="s">
        <v>67</v>
      </c>
      <c r="AD50" t="s">
        <v>61</v>
      </c>
      <c r="AE50" t="s">
        <v>61</v>
      </c>
      <c r="AF50" t="s">
        <v>61</v>
      </c>
      <c r="AG50" t="s">
        <v>61</v>
      </c>
      <c r="AH50" t="s">
        <v>61</v>
      </c>
      <c r="AI50" t="s">
        <v>61</v>
      </c>
      <c r="AJ50" t="s">
        <v>61</v>
      </c>
      <c r="AK50" t="s">
        <v>61</v>
      </c>
      <c r="AL50" t="s">
        <v>61</v>
      </c>
      <c r="AM50" t="s">
        <v>379</v>
      </c>
      <c r="AN50" t="s">
        <v>61</v>
      </c>
      <c r="AO50" t="s">
        <v>61</v>
      </c>
      <c r="AP50" t="s">
        <v>61</v>
      </c>
      <c r="AQ50" t="s">
        <v>61</v>
      </c>
      <c r="AR50" t="s">
        <v>61</v>
      </c>
      <c r="AS50" t="s">
        <v>61</v>
      </c>
      <c r="AT50" t="s">
        <v>61</v>
      </c>
      <c r="AU50" t="s">
        <v>61</v>
      </c>
      <c r="AV50" t="s">
        <v>61</v>
      </c>
      <c r="AW50" t="s">
        <v>61</v>
      </c>
      <c r="AX50" t="s">
        <v>61</v>
      </c>
      <c r="AY50" t="s">
        <v>61</v>
      </c>
      <c r="AZ50" t="s">
        <v>61</v>
      </c>
      <c r="BA50" t="s">
        <v>61</v>
      </c>
      <c r="BB50" t="s">
        <v>61</v>
      </c>
      <c r="BC50" t="s">
        <v>61</v>
      </c>
      <c r="BD50" t="s">
        <v>61</v>
      </c>
      <c r="BE50" t="s">
        <v>61</v>
      </c>
      <c r="BF50" t="s">
        <v>61</v>
      </c>
    </row>
    <row r="51" spans="1:58">
      <c r="A51" t="s">
        <v>58</v>
      </c>
      <c r="B51" t="s">
        <v>387</v>
      </c>
      <c r="C51" t="s">
        <v>388</v>
      </c>
      <c r="D51" t="s">
        <v>389</v>
      </c>
      <c r="E51" t="s">
        <v>390</v>
      </c>
      <c r="F51">
        <v>2013</v>
      </c>
      <c r="G51" t="s">
        <v>391</v>
      </c>
      <c r="H51">
        <v>97</v>
      </c>
      <c r="I51">
        <v>2</v>
      </c>
      <c r="J51">
        <v>337</v>
      </c>
      <c r="K51">
        <v>352</v>
      </c>
      <c r="L51" t="s">
        <v>392</v>
      </c>
      <c r="M51" t="s">
        <v>393</v>
      </c>
      <c r="N51" t="s">
        <v>394</v>
      </c>
      <c r="O51" t="s">
        <v>61</v>
      </c>
      <c r="Q51" t="s">
        <v>61</v>
      </c>
      <c r="R51" t="s">
        <v>61</v>
      </c>
      <c r="S51" t="s">
        <v>61</v>
      </c>
      <c r="T51" t="s">
        <v>61</v>
      </c>
      <c r="X51" t="s">
        <v>61</v>
      </c>
      <c r="Y51" t="s">
        <v>395</v>
      </c>
      <c r="Z51" t="s">
        <v>61</v>
      </c>
      <c r="AA51" t="s">
        <v>396</v>
      </c>
      <c r="AB51">
        <v>23419631</v>
      </c>
      <c r="AC51" t="s">
        <v>67</v>
      </c>
      <c r="AD51" t="s">
        <v>61</v>
      </c>
      <c r="AE51" t="s">
        <v>61</v>
      </c>
      <c r="AF51" t="s">
        <v>61</v>
      </c>
      <c r="AG51" t="s">
        <v>397</v>
      </c>
      <c r="AH51" t="s">
        <v>61</v>
      </c>
      <c r="AI51" t="s">
        <v>398</v>
      </c>
      <c r="AJ51" t="s">
        <v>61</v>
      </c>
      <c r="AK51" t="s">
        <v>61</v>
      </c>
      <c r="AL51" t="s">
        <v>61</v>
      </c>
      <c r="AM51" t="s">
        <v>399</v>
      </c>
      <c r="AN51" t="s">
        <v>61</v>
      </c>
      <c r="AO51" t="s">
        <v>61</v>
      </c>
      <c r="AP51" t="s">
        <v>61</v>
      </c>
      <c r="AQ51" t="s">
        <v>61</v>
      </c>
      <c r="AR51" t="s">
        <v>61</v>
      </c>
      <c r="AS51" t="s">
        <v>61</v>
      </c>
      <c r="AT51" t="s">
        <v>61</v>
      </c>
      <c r="AU51" t="s">
        <v>61</v>
      </c>
      <c r="AV51" t="s">
        <v>61</v>
      </c>
      <c r="AW51" t="s">
        <v>61</v>
      </c>
      <c r="AX51" t="s">
        <v>61</v>
      </c>
      <c r="AY51" t="s">
        <v>61</v>
      </c>
      <c r="AZ51" t="s">
        <v>61</v>
      </c>
      <c r="BA51" t="s">
        <v>61</v>
      </c>
      <c r="BB51" t="s">
        <v>61</v>
      </c>
      <c r="BC51" t="s">
        <v>61</v>
      </c>
      <c r="BD51" t="s">
        <v>61</v>
      </c>
      <c r="BE51" t="s">
        <v>61</v>
      </c>
      <c r="BF51" t="s">
        <v>61</v>
      </c>
    </row>
    <row r="52" spans="1:58">
      <c r="A52" t="s">
        <v>58</v>
      </c>
      <c r="B52" t="s">
        <v>400</v>
      </c>
      <c r="C52" t="s">
        <v>401</v>
      </c>
      <c r="D52" t="s">
        <v>84</v>
      </c>
      <c r="E52" t="s">
        <v>61</v>
      </c>
      <c r="F52">
        <v>2013</v>
      </c>
      <c r="G52" t="s">
        <v>344</v>
      </c>
      <c r="H52" t="s">
        <v>402</v>
      </c>
      <c r="I52" t="s">
        <v>61</v>
      </c>
      <c r="J52">
        <v>134</v>
      </c>
      <c r="K52">
        <v>135</v>
      </c>
      <c r="L52" t="s">
        <v>403</v>
      </c>
      <c r="M52" t="s">
        <v>404</v>
      </c>
      <c r="N52" t="s">
        <v>405</v>
      </c>
      <c r="O52" t="s">
        <v>61</v>
      </c>
      <c r="Q52" t="s">
        <v>61</v>
      </c>
      <c r="R52" t="s">
        <v>61</v>
      </c>
      <c r="S52" t="s">
        <v>61</v>
      </c>
      <c r="T52" t="s">
        <v>61</v>
      </c>
      <c r="X52" t="s">
        <v>61</v>
      </c>
      <c r="Y52" t="s">
        <v>303</v>
      </c>
      <c r="Z52" t="s">
        <v>61</v>
      </c>
      <c r="AA52" t="s">
        <v>61</v>
      </c>
      <c r="AB52" t="s">
        <v>61</v>
      </c>
      <c r="AC52" t="s">
        <v>67</v>
      </c>
      <c r="AD52" t="s">
        <v>61</v>
      </c>
      <c r="AE52" t="s">
        <v>61</v>
      </c>
      <c r="AF52" t="s">
        <v>61</v>
      </c>
      <c r="AG52" t="s">
        <v>61</v>
      </c>
      <c r="AH52" t="s">
        <v>61</v>
      </c>
      <c r="AI52" t="s">
        <v>61</v>
      </c>
      <c r="AJ52" t="s">
        <v>61</v>
      </c>
      <c r="AK52" t="s">
        <v>61</v>
      </c>
      <c r="AL52" t="s">
        <v>61</v>
      </c>
      <c r="AM52" t="s">
        <v>401</v>
      </c>
      <c r="AN52" t="s">
        <v>61</v>
      </c>
      <c r="AO52" t="s">
        <v>61</v>
      </c>
      <c r="AP52" t="s">
        <v>61</v>
      </c>
      <c r="AQ52" t="s">
        <v>61</v>
      </c>
      <c r="AR52" t="s">
        <v>61</v>
      </c>
      <c r="AS52" t="s">
        <v>61</v>
      </c>
      <c r="AT52" t="s">
        <v>61</v>
      </c>
      <c r="AU52" t="s">
        <v>61</v>
      </c>
      <c r="AV52" t="s">
        <v>61</v>
      </c>
      <c r="AW52" t="s">
        <v>61</v>
      </c>
      <c r="AX52" t="s">
        <v>61</v>
      </c>
      <c r="AY52" t="s">
        <v>61</v>
      </c>
      <c r="AZ52" t="s">
        <v>61</v>
      </c>
      <c r="BA52" t="s">
        <v>61</v>
      </c>
      <c r="BB52" t="s">
        <v>61</v>
      </c>
      <c r="BC52" t="s">
        <v>61</v>
      </c>
      <c r="BD52" t="s">
        <v>61</v>
      </c>
      <c r="BE52" t="s">
        <v>61</v>
      </c>
      <c r="BF52" t="s">
        <v>61</v>
      </c>
    </row>
    <row r="53" spans="1:58">
      <c r="A53" t="s">
        <v>58</v>
      </c>
      <c r="B53" t="s">
        <v>406</v>
      </c>
      <c r="C53" t="s">
        <v>407</v>
      </c>
      <c r="D53" t="s">
        <v>408</v>
      </c>
      <c r="E53" t="s">
        <v>408</v>
      </c>
      <c r="F53">
        <v>2015</v>
      </c>
      <c r="G53" t="s">
        <v>409</v>
      </c>
      <c r="H53">
        <v>35</v>
      </c>
      <c r="I53">
        <v>11</v>
      </c>
      <c r="J53" t="s">
        <v>410</v>
      </c>
      <c r="K53" t="s">
        <v>61</v>
      </c>
      <c r="L53" t="s">
        <v>411</v>
      </c>
      <c r="M53" t="s">
        <v>412</v>
      </c>
      <c r="N53" t="s">
        <v>413</v>
      </c>
      <c r="O53" t="s">
        <v>61</v>
      </c>
      <c r="Q53" t="s">
        <v>61</v>
      </c>
      <c r="R53" t="s">
        <v>61</v>
      </c>
      <c r="S53" t="s">
        <v>61</v>
      </c>
      <c r="T53" t="s">
        <v>61</v>
      </c>
      <c r="X53" t="s">
        <v>61</v>
      </c>
      <c r="Y53" t="s">
        <v>414</v>
      </c>
      <c r="Z53" t="s">
        <v>61</v>
      </c>
      <c r="AA53" t="s">
        <v>61</v>
      </c>
      <c r="AB53" t="s">
        <v>61</v>
      </c>
      <c r="AC53" t="s">
        <v>67</v>
      </c>
      <c r="AD53" t="s">
        <v>61</v>
      </c>
      <c r="AE53" t="s">
        <v>61</v>
      </c>
      <c r="AF53" t="s">
        <v>61</v>
      </c>
      <c r="AG53" t="s">
        <v>61</v>
      </c>
      <c r="AH53" t="s">
        <v>61</v>
      </c>
      <c r="AI53" t="s">
        <v>61</v>
      </c>
      <c r="AJ53" t="s">
        <v>61</v>
      </c>
      <c r="AK53" t="s">
        <v>61</v>
      </c>
      <c r="AL53" t="s">
        <v>61</v>
      </c>
      <c r="AM53" t="s">
        <v>407</v>
      </c>
      <c r="AN53" t="s">
        <v>61</v>
      </c>
      <c r="AO53" t="s">
        <v>61</v>
      </c>
      <c r="AP53" t="s">
        <v>61</v>
      </c>
      <c r="AQ53" t="s">
        <v>61</v>
      </c>
      <c r="AR53" t="s">
        <v>61</v>
      </c>
      <c r="AS53" t="s">
        <v>61</v>
      </c>
      <c r="AT53" t="s">
        <v>61</v>
      </c>
      <c r="AU53" t="s">
        <v>61</v>
      </c>
      <c r="AV53" t="s">
        <v>61</v>
      </c>
      <c r="AW53" t="s">
        <v>61</v>
      </c>
      <c r="AX53" t="s">
        <v>61</v>
      </c>
      <c r="AY53" t="s">
        <v>61</v>
      </c>
      <c r="AZ53" t="s">
        <v>61</v>
      </c>
      <c r="BA53" t="s">
        <v>61</v>
      </c>
      <c r="BB53" t="s">
        <v>61</v>
      </c>
      <c r="BC53" t="s">
        <v>61</v>
      </c>
      <c r="BD53" t="s">
        <v>61</v>
      </c>
      <c r="BE53" t="s">
        <v>61</v>
      </c>
      <c r="BF53" t="s">
        <v>61</v>
      </c>
    </row>
    <row r="54" spans="1:58">
      <c r="A54" t="s">
        <v>58</v>
      </c>
      <c r="B54" t="s">
        <v>415</v>
      </c>
      <c r="C54" t="s">
        <v>416</v>
      </c>
      <c r="D54" t="s">
        <v>417</v>
      </c>
      <c r="E54" t="s">
        <v>61</v>
      </c>
      <c r="F54">
        <v>2006</v>
      </c>
      <c r="G54" t="s">
        <v>418</v>
      </c>
      <c r="H54">
        <v>28</v>
      </c>
      <c r="I54">
        <v>4</v>
      </c>
      <c r="J54">
        <v>222</v>
      </c>
      <c r="K54">
        <v>232</v>
      </c>
      <c r="L54" t="s">
        <v>419</v>
      </c>
      <c r="M54" t="s">
        <v>420</v>
      </c>
      <c r="N54" t="s">
        <v>421</v>
      </c>
      <c r="O54" t="s">
        <v>61</v>
      </c>
      <c r="Q54" t="s">
        <v>61</v>
      </c>
      <c r="R54" t="s">
        <v>61</v>
      </c>
      <c r="S54" t="s">
        <v>61</v>
      </c>
      <c r="T54" t="s">
        <v>61</v>
      </c>
      <c r="X54" t="s">
        <v>61</v>
      </c>
      <c r="Y54" t="s">
        <v>422</v>
      </c>
      <c r="Z54" t="s">
        <v>61</v>
      </c>
      <c r="AA54" t="s">
        <v>423</v>
      </c>
      <c r="AB54">
        <v>17066238</v>
      </c>
      <c r="AC54" t="s">
        <v>67</v>
      </c>
      <c r="AD54" t="s">
        <v>61</v>
      </c>
      <c r="AE54" t="s">
        <v>61</v>
      </c>
      <c r="AF54" t="s">
        <v>61</v>
      </c>
      <c r="AG54" t="s">
        <v>424</v>
      </c>
      <c r="AH54" t="s">
        <v>61</v>
      </c>
      <c r="AI54" t="s">
        <v>61</v>
      </c>
      <c r="AJ54" t="s">
        <v>61</v>
      </c>
      <c r="AK54" t="s">
        <v>61</v>
      </c>
      <c r="AL54" t="s">
        <v>61</v>
      </c>
      <c r="AM54" t="s">
        <v>425</v>
      </c>
      <c r="AN54" t="s">
        <v>61</v>
      </c>
      <c r="AO54" t="s">
        <v>61</v>
      </c>
      <c r="AP54" t="s">
        <v>61</v>
      </c>
      <c r="AQ54" t="s">
        <v>61</v>
      </c>
      <c r="AR54" t="s">
        <v>61</v>
      </c>
      <c r="AS54" t="s">
        <v>61</v>
      </c>
      <c r="AT54" t="s">
        <v>61</v>
      </c>
      <c r="AU54" t="s">
        <v>61</v>
      </c>
      <c r="AV54" t="s">
        <v>61</v>
      </c>
      <c r="AW54" t="s">
        <v>61</v>
      </c>
      <c r="AX54" t="s">
        <v>61</v>
      </c>
      <c r="AY54" t="s">
        <v>61</v>
      </c>
      <c r="AZ54" t="s">
        <v>61</v>
      </c>
      <c r="BA54" t="s">
        <v>61</v>
      </c>
      <c r="BB54" t="s">
        <v>61</v>
      </c>
      <c r="BC54" t="s">
        <v>61</v>
      </c>
      <c r="BD54" t="s">
        <v>61</v>
      </c>
      <c r="BE54" t="s">
        <v>61</v>
      </c>
      <c r="BF54" t="s">
        <v>61</v>
      </c>
    </row>
    <row r="55" spans="1:58">
      <c r="A55" t="s">
        <v>58</v>
      </c>
      <c r="B55" t="s">
        <v>426</v>
      </c>
      <c r="C55" t="s">
        <v>427</v>
      </c>
      <c r="D55" t="s">
        <v>428</v>
      </c>
      <c r="E55" t="s">
        <v>61</v>
      </c>
      <c r="F55">
        <v>2011</v>
      </c>
      <c r="G55" t="s">
        <v>429</v>
      </c>
      <c r="H55">
        <v>24</v>
      </c>
      <c r="I55">
        <v>2</v>
      </c>
      <c r="J55">
        <v>266</v>
      </c>
      <c r="K55" t="s">
        <v>61</v>
      </c>
      <c r="L55" t="s">
        <v>430</v>
      </c>
      <c r="M55" t="s">
        <v>431</v>
      </c>
      <c r="N55" t="s">
        <v>432</v>
      </c>
      <c r="O55" t="s">
        <v>61</v>
      </c>
      <c r="Q55" t="s">
        <v>61</v>
      </c>
      <c r="R55" t="s">
        <v>61</v>
      </c>
      <c r="S55" t="s">
        <v>61</v>
      </c>
      <c r="T55" t="s">
        <v>61</v>
      </c>
      <c r="X55" t="s">
        <v>61</v>
      </c>
      <c r="Y55" t="s">
        <v>433</v>
      </c>
      <c r="Z55" t="s">
        <v>61</v>
      </c>
      <c r="AA55" t="s">
        <v>61</v>
      </c>
      <c r="AB55" t="s">
        <v>61</v>
      </c>
      <c r="AC55" t="s">
        <v>67</v>
      </c>
      <c r="AD55" t="s">
        <v>61</v>
      </c>
      <c r="AE55" t="s">
        <v>61</v>
      </c>
      <c r="AF55" t="s">
        <v>61</v>
      </c>
      <c r="AG55" t="s">
        <v>61</v>
      </c>
      <c r="AH55" t="s">
        <v>61</v>
      </c>
      <c r="AI55" t="s">
        <v>61</v>
      </c>
      <c r="AJ55" t="s">
        <v>61</v>
      </c>
      <c r="AK55" t="s">
        <v>61</v>
      </c>
      <c r="AL55" t="s">
        <v>61</v>
      </c>
      <c r="AM55" t="s">
        <v>427</v>
      </c>
      <c r="AN55" t="s">
        <v>61</v>
      </c>
      <c r="AO55" t="s">
        <v>61</v>
      </c>
      <c r="AP55" t="s">
        <v>61</v>
      </c>
      <c r="AQ55" t="s">
        <v>61</v>
      </c>
      <c r="AR55" t="s">
        <v>61</v>
      </c>
      <c r="AS55" t="s">
        <v>61</v>
      </c>
      <c r="AT55" t="s">
        <v>61</v>
      </c>
      <c r="AU55" t="s">
        <v>61</v>
      </c>
      <c r="AV55" t="s">
        <v>61</v>
      </c>
      <c r="AW55" t="s">
        <v>61</v>
      </c>
      <c r="AX55" t="s">
        <v>61</v>
      </c>
      <c r="AY55" t="s">
        <v>61</v>
      </c>
      <c r="AZ55" t="s">
        <v>61</v>
      </c>
      <c r="BA55" t="s">
        <v>61</v>
      </c>
      <c r="BB55" t="s">
        <v>61</v>
      </c>
      <c r="BC55" t="s">
        <v>61</v>
      </c>
      <c r="BD55" t="s">
        <v>61</v>
      </c>
      <c r="BE55" t="s">
        <v>61</v>
      </c>
      <c r="BF55" t="s">
        <v>61</v>
      </c>
    </row>
    <row r="56" spans="1:58">
      <c r="A56" t="s">
        <v>58</v>
      </c>
      <c r="B56" t="s">
        <v>434</v>
      </c>
      <c r="C56" t="s">
        <v>435</v>
      </c>
      <c r="D56" t="s">
        <v>436</v>
      </c>
      <c r="E56" t="s">
        <v>436</v>
      </c>
      <c r="F56">
        <v>2010</v>
      </c>
      <c r="G56" t="s">
        <v>119</v>
      </c>
      <c r="H56">
        <v>35</v>
      </c>
      <c r="I56">
        <v>7</v>
      </c>
      <c r="J56">
        <v>1485</v>
      </c>
      <c r="K56">
        <v>1499</v>
      </c>
      <c r="L56" t="s">
        <v>437</v>
      </c>
      <c r="M56" t="s">
        <v>438</v>
      </c>
      <c r="N56" t="s">
        <v>439</v>
      </c>
      <c r="O56" t="s">
        <v>61</v>
      </c>
      <c r="Q56" t="s">
        <v>61</v>
      </c>
      <c r="R56" t="s">
        <v>61</v>
      </c>
      <c r="S56" t="s">
        <v>61</v>
      </c>
      <c r="T56" t="s">
        <v>61</v>
      </c>
      <c r="X56" t="s">
        <v>61</v>
      </c>
      <c r="Y56" t="s">
        <v>440</v>
      </c>
      <c r="Z56" t="s">
        <v>61</v>
      </c>
      <c r="AA56" t="s">
        <v>441</v>
      </c>
      <c r="AB56">
        <v>20393457</v>
      </c>
      <c r="AC56" t="s">
        <v>67</v>
      </c>
      <c r="AD56" t="s">
        <v>61</v>
      </c>
      <c r="AE56" t="s">
        <v>61</v>
      </c>
      <c r="AF56" t="s">
        <v>61</v>
      </c>
      <c r="AG56" t="s">
        <v>442</v>
      </c>
      <c r="AH56" t="s">
        <v>61</v>
      </c>
      <c r="AI56" t="s">
        <v>443</v>
      </c>
      <c r="AJ56" t="s">
        <v>61</v>
      </c>
      <c r="AK56" t="s">
        <v>61</v>
      </c>
      <c r="AL56" t="s">
        <v>61</v>
      </c>
      <c r="AM56" t="s">
        <v>444</v>
      </c>
      <c r="AN56" t="s">
        <v>61</v>
      </c>
      <c r="AO56" t="s">
        <v>61</v>
      </c>
      <c r="AP56" t="s">
        <v>61</v>
      </c>
      <c r="AQ56" t="s">
        <v>61</v>
      </c>
      <c r="AR56" t="s">
        <v>61</v>
      </c>
      <c r="AS56" t="s">
        <v>61</v>
      </c>
      <c r="AT56" t="s">
        <v>61</v>
      </c>
      <c r="AU56" t="s">
        <v>61</v>
      </c>
      <c r="AV56" t="s">
        <v>61</v>
      </c>
      <c r="AW56" t="s">
        <v>61</v>
      </c>
      <c r="AX56" t="s">
        <v>61</v>
      </c>
      <c r="AY56" t="s">
        <v>61</v>
      </c>
      <c r="AZ56" t="s">
        <v>61</v>
      </c>
      <c r="BA56" t="s">
        <v>61</v>
      </c>
      <c r="BB56" t="s">
        <v>61</v>
      </c>
      <c r="BC56" t="s">
        <v>61</v>
      </c>
      <c r="BD56" t="s">
        <v>61</v>
      </c>
      <c r="BE56" t="s">
        <v>61</v>
      </c>
      <c r="BF56" t="s">
        <v>61</v>
      </c>
    </row>
    <row r="57" spans="1:58">
      <c r="A57" t="s">
        <v>58</v>
      </c>
      <c r="B57" t="s">
        <v>445</v>
      </c>
      <c r="C57" t="s">
        <v>446</v>
      </c>
      <c r="D57" t="s">
        <v>447</v>
      </c>
      <c r="E57" t="s">
        <v>61</v>
      </c>
      <c r="F57">
        <v>2000</v>
      </c>
      <c r="G57" t="s">
        <v>237</v>
      </c>
      <c r="H57">
        <v>3</v>
      </c>
      <c r="I57">
        <v>7</v>
      </c>
      <c r="J57">
        <v>743</v>
      </c>
      <c r="K57">
        <v>744</v>
      </c>
      <c r="L57" t="s">
        <v>61</v>
      </c>
      <c r="M57" t="s">
        <v>448</v>
      </c>
      <c r="N57" t="s">
        <v>449</v>
      </c>
      <c r="O57" t="s">
        <v>61</v>
      </c>
      <c r="Q57" t="s">
        <v>61</v>
      </c>
      <c r="R57" t="s">
        <v>61</v>
      </c>
      <c r="S57" t="s">
        <v>61</v>
      </c>
      <c r="T57" t="s">
        <v>61</v>
      </c>
      <c r="X57" t="s">
        <v>61</v>
      </c>
      <c r="Y57" t="s">
        <v>450</v>
      </c>
      <c r="Z57" t="s">
        <v>61</v>
      </c>
      <c r="AA57" t="s">
        <v>451</v>
      </c>
      <c r="AB57">
        <v>16080041</v>
      </c>
      <c r="AC57" t="s">
        <v>67</v>
      </c>
      <c r="AD57" t="s">
        <v>61</v>
      </c>
      <c r="AE57" t="s">
        <v>61</v>
      </c>
      <c r="AF57" t="s">
        <v>61</v>
      </c>
      <c r="AG57" t="s">
        <v>452</v>
      </c>
      <c r="AH57" t="s">
        <v>61</v>
      </c>
      <c r="AI57" t="s">
        <v>61</v>
      </c>
      <c r="AJ57" t="s">
        <v>61</v>
      </c>
      <c r="AK57" t="s">
        <v>61</v>
      </c>
      <c r="AL57" t="s">
        <v>61</v>
      </c>
      <c r="AM57" t="s">
        <v>453</v>
      </c>
      <c r="AN57" t="s">
        <v>61</v>
      </c>
      <c r="AO57" t="s">
        <v>61</v>
      </c>
      <c r="AP57" t="s">
        <v>61</v>
      </c>
      <c r="AQ57" t="s">
        <v>61</v>
      </c>
      <c r="AR57" t="s">
        <v>61</v>
      </c>
      <c r="AS57" t="s">
        <v>61</v>
      </c>
      <c r="AT57" t="s">
        <v>61</v>
      </c>
      <c r="AU57" t="s">
        <v>61</v>
      </c>
      <c r="AV57" t="s">
        <v>61</v>
      </c>
      <c r="AW57" t="s">
        <v>61</v>
      </c>
      <c r="AX57" t="s">
        <v>61</v>
      </c>
      <c r="AY57" t="s">
        <v>61</v>
      </c>
      <c r="AZ57" t="s">
        <v>61</v>
      </c>
      <c r="BA57" t="s">
        <v>61</v>
      </c>
      <c r="BB57" t="s">
        <v>61</v>
      </c>
      <c r="BC57" t="s">
        <v>61</v>
      </c>
      <c r="BD57" t="s">
        <v>61</v>
      </c>
      <c r="BE57" t="s">
        <v>61</v>
      </c>
      <c r="BF57" t="s">
        <v>61</v>
      </c>
    </row>
    <row r="58" spans="1:58">
      <c r="A58" t="s">
        <v>58</v>
      </c>
      <c r="B58" t="s">
        <v>454</v>
      </c>
      <c r="C58" t="s">
        <v>455</v>
      </c>
      <c r="D58" t="s">
        <v>456</v>
      </c>
      <c r="E58" t="s">
        <v>61</v>
      </c>
      <c r="F58">
        <v>2014</v>
      </c>
      <c r="G58" t="s">
        <v>457</v>
      </c>
      <c r="H58">
        <v>5</v>
      </c>
      <c r="I58">
        <v>2</v>
      </c>
      <c r="J58">
        <v>135</v>
      </c>
      <c r="K58">
        <v>145</v>
      </c>
      <c r="L58" t="s">
        <v>458</v>
      </c>
      <c r="M58" t="s">
        <v>459</v>
      </c>
      <c r="N58" t="s">
        <v>460</v>
      </c>
      <c r="O58" t="s">
        <v>61</v>
      </c>
      <c r="Q58" t="s">
        <v>61</v>
      </c>
      <c r="R58" t="s">
        <v>61</v>
      </c>
      <c r="S58" t="s">
        <v>61</v>
      </c>
      <c r="T58" t="s">
        <v>61</v>
      </c>
      <c r="X58" t="s">
        <v>61</v>
      </c>
      <c r="Y58" t="s">
        <v>461</v>
      </c>
      <c r="Z58" t="s">
        <v>61</v>
      </c>
      <c r="AA58" t="s">
        <v>61</v>
      </c>
      <c r="AB58" t="s">
        <v>462</v>
      </c>
      <c r="AC58" t="s">
        <v>67</v>
      </c>
      <c r="AD58" t="s">
        <v>61</v>
      </c>
      <c r="AE58" t="s">
        <v>61</v>
      </c>
      <c r="AF58" t="s">
        <v>61</v>
      </c>
      <c r="AG58" t="s">
        <v>61</v>
      </c>
      <c r="AH58" t="s">
        <v>61</v>
      </c>
      <c r="AI58" t="s">
        <v>61</v>
      </c>
      <c r="AJ58" t="s">
        <v>61</v>
      </c>
      <c r="AK58" t="s">
        <v>61</v>
      </c>
      <c r="AL58" t="s">
        <v>61</v>
      </c>
      <c r="AM58" t="s">
        <v>455</v>
      </c>
      <c r="AN58" t="s">
        <v>61</v>
      </c>
      <c r="AO58" t="s">
        <v>61</v>
      </c>
      <c r="AP58" t="s">
        <v>61</v>
      </c>
      <c r="AQ58" t="s">
        <v>61</v>
      </c>
      <c r="AR58" t="s">
        <v>61</v>
      </c>
      <c r="AS58" t="s">
        <v>61</v>
      </c>
      <c r="AT58" t="s">
        <v>61</v>
      </c>
      <c r="AU58" t="s">
        <v>61</v>
      </c>
      <c r="AV58" t="s">
        <v>61</v>
      </c>
      <c r="AW58" t="s">
        <v>61</v>
      </c>
      <c r="AX58" t="s">
        <v>61</v>
      </c>
      <c r="AY58" t="s">
        <v>61</v>
      </c>
      <c r="AZ58" t="s">
        <v>61</v>
      </c>
      <c r="BA58" t="s">
        <v>61</v>
      </c>
      <c r="BB58" t="s">
        <v>61</v>
      </c>
      <c r="BC58" t="s">
        <v>61</v>
      </c>
      <c r="BD58" t="s">
        <v>61</v>
      </c>
      <c r="BE58" t="s">
        <v>61</v>
      </c>
      <c r="BF58" t="s">
        <v>61</v>
      </c>
    </row>
    <row r="59" spans="1:58">
      <c r="A59" t="s">
        <v>58</v>
      </c>
      <c r="B59" t="s">
        <v>463</v>
      </c>
      <c r="C59" t="s">
        <v>464</v>
      </c>
      <c r="D59" t="s">
        <v>153</v>
      </c>
      <c r="E59" t="s">
        <v>61</v>
      </c>
      <c r="F59">
        <v>2012</v>
      </c>
      <c r="G59" t="s">
        <v>154</v>
      </c>
      <c r="H59">
        <v>52</v>
      </c>
      <c r="I59">
        <v>4</v>
      </c>
      <c r="J59">
        <v>515</v>
      </c>
      <c r="K59" t="s">
        <v>465</v>
      </c>
      <c r="L59" t="s">
        <v>466</v>
      </c>
      <c r="M59" t="s">
        <v>467</v>
      </c>
      <c r="N59" t="s">
        <v>468</v>
      </c>
      <c r="O59" t="s">
        <v>61</v>
      </c>
      <c r="Q59" t="s">
        <v>61</v>
      </c>
      <c r="R59" t="s">
        <v>61</v>
      </c>
      <c r="S59" t="s">
        <v>61</v>
      </c>
      <c r="T59" t="s">
        <v>61</v>
      </c>
      <c r="X59" t="s">
        <v>61</v>
      </c>
      <c r="Y59" t="s">
        <v>157</v>
      </c>
      <c r="Z59" t="s">
        <v>61</v>
      </c>
      <c r="AA59" t="s">
        <v>469</v>
      </c>
      <c r="AB59">
        <v>22825232</v>
      </c>
      <c r="AC59" t="s">
        <v>67</v>
      </c>
      <c r="AD59" t="s">
        <v>61</v>
      </c>
      <c r="AE59" t="s">
        <v>61</v>
      </c>
      <c r="AF59" t="s">
        <v>61</v>
      </c>
      <c r="AG59" t="s">
        <v>470</v>
      </c>
      <c r="AH59" t="s">
        <v>61</v>
      </c>
      <c r="AI59" t="s">
        <v>471</v>
      </c>
      <c r="AJ59" t="s">
        <v>61</v>
      </c>
      <c r="AK59" t="s">
        <v>61</v>
      </c>
      <c r="AL59" t="s">
        <v>61</v>
      </c>
      <c r="AM59" t="s">
        <v>472</v>
      </c>
      <c r="AN59" t="s">
        <v>61</v>
      </c>
      <c r="AO59" t="s">
        <v>61</v>
      </c>
      <c r="AP59" t="s">
        <v>61</v>
      </c>
      <c r="AQ59" t="s">
        <v>61</v>
      </c>
      <c r="AR59" t="s">
        <v>61</v>
      </c>
      <c r="AS59" t="s">
        <v>61</v>
      </c>
      <c r="AT59" t="s">
        <v>61</v>
      </c>
      <c r="AU59" t="s">
        <v>61</v>
      </c>
      <c r="AV59" t="s">
        <v>61</v>
      </c>
      <c r="AW59" t="s">
        <v>61</v>
      </c>
      <c r="AX59" t="s">
        <v>61</v>
      </c>
      <c r="AY59" t="s">
        <v>61</v>
      </c>
      <c r="AZ59" t="s">
        <v>61</v>
      </c>
      <c r="BA59" t="s">
        <v>61</v>
      </c>
      <c r="BB59" t="s">
        <v>61</v>
      </c>
      <c r="BC59" t="s">
        <v>61</v>
      </c>
      <c r="BD59" t="s">
        <v>61</v>
      </c>
      <c r="BE59" t="s">
        <v>61</v>
      </c>
      <c r="BF59" t="s">
        <v>61</v>
      </c>
    </row>
    <row r="60" spans="1:58">
      <c r="A60" t="s">
        <v>58</v>
      </c>
      <c r="B60" t="s">
        <v>473</v>
      </c>
      <c r="C60" t="s">
        <v>474</v>
      </c>
      <c r="D60" t="s">
        <v>475</v>
      </c>
      <c r="E60" t="s">
        <v>61</v>
      </c>
      <c r="F60">
        <v>2013</v>
      </c>
      <c r="G60" t="s">
        <v>476</v>
      </c>
      <c r="H60">
        <v>35</v>
      </c>
      <c r="I60">
        <v>6</v>
      </c>
      <c r="J60">
        <v>1322</v>
      </c>
      <c r="K60">
        <v>1323</v>
      </c>
      <c r="L60" t="s">
        <v>477</v>
      </c>
      <c r="M60" t="s">
        <v>478</v>
      </c>
      <c r="N60" t="s">
        <v>479</v>
      </c>
      <c r="O60" t="s">
        <v>61</v>
      </c>
      <c r="Q60" t="s">
        <v>61</v>
      </c>
      <c r="R60" t="s">
        <v>61</v>
      </c>
      <c r="S60" t="s">
        <v>61</v>
      </c>
      <c r="T60" t="s">
        <v>61</v>
      </c>
      <c r="X60" t="s">
        <v>61</v>
      </c>
      <c r="Y60" t="s">
        <v>308</v>
      </c>
      <c r="Z60" t="s">
        <v>61</v>
      </c>
      <c r="AA60" t="s">
        <v>61</v>
      </c>
      <c r="AB60" t="s">
        <v>61</v>
      </c>
      <c r="AC60" t="s">
        <v>67</v>
      </c>
      <c r="AD60" t="s">
        <v>61</v>
      </c>
      <c r="AE60" t="s">
        <v>61</v>
      </c>
      <c r="AF60" t="s">
        <v>61</v>
      </c>
      <c r="AG60" t="s">
        <v>61</v>
      </c>
      <c r="AH60" t="s">
        <v>61</v>
      </c>
      <c r="AI60" t="s">
        <v>61</v>
      </c>
      <c r="AJ60" t="s">
        <v>61</v>
      </c>
      <c r="AK60" t="s">
        <v>61</v>
      </c>
      <c r="AL60" t="s">
        <v>61</v>
      </c>
      <c r="AM60" t="s">
        <v>474</v>
      </c>
      <c r="AN60" t="s">
        <v>61</v>
      </c>
      <c r="AO60" t="s">
        <v>61</v>
      </c>
      <c r="AP60" t="s">
        <v>61</v>
      </c>
      <c r="AQ60" t="s">
        <v>61</v>
      </c>
      <c r="AR60" t="s">
        <v>61</v>
      </c>
      <c r="AS60" t="s">
        <v>61</v>
      </c>
      <c r="AT60" t="s">
        <v>61</v>
      </c>
      <c r="AU60" t="s">
        <v>61</v>
      </c>
      <c r="AV60" t="s">
        <v>61</v>
      </c>
      <c r="AW60" t="s">
        <v>61</v>
      </c>
      <c r="AX60" t="s">
        <v>61</v>
      </c>
      <c r="AY60" t="s">
        <v>61</v>
      </c>
      <c r="AZ60" t="s">
        <v>61</v>
      </c>
      <c r="BA60" t="s">
        <v>61</v>
      </c>
      <c r="BB60" t="s">
        <v>61</v>
      </c>
      <c r="BC60" t="s">
        <v>61</v>
      </c>
      <c r="BD60" t="s">
        <v>61</v>
      </c>
      <c r="BE60" t="s">
        <v>61</v>
      </c>
      <c r="BF60" t="s">
        <v>61</v>
      </c>
    </row>
    <row r="61" spans="1:58">
      <c r="A61" t="s">
        <v>58</v>
      </c>
      <c r="B61" t="s">
        <v>480</v>
      </c>
      <c r="C61" t="s">
        <v>481</v>
      </c>
      <c r="D61" t="s">
        <v>482</v>
      </c>
      <c r="E61" t="s">
        <v>61</v>
      </c>
      <c r="F61">
        <v>2007</v>
      </c>
      <c r="G61" s="1">
        <v>42651</v>
      </c>
      <c r="H61">
        <v>90</v>
      </c>
      <c r="I61" s="1">
        <v>42403</v>
      </c>
      <c r="J61">
        <v>304</v>
      </c>
      <c r="K61">
        <v>311</v>
      </c>
      <c r="L61" t="s">
        <v>483</v>
      </c>
      <c r="M61" t="s">
        <v>484</v>
      </c>
      <c r="N61" t="s">
        <v>485</v>
      </c>
      <c r="O61" t="s">
        <v>61</v>
      </c>
      <c r="Q61" t="s">
        <v>61</v>
      </c>
      <c r="R61" t="s">
        <v>61</v>
      </c>
      <c r="S61" t="s">
        <v>61</v>
      </c>
      <c r="T61" t="s">
        <v>61</v>
      </c>
      <c r="X61" t="s">
        <v>61</v>
      </c>
      <c r="Y61" t="s">
        <v>486</v>
      </c>
      <c r="Z61" t="s">
        <v>61</v>
      </c>
      <c r="AA61" t="s">
        <v>487</v>
      </c>
      <c r="AB61">
        <v>17944023</v>
      </c>
      <c r="AC61" t="s">
        <v>67</v>
      </c>
      <c r="AD61" t="s">
        <v>61</v>
      </c>
      <c r="AE61" t="s">
        <v>61</v>
      </c>
      <c r="AF61" t="s">
        <v>61</v>
      </c>
      <c r="AG61" t="s">
        <v>488</v>
      </c>
      <c r="AH61" t="s">
        <v>61</v>
      </c>
      <c r="AI61" t="s">
        <v>61</v>
      </c>
      <c r="AJ61" t="s">
        <v>61</v>
      </c>
      <c r="AK61" t="s">
        <v>61</v>
      </c>
      <c r="AL61" t="s">
        <v>61</v>
      </c>
      <c r="AM61" t="s">
        <v>489</v>
      </c>
      <c r="AN61" t="s">
        <v>61</v>
      </c>
      <c r="AO61" t="s">
        <v>61</v>
      </c>
      <c r="AP61" t="s">
        <v>61</v>
      </c>
      <c r="AQ61" t="s">
        <v>61</v>
      </c>
      <c r="AR61" t="s">
        <v>61</v>
      </c>
      <c r="AS61" t="s">
        <v>61</v>
      </c>
      <c r="AT61" t="s">
        <v>61</v>
      </c>
      <c r="AU61" t="s">
        <v>61</v>
      </c>
      <c r="AV61" t="s">
        <v>61</v>
      </c>
      <c r="AW61" t="s">
        <v>61</v>
      </c>
      <c r="AX61" t="s">
        <v>61</v>
      </c>
      <c r="AY61" t="s">
        <v>61</v>
      </c>
      <c r="AZ61" t="s">
        <v>61</v>
      </c>
      <c r="BA61" t="s">
        <v>61</v>
      </c>
      <c r="BB61" t="s">
        <v>61</v>
      </c>
      <c r="BC61" t="s">
        <v>61</v>
      </c>
      <c r="BD61" t="s">
        <v>61</v>
      </c>
      <c r="BE61" t="s">
        <v>61</v>
      </c>
      <c r="BF61" t="s">
        <v>61</v>
      </c>
    </row>
    <row r="62" spans="1:58">
      <c r="A62" t="s">
        <v>58</v>
      </c>
      <c r="B62" t="s">
        <v>490</v>
      </c>
      <c r="C62" t="s">
        <v>491</v>
      </c>
      <c r="D62" t="s">
        <v>492</v>
      </c>
      <c r="E62" t="s">
        <v>61</v>
      </c>
      <c r="F62">
        <v>2014</v>
      </c>
      <c r="G62" t="s">
        <v>237</v>
      </c>
      <c r="H62">
        <v>6</v>
      </c>
      <c r="I62">
        <v>4</v>
      </c>
      <c r="J62">
        <v>29</v>
      </c>
      <c r="K62">
        <v>34</v>
      </c>
      <c r="L62" t="s">
        <v>61</v>
      </c>
      <c r="M62" t="s">
        <v>493</v>
      </c>
      <c r="N62" t="s">
        <v>494</v>
      </c>
      <c r="O62" t="s">
        <v>61</v>
      </c>
      <c r="Q62" t="s">
        <v>61</v>
      </c>
      <c r="R62" t="s">
        <v>61</v>
      </c>
      <c r="S62" t="s">
        <v>61</v>
      </c>
      <c r="T62" t="s">
        <v>61</v>
      </c>
      <c r="X62" t="s">
        <v>61</v>
      </c>
      <c r="Y62" t="s">
        <v>495</v>
      </c>
      <c r="Z62" t="s">
        <v>61</v>
      </c>
      <c r="AA62" t="s">
        <v>496</v>
      </c>
      <c r="AB62">
        <v>25214729</v>
      </c>
      <c r="AC62" t="s">
        <v>67</v>
      </c>
      <c r="AD62" t="s">
        <v>61</v>
      </c>
      <c r="AE62" t="s">
        <v>61</v>
      </c>
      <c r="AF62" t="s">
        <v>61</v>
      </c>
      <c r="AG62" t="s">
        <v>497</v>
      </c>
      <c r="AH62" t="s">
        <v>61</v>
      </c>
      <c r="AI62" t="s">
        <v>61</v>
      </c>
      <c r="AJ62" t="s">
        <v>61</v>
      </c>
      <c r="AK62" t="s">
        <v>61</v>
      </c>
      <c r="AL62" t="s">
        <v>61</v>
      </c>
      <c r="AM62" t="s">
        <v>498</v>
      </c>
      <c r="AN62" t="s">
        <v>61</v>
      </c>
      <c r="AO62" t="s">
        <v>61</v>
      </c>
      <c r="AP62" t="s">
        <v>61</v>
      </c>
      <c r="AQ62" t="s">
        <v>61</v>
      </c>
      <c r="AR62" t="s">
        <v>61</v>
      </c>
      <c r="AS62" t="s">
        <v>61</v>
      </c>
      <c r="AT62" t="s">
        <v>61</v>
      </c>
      <c r="AU62" t="s">
        <v>61</v>
      </c>
      <c r="AV62" t="s">
        <v>61</v>
      </c>
      <c r="AW62" t="s">
        <v>61</v>
      </c>
      <c r="AX62" t="s">
        <v>61</v>
      </c>
      <c r="AY62" t="s">
        <v>61</v>
      </c>
      <c r="AZ62" t="s">
        <v>61</v>
      </c>
      <c r="BA62" t="s">
        <v>61</v>
      </c>
      <c r="BB62" t="s">
        <v>61</v>
      </c>
      <c r="BC62" t="s">
        <v>61</v>
      </c>
      <c r="BD62" t="s">
        <v>61</v>
      </c>
      <c r="BE62" t="s">
        <v>61</v>
      </c>
      <c r="BF62" t="s">
        <v>61</v>
      </c>
    </row>
    <row r="63" spans="1:58">
      <c r="A63" t="s">
        <v>58</v>
      </c>
      <c r="B63" t="s">
        <v>499</v>
      </c>
      <c r="C63" t="s">
        <v>500</v>
      </c>
      <c r="D63" t="s">
        <v>501</v>
      </c>
      <c r="E63" t="s">
        <v>61</v>
      </c>
      <c r="F63">
        <v>2014</v>
      </c>
      <c r="G63" t="s">
        <v>280</v>
      </c>
      <c r="H63">
        <v>4</v>
      </c>
      <c r="I63" t="s">
        <v>61</v>
      </c>
      <c r="J63" t="s">
        <v>502</v>
      </c>
      <c r="K63">
        <v>21</v>
      </c>
      <c r="L63" t="s">
        <v>61</v>
      </c>
      <c r="M63" t="s">
        <v>503</v>
      </c>
      <c r="N63" t="s">
        <v>504</v>
      </c>
      <c r="O63" t="s">
        <v>61</v>
      </c>
      <c r="Q63" t="s">
        <v>61</v>
      </c>
      <c r="R63" t="s">
        <v>61</v>
      </c>
      <c r="S63" t="s">
        <v>61</v>
      </c>
      <c r="T63" t="s">
        <v>61</v>
      </c>
      <c r="X63" t="s">
        <v>61</v>
      </c>
      <c r="Y63" t="s">
        <v>505</v>
      </c>
      <c r="Z63" t="s">
        <v>61</v>
      </c>
      <c r="AA63" t="s">
        <v>506</v>
      </c>
      <c r="AB63">
        <v>25558451</v>
      </c>
      <c r="AC63" t="s">
        <v>67</v>
      </c>
      <c r="AD63" t="s">
        <v>61</v>
      </c>
      <c r="AE63" t="s">
        <v>61</v>
      </c>
      <c r="AF63" t="s">
        <v>61</v>
      </c>
      <c r="AG63" t="s">
        <v>507</v>
      </c>
      <c r="AH63" t="s">
        <v>61</v>
      </c>
      <c r="AI63" t="s">
        <v>508</v>
      </c>
      <c r="AJ63" t="s">
        <v>61</v>
      </c>
      <c r="AK63" t="s">
        <v>61</v>
      </c>
      <c r="AL63" t="s">
        <v>61</v>
      </c>
      <c r="AM63" t="s">
        <v>509</v>
      </c>
      <c r="AN63" t="s">
        <v>61</v>
      </c>
      <c r="AO63" t="s">
        <v>61</v>
      </c>
      <c r="AP63" t="s">
        <v>61</v>
      </c>
      <c r="AQ63" t="s">
        <v>61</v>
      </c>
      <c r="AR63" t="s">
        <v>61</v>
      </c>
      <c r="AS63" t="s">
        <v>61</v>
      </c>
      <c r="AT63" t="s">
        <v>61</v>
      </c>
      <c r="AU63" t="s">
        <v>61</v>
      </c>
      <c r="AV63" t="s">
        <v>61</v>
      </c>
      <c r="AW63" t="s">
        <v>61</v>
      </c>
      <c r="AX63" t="s">
        <v>61</v>
      </c>
      <c r="AY63" t="s">
        <v>61</v>
      </c>
      <c r="AZ63" t="s">
        <v>61</v>
      </c>
      <c r="BA63" t="s">
        <v>61</v>
      </c>
      <c r="BB63" t="s">
        <v>61</v>
      </c>
      <c r="BC63" t="s">
        <v>61</v>
      </c>
      <c r="BD63" t="s">
        <v>61</v>
      </c>
      <c r="BE63" t="s">
        <v>61</v>
      </c>
      <c r="BF63" t="s">
        <v>61</v>
      </c>
    </row>
    <row r="64" spans="1:58">
      <c r="A64" t="s">
        <v>58</v>
      </c>
      <c r="B64" t="s">
        <v>510</v>
      </c>
      <c r="C64" t="s">
        <v>511</v>
      </c>
      <c r="D64" t="s">
        <v>373</v>
      </c>
      <c r="E64" t="s">
        <v>61</v>
      </c>
      <c r="F64">
        <v>2013</v>
      </c>
      <c r="G64" t="s">
        <v>61</v>
      </c>
      <c r="H64">
        <v>12</v>
      </c>
      <c r="I64">
        <v>1</v>
      </c>
      <c r="J64">
        <v>175</v>
      </c>
      <c r="K64">
        <v>184</v>
      </c>
      <c r="L64" t="s">
        <v>512</v>
      </c>
      <c r="M64" t="s">
        <v>513</v>
      </c>
      <c r="N64" t="s">
        <v>514</v>
      </c>
      <c r="O64" t="s">
        <v>61</v>
      </c>
      <c r="Q64" t="s">
        <v>61</v>
      </c>
      <c r="R64" t="s">
        <v>61</v>
      </c>
      <c r="S64" t="s">
        <v>61</v>
      </c>
      <c r="T64" t="s">
        <v>61</v>
      </c>
      <c r="X64" t="s">
        <v>61</v>
      </c>
      <c r="Y64" t="s">
        <v>377</v>
      </c>
      <c r="Z64" t="s">
        <v>61</v>
      </c>
      <c r="AA64" t="s">
        <v>61</v>
      </c>
      <c r="AB64">
        <v>2013149506</v>
      </c>
      <c r="AC64" t="s">
        <v>67</v>
      </c>
      <c r="AD64" t="s">
        <v>61</v>
      </c>
      <c r="AE64" t="s">
        <v>61</v>
      </c>
      <c r="AF64" t="s">
        <v>61</v>
      </c>
      <c r="AG64" t="s">
        <v>61</v>
      </c>
      <c r="AH64" t="s">
        <v>61</v>
      </c>
      <c r="AI64" t="s">
        <v>61</v>
      </c>
      <c r="AJ64" t="s">
        <v>61</v>
      </c>
      <c r="AK64" t="s">
        <v>61</v>
      </c>
      <c r="AL64" t="s">
        <v>61</v>
      </c>
      <c r="AM64" t="s">
        <v>511</v>
      </c>
      <c r="AN64" t="s">
        <v>61</v>
      </c>
      <c r="AO64" t="s">
        <v>61</v>
      </c>
      <c r="AP64" t="s">
        <v>61</v>
      </c>
      <c r="AQ64" t="s">
        <v>61</v>
      </c>
      <c r="AR64" t="s">
        <v>61</v>
      </c>
      <c r="AS64" t="s">
        <v>61</v>
      </c>
      <c r="AT64" t="s">
        <v>61</v>
      </c>
      <c r="AU64" t="s">
        <v>61</v>
      </c>
      <c r="AV64" t="s">
        <v>61</v>
      </c>
      <c r="AW64" t="s">
        <v>61</v>
      </c>
      <c r="AX64" t="s">
        <v>61</v>
      </c>
      <c r="AY64" t="s">
        <v>61</v>
      </c>
      <c r="AZ64" t="s">
        <v>61</v>
      </c>
      <c r="BA64" t="s">
        <v>61</v>
      </c>
      <c r="BB64" t="s">
        <v>61</v>
      </c>
      <c r="BC64" t="s">
        <v>61</v>
      </c>
      <c r="BD64" t="s">
        <v>61</v>
      </c>
      <c r="BE64" t="s">
        <v>61</v>
      </c>
      <c r="BF64" t="s">
        <v>61</v>
      </c>
    </row>
    <row r="65" spans="1:58">
      <c r="A65" t="s">
        <v>58</v>
      </c>
      <c r="B65" t="s">
        <v>515</v>
      </c>
      <c r="C65" t="s">
        <v>516</v>
      </c>
      <c r="D65" t="s">
        <v>517</v>
      </c>
      <c r="E65" t="s">
        <v>61</v>
      </c>
      <c r="F65">
        <v>2015</v>
      </c>
      <c r="G65" t="s">
        <v>61</v>
      </c>
      <c r="H65" t="s">
        <v>518</v>
      </c>
      <c r="I65" t="s">
        <v>61</v>
      </c>
      <c r="J65" t="s">
        <v>61</v>
      </c>
      <c r="K65" t="s">
        <v>61</v>
      </c>
      <c r="L65" t="s">
        <v>519</v>
      </c>
      <c r="M65" t="s">
        <v>520</v>
      </c>
      <c r="N65" t="s">
        <v>521</v>
      </c>
      <c r="O65" t="s">
        <v>61</v>
      </c>
      <c r="Q65" t="s">
        <v>61</v>
      </c>
      <c r="R65" t="s">
        <v>61</v>
      </c>
      <c r="S65" t="s">
        <v>61</v>
      </c>
      <c r="T65" t="s">
        <v>61</v>
      </c>
      <c r="X65" t="s">
        <v>61</v>
      </c>
      <c r="Y65" t="s">
        <v>522</v>
      </c>
      <c r="Z65" t="s">
        <v>61</v>
      </c>
      <c r="AA65" t="s">
        <v>61</v>
      </c>
      <c r="AB65" t="s">
        <v>61</v>
      </c>
      <c r="AC65" t="s">
        <v>67</v>
      </c>
      <c r="AD65" t="s">
        <v>61</v>
      </c>
      <c r="AE65" t="s">
        <v>61</v>
      </c>
      <c r="AF65" t="s">
        <v>61</v>
      </c>
      <c r="AG65" t="s">
        <v>61</v>
      </c>
      <c r="AH65" t="s">
        <v>61</v>
      </c>
      <c r="AI65" t="s">
        <v>61</v>
      </c>
      <c r="AJ65" t="s">
        <v>61</v>
      </c>
      <c r="AK65" t="s">
        <v>61</v>
      </c>
      <c r="AL65" t="s">
        <v>61</v>
      </c>
      <c r="AM65" t="s">
        <v>516</v>
      </c>
      <c r="AN65" t="s">
        <v>61</v>
      </c>
      <c r="AO65" t="s">
        <v>61</v>
      </c>
      <c r="AP65" t="s">
        <v>61</v>
      </c>
      <c r="AQ65" t="s">
        <v>61</v>
      </c>
      <c r="AR65" t="s">
        <v>61</v>
      </c>
      <c r="AS65" t="s">
        <v>61</v>
      </c>
      <c r="AT65" t="s">
        <v>61</v>
      </c>
      <c r="AU65" t="s">
        <v>61</v>
      </c>
      <c r="AV65" t="s">
        <v>61</v>
      </c>
      <c r="AW65" t="s">
        <v>61</v>
      </c>
      <c r="AX65" t="s">
        <v>61</v>
      </c>
      <c r="AY65" t="s">
        <v>61</v>
      </c>
      <c r="AZ65" t="s">
        <v>61</v>
      </c>
      <c r="BA65" t="s">
        <v>61</v>
      </c>
      <c r="BB65" t="s">
        <v>61</v>
      </c>
      <c r="BC65" t="s">
        <v>61</v>
      </c>
      <c r="BD65" t="s">
        <v>61</v>
      </c>
      <c r="BE65" t="s">
        <v>61</v>
      </c>
      <c r="BF65" t="s">
        <v>61</v>
      </c>
    </row>
    <row r="66" spans="1:58">
      <c r="A66" t="s">
        <v>58</v>
      </c>
      <c r="B66" t="s">
        <v>523</v>
      </c>
      <c r="C66" t="s">
        <v>524</v>
      </c>
      <c r="D66" t="s">
        <v>525</v>
      </c>
      <c r="E66" t="s">
        <v>526</v>
      </c>
      <c r="F66">
        <v>2012</v>
      </c>
      <c r="G66" t="s">
        <v>391</v>
      </c>
      <c r="H66">
        <v>15</v>
      </c>
      <c r="I66">
        <v>3</v>
      </c>
      <c r="J66">
        <v>317</v>
      </c>
      <c r="K66">
        <v>321</v>
      </c>
      <c r="L66" t="s">
        <v>527</v>
      </c>
      <c r="M66" t="s">
        <v>528</v>
      </c>
      <c r="N66" t="s">
        <v>529</v>
      </c>
      <c r="O66" t="s">
        <v>61</v>
      </c>
      <c r="Q66" t="s">
        <v>61</v>
      </c>
      <c r="R66" t="s">
        <v>61</v>
      </c>
      <c r="S66" t="s">
        <v>61</v>
      </c>
      <c r="T66" t="s">
        <v>61</v>
      </c>
      <c r="X66" t="s">
        <v>61</v>
      </c>
      <c r="Y66" t="s">
        <v>530</v>
      </c>
      <c r="Z66" t="s">
        <v>61</v>
      </c>
      <c r="AA66" t="s">
        <v>531</v>
      </c>
      <c r="AB66">
        <v>22339286</v>
      </c>
      <c r="AC66" t="s">
        <v>67</v>
      </c>
      <c r="AD66" t="s">
        <v>61</v>
      </c>
      <c r="AE66" t="s">
        <v>61</v>
      </c>
      <c r="AF66" t="s">
        <v>61</v>
      </c>
      <c r="AG66" t="s">
        <v>532</v>
      </c>
      <c r="AH66" t="s">
        <v>61</v>
      </c>
      <c r="AI66" t="s">
        <v>533</v>
      </c>
      <c r="AJ66" t="s">
        <v>61</v>
      </c>
      <c r="AK66" t="s">
        <v>61</v>
      </c>
      <c r="AL66" t="s">
        <v>61</v>
      </c>
      <c r="AM66" t="s">
        <v>534</v>
      </c>
      <c r="AN66" t="s">
        <v>61</v>
      </c>
      <c r="AO66" t="s">
        <v>61</v>
      </c>
      <c r="AP66" t="s">
        <v>61</v>
      </c>
      <c r="AQ66" t="s">
        <v>61</v>
      </c>
      <c r="AR66" t="s">
        <v>61</v>
      </c>
      <c r="AS66" t="s">
        <v>61</v>
      </c>
      <c r="AT66" t="s">
        <v>61</v>
      </c>
      <c r="AU66" t="s">
        <v>61</v>
      </c>
      <c r="AV66" t="s">
        <v>61</v>
      </c>
      <c r="AW66" t="s">
        <v>61</v>
      </c>
      <c r="AX66" t="s">
        <v>61</v>
      </c>
      <c r="AY66" t="s">
        <v>61</v>
      </c>
      <c r="AZ66" t="s">
        <v>61</v>
      </c>
      <c r="BA66" t="s">
        <v>61</v>
      </c>
      <c r="BB66" t="s">
        <v>61</v>
      </c>
      <c r="BC66" t="s">
        <v>61</v>
      </c>
      <c r="BD66" t="s">
        <v>61</v>
      </c>
      <c r="BE66" t="s">
        <v>61</v>
      </c>
      <c r="BF66" t="s">
        <v>61</v>
      </c>
    </row>
    <row r="67" spans="1:58">
      <c r="A67" t="s">
        <v>58</v>
      </c>
      <c r="B67" t="s">
        <v>535</v>
      </c>
      <c r="C67" t="s">
        <v>536</v>
      </c>
      <c r="D67" t="s">
        <v>537</v>
      </c>
      <c r="E67" t="s">
        <v>61</v>
      </c>
      <c r="F67">
        <v>2012</v>
      </c>
      <c r="G67" t="s">
        <v>538</v>
      </c>
      <c r="H67">
        <v>17</v>
      </c>
      <c r="I67">
        <v>3</v>
      </c>
      <c r="J67">
        <v>757</v>
      </c>
      <c r="K67">
        <v>764</v>
      </c>
      <c r="L67" t="s">
        <v>539</v>
      </c>
      <c r="M67" t="s">
        <v>540</v>
      </c>
      <c r="N67" t="s">
        <v>541</v>
      </c>
      <c r="O67" t="s">
        <v>61</v>
      </c>
      <c r="Q67" t="s">
        <v>61</v>
      </c>
      <c r="R67" t="s">
        <v>61</v>
      </c>
      <c r="S67" t="s">
        <v>61</v>
      </c>
      <c r="T67" t="s">
        <v>61</v>
      </c>
      <c r="X67" t="s">
        <v>61</v>
      </c>
      <c r="Y67" t="s">
        <v>542</v>
      </c>
      <c r="Z67" t="s">
        <v>61</v>
      </c>
      <c r="AA67" t="s">
        <v>61</v>
      </c>
      <c r="AB67" t="s">
        <v>61</v>
      </c>
      <c r="AC67" t="s">
        <v>543</v>
      </c>
      <c r="AD67" t="s">
        <v>61</v>
      </c>
      <c r="AE67" t="s">
        <v>61</v>
      </c>
      <c r="AF67" t="s">
        <v>61</v>
      </c>
      <c r="AG67" t="s">
        <v>544</v>
      </c>
      <c r="AH67" t="s">
        <v>61</v>
      </c>
      <c r="AI67" t="s">
        <v>61</v>
      </c>
      <c r="AJ67" t="s">
        <v>61</v>
      </c>
      <c r="AK67" t="s">
        <v>61</v>
      </c>
      <c r="AL67" t="s">
        <v>61</v>
      </c>
      <c r="AM67" t="s">
        <v>545</v>
      </c>
      <c r="AN67" t="s">
        <v>61</v>
      </c>
      <c r="AO67" t="s">
        <v>61</v>
      </c>
      <c r="AP67" t="s">
        <v>61</v>
      </c>
      <c r="AQ67" t="s">
        <v>61</v>
      </c>
      <c r="AR67" t="s">
        <v>61</v>
      </c>
      <c r="AS67" t="s">
        <v>61</v>
      </c>
      <c r="AT67" t="s">
        <v>61</v>
      </c>
      <c r="AU67" t="s">
        <v>61</v>
      </c>
      <c r="AV67" t="s">
        <v>61</v>
      </c>
      <c r="AW67" t="s">
        <v>61</v>
      </c>
      <c r="AX67" t="s">
        <v>61</v>
      </c>
      <c r="AY67" t="s">
        <v>61</v>
      </c>
      <c r="AZ67" t="s">
        <v>61</v>
      </c>
      <c r="BA67" t="s">
        <v>61</v>
      </c>
      <c r="BB67" t="s">
        <v>61</v>
      </c>
      <c r="BC67" t="s">
        <v>61</v>
      </c>
      <c r="BD67" t="s">
        <v>61</v>
      </c>
      <c r="BE67" t="s">
        <v>61</v>
      </c>
      <c r="BF67" t="s">
        <v>61</v>
      </c>
    </row>
    <row r="68" spans="1:58">
      <c r="A68" t="s">
        <v>58</v>
      </c>
      <c r="B68" t="s">
        <v>546</v>
      </c>
      <c r="C68" t="s">
        <v>547</v>
      </c>
      <c r="D68" t="s">
        <v>548</v>
      </c>
      <c r="E68" t="s">
        <v>61</v>
      </c>
      <c r="F68">
        <v>2008</v>
      </c>
      <c r="G68" t="s">
        <v>129</v>
      </c>
      <c r="H68">
        <v>13</v>
      </c>
      <c r="I68">
        <v>4</v>
      </c>
      <c r="J68">
        <v>412</v>
      </c>
      <c r="K68">
        <v>420</v>
      </c>
      <c r="L68" t="s">
        <v>61</v>
      </c>
      <c r="M68" t="s">
        <v>549</v>
      </c>
      <c r="N68" t="s">
        <v>550</v>
      </c>
      <c r="O68" t="s">
        <v>61</v>
      </c>
      <c r="Q68" t="s">
        <v>61</v>
      </c>
      <c r="R68" t="s">
        <v>61</v>
      </c>
      <c r="S68" t="s">
        <v>61</v>
      </c>
      <c r="T68" t="s">
        <v>61</v>
      </c>
      <c r="X68" t="s">
        <v>61</v>
      </c>
      <c r="Y68" t="s">
        <v>551</v>
      </c>
      <c r="Z68" t="s">
        <v>61</v>
      </c>
      <c r="AA68" t="s">
        <v>552</v>
      </c>
      <c r="AB68">
        <v>21063372</v>
      </c>
      <c r="AC68" t="s">
        <v>67</v>
      </c>
      <c r="AD68" t="s">
        <v>61</v>
      </c>
      <c r="AE68" t="s">
        <v>61</v>
      </c>
      <c r="AF68" t="s">
        <v>61</v>
      </c>
      <c r="AG68" t="s">
        <v>553</v>
      </c>
      <c r="AH68" t="s">
        <v>61</v>
      </c>
      <c r="AI68" t="s">
        <v>61</v>
      </c>
      <c r="AJ68" t="s">
        <v>61</v>
      </c>
      <c r="AK68" t="s">
        <v>61</v>
      </c>
      <c r="AL68" t="s">
        <v>61</v>
      </c>
      <c r="AM68" t="s">
        <v>554</v>
      </c>
      <c r="AN68" t="s">
        <v>61</v>
      </c>
      <c r="AO68" t="s">
        <v>61</v>
      </c>
      <c r="AP68" t="s">
        <v>61</v>
      </c>
      <c r="AQ68" t="s">
        <v>61</v>
      </c>
      <c r="AR68" t="s">
        <v>61</v>
      </c>
      <c r="AS68" t="s">
        <v>61</v>
      </c>
      <c r="AT68" t="s">
        <v>61</v>
      </c>
      <c r="AU68" t="s">
        <v>61</v>
      </c>
      <c r="AV68" t="s">
        <v>61</v>
      </c>
      <c r="AW68" t="s">
        <v>61</v>
      </c>
      <c r="AX68" t="s">
        <v>61</v>
      </c>
      <c r="AY68" t="s">
        <v>61</v>
      </c>
      <c r="AZ68" t="s">
        <v>61</v>
      </c>
      <c r="BA68" t="s">
        <v>61</v>
      </c>
      <c r="BB68" t="s">
        <v>61</v>
      </c>
      <c r="BC68" t="s">
        <v>61</v>
      </c>
      <c r="BD68" t="s">
        <v>61</v>
      </c>
      <c r="BE68" t="s">
        <v>61</v>
      </c>
      <c r="BF68" t="s">
        <v>61</v>
      </c>
    </row>
    <row r="69" spans="1:58">
      <c r="A69" t="s">
        <v>58</v>
      </c>
      <c r="B69" t="s">
        <v>555</v>
      </c>
      <c r="C69" t="s">
        <v>556</v>
      </c>
      <c r="D69" t="s">
        <v>557</v>
      </c>
      <c r="E69" t="s">
        <v>558</v>
      </c>
      <c r="F69">
        <v>2005</v>
      </c>
      <c r="G69" t="s">
        <v>559</v>
      </c>
      <c r="H69">
        <v>26</v>
      </c>
      <c r="I69">
        <v>5</v>
      </c>
      <c r="J69">
        <v>893</v>
      </c>
      <c r="K69">
        <v>895</v>
      </c>
      <c r="L69" t="s">
        <v>560</v>
      </c>
      <c r="M69" t="s">
        <v>61</v>
      </c>
      <c r="N69" t="s">
        <v>561</v>
      </c>
      <c r="O69" t="s">
        <v>61</v>
      </c>
      <c r="Q69" t="s">
        <v>61</v>
      </c>
      <c r="R69" t="s">
        <v>61</v>
      </c>
      <c r="S69" t="s">
        <v>61</v>
      </c>
      <c r="T69" t="s">
        <v>61</v>
      </c>
      <c r="X69" t="s">
        <v>61</v>
      </c>
      <c r="Y69" t="s">
        <v>562</v>
      </c>
      <c r="Z69" t="s">
        <v>61</v>
      </c>
      <c r="AA69" t="s">
        <v>61</v>
      </c>
      <c r="AB69">
        <v>2005292210</v>
      </c>
      <c r="AC69" t="s">
        <v>67</v>
      </c>
      <c r="AD69" t="s">
        <v>61</v>
      </c>
      <c r="AE69" t="s">
        <v>61</v>
      </c>
      <c r="AF69" t="s">
        <v>61</v>
      </c>
      <c r="AG69" t="s">
        <v>563</v>
      </c>
      <c r="AH69" t="s">
        <v>61</v>
      </c>
      <c r="AI69" t="s">
        <v>61</v>
      </c>
      <c r="AJ69" t="s">
        <v>61</v>
      </c>
      <c r="AK69" t="s">
        <v>61</v>
      </c>
      <c r="AL69" t="s">
        <v>61</v>
      </c>
      <c r="AM69" t="s">
        <v>564</v>
      </c>
      <c r="AN69" t="s">
        <v>61</v>
      </c>
      <c r="AO69" t="s">
        <v>61</v>
      </c>
      <c r="AP69" t="s">
        <v>61</v>
      </c>
      <c r="AQ69" t="s">
        <v>61</v>
      </c>
      <c r="AR69" t="s">
        <v>61</v>
      </c>
      <c r="AS69" t="s">
        <v>61</v>
      </c>
      <c r="AT69" t="s">
        <v>61</v>
      </c>
      <c r="AU69" t="s">
        <v>61</v>
      </c>
      <c r="AV69" t="s">
        <v>61</v>
      </c>
      <c r="AW69" t="s">
        <v>61</v>
      </c>
      <c r="AX69" t="s">
        <v>61</v>
      </c>
      <c r="AY69" t="s">
        <v>61</v>
      </c>
      <c r="AZ69" t="s">
        <v>61</v>
      </c>
      <c r="BA69" t="s">
        <v>61</v>
      </c>
      <c r="BB69" t="s">
        <v>61</v>
      </c>
      <c r="BC69" t="s">
        <v>61</v>
      </c>
      <c r="BD69" t="s">
        <v>61</v>
      </c>
      <c r="BE69" t="s">
        <v>61</v>
      </c>
      <c r="BF69" t="s">
        <v>61</v>
      </c>
    </row>
    <row r="70" spans="1:58">
      <c r="A70" t="s">
        <v>58</v>
      </c>
      <c r="B70" t="s">
        <v>565</v>
      </c>
      <c r="C70" t="s">
        <v>566</v>
      </c>
      <c r="D70" t="s">
        <v>567</v>
      </c>
      <c r="E70" t="s">
        <v>568</v>
      </c>
      <c r="F70">
        <v>2001</v>
      </c>
      <c r="G70" t="s">
        <v>280</v>
      </c>
      <c r="H70">
        <v>21</v>
      </c>
      <c r="I70">
        <v>4</v>
      </c>
      <c r="J70">
        <v>99</v>
      </c>
      <c r="K70">
        <v>103</v>
      </c>
      <c r="L70" t="s">
        <v>569</v>
      </c>
      <c r="M70" t="s">
        <v>570</v>
      </c>
      <c r="N70" t="s">
        <v>571</v>
      </c>
      <c r="O70" t="s">
        <v>61</v>
      </c>
      <c r="Q70" t="s">
        <v>61</v>
      </c>
      <c r="R70" t="s">
        <v>61</v>
      </c>
      <c r="S70" t="s">
        <v>61</v>
      </c>
      <c r="T70" t="s">
        <v>61</v>
      </c>
      <c r="X70" t="s">
        <v>61</v>
      </c>
      <c r="Y70" t="s">
        <v>572</v>
      </c>
      <c r="Z70" t="s">
        <v>61</v>
      </c>
      <c r="AA70" t="s">
        <v>573</v>
      </c>
      <c r="AB70">
        <v>11856403</v>
      </c>
      <c r="AC70" t="s">
        <v>67</v>
      </c>
      <c r="AD70" t="s">
        <v>61</v>
      </c>
      <c r="AE70" t="s">
        <v>61</v>
      </c>
      <c r="AF70" t="s">
        <v>61</v>
      </c>
      <c r="AG70" t="s">
        <v>574</v>
      </c>
      <c r="AH70" t="s">
        <v>61</v>
      </c>
      <c r="AI70" t="s">
        <v>61</v>
      </c>
      <c r="AJ70" t="s">
        <v>61</v>
      </c>
      <c r="AK70" t="s">
        <v>61</v>
      </c>
      <c r="AL70" t="s">
        <v>61</v>
      </c>
      <c r="AM70" t="s">
        <v>575</v>
      </c>
      <c r="AN70" t="s">
        <v>61</v>
      </c>
      <c r="AO70" t="s">
        <v>61</v>
      </c>
      <c r="AP70" t="s">
        <v>61</v>
      </c>
      <c r="AQ70" t="s">
        <v>61</v>
      </c>
      <c r="AR70" t="s">
        <v>61</v>
      </c>
      <c r="AS70" t="s">
        <v>61</v>
      </c>
      <c r="AT70" t="s">
        <v>61</v>
      </c>
      <c r="AU70" t="s">
        <v>61</v>
      </c>
      <c r="AV70" t="s">
        <v>61</v>
      </c>
      <c r="AW70" t="s">
        <v>61</v>
      </c>
      <c r="AX70" t="s">
        <v>61</v>
      </c>
      <c r="AY70" t="s">
        <v>61</v>
      </c>
      <c r="AZ70" t="s">
        <v>61</v>
      </c>
      <c r="BA70" t="s">
        <v>61</v>
      </c>
      <c r="BB70" t="s">
        <v>61</v>
      </c>
      <c r="BC70" t="s">
        <v>61</v>
      </c>
      <c r="BD70" t="s">
        <v>61</v>
      </c>
      <c r="BE70" t="s">
        <v>61</v>
      </c>
      <c r="BF70" t="s">
        <v>61</v>
      </c>
    </row>
    <row r="71" spans="1:58">
      <c r="A71" t="s">
        <v>58</v>
      </c>
      <c r="B71" t="s">
        <v>576</v>
      </c>
      <c r="C71" t="s">
        <v>577</v>
      </c>
      <c r="D71" t="s">
        <v>578</v>
      </c>
      <c r="E71" t="s">
        <v>61</v>
      </c>
      <c r="F71">
        <v>2016</v>
      </c>
      <c r="G71" t="s">
        <v>273</v>
      </c>
      <c r="H71">
        <v>12</v>
      </c>
      <c r="I71">
        <v>2</v>
      </c>
      <c r="J71">
        <v>147</v>
      </c>
      <c r="K71">
        <v>148</v>
      </c>
      <c r="L71" t="s">
        <v>61</v>
      </c>
      <c r="M71" t="s">
        <v>579</v>
      </c>
      <c r="N71" t="s">
        <v>580</v>
      </c>
      <c r="O71" t="s">
        <v>61</v>
      </c>
      <c r="Q71" t="s">
        <v>61</v>
      </c>
      <c r="R71" t="s">
        <v>61</v>
      </c>
      <c r="S71" t="s">
        <v>61</v>
      </c>
      <c r="T71" t="s">
        <v>61</v>
      </c>
      <c r="X71" t="s">
        <v>61</v>
      </c>
      <c r="Y71" t="s">
        <v>581</v>
      </c>
      <c r="Z71" t="s">
        <v>61</v>
      </c>
      <c r="AA71" t="s">
        <v>582</v>
      </c>
      <c r="AB71">
        <v>26787757</v>
      </c>
      <c r="AC71" t="s">
        <v>67</v>
      </c>
      <c r="AD71" t="s">
        <v>61</v>
      </c>
      <c r="AE71" t="s">
        <v>61</v>
      </c>
      <c r="AF71" t="s">
        <v>61</v>
      </c>
      <c r="AG71" t="s">
        <v>583</v>
      </c>
      <c r="AH71" t="s">
        <v>61</v>
      </c>
      <c r="AI71" t="s">
        <v>584</v>
      </c>
      <c r="AJ71" t="s">
        <v>61</v>
      </c>
      <c r="AK71" t="s">
        <v>61</v>
      </c>
      <c r="AL71" t="s">
        <v>61</v>
      </c>
      <c r="AM71" t="s">
        <v>585</v>
      </c>
      <c r="AN71" t="s">
        <v>61</v>
      </c>
      <c r="AO71" t="s">
        <v>61</v>
      </c>
      <c r="AP71" t="s">
        <v>61</v>
      </c>
      <c r="AQ71" t="s">
        <v>61</v>
      </c>
      <c r="AR71" t="s">
        <v>61</v>
      </c>
      <c r="AS71" t="s">
        <v>61</v>
      </c>
      <c r="AT71" t="s">
        <v>61</v>
      </c>
      <c r="AU71" t="s">
        <v>61</v>
      </c>
      <c r="AV71" t="s">
        <v>61</v>
      </c>
      <c r="AW71" t="s">
        <v>61</v>
      </c>
      <c r="AX71" t="s">
        <v>61</v>
      </c>
      <c r="AY71" t="s">
        <v>61</v>
      </c>
      <c r="AZ71" t="s">
        <v>61</v>
      </c>
      <c r="BA71" t="s">
        <v>61</v>
      </c>
      <c r="BB71" t="s">
        <v>61</v>
      </c>
      <c r="BC71" t="s">
        <v>61</v>
      </c>
      <c r="BD71" t="s">
        <v>61</v>
      </c>
      <c r="BE71" t="s">
        <v>61</v>
      </c>
      <c r="BF71" t="s">
        <v>61</v>
      </c>
    </row>
    <row r="72" spans="1:58">
      <c r="A72" t="s">
        <v>58</v>
      </c>
      <c r="B72" t="s">
        <v>586</v>
      </c>
      <c r="C72" t="s">
        <v>587</v>
      </c>
      <c r="D72" t="s">
        <v>588</v>
      </c>
      <c r="E72" t="s">
        <v>589</v>
      </c>
      <c r="F72">
        <v>1991</v>
      </c>
      <c r="G72" t="s">
        <v>61</v>
      </c>
      <c r="H72">
        <v>23</v>
      </c>
      <c r="I72">
        <v>4</v>
      </c>
      <c r="J72">
        <v>329</v>
      </c>
      <c r="K72">
        <v>333</v>
      </c>
      <c r="L72" t="s">
        <v>590</v>
      </c>
      <c r="M72" t="s">
        <v>591</v>
      </c>
      <c r="N72" t="s">
        <v>592</v>
      </c>
      <c r="O72" t="s">
        <v>61</v>
      </c>
      <c r="Q72" t="s">
        <v>61</v>
      </c>
      <c r="R72" t="s">
        <v>61</v>
      </c>
      <c r="S72" t="s">
        <v>61</v>
      </c>
      <c r="T72" t="s">
        <v>61</v>
      </c>
      <c r="X72" t="s">
        <v>61</v>
      </c>
      <c r="Y72" t="s">
        <v>593</v>
      </c>
      <c r="Z72" t="s">
        <v>61</v>
      </c>
      <c r="AA72" t="s">
        <v>61</v>
      </c>
      <c r="AB72">
        <v>1992114736</v>
      </c>
      <c r="AC72" t="s">
        <v>67</v>
      </c>
      <c r="AD72" t="s">
        <v>61</v>
      </c>
      <c r="AE72" t="s">
        <v>61</v>
      </c>
      <c r="AF72" t="s">
        <v>61</v>
      </c>
      <c r="AG72" t="s">
        <v>594</v>
      </c>
      <c r="AH72" t="s">
        <v>61</v>
      </c>
      <c r="AI72" t="s">
        <v>61</v>
      </c>
      <c r="AJ72" t="s">
        <v>61</v>
      </c>
      <c r="AK72" t="s">
        <v>61</v>
      </c>
      <c r="AL72" t="s">
        <v>61</v>
      </c>
      <c r="AM72" t="s">
        <v>595</v>
      </c>
      <c r="AN72" t="s">
        <v>61</v>
      </c>
      <c r="AO72" t="s">
        <v>61</v>
      </c>
      <c r="AP72" t="s">
        <v>61</v>
      </c>
      <c r="AQ72" t="s">
        <v>61</v>
      </c>
      <c r="AR72" t="s">
        <v>61</v>
      </c>
      <c r="AS72" t="s">
        <v>61</v>
      </c>
      <c r="AT72" t="s">
        <v>61</v>
      </c>
      <c r="AU72" t="s">
        <v>61</v>
      </c>
      <c r="AV72" t="s">
        <v>61</v>
      </c>
      <c r="AW72" t="s">
        <v>61</v>
      </c>
      <c r="AX72" t="s">
        <v>61</v>
      </c>
      <c r="AY72" t="s">
        <v>61</v>
      </c>
      <c r="AZ72" t="s">
        <v>61</v>
      </c>
      <c r="BA72" t="s">
        <v>61</v>
      </c>
      <c r="BB72" t="s">
        <v>61</v>
      </c>
      <c r="BC72" t="s">
        <v>61</v>
      </c>
      <c r="BD72" t="s">
        <v>61</v>
      </c>
      <c r="BE72" t="s">
        <v>61</v>
      </c>
      <c r="BF72" t="s">
        <v>61</v>
      </c>
    </row>
    <row r="73" spans="1:58">
      <c r="A73" t="s">
        <v>58</v>
      </c>
      <c r="B73" t="s">
        <v>596</v>
      </c>
      <c r="C73" t="s">
        <v>597</v>
      </c>
      <c r="D73" t="s">
        <v>598</v>
      </c>
      <c r="E73" t="s">
        <v>599</v>
      </c>
      <c r="F73">
        <v>2012</v>
      </c>
      <c r="G73" t="s">
        <v>559</v>
      </c>
      <c r="H73">
        <v>70</v>
      </c>
      <c r="I73">
        <v>3</v>
      </c>
      <c r="J73">
        <v>169</v>
      </c>
      <c r="K73">
        <v>176</v>
      </c>
      <c r="L73" t="s">
        <v>600</v>
      </c>
      <c r="M73" t="s">
        <v>601</v>
      </c>
      <c r="N73" t="s">
        <v>602</v>
      </c>
      <c r="O73" t="s">
        <v>61</v>
      </c>
      <c r="Q73" t="s">
        <v>61</v>
      </c>
      <c r="R73" t="s">
        <v>61</v>
      </c>
      <c r="S73" t="s">
        <v>61</v>
      </c>
      <c r="T73" t="s">
        <v>61</v>
      </c>
      <c r="X73" t="s">
        <v>61</v>
      </c>
      <c r="Y73" s="2">
        <v>952979</v>
      </c>
      <c r="Z73" t="s">
        <v>61</v>
      </c>
      <c r="AA73" t="s">
        <v>603</v>
      </c>
      <c r="AB73">
        <v>22655585</v>
      </c>
      <c r="AC73" t="s">
        <v>67</v>
      </c>
      <c r="AD73" t="s">
        <v>61</v>
      </c>
      <c r="AE73" t="s">
        <v>61</v>
      </c>
      <c r="AF73" t="s">
        <v>61</v>
      </c>
      <c r="AG73" t="s">
        <v>604</v>
      </c>
      <c r="AH73" t="s">
        <v>61</v>
      </c>
      <c r="AI73" t="s">
        <v>605</v>
      </c>
      <c r="AJ73" t="s">
        <v>61</v>
      </c>
      <c r="AK73" t="s">
        <v>61</v>
      </c>
      <c r="AL73" t="s">
        <v>61</v>
      </c>
      <c r="AM73" t="s">
        <v>606</v>
      </c>
      <c r="AN73" t="s">
        <v>61</v>
      </c>
      <c r="AO73" t="s">
        <v>61</v>
      </c>
      <c r="AP73" t="s">
        <v>61</v>
      </c>
      <c r="AQ73" t="s">
        <v>61</v>
      </c>
      <c r="AR73" t="s">
        <v>61</v>
      </c>
      <c r="AS73" t="s">
        <v>61</v>
      </c>
      <c r="AT73" t="s">
        <v>61</v>
      </c>
      <c r="AU73" t="s">
        <v>61</v>
      </c>
      <c r="AV73" t="s">
        <v>61</v>
      </c>
      <c r="AW73" t="s">
        <v>61</v>
      </c>
      <c r="AX73" t="s">
        <v>61</v>
      </c>
      <c r="AY73" t="s">
        <v>61</v>
      </c>
      <c r="AZ73" t="s">
        <v>61</v>
      </c>
      <c r="BA73" t="s">
        <v>61</v>
      </c>
      <c r="BB73" t="s">
        <v>61</v>
      </c>
      <c r="BC73" t="s">
        <v>61</v>
      </c>
      <c r="BD73" t="s">
        <v>61</v>
      </c>
      <c r="BE73" t="s">
        <v>61</v>
      </c>
      <c r="BF73" t="s">
        <v>61</v>
      </c>
    </row>
    <row r="74" spans="1:58">
      <c r="A74" t="s">
        <v>58</v>
      </c>
      <c r="B74" t="s">
        <v>607</v>
      </c>
      <c r="C74" t="s">
        <v>608</v>
      </c>
      <c r="D74" t="s">
        <v>609</v>
      </c>
      <c r="E74" t="s">
        <v>61</v>
      </c>
      <c r="F74">
        <v>2012</v>
      </c>
      <c r="G74" t="s">
        <v>476</v>
      </c>
      <c r="H74">
        <v>11</v>
      </c>
      <c r="I74">
        <v>6</v>
      </c>
      <c r="J74">
        <v>955</v>
      </c>
      <c r="K74">
        <v>962</v>
      </c>
      <c r="L74" t="s">
        <v>610</v>
      </c>
      <c r="M74" t="s">
        <v>611</v>
      </c>
      <c r="N74" t="s">
        <v>612</v>
      </c>
      <c r="O74" t="s">
        <v>61</v>
      </c>
      <c r="Q74" t="s">
        <v>61</v>
      </c>
      <c r="R74" t="s">
        <v>61</v>
      </c>
      <c r="S74" t="s">
        <v>61</v>
      </c>
      <c r="T74" t="s">
        <v>61</v>
      </c>
      <c r="X74" t="s">
        <v>61</v>
      </c>
      <c r="Y74" t="s">
        <v>613</v>
      </c>
      <c r="Z74" t="s">
        <v>61</v>
      </c>
      <c r="AA74" t="s">
        <v>61</v>
      </c>
      <c r="AB74" t="s">
        <v>614</v>
      </c>
      <c r="AC74" t="s">
        <v>67</v>
      </c>
      <c r="AD74" t="s">
        <v>61</v>
      </c>
      <c r="AE74" t="s">
        <v>61</v>
      </c>
      <c r="AF74" t="s">
        <v>61</v>
      </c>
      <c r="AG74" t="s">
        <v>61</v>
      </c>
      <c r="AH74" t="s">
        <v>61</v>
      </c>
      <c r="AI74" t="s">
        <v>61</v>
      </c>
      <c r="AJ74" t="s">
        <v>61</v>
      </c>
      <c r="AK74" t="s">
        <v>61</v>
      </c>
      <c r="AL74" t="s">
        <v>61</v>
      </c>
      <c r="AM74" t="s">
        <v>608</v>
      </c>
      <c r="AN74" t="s">
        <v>61</v>
      </c>
      <c r="AO74" t="s">
        <v>61</v>
      </c>
      <c r="AP74" t="s">
        <v>61</v>
      </c>
      <c r="AQ74" t="s">
        <v>61</v>
      </c>
      <c r="AR74" t="s">
        <v>61</v>
      </c>
      <c r="AS74" t="s">
        <v>61</v>
      </c>
      <c r="AT74" t="s">
        <v>61</v>
      </c>
      <c r="AU74" t="s">
        <v>61</v>
      </c>
      <c r="AV74" t="s">
        <v>61</v>
      </c>
      <c r="AW74" t="s">
        <v>61</v>
      </c>
      <c r="AX74" t="s">
        <v>61</v>
      </c>
      <c r="AY74" t="s">
        <v>61</v>
      </c>
      <c r="AZ74" t="s">
        <v>61</v>
      </c>
      <c r="BA74" t="s">
        <v>61</v>
      </c>
      <c r="BB74" t="s">
        <v>61</v>
      </c>
      <c r="BC74" t="s">
        <v>61</v>
      </c>
      <c r="BD74" t="s">
        <v>61</v>
      </c>
      <c r="BE74" t="s">
        <v>61</v>
      </c>
      <c r="BF74" t="s">
        <v>61</v>
      </c>
    </row>
    <row r="75" spans="1:58">
      <c r="A75" t="s">
        <v>58</v>
      </c>
      <c r="B75" t="s">
        <v>615</v>
      </c>
      <c r="C75" t="s">
        <v>616</v>
      </c>
      <c r="D75" t="s">
        <v>617</v>
      </c>
      <c r="E75" t="s">
        <v>61</v>
      </c>
      <c r="F75">
        <v>1988</v>
      </c>
      <c r="G75" t="s">
        <v>61</v>
      </c>
      <c r="H75">
        <v>721</v>
      </c>
      <c r="I75" t="s">
        <v>61</v>
      </c>
      <c r="J75">
        <v>27</v>
      </c>
      <c r="K75">
        <v>30</v>
      </c>
      <c r="L75" t="s">
        <v>618</v>
      </c>
      <c r="M75" t="s">
        <v>619</v>
      </c>
      <c r="N75" t="s">
        <v>620</v>
      </c>
      <c r="O75" t="s">
        <v>61</v>
      </c>
      <c r="Q75" t="s">
        <v>61</v>
      </c>
      <c r="R75" t="s">
        <v>61</v>
      </c>
      <c r="S75" t="s">
        <v>61</v>
      </c>
      <c r="T75" t="s">
        <v>61</v>
      </c>
      <c r="X75" t="s">
        <v>61</v>
      </c>
      <c r="Y75" t="s">
        <v>621</v>
      </c>
      <c r="Z75" t="s">
        <v>61</v>
      </c>
      <c r="AA75" t="s">
        <v>622</v>
      </c>
      <c r="AB75">
        <v>3162632</v>
      </c>
      <c r="AC75" t="s">
        <v>67</v>
      </c>
      <c r="AD75" t="s">
        <v>61</v>
      </c>
      <c r="AE75" t="s">
        <v>61</v>
      </c>
      <c r="AF75" t="s">
        <v>61</v>
      </c>
      <c r="AG75" t="s">
        <v>623</v>
      </c>
      <c r="AH75" t="s">
        <v>61</v>
      </c>
      <c r="AI75" t="s">
        <v>61</v>
      </c>
      <c r="AJ75" t="s">
        <v>61</v>
      </c>
      <c r="AK75" t="s">
        <v>61</v>
      </c>
      <c r="AL75" t="s">
        <v>61</v>
      </c>
      <c r="AM75" t="s">
        <v>624</v>
      </c>
      <c r="AN75" t="s">
        <v>61</v>
      </c>
      <c r="AO75" t="s">
        <v>61</v>
      </c>
      <c r="AP75" t="s">
        <v>61</v>
      </c>
      <c r="AQ75" t="s">
        <v>61</v>
      </c>
      <c r="AR75" t="s">
        <v>61</v>
      </c>
      <c r="AS75" t="s">
        <v>61</v>
      </c>
      <c r="AT75" t="s">
        <v>61</v>
      </c>
      <c r="AU75" t="s">
        <v>61</v>
      </c>
      <c r="AV75" t="s">
        <v>61</v>
      </c>
      <c r="AW75" t="s">
        <v>61</v>
      </c>
      <c r="AX75" t="s">
        <v>61</v>
      </c>
      <c r="AY75" t="s">
        <v>61</v>
      </c>
      <c r="AZ75" t="s">
        <v>61</v>
      </c>
      <c r="BA75" t="s">
        <v>61</v>
      </c>
      <c r="BB75" t="s">
        <v>61</v>
      </c>
      <c r="BC75" t="s">
        <v>61</v>
      </c>
      <c r="BD75" t="s">
        <v>61</v>
      </c>
      <c r="BE75" t="s">
        <v>61</v>
      </c>
      <c r="BF75" t="s">
        <v>61</v>
      </c>
    </row>
    <row r="76" spans="1:58">
      <c r="A76" t="s">
        <v>58</v>
      </c>
      <c r="B76" t="s">
        <v>625</v>
      </c>
      <c r="C76" t="s">
        <v>626</v>
      </c>
      <c r="D76" t="s">
        <v>627</v>
      </c>
      <c r="E76" t="s">
        <v>61</v>
      </c>
      <c r="F76">
        <v>2012</v>
      </c>
      <c r="G76" t="s">
        <v>628</v>
      </c>
      <c r="H76">
        <v>52</v>
      </c>
      <c r="I76">
        <v>2</v>
      </c>
      <c r="J76">
        <v>221</v>
      </c>
      <c r="K76" t="s">
        <v>61</v>
      </c>
      <c r="L76" t="s">
        <v>629</v>
      </c>
      <c r="M76" t="s">
        <v>630</v>
      </c>
      <c r="N76" t="s">
        <v>631</v>
      </c>
      <c r="O76" t="s">
        <v>61</v>
      </c>
      <c r="Q76" t="s">
        <v>61</v>
      </c>
      <c r="R76" t="s">
        <v>61</v>
      </c>
      <c r="S76" t="s">
        <v>61</v>
      </c>
      <c r="T76" t="s">
        <v>61</v>
      </c>
      <c r="X76" t="s">
        <v>61</v>
      </c>
      <c r="Y76" t="s">
        <v>632</v>
      </c>
      <c r="Z76" t="s">
        <v>61</v>
      </c>
      <c r="AA76" t="s">
        <v>61</v>
      </c>
      <c r="AB76" t="s">
        <v>61</v>
      </c>
      <c r="AC76" t="s">
        <v>67</v>
      </c>
      <c r="AD76" t="s">
        <v>61</v>
      </c>
      <c r="AE76" t="s">
        <v>61</v>
      </c>
      <c r="AF76" t="s">
        <v>61</v>
      </c>
      <c r="AG76" t="s">
        <v>61</v>
      </c>
      <c r="AH76" t="s">
        <v>61</v>
      </c>
      <c r="AI76" t="s">
        <v>61</v>
      </c>
      <c r="AJ76" t="s">
        <v>61</v>
      </c>
      <c r="AK76" t="s">
        <v>61</v>
      </c>
      <c r="AL76" t="s">
        <v>61</v>
      </c>
      <c r="AM76" t="s">
        <v>626</v>
      </c>
      <c r="AN76" t="s">
        <v>61</v>
      </c>
      <c r="AO76" t="s">
        <v>61</v>
      </c>
      <c r="AP76" t="s">
        <v>61</v>
      </c>
      <c r="AQ76" t="s">
        <v>61</v>
      </c>
      <c r="AR76" t="s">
        <v>61</v>
      </c>
      <c r="AS76" t="s">
        <v>61</v>
      </c>
      <c r="AT76" t="s">
        <v>61</v>
      </c>
      <c r="AU76" t="s">
        <v>61</v>
      </c>
      <c r="AV76" t="s">
        <v>61</v>
      </c>
      <c r="AW76" t="s">
        <v>61</v>
      </c>
      <c r="AX76" t="s">
        <v>61</v>
      </c>
      <c r="AY76" t="s">
        <v>61</v>
      </c>
      <c r="AZ76" t="s">
        <v>61</v>
      </c>
      <c r="BA76" t="s">
        <v>61</v>
      </c>
      <c r="BB76" t="s">
        <v>61</v>
      </c>
      <c r="BC76" t="s">
        <v>61</v>
      </c>
      <c r="BD76" t="s">
        <v>61</v>
      </c>
      <c r="BE76" t="s">
        <v>61</v>
      </c>
      <c r="BF76" t="s">
        <v>61</v>
      </c>
    </row>
    <row r="77" spans="1:58">
      <c r="A77" t="s">
        <v>58</v>
      </c>
      <c r="B77" t="s">
        <v>633</v>
      </c>
      <c r="C77" t="s">
        <v>634</v>
      </c>
      <c r="D77" t="s">
        <v>635</v>
      </c>
      <c r="E77" t="s">
        <v>636</v>
      </c>
      <c r="F77">
        <v>2012</v>
      </c>
      <c r="G77" t="s">
        <v>637</v>
      </c>
      <c r="H77" t="s">
        <v>638</v>
      </c>
      <c r="I77" t="s">
        <v>61</v>
      </c>
      <c r="J77">
        <v>227</v>
      </c>
      <c r="K77" t="s">
        <v>61</v>
      </c>
      <c r="L77" t="s">
        <v>639</v>
      </c>
      <c r="M77" t="s">
        <v>640</v>
      </c>
      <c r="N77" t="s">
        <v>641</v>
      </c>
      <c r="O77" t="s">
        <v>61</v>
      </c>
      <c r="Q77" t="s">
        <v>61</v>
      </c>
      <c r="R77" t="s">
        <v>61</v>
      </c>
      <c r="S77" t="s">
        <v>61</v>
      </c>
      <c r="T77" t="s">
        <v>61</v>
      </c>
      <c r="X77" t="s">
        <v>61</v>
      </c>
      <c r="Y77" t="s">
        <v>642</v>
      </c>
      <c r="Z77" t="s">
        <v>61</v>
      </c>
      <c r="AA77" t="s">
        <v>61</v>
      </c>
      <c r="AB77" t="s">
        <v>61</v>
      </c>
      <c r="AC77" t="s">
        <v>67</v>
      </c>
      <c r="AD77" t="s">
        <v>61</v>
      </c>
      <c r="AE77" t="s">
        <v>61</v>
      </c>
      <c r="AF77" t="s">
        <v>61</v>
      </c>
      <c r="AG77" t="s">
        <v>61</v>
      </c>
      <c r="AH77" t="s">
        <v>61</v>
      </c>
      <c r="AI77" t="s">
        <v>61</v>
      </c>
      <c r="AJ77" t="s">
        <v>61</v>
      </c>
      <c r="AK77" t="s">
        <v>61</v>
      </c>
      <c r="AL77" t="s">
        <v>61</v>
      </c>
      <c r="AM77" t="s">
        <v>634</v>
      </c>
      <c r="AN77" t="s">
        <v>61</v>
      </c>
      <c r="AO77" t="s">
        <v>61</v>
      </c>
      <c r="AP77" t="s">
        <v>61</v>
      </c>
      <c r="AQ77" t="s">
        <v>61</v>
      </c>
      <c r="AR77" t="s">
        <v>61</v>
      </c>
      <c r="AS77" t="s">
        <v>61</v>
      </c>
      <c r="AT77" t="s">
        <v>61</v>
      </c>
      <c r="AU77" t="s">
        <v>61</v>
      </c>
      <c r="AV77" t="s">
        <v>61</v>
      </c>
      <c r="AW77" t="s">
        <v>61</v>
      </c>
      <c r="AX77" t="s">
        <v>61</v>
      </c>
      <c r="AY77" t="s">
        <v>61</v>
      </c>
      <c r="AZ77" t="s">
        <v>61</v>
      </c>
      <c r="BA77" t="s">
        <v>61</v>
      </c>
      <c r="BB77" t="s">
        <v>61</v>
      </c>
      <c r="BC77" t="s">
        <v>61</v>
      </c>
      <c r="BD77" t="s">
        <v>61</v>
      </c>
      <c r="BE77" t="s">
        <v>61</v>
      </c>
      <c r="BF77" t="s">
        <v>61</v>
      </c>
    </row>
    <row r="78" spans="1:58">
      <c r="A78" t="s">
        <v>58</v>
      </c>
      <c r="B78" t="s">
        <v>643</v>
      </c>
      <c r="C78" t="s">
        <v>644</v>
      </c>
      <c r="D78" t="s">
        <v>84</v>
      </c>
      <c r="E78" t="s">
        <v>61</v>
      </c>
      <c r="F78">
        <v>2011</v>
      </c>
      <c r="G78" t="s">
        <v>645</v>
      </c>
      <c r="H78" t="s">
        <v>646</v>
      </c>
      <c r="I78" t="s">
        <v>61</v>
      </c>
      <c r="J78">
        <v>80</v>
      </c>
      <c r="K78">
        <v>81</v>
      </c>
      <c r="L78" t="s">
        <v>647</v>
      </c>
      <c r="M78" t="s">
        <v>648</v>
      </c>
      <c r="N78" t="s">
        <v>649</v>
      </c>
      <c r="O78" t="s">
        <v>61</v>
      </c>
      <c r="Q78" t="s">
        <v>61</v>
      </c>
      <c r="R78" t="s">
        <v>61</v>
      </c>
      <c r="S78" t="s">
        <v>61</v>
      </c>
      <c r="T78" t="s">
        <v>61</v>
      </c>
      <c r="X78" t="s">
        <v>61</v>
      </c>
      <c r="Y78" t="s">
        <v>303</v>
      </c>
      <c r="Z78" t="s">
        <v>61</v>
      </c>
      <c r="AA78" t="s">
        <v>61</v>
      </c>
      <c r="AB78" t="s">
        <v>61</v>
      </c>
      <c r="AC78" t="s">
        <v>67</v>
      </c>
      <c r="AD78" t="s">
        <v>61</v>
      </c>
      <c r="AE78" t="s">
        <v>61</v>
      </c>
      <c r="AF78" t="s">
        <v>61</v>
      </c>
      <c r="AG78" t="s">
        <v>61</v>
      </c>
      <c r="AH78" t="s">
        <v>61</v>
      </c>
      <c r="AI78" t="s">
        <v>61</v>
      </c>
      <c r="AJ78" t="s">
        <v>61</v>
      </c>
      <c r="AK78" t="s">
        <v>61</v>
      </c>
      <c r="AL78" t="s">
        <v>61</v>
      </c>
      <c r="AM78" t="s">
        <v>644</v>
      </c>
      <c r="AN78" t="s">
        <v>61</v>
      </c>
      <c r="AO78" t="s">
        <v>61</v>
      </c>
      <c r="AP78" t="s">
        <v>61</v>
      </c>
      <c r="AQ78" t="s">
        <v>61</v>
      </c>
      <c r="AR78" t="s">
        <v>61</v>
      </c>
      <c r="AS78" t="s">
        <v>61</v>
      </c>
      <c r="AT78" t="s">
        <v>61</v>
      </c>
      <c r="AU78" t="s">
        <v>61</v>
      </c>
      <c r="AV78" t="s">
        <v>61</v>
      </c>
      <c r="AW78" t="s">
        <v>61</v>
      </c>
      <c r="AX78" t="s">
        <v>61</v>
      </c>
      <c r="AY78" t="s">
        <v>61</v>
      </c>
      <c r="AZ78" t="s">
        <v>61</v>
      </c>
      <c r="BA78" t="s">
        <v>61</v>
      </c>
      <c r="BB78" t="s">
        <v>61</v>
      </c>
      <c r="BC78" t="s">
        <v>61</v>
      </c>
      <c r="BD78" t="s">
        <v>61</v>
      </c>
      <c r="BE78" t="s">
        <v>61</v>
      </c>
      <c r="BF78" t="s">
        <v>61</v>
      </c>
    </row>
    <row r="79" spans="1:58">
      <c r="A79" t="s">
        <v>58</v>
      </c>
      <c r="B79" t="s">
        <v>650</v>
      </c>
      <c r="C79" t="s">
        <v>651</v>
      </c>
      <c r="D79" t="s">
        <v>652</v>
      </c>
      <c r="E79" t="s">
        <v>61</v>
      </c>
      <c r="F79">
        <v>1991</v>
      </c>
      <c r="G79" t="s">
        <v>61</v>
      </c>
      <c r="H79">
        <v>1</v>
      </c>
      <c r="I79" t="s">
        <v>61</v>
      </c>
      <c r="J79">
        <v>35</v>
      </c>
      <c r="K79">
        <v>37</v>
      </c>
      <c r="L79" t="s">
        <v>653</v>
      </c>
      <c r="M79" t="s">
        <v>654</v>
      </c>
      <c r="N79" t="s">
        <v>655</v>
      </c>
      <c r="O79" t="s">
        <v>61</v>
      </c>
      <c r="Q79" t="s">
        <v>61</v>
      </c>
      <c r="R79" t="s">
        <v>61</v>
      </c>
      <c r="S79" t="s">
        <v>61</v>
      </c>
      <c r="T79" t="s">
        <v>61</v>
      </c>
      <c r="X79" t="s">
        <v>61</v>
      </c>
      <c r="Y79" t="s">
        <v>656</v>
      </c>
      <c r="Z79" t="s">
        <v>61</v>
      </c>
      <c r="AA79" t="s">
        <v>61</v>
      </c>
      <c r="AB79" t="s">
        <v>61</v>
      </c>
      <c r="AC79" t="s">
        <v>67</v>
      </c>
      <c r="AD79" t="s">
        <v>61</v>
      </c>
      <c r="AE79" t="s">
        <v>61</v>
      </c>
      <c r="AF79" t="s">
        <v>61</v>
      </c>
      <c r="AG79" t="s">
        <v>657</v>
      </c>
      <c r="AH79" t="s">
        <v>61</v>
      </c>
      <c r="AI79" t="s">
        <v>61</v>
      </c>
      <c r="AJ79" t="s">
        <v>61</v>
      </c>
      <c r="AK79" t="s">
        <v>61</v>
      </c>
      <c r="AL79" t="s">
        <v>61</v>
      </c>
      <c r="AM79" t="s">
        <v>658</v>
      </c>
      <c r="AN79" t="s">
        <v>61</v>
      </c>
      <c r="AO79" t="s">
        <v>61</v>
      </c>
      <c r="AP79" t="s">
        <v>61</v>
      </c>
      <c r="AQ79" t="s">
        <v>61</v>
      </c>
      <c r="AR79" t="s">
        <v>61</v>
      </c>
      <c r="AS79" t="s">
        <v>61</v>
      </c>
      <c r="AT79" t="s">
        <v>61</v>
      </c>
      <c r="AU79" t="s">
        <v>61</v>
      </c>
      <c r="AV79" t="s">
        <v>61</v>
      </c>
      <c r="AW79" t="s">
        <v>61</v>
      </c>
      <c r="AX79" t="s">
        <v>61</v>
      </c>
      <c r="AY79" t="s">
        <v>61</v>
      </c>
      <c r="AZ79" t="s">
        <v>61</v>
      </c>
      <c r="BA79" t="s">
        <v>61</v>
      </c>
      <c r="BB79" t="s">
        <v>61</v>
      </c>
      <c r="BC79" t="s">
        <v>61</v>
      </c>
      <c r="BD79" t="s">
        <v>61</v>
      </c>
      <c r="BE79" t="s">
        <v>61</v>
      </c>
      <c r="BF79" t="s">
        <v>61</v>
      </c>
    </row>
    <row r="80" spans="1:58">
      <c r="A80" t="s">
        <v>58</v>
      </c>
      <c r="B80" t="s">
        <v>659</v>
      </c>
      <c r="C80" t="s">
        <v>660</v>
      </c>
      <c r="D80" t="s">
        <v>661</v>
      </c>
      <c r="E80" t="s">
        <v>61</v>
      </c>
      <c r="F80">
        <v>2004</v>
      </c>
      <c r="G80" t="s">
        <v>119</v>
      </c>
      <c r="H80">
        <v>4</v>
      </c>
      <c r="I80">
        <v>2</v>
      </c>
      <c r="J80">
        <v>63</v>
      </c>
      <c r="K80">
        <v>67</v>
      </c>
      <c r="L80" t="s">
        <v>662</v>
      </c>
      <c r="M80" t="s">
        <v>663</v>
      </c>
      <c r="N80" t="s">
        <v>664</v>
      </c>
      <c r="O80" t="s">
        <v>61</v>
      </c>
      <c r="Q80" t="s">
        <v>61</v>
      </c>
      <c r="R80" t="s">
        <v>61</v>
      </c>
      <c r="S80" t="s">
        <v>61</v>
      </c>
      <c r="T80" t="s">
        <v>61</v>
      </c>
      <c r="X80" t="s">
        <v>61</v>
      </c>
      <c r="Y80" t="s">
        <v>665</v>
      </c>
      <c r="Z80" t="s">
        <v>61</v>
      </c>
      <c r="AA80" t="s">
        <v>61</v>
      </c>
      <c r="AB80" t="s">
        <v>666</v>
      </c>
      <c r="AC80" t="s">
        <v>67</v>
      </c>
      <c r="AD80" t="s">
        <v>61</v>
      </c>
      <c r="AE80" t="s">
        <v>61</v>
      </c>
      <c r="AF80" t="s">
        <v>61</v>
      </c>
      <c r="AG80" t="s">
        <v>61</v>
      </c>
      <c r="AH80" t="s">
        <v>61</v>
      </c>
      <c r="AI80" t="s">
        <v>61</v>
      </c>
      <c r="AJ80" t="s">
        <v>61</v>
      </c>
      <c r="AK80" t="s">
        <v>61</v>
      </c>
      <c r="AL80" t="s">
        <v>61</v>
      </c>
      <c r="AM80" t="s">
        <v>660</v>
      </c>
      <c r="AN80" t="s">
        <v>61</v>
      </c>
      <c r="AO80" t="s">
        <v>61</v>
      </c>
      <c r="AP80" t="s">
        <v>61</v>
      </c>
      <c r="AQ80" t="s">
        <v>61</v>
      </c>
      <c r="AR80" t="s">
        <v>61</v>
      </c>
      <c r="AS80" t="s">
        <v>61</v>
      </c>
      <c r="AT80" t="s">
        <v>61</v>
      </c>
      <c r="AU80" t="s">
        <v>61</v>
      </c>
      <c r="AV80" t="s">
        <v>61</v>
      </c>
      <c r="AW80" t="s">
        <v>61</v>
      </c>
      <c r="AX80" t="s">
        <v>61</v>
      </c>
      <c r="AY80" t="s">
        <v>61</v>
      </c>
      <c r="AZ80" t="s">
        <v>61</v>
      </c>
      <c r="BA80" t="s">
        <v>61</v>
      </c>
      <c r="BB80" t="s">
        <v>61</v>
      </c>
      <c r="BC80" t="s">
        <v>61</v>
      </c>
      <c r="BD80" t="s">
        <v>61</v>
      </c>
      <c r="BE80" t="s">
        <v>61</v>
      </c>
      <c r="BF80" t="s">
        <v>61</v>
      </c>
    </row>
    <row r="81" spans="1:58">
      <c r="A81" t="s">
        <v>58</v>
      </c>
      <c r="B81" t="s">
        <v>667</v>
      </c>
      <c r="C81" t="s">
        <v>668</v>
      </c>
      <c r="D81" t="s">
        <v>669</v>
      </c>
      <c r="E81" t="s">
        <v>61</v>
      </c>
      <c r="F81">
        <v>2007</v>
      </c>
      <c r="G81" t="s">
        <v>61</v>
      </c>
      <c r="H81">
        <v>31</v>
      </c>
      <c r="I81">
        <v>3</v>
      </c>
      <c r="J81">
        <v>327</v>
      </c>
      <c r="K81">
        <v>347</v>
      </c>
      <c r="L81" t="s">
        <v>670</v>
      </c>
      <c r="M81" t="s">
        <v>671</v>
      </c>
      <c r="N81" t="s">
        <v>672</v>
      </c>
      <c r="O81" t="s">
        <v>61</v>
      </c>
      <c r="Q81" t="s">
        <v>61</v>
      </c>
      <c r="R81" t="s">
        <v>61</v>
      </c>
      <c r="S81" t="s">
        <v>61</v>
      </c>
      <c r="T81" t="s">
        <v>61</v>
      </c>
      <c r="X81" t="s">
        <v>61</v>
      </c>
      <c r="Y81" t="s">
        <v>673</v>
      </c>
      <c r="Z81" t="s">
        <v>61</v>
      </c>
      <c r="AA81" t="s">
        <v>674</v>
      </c>
      <c r="AB81">
        <v>17109962</v>
      </c>
      <c r="AC81" t="s">
        <v>67</v>
      </c>
      <c r="AD81" t="s">
        <v>61</v>
      </c>
      <c r="AE81" t="s">
        <v>61</v>
      </c>
      <c r="AF81" t="s">
        <v>61</v>
      </c>
      <c r="AG81" t="s">
        <v>675</v>
      </c>
      <c r="AH81" t="s">
        <v>61</v>
      </c>
      <c r="AI81" t="s">
        <v>61</v>
      </c>
      <c r="AJ81" t="s">
        <v>61</v>
      </c>
      <c r="AK81" t="s">
        <v>61</v>
      </c>
      <c r="AL81" t="s">
        <v>61</v>
      </c>
      <c r="AM81" t="s">
        <v>676</v>
      </c>
      <c r="AN81" t="s">
        <v>61</v>
      </c>
      <c r="AO81" t="s">
        <v>61</v>
      </c>
      <c r="AP81" t="s">
        <v>61</v>
      </c>
      <c r="AQ81" t="s">
        <v>61</v>
      </c>
      <c r="AR81" t="s">
        <v>61</v>
      </c>
      <c r="AS81" t="s">
        <v>61</v>
      </c>
      <c r="AT81" t="s">
        <v>61</v>
      </c>
      <c r="AU81" t="s">
        <v>61</v>
      </c>
      <c r="AV81" t="s">
        <v>61</v>
      </c>
      <c r="AW81" t="s">
        <v>61</v>
      </c>
      <c r="AX81" t="s">
        <v>61</v>
      </c>
      <c r="AY81" t="s">
        <v>61</v>
      </c>
      <c r="AZ81" t="s">
        <v>61</v>
      </c>
      <c r="BA81" t="s">
        <v>61</v>
      </c>
      <c r="BB81" t="s">
        <v>61</v>
      </c>
      <c r="BC81" t="s">
        <v>61</v>
      </c>
      <c r="BD81" t="s">
        <v>61</v>
      </c>
      <c r="BE81" t="s">
        <v>61</v>
      </c>
      <c r="BF81" t="s">
        <v>61</v>
      </c>
    </row>
    <row r="82" spans="1:58">
      <c r="A82" t="s">
        <v>58</v>
      </c>
      <c r="B82" t="s">
        <v>667</v>
      </c>
      <c r="C82" t="s">
        <v>677</v>
      </c>
      <c r="D82" t="s">
        <v>482</v>
      </c>
      <c r="E82" t="s">
        <v>61</v>
      </c>
      <c r="F82">
        <v>2006</v>
      </c>
      <c r="G82" s="1">
        <v>42488</v>
      </c>
      <c r="H82">
        <v>82</v>
      </c>
      <c r="I82">
        <v>2</v>
      </c>
      <c r="J82">
        <v>168</v>
      </c>
      <c r="K82">
        <v>176</v>
      </c>
      <c r="L82" t="s">
        <v>678</v>
      </c>
      <c r="M82" t="s">
        <v>679</v>
      </c>
      <c r="N82" t="s">
        <v>680</v>
      </c>
      <c r="O82" t="s">
        <v>61</v>
      </c>
      <c r="Q82" t="s">
        <v>61</v>
      </c>
      <c r="R82" t="s">
        <v>61</v>
      </c>
      <c r="S82" t="s">
        <v>61</v>
      </c>
      <c r="T82" t="s">
        <v>61</v>
      </c>
      <c r="X82" t="s">
        <v>61</v>
      </c>
      <c r="Y82" t="s">
        <v>486</v>
      </c>
      <c r="Z82" t="s">
        <v>61</v>
      </c>
      <c r="AA82" t="s">
        <v>674</v>
      </c>
      <c r="AB82">
        <v>16226850</v>
      </c>
      <c r="AC82" t="s">
        <v>67</v>
      </c>
      <c r="AD82" t="s">
        <v>61</v>
      </c>
      <c r="AE82" t="s">
        <v>61</v>
      </c>
      <c r="AF82" t="s">
        <v>61</v>
      </c>
      <c r="AG82" t="s">
        <v>681</v>
      </c>
      <c r="AH82" t="s">
        <v>61</v>
      </c>
      <c r="AI82" t="s">
        <v>61</v>
      </c>
      <c r="AJ82" t="s">
        <v>61</v>
      </c>
      <c r="AK82" t="s">
        <v>61</v>
      </c>
      <c r="AL82" t="s">
        <v>61</v>
      </c>
      <c r="AM82" t="s">
        <v>682</v>
      </c>
      <c r="AN82" t="s">
        <v>61</v>
      </c>
      <c r="AO82" t="s">
        <v>61</v>
      </c>
      <c r="AP82" t="s">
        <v>61</v>
      </c>
      <c r="AQ82" t="s">
        <v>61</v>
      </c>
      <c r="AR82" t="s">
        <v>61</v>
      </c>
      <c r="AS82" t="s">
        <v>61</v>
      </c>
      <c r="AT82" t="s">
        <v>61</v>
      </c>
      <c r="AU82" t="s">
        <v>61</v>
      </c>
      <c r="AV82" t="s">
        <v>61</v>
      </c>
      <c r="AW82" t="s">
        <v>61</v>
      </c>
      <c r="AX82" t="s">
        <v>61</v>
      </c>
      <c r="AY82" t="s">
        <v>61</v>
      </c>
      <c r="AZ82" t="s">
        <v>61</v>
      </c>
      <c r="BA82" t="s">
        <v>61</v>
      </c>
      <c r="BB82" t="s">
        <v>61</v>
      </c>
      <c r="BC82" t="s">
        <v>61</v>
      </c>
      <c r="BD82" t="s">
        <v>61</v>
      </c>
      <c r="BE82" t="s">
        <v>61</v>
      </c>
      <c r="BF82" t="s">
        <v>61</v>
      </c>
    </row>
    <row r="83" spans="1:58">
      <c r="A83" t="s">
        <v>58</v>
      </c>
      <c r="B83" t="s">
        <v>683</v>
      </c>
      <c r="C83" t="s">
        <v>684</v>
      </c>
      <c r="D83" t="s">
        <v>685</v>
      </c>
      <c r="E83" t="s">
        <v>61</v>
      </c>
      <c r="F83">
        <v>2005</v>
      </c>
      <c r="G83" t="s">
        <v>61</v>
      </c>
      <c r="H83">
        <v>4</v>
      </c>
      <c r="I83">
        <v>4</v>
      </c>
      <c r="J83">
        <v>286</v>
      </c>
      <c r="K83" t="s">
        <v>686</v>
      </c>
      <c r="L83" t="s">
        <v>687</v>
      </c>
      <c r="M83" t="s">
        <v>688</v>
      </c>
      <c r="N83" t="s">
        <v>689</v>
      </c>
      <c r="O83" t="s">
        <v>61</v>
      </c>
      <c r="Q83" t="s">
        <v>61</v>
      </c>
      <c r="R83" t="s">
        <v>61</v>
      </c>
      <c r="S83" t="s">
        <v>61</v>
      </c>
      <c r="T83" t="s">
        <v>61</v>
      </c>
      <c r="X83" t="s">
        <v>61</v>
      </c>
      <c r="Y83" t="s">
        <v>690</v>
      </c>
      <c r="Z83" t="s">
        <v>61</v>
      </c>
      <c r="AA83" t="s">
        <v>691</v>
      </c>
      <c r="AB83">
        <v>106409630</v>
      </c>
      <c r="AC83" t="s">
        <v>67</v>
      </c>
      <c r="AD83" t="s">
        <v>61</v>
      </c>
      <c r="AE83" t="s">
        <v>61</v>
      </c>
      <c r="AF83" t="s">
        <v>61</v>
      </c>
      <c r="AG83" t="s">
        <v>692</v>
      </c>
      <c r="AH83" t="s">
        <v>61</v>
      </c>
      <c r="AI83" t="s">
        <v>61</v>
      </c>
      <c r="AJ83" t="s">
        <v>61</v>
      </c>
      <c r="AK83" t="s">
        <v>61</v>
      </c>
      <c r="AL83" t="s">
        <v>61</v>
      </c>
      <c r="AM83" t="s">
        <v>693</v>
      </c>
      <c r="AN83" t="s">
        <v>61</v>
      </c>
      <c r="AO83" t="s">
        <v>61</v>
      </c>
      <c r="AP83" t="s">
        <v>61</v>
      </c>
      <c r="AQ83" t="s">
        <v>61</v>
      </c>
      <c r="AR83" t="s">
        <v>61</v>
      </c>
      <c r="AS83" t="s">
        <v>61</v>
      </c>
      <c r="AT83" t="s">
        <v>61</v>
      </c>
      <c r="AU83" t="s">
        <v>61</v>
      </c>
      <c r="AV83" t="s">
        <v>61</v>
      </c>
      <c r="AW83" t="s">
        <v>61</v>
      </c>
      <c r="AX83" t="s">
        <v>61</v>
      </c>
      <c r="AY83" t="s">
        <v>61</v>
      </c>
      <c r="AZ83" t="s">
        <v>61</v>
      </c>
      <c r="BA83" t="s">
        <v>61</v>
      </c>
      <c r="BB83" t="s">
        <v>61</v>
      </c>
      <c r="BC83" t="s">
        <v>61</v>
      </c>
      <c r="BD83" t="s">
        <v>61</v>
      </c>
      <c r="BE83" t="s">
        <v>61</v>
      </c>
      <c r="BF83" t="s">
        <v>61</v>
      </c>
    </row>
    <row r="84" spans="1:58">
      <c r="A84" t="s">
        <v>58</v>
      </c>
      <c r="B84" t="s">
        <v>694</v>
      </c>
      <c r="C84" t="s">
        <v>695</v>
      </c>
      <c r="D84" t="s">
        <v>696</v>
      </c>
      <c r="E84" t="s">
        <v>61</v>
      </c>
      <c r="F84">
        <v>2008</v>
      </c>
      <c r="G84" t="s">
        <v>457</v>
      </c>
      <c r="H84">
        <v>16</v>
      </c>
      <c r="I84">
        <v>3</v>
      </c>
      <c r="J84">
        <v>205</v>
      </c>
      <c r="K84">
        <v>213</v>
      </c>
      <c r="L84" t="s">
        <v>697</v>
      </c>
      <c r="M84" t="s">
        <v>698</v>
      </c>
      <c r="N84" t="s">
        <v>699</v>
      </c>
      <c r="O84" t="s">
        <v>61</v>
      </c>
      <c r="Q84" t="s">
        <v>61</v>
      </c>
      <c r="R84" t="s">
        <v>61</v>
      </c>
      <c r="S84" t="s">
        <v>61</v>
      </c>
      <c r="T84" t="s">
        <v>61</v>
      </c>
      <c r="X84" t="s">
        <v>61</v>
      </c>
      <c r="Y84" t="s">
        <v>700</v>
      </c>
      <c r="Z84" t="s">
        <v>61</v>
      </c>
      <c r="AA84" t="s">
        <v>61</v>
      </c>
      <c r="AB84" t="s">
        <v>701</v>
      </c>
      <c r="AC84" t="s">
        <v>67</v>
      </c>
      <c r="AD84" t="s">
        <v>61</v>
      </c>
      <c r="AE84" t="s">
        <v>61</v>
      </c>
      <c r="AF84" t="s">
        <v>61</v>
      </c>
      <c r="AG84" t="s">
        <v>61</v>
      </c>
      <c r="AH84" t="s">
        <v>61</v>
      </c>
      <c r="AI84" t="s">
        <v>61</v>
      </c>
      <c r="AJ84" t="s">
        <v>61</v>
      </c>
      <c r="AK84" t="s">
        <v>61</v>
      </c>
      <c r="AL84" t="s">
        <v>61</v>
      </c>
      <c r="AM84" t="s">
        <v>695</v>
      </c>
      <c r="AN84" t="s">
        <v>61</v>
      </c>
      <c r="AO84" t="s">
        <v>61</v>
      </c>
      <c r="AP84" t="s">
        <v>61</v>
      </c>
      <c r="AQ84" t="s">
        <v>61</v>
      </c>
      <c r="AR84" t="s">
        <v>61</v>
      </c>
      <c r="AS84" t="s">
        <v>61</v>
      </c>
      <c r="AT84" t="s">
        <v>61</v>
      </c>
      <c r="AU84" t="s">
        <v>61</v>
      </c>
      <c r="AV84" t="s">
        <v>61</v>
      </c>
      <c r="AW84" t="s">
        <v>61</v>
      </c>
      <c r="AX84" t="s">
        <v>61</v>
      </c>
      <c r="AY84" t="s">
        <v>61</v>
      </c>
      <c r="AZ84" t="s">
        <v>61</v>
      </c>
      <c r="BA84" t="s">
        <v>61</v>
      </c>
      <c r="BB84" t="s">
        <v>61</v>
      </c>
      <c r="BC84" t="s">
        <v>61</v>
      </c>
      <c r="BD84" t="s">
        <v>61</v>
      </c>
      <c r="BE84" t="s">
        <v>61</v>
      </c>
      <c r="BF84" t="s">
        <v>61</v>
      </c>
    </row>
    <row r="85" spans="1:58">
      <c r="A85" t="s">
        <v>58</v>
      </c>
      <c r="B85" t="s">
        <v>702</v>
      </c>
      <c r="C85" t="s">
        <v>703</v>
      </c>
      <c r="D85" t="s">
        <v>704</v>
      </c>
      <c r="E85" t="s">
        <v>61</v>
      </c>
      <c r="F85">
        <v>2013</v>
      </c>
      <c r="G85" t="s">
        <v>119</v>
      </c>
      <c r="H85">
        <v>19</v>
      </c>
      <c r="I85">
        <v>5</v>
      </c>
      <c r="J85">
        <v>408</v>
      </c>
      <c r="K85">
        <v>416</v>
      </c>
      <c r="L85" t="s">
        <v>705</v>
      </c>
      <c r="M85" t="s">
        <v>706</v>
      </c>
      <c r="N85" t="s">
        <v>707</v>
      </c>
      <c r="O85" t="s">
        <v>61</v>
      </c>
      <c r="Q85" t="s">
        <v>61</v>
      </c>
      <c r="R85" t="s">
        <v>61</v>
      </c>
      <c r="S85" t="s">
        <v>61</v>
      </c>
      <c r="T85" t="s">
        <v>61</v>
      </c>
      <c r="X85" t="s">
        <v>61</v>
      </c>
      <c r="Y85" t="s">
        <v>708</v>
      </c>
      <c r="Z85" t="s">
        <v>61</v>
      </c>
      <c r="AA85" t="s">
        <v>709</v>
      </c>
      <c r="AB85">
        <v>23697478</v>
      </c>
      <c r="AC85" t="s">
        <v>67</v>
      </c>
      <c r="AD85" t="s">
        <v>61</v>
      </c>
      <c r="AE85" t="s">
        <v>61</v>
      </c>
      <c r="AF85" t="s">
        <v>61</v>
      </c>
      <c r="AG85" t="s">
        <v>710</v>
      </c>
      <c r="AH85" t="s">
        <v>61</v>
      </c>
      <c r="AI85" t="s">
        <v>61</v>
      </c>
      <c r="AJ85" t="s">
        <v>61</v>
      </c>
      <c r="AK85" t="s">
        <v>61</v>
      </c>
      <c r="AL85" t="s">
        <v>61</v>
      </c>
      <c r="AM85" t="s">
        <v>711</v>
      </c>
      <c r="AN85" t="s">
        <v>61</v>
      </c>
      <c r="AO85" t="s">
        <v>61</v>
      </c>
      <c r="AP85" t="s">
        <v>61</v>
      </c>
      <c r="AQ85" t="s">
        <v>61</v>
      </c>
      <c r="AR85" t="s">
        <v>61</v>
      </c>
      <c r="AS85" t="s">
        <v>61</v>
      </c>
      <c r="AT85" t="s">
        <v>61</v>
      </c>
      <c r="AU85" t="s">
        <v>61</v>
      </c>
      <c r="AV85" t="s">
        <v>61</v>
      </c>
      <c r="AW85" t="s">
        <v>61</v>
      </c>
      <c r="AX85" t="s">
        <v>61</v>
      </c>
      <c r="AY85" t="s">
        <v>61</v>
      </c>
      <c r="AZ85" t="s">
        <v>61</v>
      </c>
      <c r="BA85" t="s">
        <v>61</v>
      </c>
      <c r="BB85" t="s">
        <v>61</v>
      </c>
      <c r="BC85" t="s">
        <v>61</v>
      </c>
      <c r="BD85" t="s">
        <v>61</v>
      </c>
      <c r="BE85" t="s">
        <v>61</v>
      </c>
      <c r="BF85" t="s">
        <v>61</v>
      </c>
    </row>
    <row r="86" spans="1:58">
      <c r="A86" t="s">
        <v>58</v>
      </c>
      <c r="B86" t="s">
        <v>712</v>
      </c>
      <c r="C86" t="s">
        <v>713</v>
      </c>
      <c r="D86" t="s">
        <v>714</v>
      </c>
      <c r="E86" t="s">
        <v>61</v>
      </c>
      <c r="F86">
        <v>2012</v>
      </c>
      <c r="G86" t="s">
        <v>61</v>
      </c>
      <c r="H86">
        <v>46</v>
      </c>
      <c r="I86">
        <v>2</v>
      </c>
      <c r="J86">
        <v>224</v>
      </c>
      <c r="K86">
        <v>239</v>
      </c>
      <c r="L86" t="s">
        <v>715</v>
      </c>
      <c r="M86" t="s">
        <v>716</v>
      </c>
      <c r="N86" t="s">
        <v>717</v>
      </c>
      <c r="O86" t="s">
        <v>61</v>
      </c>
      <c r="Q86" t="s">
        <v>61</v>
      </c>
      <c r="R86" t="s">
        <v>61</v>
      </c>
      <c r="S86" t="s">
        <v>61</v>
      </c>
      <c r="T86" t="s">
        <v>61</v>
      </c>
      <c r="X86" t="s">
        <v>61</v>
      </c>
      <c r="Y86" t="s">
        <v>718</v>
      </c>
      <c r="Z86" t="s">
        <v>61</v>
      </c>
      <c r="AA86" t="s">
        <v>61</v>
      </c>
      <c r="AB86">
        <v>2012479968</v>
      </c>
      <c r="AC86" t="s">
        <v>719</v>
      </c>
      <c r="AD86" t="s">
        <v>61</v>
      </c>
      <c r="AE86" t="s">
        <v>61</v>
      </c>
      <c r="AF86" t="s">
        <v>61</v>
      </c>
      <c r="AG86" t="s">
        <v>61</v>
      </c>
      <c r="AH86" t="s">
        <v>61</v>
      </c>
      <c r="AI86" t="s">
        <v>61</v>
      </c>
      <c r="AJ86" t="s">
        <v>61</v>
      </c>
      <c r="AK86" t="s">
        <v>61</v>
      </c>
      <c r="AL86" t="s">
        <v>61</v>
      </c>
      <c r="AM86" t="s">
        <v>713</v>
      </c>
      <c r="AN86" t="s">
        <v>61</v>
      </c>
      <c r="AO86" t="s">
        <v>61</v>
      </c>
      <c r="AP86" t="s">
        <v>61</v>
      </c>
      <c r="AQ86" t="s">
        <v>61</v>
      </c>
      <c r="AR86" t="s">
        <v>61</v>
      </c>
      <c r="AS86" t="s">
        <v>61</v>
      </c>
      <c r="AT86" t="s">
        <v>61</v>
      </c>
      <c r="AU86" t="s">
        <v>61</v>
      </c>
      <c r="AV86" t="s">
        <v>61</v>
      </c>
      <c r="AW86" t="s">
        <v>61</v>
      </c>
      <c r="AX86" t="s">
        <v>61</v>
      </c>
      <c r="AY86" t="s">
        <v>61</v>
      </c>
      <c r="AZ86" t="s">
        <v>61</v>
      </c>
      <c r="BA86" t="s">
        <v>61</v>
      </c>
      <c r="BB86" t="s">
        <v>61</v>
      </c>
      <c r="BC86" t="s">
        <v>61</v>
      </c>
      <c r="BD86" t="s">
        <v>61</v>
      </c>
      <c r="BE86" t="s">
        <v>61</v>
      </c>
      <c r="BF86" t="s">
        <v>61</v>
      </c>
    </row>
    <row r="87" spans="1:58">
      <c r="A87" t="s">
        <v>58</v>
      </c>
      <c r="B87" t="s">
        <v>720</v>
      </c>
      <c r="C87" t="s">
        <v>721</v>
      </c>
      <c r="D87" t="s">
        <v>722</v>
      </c>
      <c r="E87" t="s">
        <v>61</v>
      </c>
      <c r="F87">
        <v>2011</v>
      </c>
      <c r="G87" t="s">
        <v>61</v>
      </c>
      <c r="H87">
        <v>131</v>
      </c>
      <c r="I87">
        <v>12</v>
      </c>
      <c r="J87">
        <v>1761</v>
      </c>
      <c r="K87">
        <v>1764</v>
      </c>
      <c r="L87" t="s">
        <v>723</v>
      </c>
      <c r="M87" t="s">
        <v>724</v>
      </c>
      <c r="N87" t="s">
        <v>725</v>
      </c>
      <c r="O87" t="s">
        <v>61</v>
      </c>
      <c r="Q87" t="s">
        <v>61</v>
      </c>
      <c r="R87" t="s">
        <v>61</v>
      </c>
      <c r="S87" t="s">
        <v>61</v>
      </c>
      <c r="T87" t="s">
        <v>61</v>
      </c>
      <c r="X87" t="s">
        <v>61</v>
      </c>
      <c r="Y87" t="s">
        <v>726</v>
      </c>
      <c r="Z87" t="s">
        <v>61</v>
      </c>
      <c r="AA87" t="s">
        <v>727</v>
      </c>
      <c r="AB87">
        <v>22129874</v>
      </c>
      <c r="AC87" t="s">
        <v>67</v>
      </c>
      <c r="AD87" t="s">
        <v>61</v>
      </c>
      <c r="AE87" t="s">
        <v>61</v>
      </c>
      <c r="AF87" t="s">
        <v>61</v>
      </c>
      <c r="AG87" t="s">
        <v>728</v>
      </c>
      <c r="AH87" t="s">
        <v>61</v>
      </c>
      <c r="AI87" t="s">
        <v>61</v>
      </c>
      <c r="AJ87" t="s">
        <v>61</v>
      </c>
      <c r="AK87" t="s">
        <v>61</v>
      </c>
      <c r="AL87" t="s">
        <v>61</v>
      </c>
      <c r="AM87" t="s">
        <v>729</v>
      </c>
      <c r="AN87" t="s">
        <v>61</v>
      </c>
      <c r="AO87" t="s">
        <v>61</v>
      </c>
      <c r="AP87" t="s">
        <v>61</v>
      </c>
      <c r="AQ87" t="s">
        <v>61</v>
      </c>
      <c r="AR87" t="s">
        <v>61</v>
      </c>
      <c r="AS87" t="s">
        <v>61</v>
      </c>
      <c r="AT87" t="s">
        <v>61</v>
      </c>
      <c r="AU87" t="s">
        <v>61</v>
      </c>
      <c r="AV87" t="s">
        <v>61</v>
      </c>
      <c r="AW87" t="s">
        <v>61</v>
      </c>
      <c r="AX87" t="s">
        <v>61</v>
      </c>
      <c r="AY87" t="s">
        <v>61</v>
      </c>
      <c r="AZ87" t="s">
        <v>61</v>
      </c>
      <c r="BA87" t="s">
        <v>61</v>
      </c>
      <c r="BB87" t="s">
        <v>61</v>
      </c>
      <c r="BC87" t="s">
        <v>61</v>
      </c>
      <c r="BD87" t="s">
        <v>61</v>
      </c>
      <c r="BE87" t="s">
        <v>61</v>
      </c>
      <c r="BF87" t="s">
        <v>61</v>
      </c>
    </row>
    <row r="88" spans="1:58">
      <c r="A88" t="s">
        <v>58</v>
      </c>
      <c r="B88" t="s">
        <v>720</v>
      </c>
      <c r="C88" t="s">
        <v>730</v>
      </c>
      <c r="D88" t="s">
        <v>60</v>
      </c>
      <c r="E88" t="s">
        <v>61</v>
      </c>
      <c r="F88">
        <v>1997</v>
      </c>
      <c r="G88" s="1">
        <v>42491</v>
      </c>
      <c r="H88">
        <v>54</v>
      </c>
      <c r="I88">
        <v>9</v>
      </c>
      <c r="J88">
        <v>1053</v>
      </c>
      <c r="K88">
        <v>1057</v>
      </c>
      <c r="L88" t="s">
        <v>731</v>
      </c>
      <c r="M88" t="s">
        <v>732</v>
      </c>
      <c r="N88" t="s">
        <v>733</v>
      </c>
      <c r="O88" t="s">
        <v>61</v>
      </c>
      <c r="Q88" t="s">
        <v>61</v>
      </c>
      <c r="R88" t="s">
        <v>61</v>
      </c>
      <c r="S88" t="s">
        <v>61</v>
      </c>
      <c r="T88" t="s">
        <v>61</v>
      </c>
      <c r="X88" t="s">
        <v>61</v>
      </c>
      <c r="Y88" t="s">
        <v>66</v>
      </c>
      <c r="Z88" t="s">
        <v>61</v>
      </c>
      <c r="AA88" t="s">
        <v>734</v>
      </c>
      <c r="AB88">
        <v>9143653</v>
      </c>
      <c r="AC88" t="s">
        <v>67</v>
      </c>
      <c r="AD88" t="s">
        <v>61</v>
      </c>
      <c r="AE88" t="s">
        <v>61</v>
      </c>
      <c r="AF88" t="s">
        <v>61</v>
      </c>
      <c r="AG88" t="s">
        <v>735</v>
      </c>
      <c r="AH88" t="s">
        <v>61</v>
      </c>
      <c r="AI88" t="s">
        <v>61</v>
      </c>
      <c r="AJ88" t="s">
        <v>61</v>
      </c>
      <c r="AK88" t="s">
        <v>61</v>
      </c>
      <c r="AL88" t="s">
        <v>61</v>
      </c>
      <c r="AM88" t="s">
        <v>736</v>
      </c>
      <c r="AN88" t="s">
        <v>61</v>
      </c>
      <c r="AO88" t="s">
        <v>61</v>
      </c>
      <c r="AP88" t="s">
        <v>61</v>
      </c>
      <c r="AQ88" t="s">
        <v>61</v>
      </c>
      <c r="AR88" t="s">
        <v>61</v>
      </c>
      <c r="AS88" t="s">
        <v>61</v>
      </c>
      <c r="AT88" t="s">
        <v>61</v>
      </c>
      <c r="AU88" t="s">
        <v>61</v>
      </c>
      <c r="AV88" t="s">
        <v>61</v>
      </c>
      <c r="AW88" t="s">
        <v>61</v>
      </c>
      <c r="AX88" t="s">
        <v>61</v>
      </c>
      <c r="AY88" t="s">
        <v>61</v>
      </c>
      <c r="AZ88" t="s">
        <v>61</v>
      </c>
      <c r="BA88" t="s">
        <v>61</v>
      </c>
      <c r="BB88" t="s">
        <v>61</v>
      </c>
      <c r="BC88" t="s">
        <v>61</v>
      </c>
      <c r="BD88" t="s">
        <v>61</v>
      </c>
      <c r="BE88" t="s">
        <v>61</v>
      </c>
      <c r="BF88" t="s">
        <v>61</v>
      </c>
    </row>
    <row r="89" spans="1:58">
      <c r="A89" t="s">
        <v>58</v>
      </c>
      <c r="B89" t="s">
        <v>737</v>
      </c>
      <c r="C89" t="s">
        <v>738</v>
      </c>
      <c r="D89" t="s">
        <v>153</v>
      </c>
      <c r="E89" t="s">
        <v>61</v>
      </c>
      <c r="F89">
        <v>2006</v>
      </c>
      <c r="G89" t="s">
        <v>739</v>
      </c>
      <c r="H89">
        <v>46</v>
      </c>
      <c r="I89">
        <v>5</v>
      </c>
      <c r="J89">
        <v>561</v>
      </c>
      <c r="K89">
        <v>562</v>
      </c>
      <c r="L89" t="s">
        <v>740</v>
      </c>
      <c r="M89" t="s">
        <v>61</v>
      </c>
      <c r="N89" t="s">
        <v>741</v>
      </c>
      <c r="O89" t="s">
        <v>61</v>
      </c>
      <c r="Q89" t="s">
        <v>61</v>
      </c>
      <c r="R89" t="s">
        <v>61</v>
      </c>
      <c r="S89" t="s">
        <v>61</v>
      </c>
      <c r="T89" t="s">
        <v>61</v>
      </c>
      <c r="X89" t="s">
        <v>61</v>
      </c>
      <c r="Y89" t="s">
        <v>632</v>
      </c>
      <c r="Z89" t="s">
        <v>61</v>
      </c>
      <c r="AA89" t="s">
        <v>61</v>
      </c>
      <c r="AB89">
        <v>17517561</v>
      </c>
      <c r="AC89" t="s">
        <v>67</v>
      </c>
      <c r="AD89" t="s">
        <v>61</v>
      </c>
      <c r="AE89" t="s">
        <v>61</v>
      </c>
      <c r="AF89" t="s">
        <v>61</v>
      </c>
      <c r="AG89" t="s">
        <v>742</v>
      </c>
      <c r="AH89" t="s">
        <v>61</v>
      </c>
      <c r="AI89" t="s">
        <v>61</v>
      </c>
      <c r="AJ89" t="s">
        <v>61</v>
      </c>
      <c r="AK89" t="s">
        <v>61</v>
      </c>
      <c r="AL89" t="s">
        <v>61</v>
      </c>
      <c r="AM89" t="s">
        <v>743</v>
      </c>
      <c r="AN89" t="s">
        <v>61</v>
      </c>
      <c r="AO89" t="s">
        <v>61</v>
      </c>
      <c r="AP89" t="s">
        <v>61</v>
      </c>
      <c r="AQ89" t="s">
        <v>61</v>
      </c>
      <c r="AR89" t="s">
        <v>61</v>
      </c>
      <c r="AS89" t="s">
        <v>61</v>
      </c>
      <c r="AT89" t="s">
        <v>61</v>
      </c>
      <c r="AU89" t="s">
        <v>61</v>
      </c>
      <c r="AV89" t="s">
        <v>61</v>
      </c>
      <c r="AW89" t="s">
        <v>61</v>
      </c>
      <c r="AX89" t="s">
        <v>61</v>
      </c>
      <c r="AY89" t="s">
        <v>61</v>
      </c>
      <c r="AZ89" t="s">
        <v>61</v>
      </c>
      <c r="BA89" t="s">
        <v>61</v>
      </c>
      <c r="BB89" t="s">
        <v>61</v>
      </c>
      <c r="BC89" t="s">
        <v>61</v>
      </c>
      <c r="BD89" t="s">
        <v>61</v>
      </c>
      <c r="BE89" t="s">
        <v>61</v>
      </c>
      <c r="BF89" t="s">
        <v>61</v>
      </c>
    </row>
    <row r="90" spans="1:58">
      <c r="A90" t="s">
        <v>58</v>
      </c>
      <c r="B90" t="s">
        <v>744</v>
      </c>
      <c r="C90" t="s">
        <v>745</v>
      </c>
      <c r="D90" t="s">
        <v>475</v>
      </c>
      <c r="E90" t="s">
        <v>61</v>
      </c>
      <c r="F90">
        <v>2014</v>
      </c>
      <c r="G90" t="s">
        <v>61</v>
      </c>
      <c r="H90">
        <v>36</v>
      </c>
      <c r="I90">
        <v>6</v>
      </c>
      <c r="J90">
        <v>1213</v>
      </c>
      <c r="K90">
        <v>1221</v>
      </c>
      <c r="L90" t="s">
        <v>746</v>
      </c>
      <c r="M90" t="s">
        <v>747</v>
      </c>
      <c r="N90" t="s">
        <v>748</v>
      </c>
      <c r="O90" t="s">
        <v>61</v>
      </c>
      <c r="Q90" t="s">
        <v>61</v>
      </c>
      <c r="R90" t="s">
        <v>61</v>
      </c>
      <c r="S90" t="s">
        <v>61</v>
      </c>
      <c r="T90" t="s">
        <v>61</v>
      </c>
      <c r="X90" t="s">
        <v>61</v>
      </c>
      <c r="Y90" t="s">
        <v>308</v>
      </c>
      <c r="Z90" t="s">
        <v>61</v>
      </c>
      <c r="AA90" t="s">
        <v>61</v>
      </c>
      <c r="AB90" t="s">
        <v>749</v>
      </c>
      <c r="AC90" t="s">
        <v>67</v>
      </c>
      <c r="AD90" t="s">
        <v>61</v>
      </c>
      <c r="AE90" t="s">
        <v>61</v>
      </c>
      <c r="AF90" t="s">
        <v>61</v>
      </c>
      <c r="AG90" t="s">
        <v>61</v>
      </c>
      <c r="AH90" t="s">
        <v>61</v>
      </c>
      <c r="AI90" t="s">
        <v>61</v>
      </c>
      <c r="AJ90" t="s">
        <v>61</v>
      </c>
      <c r="AK90" t="s">
        <v>61</v>
      </c>
      <c r="AL90" t="s">
        <v>61</v>
      </c>
      <c r="AM90" t="s">
        <v>745</v>
      </c>
      <c r="AN90" t="s">
        <v>61</v>
      </c>
      <c r="AO90" t="s">
        <v>61</v>
      </c>
      <c r="AP90" t="s">
        <v>61</v>
      </c>
      <c r="AQ90" t="s">
        <v>61</v>
      </c>
      <c r="AR90" t="s">
        <v>61</v>
      </c>
      <c r="AS90" t="s">
        <v>61</v>
      </c>
      <c r="AT90" t="s">
        <v>61</v>
      </c>
      <c r="AU90" t="s">
        <v>61</v>
      </c>
      <c r="AV90" t="s">
        <v>61</v>
      </c>
      <c r="AW90" t="s">
        <v>61</v>
      </c>
      <c r="AX90" t="s">
        <v>61</v>
      </c>
      <c r="AY90" t="s">
        <v>61</v>
      </c>
      <c r="AZ90" t="s">
        <v>61</v>
      </c>
      <c r="BA90" t="s">
        <v>61</v>
      </c>
      <c r="BB90" t="s">
        <v>61</v>
      </c>
      <c r="BC90" t="s">
        <v>61</v>
      </c>
      <c r="BD90" t="s">
        <v>61</v>
      </c>
      <c r="BE90" t="s">
        <v>61</v>
      </c>
      <c r="BF90" t="s">
        <v>61</v>
      </c>
    </row>
    <row r="91" spans="1:58">
      <c r="A91" t="s">
        <v>58</v>
      </c>
      <c r="B91" t="s">
        <v>750</v>
      </c>
      <c r="C91" t="s">
        <v>751</v>
      </c>
      <c r="D91" t="s">
        <v>752</v>
      </c>
      <c r="E91" t="s">
        <v>753</v>
      </c>
      <c r="F91">
        <v>2011</v>
      </c>
      <c r="G91" t="s">
        <v>409</v>
      </c>
      <c r="H91" t="s">
        <v>754</v>
      </c>
      <c r="I91" t="s">
        <v>61</v>
      </c>
      <c r="J91">
        <v>65</v>
      </c>
      <c r="K91">
        <v>66</v>
      </c>
      <c r="L91" t="s">
        <v>755</v>
      </c>
      <c r="M91" t="s">
        <v>756</v>
      </c>
      <c r="N91" t="s">
        <v>757</v>
      </c>
      <c r="O91" t="s">
        <v>61</v>
      </c>
      <c r="Q91" t="s">
        <v>61</v>
      </c>
      <c r="R91" t="s">
        <v>61</v>
      </c>
      <c r="S91" t="s">
        <v>61</v>
      </c>
      <c r="T91" t="s">
        <v>61</v>
      </c>
      <c r="X91" t="s">
        <v>61</v>
      </c>
      <c r="Y91" t="s">
        <v>758</v>
      </c>
      <c r="Z91" t="s">
        <v>61</v>
      </c>
      <c r="AA91" t="s">
        <v>61</v>
      </c>
      <c r="AB91" t="s">
        <v>61</v>
      </c>
      <c r="AC91" t="s">
        <v>67</v>
      </c>
      <c r="AD91" t="s">
        <v>61</v>
      </c>
      <c r="AE91" t="s">
        <v>61</v>
      </c>
      <c r="AF91" t="s">
        <v>61</v>
      </c>
      <c r="AG91" t="s">
        <v>61</v>
      </c>
      <c r="AH91" t="s">
        <v>61</v>
      </c>
      <c r="AI91" t="s">
        <v>61</v>
      </c>
      <c r="AJ91" t="s">
        <v>61</v>
      </c>
      <c r="AK91" t="s">
        <v>61</v>
      </c>
      <c r="AL91" t="s">
        <v>61</v>
      </c>
      <c r="AM91" t="s">
        <v>751</v>
      </c>
      <c r="AN91" t="s">
        <v>61</v>
      </c>
      <c r="AO91" t="s">
        <v>61</v>
      </c>
      <c r="AP91" t="s">
        <v>61</v>
      </c>
      <c r="AQ91" t="s">
        <v>61</v>
      </c>
      <c r="AR91" t="s">
        <v>61</v>
      </c>
      <c r="AS91" t="s">
        <v>61</v>
      </c>
      <c r="AT91" t="s">
        <v>61</v>
      </c>
      <c r="AU91" t="s">
        <v>61</v>
      </c>
      <c r="AV91" t="s">
        <v>61</v>
      </c>
      <c r="AW91" t="s">
        <v>61</v>
      </c>
      <c r="AX91" t="s">
        <v>61</v>
      </c>
      <c r="AY91" t="s">
        <v>61</v>
      </c>
      <c r="AZ91" t="s">
        <v>61</v>
      </c>
      <c r="BA91" t="s">
        <v>61</v>
      </c>
      <c r="BB91" t="s">
        <v>61</v>
      </c>
      <c r="BC91" t="s">
        <v>61</v>
      </c>
      <c r="BD91" t="s">
        <v>61</v>
      </c>
      <c r="BE91" t="s">
        <v>61</v>
      </c>
      <c r="BF91" t="s">
        <v>61</v>
      </c>
    </row>
    <row r="92" spans="1:58">
      <c r="A92" t="s">
        <v>58</v>
      </c>
      <c r="B92" t="s">
        <v>759</v>
      </c>
      <c r="C92" t="s">
        <v>760</v>
      </c>
      <c r="D92" t="s">
        <v>761</v>
      </c>
      <c r="E92" t="s">
        <v>762</v>
      </c>
      <c r="F92">
        <v>2001</v>
      </c>
      <c r="G92" t="s">
        <v>61</v>
      </c>
      <c r="H92">
        <v>104</v>
      </c>
      <c r="I92">
        <v>6</v>
      </c>
      <c r="J92">
        <v>458</v>
      </c>
      <c r="K92">
        <v>465</v>
      </c>
      <c r="L92" t="s">
        <v>763</v>
      </c>
      <c r="M92" t="s">
        <v>764</v>
      </c>
      <c r="N92" t="s">
        <v>765</v>
      </c>
      <c r="O92" t="s">
        <v>61</v>
      </c>
      <c r="Q92" t="s">
        <v>61</v>
      </c>
      <c r="R92" t="s">
        <v>61</v>
      </c>
      <c r="S92" t="s">
        <v>61</v>
      </c>
      <c r="T92" t="s">
        <v>61</v>
      </c>
      <c r="X92" t="s">
        <v>61</v>
      </c>
      <c r="Y92" t="s">
        <v>766</v>
      </c>
      <c r="Z92" t="s">
        <v>61</v>
      </c>
      <c r="AA92" t="s">
        <v>61</v>
      </c>
      <c r="AB92">
        <v>2001441129</v>
      </c>
      <c r="AC92" t="s">
        <v>67</v>
      </c>
      <c r="AD92" t="s">
        <v>61</v>
      </c>
      <c r="AE92" t="s">
        <v>61</v>
      </c>
      <c r="AF92" t="s">
        <v>61</v>
      </c>
      <c r="AG92" t="s">
        <v>767</v>
      </c>
      <c r="AH92" t="s">
        <v>61</v>
      </c>
      <c r="AI92" t="s">
        <v>61</v>
      </c>
      <c r="AJ92" t="s">
        <v>61</v>
      </c>
      <c r="AK92" t="s">
        <v>61</v>
      </c>
      <c r="AL92" t="s">
        <v>61</v>
      </c>
      <c r="AM92" t="s">
        <v>768</v>
      </c>
      <c r="AN92" t="s">
        <v>61</v>
      </c>
      <c r="AO92" t="s">
        <v>61</v>
      </c>
      <c r="AP92" t="s">
        <v>61</v>
      </c>
      <c r="AQ92" t="s">
        <v>61</v>
      </c>
      <c r="AR92" t="s">
        <v>61</v>
      </c>
      <c r="AS92" t="s">
        <v>61</v>
      </c>
      <c r="AT92" t="s">
        <v>61</v>
      </c>
      <c r="AU92" t="s">
        <v>61</v>
      </c>
      <c r="AV92" t="s">
        <v>61</v>
      </c>
      <c r="AW92" t="s">
        <v>61</v>
      </c>
      <c r="AX92" t="s">
        <v>61</v>
      </c>
      <c r="AY92" t="s">
        <v>61</v>
      </c>
      <c r="AZ92" t="s">
        <v>61</v>
      </c>
      <c r="BA92" t="s">
        <v>61</v>
      </c>
      <c r="BB92" t="s">
        <v>61</v>
      </c>
      <c r="BC92" t="s">
        <v>61</v>
      </c>
      <c r="BD92" t="s">
        <v>61</v>
      </c>
      <c r="BE92" t="s">
        <v>61</v>
      </c>
      <c r="BF92" t="s">
        <v>61</v>
      </c>
    </row>
    <row r="93" spans="1:58">
      <c r="A93" t="s">
        <v>58</v>
      </c>
      <c r="B93" t="s">
        <v>769</v>
      </c>
      <c r="C93" t="s">
        <v>770</v>
      </c>
      <c r="D93" t="s">
        <v>771</v>
      </c>
      <c r="E93" t="s">
        <v>61</v>
      </c>
      <c r="F93">
        <v>2014</v>
      </c>
      <c r="G93" t="s">
        <v>739</v>
      </c>
      <c r="H93">
        <v>49</v>
      </c>
      <c r="I93">
        <v>5</v>
      </c>
      <c r="J93">
        <v>531</v>
      </c>
      <c r="K93">
        <v>539</v>
      </c>
      <c r="L93" t="s">
        <v>772</v>
      </c>
      <c r="M93" t="s">
        <v>773</v>
      </c>
      <c r="N93" t="s">
        <v>774</v>
      </c>
      <c r="O93" t="s">
        <v>61</v>
      </c>
      <c r="Q93" t="s">
        <v>61</v>
      </c>
      <c r="R93" t="s">
        <v>61</v>
      </c>
      <c r="S93" t="s">
        <v>61</v>
      </c>
      <c r="T93" t="s">
        <v>61</v>
      </c>
      <c r="X93" t="s">
        <v>61</v>
      </c>
      <c r="Y93" t="s">
        <v>775</v>
      </c>
      <c r="Z93" t="s">
        <v>61</v>
      </c>
      <c r="AA93" t="s">
        <v>776</v>
      </c>
      <c r="AB93">
        <v>25031247</v>
      </c>
      <c r="AC93" t="s">
        <v>67</v>
      </c>
      <c r="AD93" t="s">
        <v>61</v>
      </c>
      <c r="AE93" t="s">
        <v>61</v>
      </c>
      <c r="AF93" t="s">
        <v>61</v>
      </c>
      <c r="AG93" t="s">
        <v>777</v>
      </c>
      <c r="AH93" t="s">
        <v>61</v>
      </c>
      <c r="AI93" t="s">
        <v>778</v>
      </c>
      <c r="AJ93" t="s">
        <v>61</v>
      </c>
      <c r="AK93" t="s">
        <v>61</v>
      </c>
      <c r="AL93" t="s">
        <v>61</v>
      </c>
      <c r="AM93" t="s">
        <v>779</v>
      </c>
      <c r="AN93" t="s">
        <v>61</v>
      </c>
      <c r="AO93" t="s">
        <v>61</v>
      </c>
      <c r="AP93" t="s">
        <v>61</v>
      </c>
      <c r="AQ93" t="s">
        <v>61</v>
      </c>
      <c r="AR93" t="s">
        <v>61</v>
      </c>
      <c r="AS93" t="s">
        <v>61</v>
      </c>
      <c r="AT93" t="s">
        <v>61</v>
      </c>
      <c r="AU93" t="s">
        <v>61</v>
      </c>
      <c r="AV93" t="s">
        <v>61</v>
      </c>
      <c r="AW93" t="s">
        <v>61</v>
      </c>
      <c r="AX93" t="s">
        <v>61</v>
      </c>
      <c r="AY93" t="s">
        <v>61</v>
      </c>
      <c r="AZ93" t="s">
        <v>61</v>
      </c>
      <c r="BA93" t="s">
        <v>61</v>
      </c>
      <c r="BB93" t="s">
        <v>61</v>
      </c>
      <c r="BC93" t="s">
        <v>61</v>
      </c>
      <c r="BD93" t="s">
        <v>61</v>
      </c>
      <c r="BE93" t="s">
        <v>61</v>
      </c>
      <c r="BF93" t="s">
        <v>61</v>
      </c>
    </row>
    <row r="94" spans="1:58">
      <c r="A94" t="s">
        <v>58</v>
      </c>
      <c r="B94" t="s">
        <v>780</v>
      </c>
      <c r="C94" t="s">
        <v>781</v>
      </c>
      <c r="D94" t="s">
        <v>782</v>
      </c>
      <c r="E94" t="s">
        <v>783</v>
      </c>
      <c r="F94">
        <v>2013</v>
      </c>
      <c r="G94">
        <v>1</v>
      </c>
      <c r="H94">
        <v>62</v>
      </c>
      <c r="I94">
        <v>3</v>
      </c>
      <c r="J94">
        <v>282</v>
      </c>
      <c r="K94">
        <v>292</v>
      </c>
      <c r="L94" t="s">
        <v>784</v>
      </c>
      <c r="M94" t="s">
        <v>785</v>
      </c>
      <c r="N94" t="s">
        <v>786</v>
      </c>
      <c r="O94" t="s">
        <v>61</v>
      </c>
      <c r="Q94" t="s">
        <v>61</v>
      </c>
      <c r="R94" t="s">
        <v>61</v>
      </c>
      <c r="S94" t="s">
        <v>61</v>
      </c>
      <c r="T94" t="s">
        <v>61</v>
      </c>
      <c r="X94" t="s">
        <v>61</v>
      </c>
      <c r="Y94" t="s">
        <v>787</v>
      </c>
      <c r="Z94" t="s">
        <v>61</v>
      </c>
      <c r="AA94" t="s">
        <v>61</v>
      </c>
      <c r="AB94">
        <v>2013249480</v>
      </c>
      <c r="AC94" t="s">
        <v>67</v>
      </c>
      <c r="AD94" t="s">
        <v>61</v>
      </c>
      <c r="AE94" t="s">
        <v>61</v>
      </c>
      <c r="AF94" t="s">
        <v>61</v>
      </c>
      <c r="AG94" t="s">
        <v>788</v>
      </c>
      <c r="AH94" t="s">
        <v>61</v>
      </c>
      <c r="AI94" t="s">
        <v>61</v>
      </c>
      <c r="AJ94" t="s">
        <v>61</v>
      </c>
      <c r="AK94" t="s">
        <v>61</v>
      </c>
      <c r="AL94" t="s">
        <v>61</v>
      </c>
      <c r="AM94" t="s">
        <v>789</v>
      </c>
      <c r="AN94" t="s">
        <v>61</v>
      </c>
      <c r="AO94" t="s">
        <v>61</v>
      </c>
      <c r="AP94" t="s">
        <v>61</v>
      </c>
      <c r="AQ94" t="s">
        <v>61</v>
      </c>
      <c r="AR94" t="s">
        <v>61</v>
      </c>
      <c r="AS94" t="s">
        <v>61</v>
      </c>
      <c r="AT94" t="s">
        <v>61</v>
      </c>
      <c r="AU94" t="s">
        <v>61</v>
      </c>
      <c r="AV94" t="s">
        <v>61</v>
      </c>
      <c r="AW94" t="s">
        <v>61</v>
      </c>
      <c r="AX94" t="s">
        <v>61</v>
      </c>
      <c r="AY94" t="s">
        <v>61</v>
      </c>
      <c r="AZ94" t="s">
        <v>61</v>
      </c>
      <c r="BA94" t="s">
        <v>61</v>
      </c>
      <c r="BB94" t="s">
        <v>61</v>
      </c>
      <c r="BC94" t="s">
        <v>61</v>
      </c>
      <c r="BD94" t="s">
        <v>61</v>
      </c>
      <c r="BE94" t="s">
        <v>61</v>
      </c>
      <c r="BF94" t="s">
        <v>61</v>
      </c>
    </row>
    <row r="95" spans="1:58">
      <c r="A95" t="s">
        <v>58</v>
      </c>
      <c r="B95" t="s">
        <v>790</v>
      </c>
      <c r="C95" t="s">
        <v>791</v>
      </c>
      <c r="D95" t="s">
        <v>792</v>
      </c>
      <c r="E95" t="s">
        <v>793</v>
      </c>
      <c r="F95">
        <v>1998</v>
      </c>
      <c r="G95" t="s">
        <v>418</v>
      </c>
      <c r="H95">
        <v>23</v>
      </c>
      <c r="I95">
        <v>8</v>
      </c>
      <c r="J95">
        <v>47</v>
      </c>
      <c r="K95" t="s">
        <v>794</v>
      </c>
      <c r="L95" t="s">
        <v>795</v>
      </c>
      <c r="M95" t="s">
        <v>796</v>
      </c>
      <c r="N95" t="s">
        <v>797</v>
      </c>
      <c r="O95" t="s">
        <v>61</v>
      </c>
      <c r="Q95" t="s">
        <v>61</v>
      </c>
      <c r="R95" t="s">
        <v>61</v>
      </c>
      <c r="S95" t="s">
        <v>61</v>
      </c>
      <c r="T95" t="s">
        <v>61</v>
      </c>
      <c r="X95" t="s">
        <v>61</v>
      </c>
      <c r="Y95" t="s">
        <v>798</v>
      </c>
      <c r="Z95" t="s">
        <v>61</v>
      </c>
      <c r="AA95" t="s">
        <v>799</v>
      </c>
      <c r="AB95">
        <v>9718601</v>
      </c>
      <c r="AC95" t="s">
        <v>67</v>
      </c>
      <c r="AD95" t="s">
        <v>61</v>
      </c>
      <c r="AE95" t="s">
        <v>61</v>
      </c>
      <c r="AF95" t="s">
        <v>61</v>
      </c>
      <c r="AG95" t="s">
        <v>800</v>
      </c>
      <c r="AH95" t="s">
        <v>61</v>
      </c>
      <c r="AI95" t="s">
        <v>61</v>
      </c>
      <c r="AJ95" t="s">
        <v>61</v>
      </c>
      <c r="AK95" t="s">
        <v>61</v>
      </c>
      <c r="AL95" t="s">
        <v>61</v>
      </c>
      <c r="AM95" t="s">
        <v>801</v>
      </c>
      <c r="AN95" t="s">
        <v>61</v>
      </c>
      <c r="AO95" t="s">
        <v>61</v>
      </c>
      <c r="AP95" t="s">
        <v>61</v>
      </c>
      <c r="AQ95" t="s">
        <v>61</v>
      </c>
      <c r="AR95" t="s">
        <v>61</v>
      </c>
      <c r="AS95" t="s">
        <v>61</v>
      </c>
      <c r="AT95" t="s">
        <v>61</v>
      </c>
      <c r="AU95" t="s">
        <v>61</v>
      </c>
      <c r="AV95" t="s">
        <v>61</v>
      </c>
      <c r="AW95" t="s">
        <v>61</v>
      </c>
      <c r="AX95" t="s">
        <v>61</v>
      </c>
      <c r="AY95" t="s">
        <v>61</v>
      </c>
      <c r="AZ95" t="s">
        <v>61</v>
      </c>
      <c r="BA95" t="s">
        <v>61</v>
      </c>
      <c r="BB95" t="s">
        <v>61</v>
      </c>
      <c r="BC95" t="s">
        <v>61</v>
      </c>
      <c r="BD95" t="s">
        <v>61</v>
      </c>
      <c r="BE95" t="s">
        <v>61</v>
      </c>
      <c r="BF95" t="s">
        <v>61</v>
      </c>
    </row>
    <row r="96" spans="1:58">
      <c r="A96" t="s">
        <v>58</v>
      </c>
      <c r="B96" t="s">
        <v>802</v>
      </c>
      <c r="C96" t="s">
        <v>803</v>
      </c>
      <c r="D96" t="s">
        <v>804</v>
      </c>
      <c r="E96" t="s">
        <v>805</v>
      </c>
      <c r="F96">
        <v>2013</v>
      </c>
      <c r="G96" t="s">
        <v>280</v>
      </c>
      <c r="H96">
        <v>67</v>
      </c>
      <c r="I96">
        <v>12</v>
      </c>
      <c r="J96">
        <v>1342</v>
      </c>
      <c r="K96">
        <v>1349</v>
      </c>
      <c r="L96" t="s">
        <v>806</v>
      </c>
      <c r="M96" t="s">
        <v>807</v>
      </c>
      <c r="N96" t="s">
        <v>808</v>
      </c>
      <c r="O96" t="s">
        <v>61</v>
      </c>
      <c r="Q96" t="s">
        <v>61</v>
      </c>
      <c r="R96" t="s">
        <v>61</v>
      </c>
      <c r="S96" t="s">
        <v>61</v>
      </c>
      <c r="T96" t="s">
        <v>61</v>
      </c>
      <c r="X96" t="s">
        <v>61</v>
      </c>
      <c r="Y96" t="s">
        <v>809</v>
      </c>
      <c r="Z96" t="s">
        <v>61</v>
      </c>
      <c r="AA96" t="s">
        <v>810</v>
      </c>
      <c r="AB96">
        <v>24246213</v>
      </c>
      <c r="AC96" t="s">
        <v>67</v>
      </c>
      <c r="AD96" t="s">
        <v>61</v>
      </c>
      <c r="AE96" t="s">
        <v>61</v>
      </c>
      <c r="AF96" t="s">
        <v>61</v>
      </c>
      <c r="AG96" t="s">
        <v>811</v>
      </c>
      <c r="AH96" t="s">
        <v>61</v>
      </c>
      <c r="AI96" t="s">
        <v>812</v>
      </c>
      <c r="AJ96" t="s">
        <v>61</v>
      </c>
      <c r="AK96" t="s">
        <v>61</v>
      </c>
      <c r="AL96" t="s">
        <v>61</v>
      </c>
      <c r="AM96" t="s">
        <v>813</v>
      </c>
      <c r="AN96" t="s">
        <v>61</v>
      </c>
      <c r="AO96" t="s">
        <v>61</v>
      </c>
      <c r="AP96" t="s">
        <v>61</v>
      </c>
      <c r="AQ96" t="s">
        <v>61</v>
      </c>
      <c r="AR96" t="s">
        <v>61</v>
      </c>
      <c r="AS96" t="s">
        <v>61</v>
      </c>
      <c r="AT96" t="s">
        <v>61</v>
      </c>
      <c r="AU96" t="s">
        <v>61</v>
      </c>
      <c r="AV96" t="s">
        <v>61</v>
      </c>
      <c r="AW96" t="s">
        <v>61</v>
      </c>
      <c r="AX96" t="s">
        <v>61</v>
      </c>
      <c r="AY96" t="s">
        <v>61</v>
      </c>
      <c r="AZ96" t="s">
        <v>61</v>
      </c>
      <c r="BA96" t="s">
        <v>61</v>
      </c>
      <c r="BB96" t="s">
        <v>61</v>
      </c>
      <c r="BC96" t="s">
        <v>61</v>
      </c>
      <c r="BD96" t="s">
        <v>61</v>
      </c>
      <c r="BE96" t="s">
        <v>61</v>
      </c>
      <c r="BF96" t="s">
        <v>61</v>
      </c>
    </row>
    <row r="97" spans="1:58">
      <c r="A97" t="s">
        <v>58</v>
      </c>
      <c r="B97" t="s">
        <v>814</v>
      </c>
      <c r="C97" t="s">
        <v>815</v>
      </c>
      <c r="D97" t="s">
        <v>428</v>
      </c>
      <c r="E97" t="s">
        <v>61</v>
      </c>
      <c r="F97">
        <v>2011</v>
      </c>
      <c r="G97" t="s">
        <v>429</v>
      </c>
      <c r="H97">
        <v>24</v>
      </c>
      <c r="I97">
        <v>2</v>
      </c>
      <c r="J97">
        <v>251</v>
      </c>
      <c r="K97" t="s">
        <v>61</v>
      </c>
      <c r="L97" t="s">
        <v>816</v>
      </c>
      <c r="M97" t="s">
        <v>817</v>
      </c>
      <c r="N97" t="s">
        <v>818</v>
      </c>
      <c r="O97" t="s">
        <v>61</v>
      </c>
      <c r="Q97" t="s">
        <v>61</v>
      </c>
      <c r="R97" t="s">
        <v>61</v>
      </c>
      <c r="S97" t="s">
        <v>61</v>
      </c>
      <c r="T97" t="s">
        <v>61</v>
      </c>
      <c r="X97" t="s">
        <v>61</v>
      </c>
      <c r="Y97" t="s">
        <v>433</v>
      </c>
      <c r="Z97" t="s">
        <v>61</v>
      </c>
      <c r="AA97" t="s">
        <v>61</v>
      </c>
      <c r="AB97" t="s">
        <v>61</v>
      </c>
      <c r="AC97" t="s">
        <v>67</v>
      </c>
      <c r="AD97" t="s">
        <v>61</v>
      </c>
      <c r="AE97" t="s">
        <v>61</v>
      </c>
      <c r="AF97" t="s">
        <v>61</v>
      </c>
      <c r="AG97" t="s">
        <v>61</v>
      </c>
      <c r="AH97" t="s">
        <v>61</v>
      </c>
      <c r="AI97" t="s">
        <v>61</v>
      </c>
      <c r="AJ97" t="s">
        <v>61</v>
      </c>
      <c r="AK97" t="s">
        <v>61</v>
      </c>
      <c r="AL97" t="s">
        <v>61</v>
      </c>
      <c r="AM97" t="s">
        <v>815</v>
      </c>
      <c r="AN97" t="s">
        <v>61</v>
      </c>
      <c r="AO97" t="s">
        <v>61</v>
      </c>
      <c r="AP97" t="s">
        <v>61</v>
      </c>
      <c r="AQ97" t="s">
        <v>61</v>
      </c>
      <c r="AR97" t="s">
        <v>61</v>
      </c>
      <c r="AS97" t="s">
        <v>61</v>
      </c>
      <c r="AT97" t="s">
        <v>61</v>
      </c>
      <c r="AU97" t="s">
        <v>61</v>
      </c>
      <c r="AV97" t="s">
        <v>61</v>
      </c>
      <c r="AW97" t="s">
        <v>61</v>
      </c>
      <c r="AX97" t="s">
        <v>61</v>
      </c>
      <c r="AY97" t="s">
        <v>61</v>
      </c>
      <c r="AZ97" t="s">
        <v>61</v>
      </c>
      <c r="BA97" t="s">
        <v>61</v>
      </c>
      <c r="BB97" t="s">
        <v>61</v>
      </c>
      <c r="BC97" t="s">
        <v>61</v>
      </c>
      <c r="BD97" t="s">
        <v>61</v>
      </c>
      <c r="BE97" t="s">
        <v>61</v>
      </c>
      <c r="BF97" t="s">
        <v>61</v>
      </c>
    </row>
    <row r="98" spans="1:58">
      <c r="A98" t="s">
        <v>58</v>
      </c>
      <c r="B98" t="s">
        <v>819</v>
      </c>
      <c r="C98" t="s">
        <v>820</v>
      </c>
      <c r="D98" t="s">
        <v>821</v>
      </c>
      <c r="E98" t="s">
        <v>61</v>
      </c>
      <c r="F98">
        <v>2014</v>
      </c>
      <c r="G98" t="s">
        <v>476</v>
      </c>
      <c r="H98">
        <v>46</v>
      </c>
      <c r="I98">
        <v>7</v>
      </c>
      <c r="J98" t="s">
        <v>822</v>
      </c>
      <c r="K98" t="s">
        <v>823</v>
      </c>
      <c r="L98" t="s">
        <v>824</v>
      </c>
      <c r="M98" t="s">
        <v>825</v>
      </c>
      <c r="N98" t="s">
        <v>826</v>
      </c>
      <c r="O98" t="s">
        <v>61</v>
      </c>
      <c r="Q98" t="s">
        <v>61</v>
      </c>
      <c r="R98" t="s">
        <v>61</v>
      </c>
      <c r="S98" t="s">
        <v>61</v>
      </c>
      <c r="T98" t="s">
        <v>61</v>
      </c>
      <c r="X98" t="s">
        <v>61</v>
      </c>
      <c r="Y98" t="s">
        <v>827</v>
      </c>
      <c r="Z98" t="s">
        <v>61</v>
      </c>
      <c r="AA98" t="s">
        <v>61</v>
      </c>
      <c r="AB98" t="s">
        <v>61</v>
      </c>
      <c r="AC98" t="s">
        <v>67</v>
      </c>
      <c r="AD98" t="s">
        <v>61</v>
      </c>
      <c r="AE98" t="s">
        <v>61</v>
      </c>
      <c r="AF98" t="s">
        <v>61</v>
      </c>
      <c r="AG98" t="s">
        <v>61</v>
      </c>
      <c r="AH98" t="s">
        <v>61</v>
      </c>
      <c r="AI98" t="s">
        <v>61</v>
      </c>
      <c r="AJ98" t="s">
        <v>61</v>
      </c>
      <c r="AK98" t="s">
        <v>61</v>
      </c>
      <c r="AL98" t="s">
        <v>61</v>
      </c>
      <c r="AM98" t="s">
        <v>820</v>
      </c>
      <c r="AN98" t="s">
        <v>61</v>
      </c>
      <c r="AO98" t="s">
        <v>61</v>
      </c>
      <c r="AP98" t="s">
        <v>61</v>
      </c>
      <c r="AQ98" t="s">
        <v>61</v>
      </c>
      <c r="AR98" t="s">
        <v>61</v>
      </c>
      <c r="AS98" t="s">
        <v>61</v>
      </c>
      <c r="AT98" t="s">
        <v>61</v>
      </c>
      <c r="AU98" t="s">
        <v>61</v>
      </c>
      <c r="AV98" t="s">
        <v>61</v>
      </c>
      <c r="AW98" t="s">
        <v>61</v>
      </c>
      <c r="AX98" t="s">
        <v>61</v>
      </c>
      <c r="AY98" t="s">
        <v>61</v>
      </c>
      <c r="AZ98" t="s">
        <v>61</v>
      </c>
      <c r="BA98" t="s">
        <v>61</v>
      </c>
      <c r="BB98" t="s">
        <v>61</v>
      </c>
      <c r="BC98" t="s">
        <v>61</v>
      </c>
      <c r="BD98" t="s">
        <v>61</v>
      </c>
      <c r="BE98" t="s">
        <v>61</v>
      </c>
      <c r="BF98" t="s">
        <v>61</v>
      </c>
    </row>
    <row r="99" spans="1:58">
      <c r="A99" t="s">
        <v>58</v>
      </c>
      <c r="B99" t="s">
        <v>828</v>
      </c>
      <c r="C99" t="s">
        <v>829</v>
      </c>
      <c r="D99" t="s">
        <v>830</v>
      </c>
      <c r="E99" t="s">
        <v>61</v>
      </c>
      <c r="F99">
        <v>2011</v>
      </c>
      <c r="G99" t="s">
        <v>61</v>
      </c>
      <c r="H99">
        <v>18</v>
      </c>
      <c r="I99">
        <v>2</v>
      </c>
      <c r="J99" t="s">
        <v>831</v>
      </c>
      <c r="K99" t="s">
        <v>832</v>
      </c>
      <c r="L99" t="s">
        <v>833</v>
      </c>
      <c r="M99" t="s">
        <v>834</v>
      </c>
      <c r="N99" t="s">
        <v>835</v>
      </c>
      <c r="O99" t="s">
        <v>61</v>
      </c>
      <c r="Q99" t="s">
        <v>61</v>
      </c>
      <c r="R99" t="s">
        <v>61</v>
      </c>
      <c r="S99" t="s">
        <v>61</v>
      </c>
      <c r="T99" t="s">
        <v>61</v>
      </c>
      <c r="X99" t="s">
        <v>61</v>
      </c>
      <c r="Y99" t="s">
        <v>836</v>
      </c>
      <c r="Z99" t="s">
        <v>61</v>
      </c>
      <c r="AA99" t="s">
        <v>61</v>
      </c>
      <c r="AB99" t="s">
        <v>61</v>
      </c>
      <c r="AC99" t="s">
        <v>837</v>
      </c>
      <c r="AD99" t="s">
        <v>61</v>
      </c>
      <c r="AE99" t="s">
        <v>61</v>
      </c>
      <c r="AF99" t="s">
        <v>61</v>
      </c>
      <c r="AG99" t="s">
        <v>61</v>
      </c>
      <c r="AH99" t="s">
        <v>61</v>
      </c>
      <c r="AI99" t="s">
        <v>61</v>
      </c>
      <c r="AJ99" t="s">
        <v>61</v>
      </c>
      <c r="AK99" t="s">
        <v>61</v>
      </c>
      <c r="AL99" t="s">
        <v>61</v>
      </c>
      <c r="AM99" t="s">
        <v>829</v>
      </c>
      <c r="AN99" t="s">
        <v>61</v>
      </c>
      <c r="AO99" t="s">
        <v>61</v>
      </c>
      <c r="AP99" t="s">
        <v>61</v>
      </c>
      <c r="AQ99" t="s">
        <v>61</v>
      </c>
      <c r="AR99" t="s">
        <v>61</v>
      </c>
      <c r="AS99" t="s">
        <v>61</v>
      </c>
      <c r="AT99" t="s">
        <v>61</v>
      </c>
      <c r="AU99" t="s">
        <v>61</v>
      </c>
      <c r="AV99" t="s">
        <v>61</v>
      </c>
      <c r="AW99" t="s">
        <v>61</v>
      </c>
      <c r="AX99" t="s">
        <v>61</v>
      </c>
      <c r="AY99" t="s">
        <v>61</v>
      </c>
      <c r="AZ99" t="s">
        <v>61</v>
      </c>
      <c r="BA99" t="s">
        <v>61</v>
      </c>
      <c r="BB99" t="s">
        <v>61</v>
      </c>
      <c r="BC99" t="s">
        <v>61</v>
      </c>
      <c r="BD99" t="s">
        <v>61</v>
      </c>
      <c r="BE99" t="s">
        <v>61</v>
      </c>
      <c r="BF99" t="s">
        <v>61</v>
      </c>
    </row>
    <row r="100" spans="1:58">
      <c r="A100" t="s">
        <v>58</v>
      </c>
      <c r="B100" t="s">
        <v>838</v>
      </c>
      <c r="C100" t="s">
        <v>839</v>
      </c>
      <c r="D100" t="s">
        <v>840</v>
      </c>
      <c r="E100" t="s">
        <v>61</v>
      </c>
      <c r="F100">
        <v>1991</v>
      </c>
      <c r="G100" t="s">
        <v>61</v>
      </c>
      <c r="H100">
        <v>1</v>
      </c>
      <c r="I100" t="s">
        <v>61</v>
      </c>
      <c r="J100">
        <v>527</v>
      </c>
      <c r="K100">
        <v>530</v>
      </c>
      <c r="L100" t="s">
        <v>841</v>
      </c>
      <c r="M100" t="s">
        <v>842</v>
      </c>
      <c r="N100" t="s">
        <v>843</v>
      </c>
      <c r="O100" t="s">
        <v>61</v>
      </c>
      <c r="Q100" t="s">
        <v>61</v>
      </c>
      <c r="R100" t="s">
        <v>61</v>
      </c>
      <c r="S100" t="s">
        <v>61</v>
      </c>
      <c r="T100" t="s">
        <v>61</v>
      </c>
      <c r="X100" t="s">
        <v>61</v>
      </c>
      <c r="Y100" t="s">
        <v>656</v>
      </c>
      <c r="Z100" t="s">
        <v>61</v>
      </c>
      <c r="AA100" t="s">
        <v>844</v>
      </c>
      <c r="AB100">
        <v>1845593</v>
      </c>
      <c r="AC100" t="s">
        <v>67</v>
      </c>
      <c r="AD100" t="s">
        <v>61</v>
      </c>
      <c r="AE100" t="s">
        <v>61</v>
      </c>
      <c r="AF100" t="s">
        <v>61</v>
      </c>
      <c r="AG100" t="s">
        <v>845</v>
      </c>
      <c r="AH100" t="s">
        <v>61</v>
      </c>
      <c r="AI100" t="s">
        <v>61</v>
      </c>
      <c r="AJ100" t="s">
        <v>61</v>
      </c>
      <c r="AK100" t="s">
        <v>61</v>
      </c>
      <c r="AL100" t="s">
        <v>61</v>
      </c>
      <c r="AM100" t="s">
        <v>846</v>
      </c>
      <c r="AN100" t="s">
        <v>61</v>
      </c>
      <c r="AO100" t="s">
        <v>61</v>
      </c>
      <c r="AP100" t="s">
        <v>61</v>
      </c>
      <c r="AQ100" t="s">
        <v>61</v>
      </c>
      <c r="AR100" t="s">
        <v>61</v>
      </c>
      <c r="AS100" t="s">
        <v>61</v>
      </c>
      <c r="AT100" t="s">
        <v>61</v>
      </c>
      <c r="AU100" t="s">
        <v>61</v>
      </c>
      <c r="AV100" t="s">
        <v>61</v>
      </c>
      <c r="AW100" t="s">
        <v>61</v>
      </c>
      <c r="AX100" t="s">
        <v>61</v>
      </c>
      <c r="AY100" t="s">
        <v>61</v>
      </c>
      <c r="AZ100" t="s">
        <v>61</v>
      </c>
      <c r="BA100" t="s">
        <v>61</v>
      </c>
      <c r="BB100" t="s">
        <v>61</v>
      </c>
      <c r="BC100" t="s">
        <v>61</v>
      </c>
      <c r="BD100" t="s">
        <v>61</v>
      </c>
      <c r="BE100" t="s">
        <v>61</v>
      </c>
      <c r="BF100" t="s">
        <v>61</v>
      </c>
    </row>
    <row r="101" spans="1:58">
      <c r="A101" t="s">
        <v>58</v>
      </c>
      <c r="B101" t="s">
        <v>847</v>
      </c>
      <c r="C101" t="s">
        <v>848</v>
      </c>
      <c r="D101" t="s">
        <v>849</v>
      </c>
      <c r="E101" t="s">
        <v>850</v>
      </c>
      <c r="F101">
        <v>2009</v>
      </c>
      <c r="G101" t="s">
        <v>851</v>
      </c>
      <c r="H101">
        <v>18</v>
      </c>
      <c r="I101">
        <v>22</v>
      </c>
      <c r="J101">
        <v>3098</v>
      </c>
      <c r="K101">
        <v>3106</v>
      </c>
      <c r="L101" t="s">
        <v>852</v>
      </c>
      <c r="M101" t="s">
        <v>853</v>
      </c>
      <c r="N101" t="s">
        <v>854</v>
      </c>
      <c r="O101" t="s">
        <v>61</v>
      </c>
      <c r="Q101" t="s">
        <v>61</v>
      </c>
      <c r="R101" t="s">
        <v>61</v>
      </c>
      <c r="S101" t="s">
        <v>61</v>
      </c>
      <c r="T101" t="s">
        <v>61</v>
      </c>
      <c r="X101" t="s">
        <v>61</v>
      </c>
      <c r="Y101" t="s">
        <v>855</v>
      </c>
      <c r="Z101" t="s">
        <v>61</v>
      </c>
      <c r="AA101" t="s">
        <v>856</v>
      </c>
      <c r="AB101">
        <v>19538562</v>
      </c>
      <c r="AC101" t="s">
        <v>67</v>
      </c>
      <c r="AD101" t="s">
        <v>61</v>
      </c>
      <c r="AE101" t="s">
        <v>61</v>
      </c>
      <c r="AF101" t="s">
        <v>61</v>
      </c>
      <c r="AG101" t="s">
        <v>857</v>
      </c>
      <c r="AH101" t="s">
        <v>61</v>
      </c>
      <c r="AI101" t="s">
        <v>858</v>
      </c>
      <c r="AJ101" t="s">
        <v>61</v>
      </c>
      <c r="AK101" t="s">
        <v>61</v>
      </c>
      <c r="AL101" t="s">
        <v>61</v>
      </c>
      <c r="AM101" t="s">
        <v>859</v>
      </c>
      <c r="AN101" t="s">
        <v>61</v>
      </c>
      <c r="AO101" t="s">
        <v>61</v>
      </c>
      <c r="AP101" t="s">
        <v>61</v>
      </c>
      <c r="AQ101" t="s">
        <v>61</v>
      </c>
      <c r="AR101" t="s">
        <v>61</v>
      </c>
      <c r="AS101" t="s">
        <v>61</v>
      </c>
      <c r="AT101" t="s">
        <v>61</v>
      </c>
      <c r="AU101" t="s">
        <v>61</v>
      </c>
      <c r="AV101" t="s">
        <v>61</v>
      </c>
      <c r="AW101" t="s">
        <v>61</v>
      </c>
      <c r="AX101" t="s">
        <v>61</v>
      </c>
      <c r="AY101" t="s">
        <v>61</v>
      </c>
      <c r="AZ101" t="s">
        <v>61</v>
      </c>
      <c r="BA101" t="s">
        <v>61</v>
      </c>
      <c r="BB101" t="s">
        <v>61</v>
      </c>
      <c r="BC101" t="s">
        <v>61</v>
      </c>
      <c r="BD101" t="s">
        <v>61</v>
      </c>
      <c r="BE101" t="s">
        <v>61</v>
      </c>
      <c r="BF101" t="s">
        <v>61</v>
      </c>
    </row>
    <row r="102" spans="1:58">
      <c r="A102" t="s">
        <v>58</v>
      </c>
      <c r="B102" t="s">
        <v>860</v>
      </c>
      <c r="C102" t="s">
        <v>861</v>
      </c>
      <c r="D102" t="s">
        <v>862</v>
      </c>
      <c r="E102" t="s">
        <v>61</v>
      </c>
      <c r="F102">
        <v>2003</v>
      </c>
      <c r="G102" t="s">
        <v>61</v>
      </c>
      <c r="H102">
        <v>18</v>
      </c>
      <c r="I102" t="s">
        <v>61</v>
      </c>
      <c r="J102">
        <v>4</v>
      </c>
      <c r="K102">
        <v>18</v>
      </c>
      <c r="L102" t="s">
        <v>863</v>
      </c>
      <c r="M102" t="s">
        <v>864</v>
      </c>
      <c r="N102" t="s">
        <v>865</v>
      </c>
      <c r="O102" t="s">
        <v>61</v>
      </c>
      <c r="Q102" t="s">
        <v>61</v>
      </c>
      <c r="R102" t="s">
        <v>61</v>
      </c>
      <c r="S102" t="s">
        <v>61</v>
      </c>
      <c r="T102" t="s">
        <v>61</v>
      </c>
      <c r="X102" t="s">
        <v>61</v>
      </c>
      <c r="Y102" t="s">
        <v>866</v>
      </c>
      <c r="Z102" t="s">
        <v>61</v>
      </c>
      <c r="AA102" t="s">
        <v>61</v>
      </c>
      <c r="AB102">
        <v>2004068302</v>
      </c>
      <c r="AC102" t="s">
        <v>67</v>
      </c>
      <c r="AD102" t="s">
        <v>61</v>
      </c>
      <c r="AE102" t="s">
        <v>61</v>
      </c>
      <c r="AF102" t="s">
        <v>61</v>
      </c>
      <c r="AG102" t="s">
        <v>61</v>
      </c>
      <c r="AH102" t="s">
        <v>61</v>
      </c>
      <c r="AI102" t="s">
        <v>61</v>
      </c>
      <c r="AJ102" t="s">
        <v>61</v>
      </c>
      <c r="AK102" t="s">
        <v>61</v>
      </c>
      <c r="AL102" t="s">
        <v>61</v>
      </c>
      <c r="AM102" t="s">
        <v>861</v>
      </c>
      <c r="AN102" t="s">
        <v>61</v>
      </c>
      <c r="AO102" t="s">
        <v>61</v>
      </c>
      <c r="AP102" t="s">
        <v>61</v>
      </c>
      <c r="AQ102" t="s">
        <v>61</v>
      </c>
      <c r="AR102" t="s">
        <v>61</v>
      </c>
      <c r="AS102" t="s">
        <v>61</v>
      </c>
      <c r="AT102" t="s">
        <v>61</v>
      </c>
      <c r="AU102" t="s">
        <v>61</v>
      </c>
      <c r="AV102" t="s">
        <v>61</v>
      </c>
      <c r="AW102" t="s">
        <v>61</v>
      </c>
      <c r="AX102" t="s">
        <v>61</v>
      </c>
      <c r="AY102" t="s">
        <v>61</v>
      </c>
      <c r="AZ102" t="s">
        <v>61</v>
      </c>
      <c r="BA102" t="s">
        <v>61</v>
      </c>
      <c r="BB102" t="s">
        <v>61</v>
      </c>
      <c r="BC102" t="s">
        <v>61</v>
      </c>
      <c r="BD102" t="s">
        <v>61</v>
      </c>
      <c r="BE102" t="s">
        <v>61</v>
      </c>
      <c r="BF102" t="s">
        <v>61</v>
      </c>
    </row>
    <row r="103" spans="1:58">
      <c r="A103" t="s">
        <v>58</v>
      </c>
      <c r="B103" t="s">
        <v>867</v>
      </c>
      <c r="C103" t="s">
        <v>868</v>
      </c>
      <c r="D103" t="s">
        <v>869</v>
      </c>
      <c r="E103" t="s">
        <v>61</v>
      </c>
      <c r="F103">
        <v>2001</v>
      </c>
      <c r="G103" t="s">
        <v>61</v>
      </c>
      <c r="H103">
        <v>3</v>
      </c>
      <c r="I103">
        <v>3</v>
      </c>
      <c r="J103">
        <v>196</v>
      </c>
      <c r="K103">
        <v>203</v>
      </c>
      <c r="L103" t="s">
        <v>870</v>
      </c>
      <c r="M103" t="s">
        <v>871</v>
      </c>
      <c r="N103" t="s">
        <v>872</v>
      </c>
      <c r="O103" t="s">
        <v>61</v>
      </c>
      <c r="Q103" t="s">
        <v>61</v>
      </c>
      <c r="R103" t="s">
        <v>61</v>
      </c>
      <c r="S103" t="s">
        <v>61</v>
      </c>
      <c r="T103" t="s">
        <v>61</v>
      </c>
      <c r="X103" t="s">
        <v>61</v>
      </c>
      <c r="Y103" t="s">
        <v>873</v>
      </c>
      <c r="Z103" t="s">
        <v>61</v>
      </c>
      <c r="AA103" t="s">
        <v>61</v>
      </c>
      <c r="AB103">
        <v>2001240856</v>
      </c>
      <c r="AC103" t="s">
        <v>67</v>
      </c>
      <c r="AD103" t="s">
        <v>61</v>
      </c>
      <c r="AE103" t="s">
        <v>61</v>
      </c>
      <c r="AF103" t="s">
        <v>61</v>
      </c>
      <c r="AG103" t="s">
        <v>61</v>
      </c>
      <c r="AH103" t="s">
        <v>61</v>
      </c>
      <c r="AI103" t="s">
        <v>61</v>
      </c>
      <c r="AJ103" t="s">
        <v>61</v>
      </c>
      <c r="AK103" t="s">
        <v>61</v>
      </c>
      <c r="AL103" t="s">
        <v>61</v>
      </c>
      <c r="AM103" t="s">
        <v>868</v>
      </c>
      <c r="AN103" t="s">
        <v>61</v>
      </c>
      <c r="AO103" t="s">
        <v>61</v>
      </c>
      <c r="AP103" t="s">
        <v>61</v>
      </c>
      <c r="AQ103" t="s">
        <v>61</v>
      </c>
      <c r="AR103" t="s">
        <v>61</v>
      </c>
      <c r="AS103" t="s">
        <v>61</v>
      </c>
      <c r="AT103" t="s">
        <v>61</v>
      </c>
      <c r="AU103" t="s">
        <v>61</v>
      </c>
      <c r="AV103" t="s">
        <v>61</v>
      </c>
      <c r="AW103" t="s">
        <v>61</v>
      </c>
      <c r="AX103" t="s">
        <v>61</v>
      </c>
      <c r="AY103" t="s">
        <v>61</v>
      </c>
      <c r="AZ103" t="s">
        <v>61</v>
      </c>
      <c r="BA103" t="s">
        <v>61</v>
      </c>
      <c r="BB103" t="s">
        <v>61</v>
      </c>
      <c r="BC103" t="s">
        <v>61</v>
      </c>
      <c r="BD103" t="s">
        <v>61</v>
      </c>
      <c r="BE103" t="s">
        <v>61</v>
      </c>
      <c r="BF103" t="s">
        <v>61</v>
      </c>
    </row>
    <row r="104" spans="1:58">
      <c r="A104" t="s">
        <v>58</v>
      </c>
      <c r="B104" t="s">
        <v>874</v>
      </c>
      <c r="C104" t="s">
        <v>875</v>
      </c>
      <c r="D104" t="s">
        <v>876</v>
      </c>
      <c r="E104" t="s">
        <v>877</v>
      </c>
      <c r="F104">
        <v>2014</v>
      </c>
      <c r="G104" s="1">
        <v>42412</v>
      </c>
      <c r="H104">
        <v>78</v>
      </c>
      <c r="I104">
        <v>1</v>
      </c>
      <c r="J104">
        <v>6</v>
      </c>
      <c r="K104" t="s">
        <v>61</v>
      </c>
      <c r="L104" t="s">
        <v>878</v>
      </c>
      <c r="M104" t="s">
        <v>879</v>
      </c>
      <c r="N104" t="s">
        <v>880</v>
      </c>
      <c r="O104" t="s">
        <v>61</v>
      </c>
      <c r="Q104" t="s">
        <v>61</v>
      </c>
      <c r="R104" t="s">
        <v>61</v>
      </c>
      <c r="S104" t="s">
        <v>61</v>
      </c>
      <c r="T104" t="s">
        <v>61</v>
      </c>
      <c r="X104" t="s">
        <v>61</v>
      </c>
      <c r="Y104" t="s">
        <v>881</v>
      </c>
      <c r="Z104" t="s">
        <v>61</v>
      </c>
      <c r="AA104" t="s">
        <v>882</v>
      </c>
      <c r="AB104">
        <v>24558274</v>
      </c>
      <c r="AC104" t="s">
        <v>67</v>
      </c>
      <c r="AD104" t="s">
        <v>61</v>
      </c>
      <c r="AE104" t="s">
        <v>61</v>
      </c>
      <c r="AF104" t="s">
        <v>61</v>
      </c>
      <c r="AG104" t="s">
        <v>883</v>
      </c>
      <c r="AH104" t="s">
        <v>61</v>
      </c>
      <c r="AI104" t="s">
        <v>884</v>
      </c>
      <c r="AJ104" t="s">
        <v>61</v>
      </c>
      <c r="AK104" t="s">
        <v>61</v>
      </c>
      <c r="AL104" t="s">
        <v>61</v>
      </c>
      <c r="AM104" t="s">
        <v>885</v>
      </c>
      <c r="AN104" t="s">
        <v>61</v>
      </c>
      <c r="AO104" t="s">
        <v>61</v>
      </c>
      <c r="AP104" t="s">
        <v>61</v>
      </c>
      <c r="AQ104" t="s">
        <v>61</v>
      </c>
      <c r="AR104" t="s">
        <v>61</v>
      </c>
      <c r="AS104" t="s">
        <v>61</v>
      </c>
      <c r="AT104" t="s">
        <v>61</v>
      </c>
      <c r="AU104" t="s">
        <v>61</v>
      </c>
      <c r="AV104" t="s">
        <v>61</v>
      </c>
      <c r="AW104" t="s">
        <v>61</v>
      </c>
      <c r="AX104" t="s">
        <v>61</v>
      </c>
      <c r="AY104" t="s">
        <v>61</v>
      </c>
      <c r="AZ104" t="s">
        <v>61</v>
      </c>
      <c r="BA104" t="s">
        <v>61</v>
      </c>
      <c r="BB104" t="s">
        <v>61</v>
      </c>
      <c r="BC104" t="s">
        <v>61</v>
      </c>
      <c r="BD104" t="s">
        <v>61</v>
      </c>
      <c r="BE104" t="s">
        <v>61</v>
      </c>
      <c r="BF104" t="s">
        <v>61</v>
      </c>
    </row>
    <row r="105" spans="1:58">
      <c r="A105" t="s">
        <v>58</v>
      </c>
      <c r="B105" t="s">
        <v>886</v>
      </c>
      <c r="C105" t="s">
        <v>887</v>
      </c>
      <c r="D105" t="s">
        <v>888</v>
      </c>
      <c r="E105" t="s">
        <v>889</v>
      </c>
      <c r="F105">
        <v>2012</v>
      </c>
      <c r="G105" t="s">
        <v>85</v>
      </c>
      <c r="H105">
        <v>76</v>
      </c>
      <c r="I105">
        <v>4</v>
      </c>
      <c r="J105">
        <v>472</v>
      </c>
      <c r="K105">
        <v>478</v>
      </c>
      <c r="L105" t="s">
        <v>890</v>
      </c>
      <c r="M105" t="s">
        <v>891</v>
      </c>
      <c r="N105" t="s">
        <v>892</v>
      </c>
      <c r="O105" t="s">
        <v>61</v>
      </c>
      <c r="Q105" t="s">
        <v>61</v>
      </c>
      <c r="R105" t="s">
        <v>61</v>
      </c>
      <c r="S105" t="s">
        <v>61</v>
      </c>
      <c r="T105" t="s">
        <v>61</v>
      </c>
      <c r="X105" t="s">
        <v>61</v>
      </c>
      <c r="Y105" t="s">
        <v>893</v>
      </c>
      <c r="Z105" t="s">
        <v>61</v>
      </c>
      <c r="AA105" t="s">
        <v>894</v>
      </c>
      <c r="AB105">
        <v>22473559</v>
      </c>
      <c r="AC105" t="s">
        <v>67</v>
      </c>
      <c r="AD105" t="s">
        <v>61</v>
      </c>
      <c r="AE105" t="s">
        <v>61</v>
      </c>
      <c r="AF105" t="s">
        <v>61</v>
      </c>
      <c r="AG105" t="s">
        <v>895</v>
      </c>
      <c r="AH105" t="s">
        <v>61</v>
      </c>
      <c r="AI105" t="s">
        <v>61</v>
      </c>
      <c r="AJ105" t="s">
        <v>61</v>
      </c>
      <c r="AK105" t="s">
        <v>61</v>
      </c>
      <c r="AL105" t="s">
        <v>61</v>
      </c>
      <c r="AM105" t="s">
        <v>896</v>
      </c>
      <c r="AN105" t="s">
        <v>61</v>
      </c>
      <c r="AO105" t="s">
        <v>61</v>
      </c>
      <c r="AP105" t="s">
        <v>61</v>
      </c>
      <c r="AQ105" t="s">
        <v>61</v>
      </c>
      <c r="AR105" t="s">
        <v>61</v>
      </c>
      <c r="AS105" t="s">
        <v>61</v>
      </c>
      <c r="AT105" t="s">
        <v>61</v>
      </c>
      <c r="AU105" t="s">
        <v>61</v>
      </c>
      <c r="AV105" t="s">
        <v>61</v>
      </c>
      <c r="AW105" t="s">
        <v>61</v>
      </c>
      <c r="AX105" t="s">
        <v>61</v>
      </c>
      <c r="AY105" t="s">
        <v>61</v>
      </c>
      <c r="AZ105" t="s">
        <v>61</v>
      </c>
      <c r="BA105" t="s">
        <v>61</v>
      </c>
      <c r="BB105" t="s">
        <v>61</v>
      </c>
      <c r="BC105" t="s">
        <v>61</v>
      </c>
      <c r="BD105" t="s">
        <v>61</v>
      </c>
      <c r="BE105" t="s">
        <v>61</v>
      </c>
      <c r="BF105" t="s">
        <v>61</v>
      </c>
    </row>
    <row r="106" spans="1:58">
      <c r="A106" t="s">
        <v>58</v>
      </c>
      <c r="B106" t="s">
        <v>897</v>
      </c>
      <c r="C106" t="s">
        <v>898</v>
      </c>
      <c r="D106" t="s">
        <v>162</v>
      </c>
      <c r="E106" t="s">
        <v>163</v>
      </c>
      <c r="F106">
        <v>2009</v>
      </c>
      <c r="G106" t="s">
        <v>637</v>
      </c>
      <c r="H106">
        <v>49</v>
      </c>
      <c r="I106">
        <v>8</v>
      </c>
      <c r="J106">
        <v>957</v>
      </c>
      <c r="K106">
        <v>964</v>
      </c>
      <c r="L106" t="s">
        <v>899</v>
      </c>
      <c r="M106" t="s">
        <v>900</v>
      </c>
      <c r="N106" t="s">
        <v>901</v>
      </c>
      <c r="O106" t="s">
        <v>61</v>
      </c>
      <c r="Q106" t="s">
        <v>61</v>
      </c>
      <c r="R106" t="s">
        <v>61</v>
      </c>
      <c r="S106" t="s">
        <v>61</v>
      </c>
      <c r="T106" t="s">
        <v>61</v>
      </c>
      <c r="X106" t="s">
        <v>61</v>
      </c>
      <c r="Y106" t="s">
        <v>902</v>
      </c>
      <c r="Z106" t="s">
        <v>61</v>
      </c>
      <c r="AA106" t="s">
        <v>61</v>
      </c>
      <c r="AB106">
        <v>2009501712</v>
      </c>
      <c r="AC106" t="s">
        <v>67</v>
      </c>
      <c r="AD106" t="s">
        <v>61</v>
      </c>
      <c r="AE106" t="s">
        <v>61</v>
      </c>
      <c r="AF106" t="s">
        <v>61</v>
      </c>
      <c r="AG106" t="s">
        <v>903</v>
      </c>
      <c r="AH106" t="s">
        <v>61</v>
      </c>
      <c r="AI106" t="s">
        <v>61</v>
      </c>
      <c r="AJ106" t="s">
        <v>61</v>
      </c>
      <c r="AK106" t="s">
        <v>61</v>
      </c>
      <c r="AL106" t="s">
        <v>61</v>
      </c>
      <c r="AM106" t="s">
        <v>904</v>
      </c>
      <c r="AN106" t="s">
        <v>61</v>
      </c>
      <c r="AO106" t="s">
        <v>61</v>
      </c>
      <c r="AP106" t="s">
        <v>61</v>
      </c>
      <c r="AQ106" t="s">
        <v>61</v>
      </c>
      <c r="AR106" t="s">
        <v>61</v>
      </c>
      <c r="AS106" t="s">
        <v>61</v>
      </c>
      <c r="AT106" t="s">
        <v>61</v>
      </c>
      <c r="AU106" t="s">
        <v>61</v>
      </c>
      <c r="AV106" t="s">
        <v>61</v>
      </c>
      <c r="AW106" t="s">
        <v>61</v>
      </c>
      <c r="AX106" t="s">
        <v>61</v>
      </c>
      <c r="AY106" t="s">
        <v>61</v>
      </c>
      <c r="AZ106" t="s">
        <v>61</v>
      </c>
      <c r="BA106" t="s">
        <v>61</v>
      </c>
      <c r="BB106" t="s">
        <v>61</v>
      </c>
      <c r="BC106" t="s">
        <v>61</v>
      </c>
      <c r="BD106" t="s">
        <v>61</v>
      </c>
      <c r="BE106" t="s">
        <v>61</v>
      </c>
      <c r="BF106" t="s">
        <v>61</v>
      </c>
    </row>
    <row r="107" spans="1:58">
      <c r="A107" t="s">
        <v>58</v>
      </c>
      <c r="B107" t="s">
        <v>905</v>
      </c>
      <c r="C107" t="s">
        <v>906</v>
      </c>
      <c r="D107" t="s">
        <v>907</v>
      </c>
      <c r="E107" t="s">
        <v>61</v>
      </c>
      <c r="F107">
        <v>2007</v>
      </c>
      <c r="G107" t="s">
        <v>273</v>
      </c>
      <c r="H107">
        <v>82</v>
      </c>
      <c r="I107">
        <v>2</v>
      </c>
      <c r="J107">
        <v>154</v>
      </c>
      <c r="K107">
        <v>160</v>
      </c>
      <c r="L107" t="s">
        <v>908</v>
      </c>
      <c r="M107" t="s">
        <v>909</v>
      </c>
      <c r="N107" t="s">
        <v>910</v>
      </c>
      <c r="O107" t="s">
        <v>61</v>
      </c>
      <c r="Q107" t="s">
        <v>61</v>
      </c>
      <c r="R107" t="s">
        <v>61</v>
      </c>
      <c r="S107" t="s">
        <v>61</v>
      </c>
      <c r="T107" t="s">
        <v>61</v>
      </c>
      <c r="X107" t="s">
        <v>61</v>
      </c>
      <c r="Y107" t="s">
        <v>911</v>
      </c>
      <c r="Z107" t="s">
        <v>61</v>
      </c>
      <c r="AA107" t="s">
        <v>912</v>
      </c>
      <c r="AB107">
        <v>17264693</v>
      </c>
      <c r="AC107" t="s">
        <v>67</v>
      </c>
      <c r="AD107" t="s">
        <v>61</v>
      </c>
      <c r="AE107" t="s">
        <v>61</v>
      </c>
      <c r="AF107" t="s">
        <v>61</v>
      </c>
      <c r="AG107" t="s">
        <v>913</v>
      </c>
      <c r="AH107" t="s">
        <v>61</v>
      </c>
      <c r="AI107" t="s">
        <v>61</v>
      </c>
      <c r="AJ107" t="s">
        <v>61</v>
      </c>
      <c r="AK107" t="s">
        <v>61</v>
      </c>
      <c r="AL107" t="s">
        <v>61</v>
      </c>
      <c r="AM107" t="s">
        <v>914</v>
      </c>
      <c r="AN107" t="s">
        <v>61</v>
      </c>
      <c r="AO107" t="s">
        <v>61</v>
      </c>
      <c r="AP107" t="s">
        <v>61</v>
      </c>
      <c r="AQ107" t="s">
        <v>61</v>
      </c>
      <c r="AR107" t="s">
        <v>61</v>
      </c>
      <c r="AS107" t="s">
        <v>61</v>
      </c>
      <c r="AT107" t="s">
        <v>61</v>
      </c>
      <c r="AU107" t="s">
        <v>61</v>
      </c>
      <c r="AV107" t="s">
        <v>61</v>
      </c>
      <c r="AW107" t="s">
        <v>61</v>
      </c>
      <c r="AX107" t="s">
        <v>61</v>
      </c>
      <c r="AY107" t="s">
        <v>61</v>
      </c>
      <c r="AZ107" t="s">
        <v>61</v>
      </c>
      <c r="BA107" t="s">
        <v>61</v>
      </c>
      <c r="BB107" t="s">
        <v>61</v>
      </c>
      <c r="BC107" t="s">
        <v>61</v>
      </c>
      <c r="BD107" t="s">
        <v>61</v>
      </c>
      <c r="BE107" t="s">
        <v>61</v>
      </c>
      <c r="BF107" t="s">
        <v>61</v>
      </c>
    </row>
    <row r="108" spans="1:58">
      <c r="A108" t="s">
        <v>58</v>
      </c>
      <c r="B108" t="s">
        <v>915</v>
      </c>
      <c r="C108" t="s">
        <v>916</v>
      </c>
      <c r="D108" t="s">
        <v>917</v>
      </c>
      <c r="E108" t="s">
        <v>61</v>
      </c>
      <c r="F108">
        <v>2010</v>
      </c>
      <c r="G108" t="s">
        <v>129</v>
      </c>
      <c r="H108">
        <v>29</v>
      </c>
      <c r="I108">
        <v>4</v>
      </c>
      <c r="J108">
        <v>417</v>
      </c>
      <c r="K108">
        <v>426</v>
      </c>
      <c r="L108" t="s">
        <v>918</v>
      </c>
      <c r="M108" t="s">
        <v>919</v>
      </c>
      <c r="N108" t="s">
        <v>920</v>
      </c>
      <c r="O108" t="s">
        <v>61</v>
      </c>
      <c r="Q108" t="s">
        <v>61</v>
      </c>
      <c r="R108" t="s">
        <v>61</v>
      </c>
      <c r="S108" t="s">
        <v>61</v>
      </c>
      <c r="T108" t="s">
        <v>61</v>
      </c>
      <c r="X108" t="s">
        <v>61</v>
      </c>
      <c r="Y108" t="s">
        <v>921</v>
      </c>
      <c r="Z108" t="s">
        <v>61</v>
      </c>
      <c r="AA108" t="s">
        <v>922</v>
      </c>
      <c r="AB108">
        <v>20924877</v>
      </c>
      <c r="AC108" t="s">
        <v>67</v>
      </c>
      <c r="AD108" t="s">
        <v>61</v>
      </c>
      <c r="AE108" t="s">
        <v>61</v>
      </c>
      <c r="AF108" t="s">
        <v>61</v>
      </c>
      <c r="AG108" t="s">
        <v>923</v>
      </c>
      <c r="AH108" t="s">
        <v>61</v>
      </c>
      <c r="AI108" t="s">
        <v>924</v>
      </c>
      <c r="AJ108" t="s">
        <v>61</v>
      </c>
      <c r="AK108" t="s">
        <v>61</v>
      </c>
      <c r="AL108" t="s">
        <v>61</v>
      </c>
      <c r="AM108" t="s">
        <v>925</v>
      </c>
      <c r="AN108" t="s">
        <v>61</v>
      </c>
      <c r="AO108" t="s">
        <v>61</v>
      </c>
      <c r="AP108" t="s">
        <v>61</v>
      </c>
      <c r="AQ108" t="s">
        <v>61</v>
      </c>
      <c r="AR108" t="s">
        <v>61</v>
      </c>
      <c r="AS108" t="s">
        <v>61</v>
      </c>
      <c r="AT108" t="s">
        <v>61</v>
      </c>
      <c r="AU108" t="s">
        <v>61</v>
      </c>
      <c r="AV108" t="s">
        <v>61</v>
      </c>
      <c r="AW108" t="s">
        <v>61</v>
      </c>
      <c r="AX108" t="s">
        <v>61</v>
      </c>
      <c r="AY108" t="s">
        <v>61</v>
      </c>
      <c r="AZ108" t="s">
        <v>61</v>
      </c>
      <c r="BA108" t="s">
        <v>61</v>
      </c>
      <c r="BB108" t="s">
        <v>61</v>
      </c>
      <c r="BC108" t="s">
        <v>61</v>
      </c>
      <c r="BD108" t="s">
        <v>61</v>
      </c>
      <c r="BE108" t="s">
        <v>61</v>
      </c>
      <c r="BF108" t="s">
        <v>61</v>
      </c>
    </row>
    <row r="109" spans="1:58">
      <c r="A109" t="s">
        <v>58</v>
      </c>
      <c r="B109" t="s">
        <v>926</v>
      </c>
      <c r="C109" t="s">
        <v>927</v>
      </c>
      <c r="D109" t="s">
        <v>928</v>
      </c>
      <c r="E109" t="s">
        <v>61</v>
      </c>
      <c r="F109">
        <v>2014</v>
      </c>
      <c r="G109" t="s">
        <v>61</v>
      </c>
      <c r="H109" t="s">
        <v>929</v>
      </c>
      <c r="I109" t="s">
        <v>61</v>
      </c>
      <c r="J109" t="s">
        <v>930</v>
      </c>
      <c r="K109" t="s">
        <v>61</v>
      </c>
      <c r="L109" t="s">
        <v>931</v>
      </c>
      <c r="M109" t="s">
        <v>932</v>
      </c>
      <c r="N109" t="s">
        <v>933</v>
      </c>
      <c r="O109" t="s">
        <v>61</v>
      </c>
      <c r="Q109" t="s">
        <v>61</v>
      </c>
      <c r="R109" t="s">
        <v>61</v>
      </c>
      <c r="S109" t="s">
        <v>61</v>
      </c>
      <c r="T109" t="s">
        <v>61</v>
      </c>
      <c r="X109" t="s">
        <v>61</v>
      </c>
      <c r="Y109" t="s">
        <v>934</v>
      </c>
      <c r="Z109" t="s">
        <v>61</v>
      </c>
      <c r="AA109" t="s">
        <v>61</v>
      </c>
      <c r="AB109" t="s">
        <v>61</v>
      </c>
      <c r="AC109" t="s">
        <v>67</v>
      </c>
      <c r="AD109" t="s">
        <v>61</v>
      </c>
      <c r="AE109" t="s">
        <v>61</v>
      </c>
      <c r="AF109" t="s">
        <v>61</v>
      </c>
      <c r="AG109" t="s">
        <v>61</v>
      </c>
      <c r="AH109" t="s">
        <v>61</v>
      </c>
      <c r="AI109" t="s">
        <v>61</v>
      </c>
      <c r="AJ109" t="s">
        <v>61</v>
      </c>
      <c r="AK109" t="s">
        <v>61</v>
      </c>
      <c r="AL109" t="s">
        <v>61</v>
      </c>
      <c r="AM109" t="s">
        <v>927</v>
      </c>
      <c r="AN109" t="s">
        <v>61</v>
      </c>
      <c r="AO109" t="s">
        <v>61</v>
      </c>
      <c r="AP109" t="s">
        <v>61</v>
      </c>
      <c r="AQ109" t="s">
        <v>61</v>
      </c>
      <c r="AR109" t="s">
        <v>61</v>
      </c>
      <c r="AS109" t="s">
        <v>61</v>
      </c>
      <c r="AT109" t="s">
        <v>61</v>
      </c>
      <c r="AU109" t="s">
        <v>61</v>
      </c>
      <c r="AV109" t="s">
        <v>61</v>
      </c>
      <c r="AW109" t="s">
        <v>61</v>
      </c>
      <c r="AX109" t="s">
        <v>61</v>
      </c>
      <c r="AY109" t="s">
        <v>61</v>
      </c>
      <c r="AZ109" t="s">
        <v>61</v>
      </c>
      <c r="BA109" t="s">
        <v>61</v>
      </c>
      <c r="BB109" t="s">
        <v>61</v>
      </c>
      <c r="BC109" t="s">
        <v>61</v>
      </c>
      <c r="BD109" t="s">
        <v>61</v>
      </c>
      <c r="BE109" t="s">
        <v>61</v>
      </c>
      <c r="BF109" t="s">
        <v>61</v>
      </c>
    </row>
    <row r="110" spans="1:58">
      <c r="A110" t="s">
        <v>58</v>
      </c>
      <c r="B110" t="s">
        <v>935</v>
      </c>
      <c r="C110" t="s">
        <v>936</v>
      </c>
      <c r="D110" t="s">
        <v>937</v>
      </c>
      <c r="E110" t="s">
        <v>61</v>
      </c>
      <c r="F110">
        <v>2009</v>
      </c>
      <c r="G110" t="s">
        <v>457</v>
      </c>
      <c r="H110" t="s">
        <v>938</v>
      </c>
      <c r="I110" t="s">
        <v>61</v>
      </c>
      <c r="J110" t="s">
        <v>939</v>
      </c>
      <c r="K110" t="s">
        <v>61</v>
      </c>
      <c r="L110" t="s">
        <v>940</v>
      </c>
      <c r="M110" t="s">
        <v>941</v>
      </c>
      <c r="N110" t="s">
        <v>942</v>
      </c>
      <c r="O110" t="s">
        <v>61</v>
      </c>
      <c r="Q110" t="s">
        <v>61</v>
      </c>
      <c r="R110" t="s">
        <v>61</v>
      </c>
      <c r="S110" t="s">
        <v>61</v>
      </c>
      <c r="T110" t="s">
        <v>61</v>
      </c>
      <c r="X110" t="s">
        <v>61</v>
      </c>
      <c r="Y110" t="s">
        <v>367</v>
      </c>
      <c r="Z110" t="s">
        <v>61</v>
      </c>
      <c r="AA110" t="s">
        <v>61</v>
      </c>
      <c r="AB110" t="s">
        <v>61</v>
      </c>
      <c r="AC110" t="s">
        <v>67</v>
      </c>
      <c r="AD110" t="s">
        <v>61</v>
      </c>
      <c r="AE110" t="s">
        <v>61</v>
      </c>
      <c r="AF110" t="s">
        <v>61</v>
      </c>
      <c r="AG110" t="s">
        <v>61</v>
      </c>
      <c r="AH110" t="s">
        <v>61</v>
      </c>
      <c r="AI110" t="s">
        <v>61</v>
      </c>
      <c r="AJ110" t="s">
        <v>61</v>
      </c>
      <c r="AK110" t="s">
        <v>61</v>
      </c>
      <c r="AL110" t="s">
        <v>61</v>
      </c>
      <c r="AM110" t="s">
        <v>936</v>
      </c>
      <c r="AN110" t="s">
        <v>61</v>
      </c>
      <c r="AO110" t="s">
        <v>61</v>
      </c>
      <c r="AP110" t="s">
        <v>61</v>
      </c>
      <c r="AQ110" t="s">
        <v>61</v>
      </c>
      <c r="AR110" t="s">
        <v>61</v>
      </c>
      <c r="AS110" t="s">
        <v>61</v>
      </c>
      <c r="AT110" t="s">
        <v>61</v>
      </c>
      <c r="AU110" t="s">
        <v>61</v>
      </c>
      <c r="AV110" t="s">
        <v>61</v>
      </c>
      <c r="AW110" t="s">
        <v>61</v>
      </c>
      <c r="AX110" t="s">
        <v>61</v>
      </c>
      <c r="AY110" t="s">
        <v>61</v>
      </c>
      <c r="AZ110" t="s">
        <v>61</v>
      </c>
      <c r="BA110" t="s">
        <v>61</v>
      </c>
      <c r="BB110" t="s">
        <v>61</v>
      </c>
      <c r="BC110" t="s">
        <v>61</v>
      </c>
      <c r="BD110" t="s">
        <v>61</v>
      </c>
      <c r="BE110" t="s">
        <v>61</v>
      </c>
      <c r="BF110" t="s">
        <v>61</v>
      </c>
    </row>
    <row r="111" spans="1:58">
      <c r="A111" t="s">
        <v>58</v>
      </c>
      <c r="B111" t="s">
        <v>943</v>
      </c>
      <c r="C111" t="s">
        <v>944</v>
      </c>
      <c r="D111" t="s">
        <v>945</v>
      </c>
      <c r="E111" t="s">
        <v>61</v>
      </c>
      <c r="F111">
        <v>2014</v>
      </c>
      <c r="G111" t="s">
        <v>61</v>
      </c>
      <c r="H111">
        <v>43</v>
      </c>
      <c r="I111" t="s">
        <v>61</v>
      </c>
      <c r="J111" t="s">
        <v>946</v>
      </c>
      <c r="K111" t="s">
        <v>947</v>
      </c>
      <c r="L111" t="s">
        <v>948</v>
      </c>
      <c r="M111" t="s">
        <v>949</v>
      </c>
      <c r="N111" t="s">
        <v>950</v>
      </c>
      <c r="O111" t="s">
        <v>61</v>
      </c>
      <c r="Q111" t="s">
        <v>61</v>
      </c>
      <c r="R111" t="s">
        <v>61</v>
      </c>
      <c r="S111" t="s">
        <v>61</v>
      </c>
      <c r="T111" t="s">
        <v>61</v>
      </c>
      <c r="X111" t="s">
        <v>61</v>
      </c>
      <c r="Y111" t="s">
        <v>951</v>
      </c>
      <c r="Z111" t="s">
        <v>61</v>
      </c>
      <c r="AA111" t="s">
        <v>952</v>
      </c>
      <c r="AB111">
        <v>103980218</v>
      </c>
      <c r="AC111" t="s">
        <v>67</v>
      </c>
      <c r="AD111" t="s">
        <v>61</v>
      </c>
      <c r="AE111" t="s">
        <v>61</v>
      </c>
      <c r="AF111" t="s">
        <v>61</v>
      </c>
      <c r="AG111" t="s">
        <v>953</v>
      </c>
      <c r="AH111" t="s">
        <v>61</v>
      </c>
      <c r="AI111" t="s">
        <v>954</v>
      </c>
      <c r="AJ111" t="s">
        <v>61</v>
      </c>
      <c r="AK111" t="s">
        <v>61</v>
      </c>
      <c r="AL111" t="s">
        <v>61</v>
      </c>
      <c r="AM111" t="s">
        <v>955</v>
      </c>
      <c r="AN111" t="s">
        <v>61</v>
      </c>
      <c r="AO111" t="s">
        <v>61</v>
      </c>
      <c r="AP111" t="s">
        <v>61</v>
      </c>
      <c r="AQ111" t="s">
        <v>61</v>
      </c>
      <c r="AR111" t="s">
        <v>61</v>
      </c>
      <c r="AS111" t="s">
        <v>61</v>
      </c>
      <c r="AT111" t="s">
        <v>61</v>
      </c>
      <c r="AU111" t="s">
        <v>61</v>
      </c>
      <c r="AV111" t="s">
        <v>61</v>
      </c>
      <c r="AW111" t="s">
        <v>61</v>
      </c>
      <c r="AX111" t="s">
        <v>61</v>
      </c>
      <c r="AY111" t="s">
        <v>61</v>
      </c>
      <c r="AZ111" t="s">
        <v>61</v>
      </c>
      <c r="BA111" t="s">
        <v>61</v>
      </c>
      <c r="BB111" t="s">
        <v>61</v>
      </c>
      <c r="BC111" t="s">
        <v>61</v>
      </c>
      <c r="BD111" t="s">
        <v>61</v>
      </c>
      <c r="BE111" t="s">
        <v>61</v>
      </c>
      <c r="BF111" t="s">
        <v>61</v>
      </c>
    </row>
    <row r="112" spans="1:58">
      <c r="A112" t="s">
        <v>58</v>
      </c>
      <c r="B112" t="s">
        <v>956</v>
      </c>
      <c r="C112" t="s">
        <v>957</v>
      </c>
      <c r="D112" t="s">
        <v>153</v>
      </c>
      <c r="E112" t="s">
        <v>61</v>
      </c>
      <c r="F112">
        <v>2015</v>
      </c>
      <c r="G112" t="s">
        <v>739</v>
      </c>
      <c r="H112">
        <v>55</v>
      </c>
      <c r="I112">
        <v>5</v>
      </c>
      <c r="J112">
        <v>540</v>
      </c>
      <c r="K112">
        <v>545</v>
      </c>
      <c r="L112" t="s">
        <v>958</v>
      </c>
      <c r="M112" t="s">
        <v>959</v>
      </c>
      <c r="N112" t="s">
        <v>960</v>
      </c>
      <c r="O112" t="s">
        <v>61</v>
      </c>
      <c r="Q112" t="s">
        <v>61</v>
      </c>
      <c r="R112" t="s">
        <v>61</v>
      </c>
      <c r="S112" t="s">
        <v>61</v>
      </c>
      <c r="T112" t="s">
        <v>61</v>
      </c>
      <c r="X112" t="s">
        <v>61</v>
      </c>
      <c r="Y112" t="s">
        <v>157</v>
      </c>
      <c r="Z112" t="s">
        <v>61</v>
      </c>
      <c r="AA112" t="s">
        <v>61</v>
      </c>
      <c r="AB112">
        <v>26359964</v>
      </c>
      <c r="AC112" t="s">
        <v>67</v>
      </c>
      <c r="AD112" t="s">
        <v>61</v>
      </c>
      <c r="AE112" t="s">
        <v>61</v>
      </c>
      <c r="AF112" t="s">
        <v>61</v>
      </c>
      <c r="AG112" t="s">
        <v>961</v>
      </c>
      <c r="AH112" t="s">
        <v>61</v>
      </c>
      <c r="AI112" t="s">
        <v>962</v>
      </c>
      <c r="AJ112" t="s">
        <v>61</v>
      </c>
      <c r="AK112" t="s">
        <v>61</v>
      </c>
      <c r="AL112" t="s">
        <v>61</v>
      </c>
      <c r="AM112" t="s">
        <v>963</v>
      </c>
      <c r="AN112" t="s">
        <v>61</v>
      </c>
      <c r="AO112" t="s">
        <v>61</v>
      </c>
      <c r="AP112" t="s">
        <v>61</v>
      </c>
      <c r="AQ112" t="s">
        <v>61</v>
      </c>
      <c r="AR112" t="s">
        <v>61</v>
      </c>
      <c r="AS112" t="s">
        <v>61</v>
      </c>
      <c r="AT112" t="s">
        <v>61</v>
      </c>
      <c r="AU112" t="s">
        <v>61</v>
      </c>
      <c r="AV112" t="s">
        <v>61</v>
      </c>
      <c r="AW112" t="s">
        <v>61</v>
      </c>
      <c r="AX112" t="s">
        <v>61</v>
      </c>
      <c r="AY112" t="s">
        <v>61</v>
      </c>
      <c r="AZ112" t="s">
        <v>61</v>
      </c>
      <c r="BA112" t="s">
        <v>61</v>
      </c>
      <c r="BB112" t="s">
        <v>61</v>
      </c>
      <c r="BC112" t="s">
        <v>61</v>
      </c>
      <c r="BD112" t="s">
        <v>61</v>
      </c>
      <c r="BE112" t="s">
        <v>61</v>
      </c>
      <c r="BF112" t="s">
        <v>61</v>
      </c>
    </row>
    <row r="113" spans="1:58">
      <c r="A113" t="s">
        <v>58</v>
      </c>
      <c r="B113" t="s">
        <v>964</v>
      </c>
      <c r="C113" t="s">
        <v>965</v>
      </c>
      <c r="D113" t="s">
        <v>966</v>
      </c>
      <c r="E113" t="s">
        <v>967</v>
      </c>
      <c r="F113">
        <v>2007</v>
      </c>
      <c r="G113" t="s">
        <v>418</v>
      </c>
      <c r="H113">
        <v>27</v>
      </c>
      <c r="I113">
        <v>6</v>
      </c>
      <c r="J113">
        <v>551</v>
      </c>
      <c r="K113">
        <v>560</v>
      </c>
      <c r="L113" t="s">
        <v>968</v>
      </c>
      <c r="M113" t="s">
        <v>969</v>
      </c>
      <c r="N113" t="s">
        <v>970</v>
      </c>
      <c r="O113" t="s">
        <v>61</v>
      </c>
      <c r="Q113" t="s">
        <v>61</v>
      </c>
      <c r="R113" t="s">
        <v>61</v>
      </c>
      <c r="S113" t="s">
        <v>61</v>
      </c>
      <c r="T113" t="s">
        <v>61</v>
      </c>
      <c r="X113" t="s">
        <v>61</v>
      </c>
      <c r="Y113" t="s">
        <v>971</v>
      </c>
      <c r="Z113" t="s">
        <v>61</v>
      </c>
      <c r="AA113" t="s">
        <v>972</v>
      </c>
      <c r="AB113">
        <v>17113686</v>
      </c>
      <c r="AC113" t="s">
        <v>67</v>
      </c>
      <c r="AD113" t="s">
        <v>61</v>
      </c>
      <c r="AE113" t="s">
        <v>61</v>
      </c>
      <c r="AF113" t="s">
        <v>61</v>
      </c>
      <c r="AG113" t="s">
        <v>973</v>
      </c>
      <c r="AH113" t="s">
        <v>61</v>
      </c>
      <c r="AI113" t="s">
        <v>61</v>
      </c>
      <c r="AJ113" t="s">
        <v>61</v>
      </c>
      <c r="AK113" t="s">
        <v>61</v>
      </c>
      <c r="AL113" t="s">
        <v>61</v>
      </c>
      <c r="AM113" t="s">
        <v>974</v>
      </c>
      <c r="AN113" t="s">
        <v>61</v>
      </c>
      <c r="AO113" t="s">
        <v>61</v>
      </c>
      <c r="AP113" t="s">
        <v>61</v>
      </c>
      <c r="AQ113" t="s">
        <v>61</v>
      </c>
      <c r="AR113" t="s">
        <v>61</v>
      </c>
      <c r="AS113" t="s">
        <v>61</v>
      </c>
      <c r="AT113" t="s">
        <v>61</v>
      </c>
      <c r="AU113" t="s">
        <v>61</v>
      </c>
      <c r="AV113" t="s">
        <v>61</v>
      </c>
      <c r="AW113" t="s">
        <v>61</v>
      </c>
      <c r="AX113" t="s">
        <v>61</v>
      </c>
      <c r="AY113" t="s">
        <v>61</v>
      </c>
      <c r="AZ113" t="s">
        <v>61</v>
      </c>
      <c r="BA113" t="s">
        <v>61</v>
      </c>
      <c r="BB113" t="s">
        <v>61</v>
      </c>
      <c r="BC113" t="s">
        <v>61</v>
      </c>
      <c r="BD113" t="s">
        <v>61</v>
      </c>
      <c r="BE113" t="s">
        <v>61</v>
      </c>
      <c r="BF113" t="s">
        <v>61</v>
      </c>
    </row>
    <row r="114" spans="1:58">
      <c r="A114" t="s">
        <v>58</v>
      </c>
      <c r="B114" t="s">
        <v>975</v>
      </c>
      <c r="C114" t="s">
        <v>976</v>
      </c>
      <c r="D114" t="s">
        <v>548</v>
      </c>
      <c r="E114" t="s">
        <v>61</v>
      </c>
      <c r="F114">
        <v>2012</v>
      </c>
      <c r="G114" t="s">
        <v>237</v>
      </c>
      <c r="H114">
        <v>17</v>
      </c>
      <c r="I114">
        <v>3</v>
      </c>
      <c r="J114">
        <v>241</v>
      </c>
      <c r="K114">
        <v>247</v>
      </c>
      <c r="L114" t="s">
        <v>977</v>
      </c>
      <c r="M114" t="s">
        <v>978</v>
      </c>
      <c r="N114" t="s">
        <v>979</v>
      </c>
      <c r="O114" t="s">
        <v>61</v>
      </c>
      <c r="Q114" t="s">
        <v>61</v>
      </c>
      <c r="R114" t="s">
        <v>61</v>
      </c>
      <c r="S114" t="s">
        <v>61</v>
      </c>
      <c r="T114" t="s">
        <v>61</v>
      </c>
      <c r="X114" t="s">
        <v>61</v>
      </c>
      <c r="Y114" t="s">
        <v>551</v>
      </c>
      <c r="Z114" t="s">
        <v>61</v>
      </c>
      <c r="AA114" t="s">
        <v>980</v>
      </c>
      <c r="AB114">
        <v>22772930</v>
      </c>
      <c r="AC114" t="s">
        <v>67</v>
      </c>
      <c r="AD114" t="s">
        <v>61</v>
      </c>
      <c r="AE114" t="s">
        <v>61</v>
      </c>
      <c r="AF114" t="s">
        <v>61</v>
      </c>
      <c r="AG114" t="s">
        <v>981</v>
      </c>
      <c r="AH114" t="s">
        <v>61</v>
      </c>
      <c r="AI114" t="s">
        <v>61</v>
      </c>
      <c r="AJ114" t="s">
        <v>61</v>
      </c>
      <c r="AK114" t="s">
        <v>61</v>
      </c>
      <c r="AL114" t="s">
        <v>61</v>
      </c>
      <c r="AM114" t="s">
        <v>982</v>
      </c>
      <c r="AN114" t="s">
        <v>61</v>
      </c>
      <c r="AO114" t="s">
        <v>61</v>
      </c>
      <c r="AP114" t="s">
        <v>61</v>
      </c>
      <c r="AQ114" t="s">
        <v>61</v>
      </c>
      <c r="AR114" t="s">
        <v>61</v>
      </c>
      <c r="AS114" t="s">
        <v>61</v>
      </c>
      <c r="AT114" t="s">
        <v>61</v>
      </c>
      <c r="AU114" t="s">
        <v>61</v>
      </c>
      <c r="AV114" t="s">
        <v>61</v>
      </c>
      <c r="AW114" t="s">
        <v>61</v>
      </c>
      <c r="AX114" t="s">
        <v>61</v>
      </c>
      <c r="AY114" t="s">
        <v>61</v>
      </c>
      <c r="AZ114" t="s">
        <v>61</v>
      </c>
      <c r="BA114" t="s">
        <v>61</v>
      </c>
      <c r="BB114" t="s">
        <v>61</v>
      </c>
      <c r="BC114" t="s">
        <v>61</v>
      </c>
      <c r="BD114" t="s">
        <v>61</v>
      </c>
      <c r="BE114" t="s">
        <v>61</v>
      </c>
      <c r="BF114" t="s">
        <v>61</v>
      </c>
    </row>
    <row r="115" spans="1:58">
      <c r="A115" t="s">
        <v>58</v>
      </c>
      <c r="B115" t="s">
        <v>975</v>
      </c>
      <c r="C115" t="s">
        <v>983</v>
      </c>
      <c r="D115" t="s">
        <v>548</v>
      </c>
      <c r="E115" t="s">
        <v>61</v>
      </c>
      <c r="F115">
        <v>2011</v>
      </c>
      <c r="G115" t="s">
        <v>129</v>
      </c>
      <c r="H115">
        <v>16</v>
      </c>
      <c r="I115">
        <v>4</v>
      </c>
      <c r="J115">
        <v>353</v>
      </c>
      <c r="K115">
        <v>357</v>
      </c>
      <c r="L115" t="s">
        <v>984</v>
      </c>
      <c r="M115" t="s">
        <v>985</v>
      </c>
      <c r="N115" t="s">
        <v>986</v>
      </c>
      <c r="O115" t="s">
        <v>61</v>
      </c>
      <c r="Q115" t="s">
        <v>61</v>
      </c>
      <c r="R115" t="s">
        <v>61</v>
      </c>
      <c r="S115" t="s">
        <v>61</v>
      </c>
      <c r="T115" t="s">
        <v>61</v>
      </c>
      <c r="X115" t="s">
        <v>61</v>
      </c>
      <c r="Y115" t="s">
        <v>551</v>
      </c>
      <c r="Z115" t="s">
        <v>61</v>
      </c>
      <c r="AA115" t="s">
        <v>987</v>
      </c>
      <c r="AB115">
        <v>21983379</v>
      </c>
      <c r="AC115" t="s">
        <v>67</v>
      </c>
      <c r="AD115" t="s">
        <v>61</v>
      </c>
      <c r="AE115" t="s">
        <v>61</v>
      </c>
      <c r="AF115" t="s">
        <v>61</v>
      </c>
      <c r="AG115" t="s">
        <v>988</v>
      </c>
      <c r="AH115" t="s">
        <v>61</v>
      </c>
      <c r="AI115" t="s">
        <v>61</v>
      </c>
      <c r="AJ115" t="s">
        <v>61</v>
      </c>
      <c r="AK115" t="s">
        <v>61</v>
      </c>
      <c r="AL115" t="s">
        <v>61</v>
      </c>
      <c r="AM115" t="s">
        <v>989</v>
      </c>
      <c r="AN115" t="s">
        <v>61</v>
      </c>
      <c r="AO115" t="s">
        <v>61</v>
      </c>
      <c r="AP115" t="s">
        <v>61</v>
      </c>
      <c r="AQ115" t="s">
        <v>61</v>
      </c>
      <c r="AR115" t="s">
        <v>61</v>
      </c>
      <c r="AS115" t="s">
        <v>61</v>
      </c>
      <c r="AT115" t="s">
        <v>61</v>
      </c>
      <c r="AU115" t="s">
        <v>61</v>
      </c>
      <c r="AV115" t="s">
        <v>61</v>
      </c>
      <c r="AW115" t="s">
        <v>61</v>
      </c>
      <c r="AX115" t="s">
        <v>61</v>
      </c>
      <c r="AY115" t="s">
        <v>61</v>
      </c>
      <c r="AZ115" t="s">
        <v>61</v>
      </c>
      <c r="BA115" t="s">
        <v>61</v>
      </c>
      <c r="BB115" t="s">
        <v>61</v>
      </c>
      <c r="BC115" t="s">
        <v>61</v>
      </c>
      <c r="BD115" t="s">
        <v>61</v>
      </c>
      <c r="BE115" t="s">
        <v>61</v>
      </c>
      <c r="BF115" t="s">
        <v>61</v>
      </c>
    </row>
    <row r="116" spans="1:58">
      <c r="A116" t="s">
        <v>58</v>
      </c>
      <c r="B116" t="s">
        <v>990</v>
      </c>
      <c r="C116" t="s">
        <v>991</v>
      </c>
      <c r="D116" t="s">
        <v>992</v>
      </c>
      <c r="E116" t="s">
        <v>61</v>
      </c>
      <c r="F116">
        <v>2012</v>
      </c>
      <c r="G116" t="s">
        <v>993</v>
      </c>
      <c r="H116">
        <v>28</v>
      </c>
      <c r="I116">
        <v>4</v>
      </c>
      <c r="J116">
        <v>670</v>
      </c>
      <c r="K116">
        <v>674</v>
      </c>
      <c r="L116" t="s">
        <v>994</v>
      </c>
      <c r="M116" t="s">
        <v>995</v>
      </c>
      <c r="N116" t="s">
        <v>996</v>
      </c>
      <c r="O116" t="s">
        <v>61</v>
      </c>
      <c r="Q116" t="s">
        <v>61</v>
      </c>
      <c r="R116" t="s">
        <v>61</v>
      </c>
      <c r="S116" t="s">
        <v>61</v>
      </c>
      <c r="T116" t="s">
        <v>61</v>
      </c>
      <c r="X116" t="s">
        <v>61</v>
      </c>
      <c r="Y116" t="s">
        <v>997</v>
      </c>
      <c r="Z116" t="s">
        <v>61</v>
      </c>
      <c r="AA116" t="s">
        <v>61</v>
      </c>
      <c r="AB116">
        <v>2012487492</v>
      </c>
      <c r="AC116" t="s">
        <v>67</v>
      </c>
      <c r="AD116" t="s">
        <v>61</v>
      </c>
      <c r="AE116" t="s">
        <v>61</v>
      </c>
      <c r="AF116" t="s">
        <v>61</v>
      </c>
      <c r="AG116" t="s">
        <v>61</v>
      </c>
      <c r="AH116" t="s">
        <v>61</v>
      </c>
      <c r="AI116" t="s">
        <v>61</v>
      </c>
      <c r="AJ116" t="s">
        <v>61</v>
      </c>
      <c r="AK116" t="s">
        <v>61</v>
      </c>
      <c r="AL116" t="s">
        <v>61</v>
      </c>
      <c r="AM116" t="s">
        <v>991</v>
      </c>
      <c r="AN116" t="s">
        <v>61</v>
      </c>
      <c r="AO116" t="s">
        <v>61</v>
      </c>
      <c r="AP116" t="s">
        <v>61</v>
      </c>
      <c r="AQ116" t="s">
        <v>61</v>
      </c>
      <c r="AR116" t="s">
        <v>61</v>
      </c>
      <c r="AS116" t="s">
        <v>61</v>
      </c>
      <c r="AT116" t="s">
        <v>61</v>
      </c>
      <c r="AU116" t="s">
        <v>61</v>
      </c>
      <c r="AV116" t="s">
        <v>61</v>
      </c>
      <c r="AW116" t="s">
        <v>61</v>
      </c>
      <c r="AX116" t="s">
        <v>61</v>
      </c>
      <c r="AY116" t="s">
        <v>61</v>
      </c>
      <c r="AZ116" t="s">
        <v>61</v>
      </c>
      <c r="BA116" t="s">
        <v>61</v>
      </c>
      <c r="BB116" t="s">
        <v>61</v>
      </c>
      <c r="BC116" t="s">
        <v>61</v>
      </c>
      <c r="BD116" t="s">
        <v>61</v>
      </c>
      <c r="BE116" t="s">
        <v>61</v>
      </c>
      <c r="BF116" t="s">
        <v>61</v>
      </c>
    </row>
    <row r="117" spans="1:58">
      <c r="A117" t="s">
        <v>58</v>
      </c>
      <c r="B117" t="s">
        <v>998</v>
      </c>
      <c r="C117" t="s">
        <v>999</v>
      </c>
      <c r="D117" t="s">
        <v>1000</v>
      </c>
      <c r="E117" t="s">
        <v>1000</v>
      </c>
      <c r="F117">
        <v>1994</v>
      </c>
      <c r="G117" t="s">
        <v>851</v>
      </c>
      <c r="H117">
        <v>89</v>
      </c>
      <c r="I117">
        <v>11</v>
      </c>
      <c r="J117">
        <v>1535</v>
      </c>
      <c r="K117">
        <v>1541</v>
      </c>
      <c r="L117" t="s">
        <v>1001</v>
      </c>
      <c r="M117" t="s">
        <v>1002</v>
      </c>
      <c r="N117" t="s">
        <v>1003</v>
      </c>
      <c r="O117" t="s">
        <v>61</v>
      </c>
      <c r="Q117" t="s">
        <v>61</v>
      </c>
      <c r="R117" t="s">
        <v>61</v>
      </c>
      <c r="S117" t="s">
        <v>61</v>
      </c>
      <c r="T117" t="s">
        <v>61</v>
      </c>
      <c r="X117" t="s">
        <v>61</v>
      </c>
      <c r="Y117" t="s">
        <v>1004</v>
      </c>
      <c r="Z117" t="s">
        <v>61</v>
      </c>
      <c r="AA117" t="s">
        <v>1005</v>
      </c>
      <c r="AB117">
        <v>7841868</v>
      </c>
      <c r="AC117" t="s">
        <v>67</v>
      </c>
      <c r="AD117" t="s">
        <v>61</v>
      </c>
      <c r="AE117" t="s">
        <v>61</v>
      </c>
      <c r="AF117" t="s">
        <v>61</v>
      </c>
      <c r="AG117" t="s">
        <v>1006</v>
      </c>
      <c r="AH117" t="s">
        <v>61</v>
      </c>
      <c r="AI117" t="s">
        <v>61</v>
      </c>
      <c r="AJ117" t="s">
        <v>61</v>
      </c>
      <c r="AK117" t="s">
        <v>61</v>
      </c>
      <c r="AL117" t="s">
        <v>61</v>
      </c>
      <c r="AM117" t="s">
        <v>1007</v>
      </c>
      <c r="AN117" t="s">
        <v>61</v>
      </c>
      <c r="AO117" t="s">
        <v>61</v>
      </c>
      <c r="AP117" t="s">
        <v>61</v>
      </c>
      <c r="AQ117" t="s">
        <v>61</v>
      </c>
      <c r="AR117" t="s">
        <v>61</v>
      </c>
      <c r="AS117" t="s">
        <v>61</v>
      </c>
      <c r="AT117" t="s">
        <v>61</v>
      </c>
      <c r="AU117" t="s">
        <v>61</v>
      </c>
      <c r="AV117" t="s">
        <v>61</v>
      </c>
      <c r="AW117" t="s">
        <v>61</v>
      </c>
      <c r="AX117" t="s">
        <v>61</v>
      </c>
      <c r="AY117" t="s">
        <v>61</v>
      </c>
      <c r="AZ117" t="s">
        <v>61</v>
      </c>
      <c r="BA117" t="s">
        <v>61</v>
      </c>
      <c r="BB117" t="s">
        <v>61</v>
      </c>
      <c r="BC117" t="s">
        <v>61</v>
      </c>
      <c r="BD117" t="s">
        <v>61</v>
      </c>
      <c r="BE117" t="s">
        <v>61</v>
      </c>
      <c r="BF117" t="s">
        <v>61</v>
      </c>
    </row>
    <row r="118" spans="1:58">
      <c r="A118" t="s">
        <v>58</v>
      </c>
      <c r="B118" t="s">
        <v>1008</v>
      </c>
      <c r="C118" t="s">
        <v>1009</v>
      </c>
      <c r="D118" t="s">
        <v>876</v>
      </c>
      <c r="E118" t="s">
        <v>877</v>
      </c>
      <c r="F118">
        <v>2007</v>
      </c>
      <c r="G118" t="s">
        <v>61</v>
      </c>
      <c r="H118" t="s">
        <v>1010</v>
      </c>
      <c r="I118" t="s">
        <v>61</v>
      </c>
      <c r="J118" t="s">
        <v>61</v>
      </c>
      <c r="K118" t="s">
        <v>61</v>
      </c>
      <c r="L118" t="s">
        <v>1011</v>
      </c>
      <c r="M118" t="s">
        <v>1012</v>
      </c>
      <c r="N118" t="s">
        <v>1013</v>
      </c>
      <c r="O118" t="s">
        <v>61</v>
      </c>
      <c r="Q118" t="s">
        <v>61</v>
      </c>
      <c r="R118" t="s">
        <v>61</v>
      </c>
      <c r="S118" t="s">
        <v>61</v>
      </c>
      <c r="T118" t="s">
        <v>61</v>
      </c>
      <c r="X118" t="s">
        <v>61</v>
      </c>
      <c r="Y118" t="s">
        <v>1014</v>
      </c>
      <c r="Z118" t="s">
        <v>61</v>
      </c>
      <c r="AA118" t="s">
        <v>61</v>
      </c>
      <c r="AB118">
        <v>2007605547</v>
      </c>
      <c r="AC118" t="s">
        <v>67</v>
      </c>
      <c r="AD118" t="s">
        <v>61</v>
      </c>
      <c r="AE118" t="s">
        <v>61</v>
      </c>
      <c r="AF118" t="s">
        <v>61</v>
      </c>
      <c r="AG118" t="s">
        <v>1015</v>
      </c>
      <c r="AH118" t="s">
        <v>61</v>
      </c>
      <c r="AI118" t="s">
        <v>61</v>
      </c>
      <c r="AJ118" t="s">
        <v>61</v>
      </c>
      <c r="AK118" t="s">
        <v>61</v>
      </c>
      <c r="AL118" t="s">
        <v>61</v>
      </c>
      <c r="AM118" t="s">
        <v>1016</v>
      </c>
      <c r="AN118" t="s">
        <v>61</v>
      </c>
      <c r="AO118" t="s">
        <v>61</v>
      </c>
      <c r="AP118" t="s">
        <v>61</v>
      </c>
      <c r="AQ118" t="s">
        <v>61</v>
      </c>
      <c r="AR118" t="s">
        <v>61</v>
      </c>
      <c r="AS118" t="s">
        <v>61</v>
      </c>
      <c r="AT118" t="s">
        <v>61</v>
      </c>
      <c r="AU118" t="s">
        <v>61</v>
      </c>
      <c r="AV118" t="s">
        <v>61</v>
      </c>
      <c r="AW118" t="s">
        <v>61</v>
      </c>
      <c r="AX118" t="s">
        <v>61</v>
      </c>
      <c r="AY118" t="s">
        <v>61</v>
      </c>
      <c r="AZ118" t="s">
        <v>61</v>
      </c>
      <c r="BA118" t="s">
        <v>61</v>
      </c>
      <c r="BB118" t="s">
        <v>61</v>
      </c>
      <c r="BC118" t="s">
        <v>61</v>
      </c>
      <c r="BD118" t="s">
        <v>61</v>
      </c>
      <c r="BE118" t="s">
        <v>61</v>
      </c>
      <c r="BF118" t="s">
        <v>61</v>
      </c>
    </row>
    <row r="119" spans="1:58">
      <c r="A119" t="s">
        <v>58</v>
      </c>
      <c r="B119" t="s">
        <v>1017</v>
      </c>
      <c r="C119" t="s">
        <v>1018</v>
      </c>
      <c r="D119" t="s">
        <v>1019</v>
      </c>
      <c r="E119" t="s">
        <v>1019</v>
      </c>
      <c r="F119">
        <v>2011</v>
      </c>
      <c r="G119" t="s">
        <v>1020</v>
      </c>
      <c r="H119">
        <v>51</v>
      </c>
      <c r="I119" t="s">
        <v>61</v>
      </c>
      <c r="J119">
        <v>93</v>
      </c>
      <c r="K119">
        <v>100</v>
      </c>
      <c r="L119" t="s">
        <v>1021</v>
      </c>
      <c r="M119" t="s">
        <v>1022</v>
      </c>
      <c r="N119" t="s">
        <v>1023</v>
      </c>
      <c r="O119" t="s">
        <v>61</v>
      </c>
      <c r="Q119" t="s">
        <v>61</v>
      </c>
      <c r="R119" t="s">
        <v>61</v>
      </c>
      <c r="S119" t="s">
        <v>61</v>
      </c>
      <c r="T119" t="s">
        <v>61</v>
      </c>
      <c r="X119" t="s">
        <v>61</v>
      </c>
      <c r="Y119" t="s">
        <v>1024</v>
      </c>
      <c r="Z119" t="s">
        <v>61</v>
      </c>
      <c r="AA119" t="s">
        <v>61</v>
      </c>
      <c r="AB119">
        <v>2011410074</v>
      </c>
      <c r="AC119" t="s">
        <v>67</v>
      </c>
      <c r="AD119" t="s">
        <v>61</v>
      </c>
      <c r="AE119" t="s">
        <v>61</v>
      </c>
      <c r="AF119" t="s">
        <v>61</v>
      </c>
      <c r="AG119" t="s">
        <v>1025</v>
      </c>
      <c r="AH119" t="s">
        <v>61</v>
      </c>
      <c r="AI119" t="s">
        <v>61</v>
      </c>
      <c r="AJ119" t="s">
        <v>61</v>
      </c>
      <c r="AK119" t="s">
        <v>61</v>
      </c>
      <c r="AL119" t="s">
        <v>61</v>
      </c>
      <c r="AM119" t="s">
        <v>1026</v>
      </c>
      <c r="AN119" t="s">
        <v>61</v>
      </c>
      <c r="AO119" t="s">
        <v>61</v>
      </c>
      <c r="AP119" t="s">
        <v>61</v>
      </c>
      <c r="AQ119" t="s">
        <v>61</v>
      </c>
      <c r="AR119" t="s">
        <v>61</v>
      </c>
      <c r="AS119" t="s">
        <v>61</v>
      </c>
      <c r="AT119" t="s">
        <v>61</v>
      </c>
      <c r="AU119" t="s">
        <v>61</v>
      </c>
      <c r="AV119" t="s">
        <v>61</v>
      </c>
      <c r="AW119" t="s">
        <v>61</v>
      </c>
      <c r="AX119" t="s">
        <v>61</v>
      </c>
      <c r="AY119" t="s">
        <v>61</v>
      </c>
      <c r="AZ119" t="s">
        <v>61</v>
      </c>
      <c r="BA119" t="s">
        <v>61</v>
      </c>
      <c r="BB119" t="s">
        <v>61</v>
      </c>
      <c r="BC119" t="s">
        <v>61</v>
      </c>
      <c r="BD119" t="s">
        <v>61</v>
      </c>
      <c r="BE119" t="s">
        <v>61</v>
      </c>
      <c r="BF119" t="s">
        <v>61</v>
      </c>
    </row>
    <row r="120" spans="1:58">
      <c r="A120" t="s">
        <v>58</v>
      </c>
      <c r="B120" t="s">
        <v>1027</v>
      </c>
      <c r="C120" t="s">
        <v>1028</v>
      </c>
      <c r="D120" t="s">
        <v>627</v>
      </c>
      <c r="E120" t="s">
        <v>61</v>
      </c>
      <c r="F120">
        <v>2015</v>
      </c>
      <c r="G120" t="s">
        <v>628</v>
      </c>
      <c r="H120">
        <v>55</v>
      </c>
      <c r="I120">
        <v>2</v>
      </c>
      <c r="J120" t="s">
        <v>1029</v>
      </c>
      <c r="K120" t="s">
        <v>61</v>
      </c>
      <c r="L120" t="s">
        <v>1030</v>
      </c>
      <c r="M120" t="s">
        <v>1031</v>
      </c>
      <c r="N120" t="s">
        <v>1032</v>
      </c>
      <c r="O120" t="s">
        <v>61</v>
      </c>
      <c r="Q120" t="s">
        <v>61</v>
      </c>
      <c r="R120" t="s">
        <v>61</v>
      </c>
      <c r="S120" t="s">
        <v>61</v>
      </c>
      <c r="T120" t="s">
        <v>61</v>
      </c>
      <c r="X120" t="s">
        <v>61</v>
      </c>
      <c r="Y120" t="s">
        <v>632</v>
      </c>
      <c r="Z120" t="s">
        <v>61</v>
      </c>
      <c r="AA120" t="s">
        <v>61</v>
      </c>
      <c r="AB120" t="s">
        <v>61</v>
      </c>
      <c r="AC120" t="s">
        <v>67</v>
      </c>
      <c r="AD120" t="s">
        <v>61</v>
      </c>
      <c r="AE120" t="s">
        <v>61</v>
      </c>
      <c r="AF120" t="s">
        <v>61</v>
      </c>
      <c r="AG120" t="s">
        <v>61</v>
      </c>
      <c r="AH120" t="s">
        <v>61</v>
      </c>
      <c r="AI120" t="s">
        <v>61</v>
      </c>
      <c r="AJ120" t="s">
        <v>61</v>
      </c>
      <c r="AK120" t="s">
        <v>61</v>
      </c>
      <c r="AL120" t="s">
        <v>61</v>
      </c>
      <c r="AM120" t="s">
        <v>1028</v>
      </c>
      <c r="AN120" t="s">
        <v>61</v>
      </c>
      <c r="AO120" t="s">
        <v>61</v>
      </c>
      <c r="AP120" t="s">
        <v>61</v>
      </c>
      <c r="AQ120" t="s">
        <v>61</v>
      </c>
      <c r="AR120" t="s">
        <v>61</v>
      </c>
      <c r="AS120" t="s">
        <v>61</v>
      </c>
      <c r="AT120" t="s">
        <v>61</v>
      </c>
      <c r="AU120" t="s">
        <v>61</v>
      </c>
      <c r="AV120" t="s">
        <v>61</v>
      </c>
      <c r="AW120" t="s">
        <v>61</v>
      </c>
      <c r="AX120" t="s">
        <v>61</v>
      </c>
      <c r="AY120" t="s">
        <v>61</v>
      </c>
      <c r="AZ120" t="s">
        <v>61</v>
      </c>
      <c r="BA120" t="s">
        <v>61</v>
      </c>
      <c r="BB120" t="s">
        <v>61</v>
      </c>
      <c r="BC120" t="s">
        <v>61</v>
      </c>
      <c r="BD120" t="s">
        <v>61</v>
      </c>
      <c r="BE120" t="s">
        <v>61</v>
      </c>
      <c r="BF120" t="s">
        <v>61</v>
      </c>
    </row>
    <row r="121" spans="1:58">
      <c r="A121" t="s">
        <v>58</v>
      </c>
      <c r="B121" t="s">
        <v>1033</v>
      </c>
      <c r="C121" t="s">
        <v>1034</v>
      </c>
      <c r="D121" t="s">
        <v>627</v>
      </c>
      <c r="E121" t="s">
        <v>61</v>
      </c>
      <c r="F121">
        <v>2010</v>
      </c>
      <c r="G121" t="s">
        <v>628</v>
      </c>
      <c r="H121">
        <v>50</v>
      </c>
      <c r="I121">
        <v>2</v>
      </c>
      <c r="J121">
        <v>259</v>
      </c>
      <c r="K121">
        <v>260</v>
      </c>
      <c r="L121" t="s">
        <v>1035</v>
      </c>
      <c r="M121" t="s">
        <v>1036</v>
      </c>
      <c r="N121" t="s">
        <v>1037</v>
      </c>
      <c r="O121" t="s">
        <v>61</v>
      </c>
      <c r="Q121" t="s">
        <v>61</v>
      </c>
      <c r="R121" t="s">
        <v>61</v>
      </c>
      <c r="S121" t="s">
        <v>61</v>
      </c>
      <c r="T121" t="s">
        <v>61</v>
      </c>
      <c r="X121" t="s">
        <v>61</v>
      </c>
      <c r="Y121" t="s">
        <v>632</v>
      </c>
      <c r="Z121" t="s">
        <v>61</v>
      </c>
      <c r="AA121" t="s">
        <v>61</v>
      </c>
      <c r="AB121" t="s">
        <v>61</v>
      </c>
      <c r="AC121" t="s">
        <v>67</v>
      </c>
      <c r="AD121" t="s">
        <v>61</v>
      </c>
      <c r="AE121" t="s">
        <v>61</v>
      </c>
      <c r="AF121" t="s">
        <v>61</v>
      </c>
      <c r="AG121" t="s">
        <v>61</v>
      </c>
      <c r="AH121" t="s">
        <v>61</v>
      </c>
      <c r="AI121" t="s">
        <v>61</v>
      </c>
      <c r="AJ121" t="s">
        <v>61</v>
      </c>
      <c r="AK121" t="s">
        <v>61</v>
      </c>
      <c r="AL121" t="s">
        <v>61</v>
      </c>
      <c r="AM121" t="s">
        <v>1034</v>
      </c>
      <c r="AN121" t="s">
        <v>61</v>
      </c>
      <c r="AO121" t="s">
        <v>61</v>
      </c>
      <c r="AP121" t="s">
        <v>61</v>
      </c>
      <c r="AQ121" t="s">
        <v>61</v>
      </c>
      <c r="AR121" t="s">
        <v>61</v>
      </c>
      <c r="AS121" t="s">
        <v>61</v>
      </c>
      <c r="AT121" t="s">
        <v>61</v>
      </c>
      <c r="AU121" t="s">
        <v>61</v>
      </c>
      <c r="AV121" t="s">
        <v>61</v>
      </c>
      <c r="AW121" t="s">
        <v>61</v>
      </c>
      <c r="AX121" t="s">
        <v>61</v>
      </c>
      <c r="AY121" t="s">
        <v>61</v>
      </c>
      <c r="AZ121" t="s">
        <v>61</v>
      </c>
      <c r="BA121" t="s">
        <v>61</v>
      </c>
      <c r="BB121" t="s">
        <v>61</v>
      </c>
      <c r="BC121" t="s">
        <v>61</v>
      </c>
      <c r="BD121" t="s">
        <v>61</v>
      </c>
      <c r="BE121" t="s">
        <v>61</v>
      </c>
      <c r="BF121" t="s">
        <v>61</v>
      </c>
    </row>
    <row r="122" spans="1:58">
      <c r="A122" t="s">
        <v>58</v>
      </c>
      <c r="B122" t="s">
        <v>1038</v>
      </c>
      <c r="C122" t="s">
        <v>1039</v>
      </c>
      <c r="D122" t="s">
        <v>876</v>
      </c>
      <c r="E122" t="s">
        <v>877</v>
      </c>
      <c r="F122">
        <v>2010</v>
      </c>
      <c r="G122" s="1">
        <v>42439</v>
      </c>
      <c r="H122">
        <v>74</v>
      </c>
      <c r="I122">
        <v>2</v>
      </c>
      <c r="J122">
        <v>34</v>
      </c>
      <c r="K122" t="s">
        <v>61</v>
      </c>
      <c r="L122" t="s">
        <v>1040</v>
      </c>
      <c r="M122" t="s">
        <v>1041</v>
      </c>
      <c r="N122" t="s">
        <v>1042</v>
      </c>
      <c r="O122" t="s">
        <v>61</v>
      </c>
      <c r="Q122" t="s">
        <v>61</v>
      </c>
      <c r="R122" t="s">
        <v>61</v>
      </c>
      <c r="S122" t="s">
        <v>61</v>
      </c>
      <c r="T122" t="s">
        <v>61</v>
      </c>
      <c r="X122" t="s">
        <v>61</v>
      </c>
      <c r="Y122" t="s">
        <v>881</v>
      </c>
      <c r="Z122" t="s">
        <v>61</v>
      </c>
      <c r="AA122" t="s">
        <v>1043</v>
      </c>
      <c r="AB122">
        <v>20414449</v>
      </c>
      <c r="AC122" t="s">
        <v>67</v>
      </c>
      <c r="AD122" t="s">
        <v>61</v>
      </c>
      <c r="AE122" t="s">
        <v>61</v>
      </c>
      <c r="AF122" t="s">
        <v>61</v>
      </c>
      <c r="AG122" t="s">
        <v>1044</v>
      </c>
      <c r="AH122" t="s">
        <v>61</v>
      </c>
      <c r="AI122" t="s">
        <v>61</v>
      </c>
      <c r="AJ122" t="s">
        <v>61</v>
      </c>
      <c r="AK122" t="s">
        <v>61</v>
      </c>
      <c r="AL122" t="s">
        <v>61</v>
      </c>
      <c r="AM122" t="s">
        <v>1045</v>
      </c>
      <c r="AN122" t="s">
        <v>61</v>
      </c>
      <c r="AO122" t="s">
        <v>61</v>
      </c>
      <c r="AP122" t="s">
        <v>61</v>
      </c>
      <c r="AQ122" t="s">
        <v>61</v>
      </c>
      <c r="AR122" t="s">
        <v>61</v>
      </c>
      <c r="AS122" t="s">
        <v>61</v>
      </c>
      <c r="AT122" t="s">
        <v>61</v>
      </c>
      <c r="AU122" t="s">
        <v>61</v>
      </c>
      <c r="AV122" t="s">
        <v>61</v>
      </c>
      <c r="AW122" t="s">
        <v>61</v>
      </c>
      <c r="AX122" t="s">
        <v>61</v>
      </c>
      <c r="AY122" t="s">
        <v>61</v>
      </c>
      <c r="AZ122" t="s">
        <v>61</v>
      </c>
      <c r="BA122" t="s">
        <v>61</v>
      </c>
      <c r="BB122" t="s">
        <v>61</v>
      </c>
      <c r="BC122" t="s">
        <v>61</v>
      </c>
      <c r="BD122" t="s">
        <v>61</v>
      </c>
      <c r="BE122" t="s">
        <v>61</v>
      </c>
      <c r="BF122" t="s">
        <v>61</v>
      </c>
    </row>
    <row r="123" spans="1:58">
      <c r="A123" t="s">
        <v>58</v>
      </c>
      <c r="B123" t="s">
        <v>1046</v>
      </c>
      <c r="C123" t="s">
        <v>1047</v>
      </c>
      <c r="D123" t="s">
        <v>609</v>
      </c>
      <c r="E123" t="s">
        <v>61</v>
      </c>
      <c r="F123">
        <v>2011</v>
      </c>
      <c r="G123" t="s">
        <v>381</v>
      </c>
      <c r="H123">
        <v>10</v>
      </c>
      <c r="I123">
        <v>1</v>
      </c>
      <c r="J123">
        <v>11</v>
      </c>
      <c r="K123">
        <v>17</v>
      </c>
      <c r="L123" t="s">
        <v>1048</v>
      </c>
      <c r="M123" t="s">
        <v>1049</v>
      </c>
      <c r="N123" t="s">
        <v>1050</v>
      </c>
      <c r="O123" t="s">
        <v>61</v>
      </c>
      <c r="Q123" t="s">
        <v>61</v>
      </c>
      <c r="R123" t="s">
        <v>61</v>
      </c>
      <c r="S123" t="s">
        <v>61</v>
      </c>
      <c r="T123" t="s">
        <v>61</v>
      </c>
      <c r="X123" t="s">
        <v>61</v>
      </c>
      <c r="Y123" t="s">
        <v>613</v>
      </c>
      <c r="Z123" t="s">
        <v>61</v>
      </c>
      <c r="AA123" t="s">
        <v>61</v>
      </c>
      <c r="AB123">
        <v>2011104095</v>
      </c>
      <c r="AC123" t="s">
        <v>67</v>
      </c>
      <c r="AD123" t="s">
        <v>61</v>
      </c>
      <c r="AE123" t="s">
        <v>61</v>
      </c>
      <c r="AF123" t="s">
        <v>61</v>
      </c>
      <c r="AG123" t="s">
        <v>61</v>
      </c>
      <c r="AH123" t="s">
        <v>61</v>
      </c>
      <c r="AI123" t="s">
        <v>61</v>
      </c>
      <c r="AJ123" t="s">
        <v>61</v>
      </c>
      <c r="AK123" t="s">
        <v>61</v>
      </c>
      <c r="AL123" t="s">
        <v>61</v>
      </c>
      <c r="AM123" t="s">
        <v>1047</v>
      </c>
      <c r="AN123" t="s">
        <v>61</v>
      </c>
      <c r="AO123" t="s">
        <v>61</v>
      </c>
      <c r="AP123" t="s">
        <v>61</v>
      </c>
      <c r="AQ123" t="s">
        <v>61</v>
      </c>
      <c r="AR123" t="s">
        <v>61</v>
      </c>
      <c r="AS123" t="s">
        <v>61</v>
      </c>
      <c r="AT123" t="s">
        <v>61</v>
      </c>
      <c r="AU123" t="s">
        <v>61</v>
      </c>
      <c r="AV123" t="s">
        <v>61</v>
      </c>
      <c r="AW123" t="s">
        <v>61</v>
      </c>
      <c r="AX123" t="s">
        <v>61</v>
      </c>
      <c r="AY123" t="s">
        <v>61</v>
      </c>
      <c r="AZ123" t="s">
        <v>61</v>
      </c>
      <c r="BA123" t="s">
        <v>61</v>
      </c>
      <c r="BB123" t="s">
        <v>61</v>
      </c>
      <c r="BC123" t="s">
        <v>61</v>
      </c>
      <c r="BD123" t="s">
        <v>61</v>
      </c>
      <c r="BE123" t="s">
        <v>61</v>
      </c>
      <c r="BF123" t="s">
        <v>61</v>
      </c>
    </row>
    <row r="124" spans="1:58">
      <c r="A124" t="s">
        <v>58</v>
      </c>
      <c r="B124" t="s">
        <v>1051</v>
      </c>
      <c r="C124" t="s">
        <v>1052</v>
      </c>
      <c r="D124" t="s">
        <v>609</v>
      </c>
      <c r="E124" t="s">
        <v>61</v>
      </c>
      <c r="F124">
        <v>2010</v>
      </c>
      <c r="G124" t="s">
        <v>457</v>
      </c>
      <c r="H124">
        <v>9</v>
      </c>
      <c r="I124">
        <v>3</v>
      </c>
      <c r="J124">
        <v>215</v>
      </c>
      <c r="K124">
        <v>222</v>
      </c>
      <c r="L124" t="s">
        <v>1053</v>
      </c>
      <c r="M124" t="s">
        <v>1054</v>
      </c>
      <c r="N124" t="s">
        <v>1055</v>
      </c>
      <c r="O124" t="s">
        <v>61</v>
      </c>
      <c r="Q124" t="s">
        <v>61</v>
      </c>
      <c r="R124" t="s">
        <v>61</v>
      </c>
      <c r="S124" t="s">
        <v>61</v>
      </c>
      <c r="T124" t="s">
        <v>61</v>
      </c>
      <c r="X124" t="s">
        <v>61</v>
      </c>
      <c r="Y124" t="s">
        <v>613</v>
      </c>
      <c r="Z124" t="s">
        <v>61</v>
      </c>
      <c r="AA124" t="s">
        <v>61</v>
      </c>
      <c r="AB124">
        <v>2010366250</v>
      </c>
      <c r="AC124" t="s">
        <v>67</v>
      </c>
      <c r="AD124" t="s">
        <v>61</v>
      </c>
      <c r="AE124" t="s">
        <v>61</v>
      </c>
      <c r="AF124" t="s">
        <v>61</v>
      </c>
      <c r="AG124" t="s">
        <v>61</v>
      </c>
      <c r="AH124" t="s">
        <v>61</v>
      </c>
      <c r="AI124" t="s">
        <v>61</v>
      </c>
      <c r="AJ124" t="s">
        <v>61</v>
      </c>
      <c r="AK124" t="s">
        <v>61</v>
      </c>
      <c r="AL124" t="s">
        <v>61</v>
      </c>
      <c r="AM124" t="s">
        <v>1052</v>
      </c>
      <c r="AN124" t="s">
        <v>61</v>
      </c>
      <c r="AO124" t="s">
        <v>61</v>
      </c>
      <c r="AP124" t="s">
        <v>61</v>
      </c>
      <c r="AQ124" t="s">
        <v>61</v>
      </c>
      <c r="AR124" t="s">
        <v>61</v>
      </c>
      <c r="AS124" t="s">
        <v>61</v>
      </c>
      <c r="AT124" t="s">
        <v>61</v>
      </c>
      <c r="AU124" t="s">
        <v>61</v>
      </c>
      <c r="AV124" t="s">
        <v>61</v>
      </c>
      <c r="AW124" t="s">
        <v>61</v>
      </c>
      <c r="AX124" t="s">
        <v>61</v>
      </c>
      <c r="AY124" t="s">
        <v>61</v>
      </c>
      <c r="AZ124" t="s">
        <v>61</v>
      </c>
      <c r="BA124" t="s">
        <v>61</v>
      </c>
      <c r="BB124" t="s">
        <v>61</v>
      </c>
      <c r="BC124" t="s">
        <v>61</v>
      </c>
      <c r="BD124" t="s">
        <v>61</v>
      </c>
      <c r="BE124" t="s">
        <v>61</v>
      </c>
      <c r="BF124" t="s">
        <v>61</v>
      </c>
    </row>
    <row r="125" spans="1:58">
      <c r="A125" t="s">
        <v>58</v>
      </c>
      <c r="B125" t="s">
        <v>1056</v>
      </c>
      <c r="C125" t="s">
        <v>1057</v>
      </c>
      <c r="D125" t="s">
        <v>373</v>
      </c>
      <c r="E125" t="s">
        <v>61</v>
      </c>
      <c r="F125">
        <v>2014</v>
      </c>
      <c r="G125" t="s">
        <v>61</v>
      </c>
      <c r="H125">
        <v>13</v>
      </c>
      <c r="I125">
        <v>3</v>
      </c>
      <c r="J125">
        <v>967</v>
      </c>
      <c r="K125">
        <v>974</v>
      </c>
      <c r="L125" t="s">
        <v>1058</v>
      </c>
      <c r="M125" t="s">
        <v>1059</v>
      </c>
      <c r="N125" t="s">
        <v>1060</v>
      </c>
      <c r="O125" t="s">
        <v>61</v>
      </c>
      <c r="Q125" t="s">
        <v>61</v>
      </c>
      <c r="R125" t="s">
        <v>61</v>
      </c>
      <c r="S125" t="s">
        <v>61</v>
      </c>
      <c r="T125" t="s">
        <v>61</v>
      </c>
      <c r="X125" t="s">
        <v>61</v>
      </c>
      <c r="Y125" t="s">
        <v>1061</v>
      </c>
      <c r="Z125" t="s">
        <v>61</v>
      </c>
      <c r="AA125" t="s">
        <v>61</v>
      </c>
      <c r="AB125">
        <v>2014513363</v>
      </c>
      <c r="AC125" t="s">
        <v>67</v>
      </c>
      <c r="AD125" t="s">
        <v>61</v>
      </c>
      <c r="AE125" t="s">
        <v>61</v>
      </c>
      <c r="AF125" t="s">
        <v>61</v>
      </c>
      <c r="AG125" t="s">
        <v>61</v>
      </c>
      <c r="AH125" t="s">
        <v>61</v>
      </c>
      <c r="AI125" t="s">
        <v>61</v>
      </c>
      <c r="AJ125" t="s">
        <v>61</v>
      </c>
      <c r="AK125" t="s">
        <v>61</v>
      </c>
      <c r="AL125" t="s">
        <v>61</v>
      </c>
      <c r="AM125" t="s">
        <v>1057</v>
      </c>
      <c r="AN125" t="s">
        <v>61</v>
      </c>
      <c r="AO125" t="s">
        <v>61</v>
      </c>
      <c r="AP125" t="s">
        <v>61</v>
      </c>
      <c r="AQ125" t="s">
        <v>61</v>
      </c>
      <c r="AR125" t="s">
        <v>61</v>
      </c>
      <c r="AS125" t="s">
        <v>61</v>
      </c>
      <c r="AT125" t="s">
        <v>61</v>
      </c>
      <c r="AU125" t="s">
        <v>61</v>
      </c>
      <c r="AV125" t="s">
        <v>61</v>
      </c>
      <c r="AW125" t="s">
        <v>61</v>
      </c>
      <c r="AX125" t="s">
        <v>61</v>
      </c>
      <c r="AY125" t="s">
        <v>61</v>
      </c>
      <c r="AZ125" t="s">
        <v>61</v>
      </c>
      <c r="BA125" t="s">
        <v>61</v>
      </c>
      <c r="BB125" t="s">
        <v>61</v>
      </c>
      <c r="BC125" t="s">
        <v>61</v>
      </c>
      <c r="BD125" t="s">
        <v>61</v>
      </c>
      <c r="BE125" t="s">
        <v>61</v>
      </c>
      <c r="BF125" t="s">
        <v>61</v>
      </c>
    </row>
    <row r="126" spans="1:58">
      <c r="A126" t="s">
        <v>58</v>
      </c>
      <c r="B126" t="s">
        <v>1062</v>
      </c>
      <c r="C126" t="s">
        <v>1063</v>
      </c>
      <c r="D126" t="s">
        <v>1064</v>
      </c>
      <c r="E126" t="s">
        <v>1065</v>
      </c>
      <c r="F126">
        <v>2012</v>
      </c>
      <c r="G126" t="s">
        <v>280</v>
      </c>
      <c r="H126">
        <v>67</v>
      </c>
      <c r="I126">
        <v>6</v>
      </c>
      <c r="J126">
        <v>577</v>
      </c>
      <c r="K126">
        <v>581</v>
      </c>
      <c r="L126" t="s">
        <v>61</v>
      </c>
      <c r="M126" t="s">
        <v>1066</v>
      </c>
      <c r="N126" t="s">
        <v>1067</v>
      </c>
      <c r="O126" t="s">
        <v>61</v>
      </c>
      <c r="Q126" t="s">
        <v>61</v>
      </c>
      <c r="R126" t="s">
        <v>61</v>
      </c>
      <c r="S126" t="s">
        <v>61</v>
      </c>
      <c r="T126" t="s">
        <v>61</v>
      </c>
      <c r="X126" t="s">
        <v>61</v>
      </c>
      <c r="Y126" t="s">
        <v>1068</v>
      </c>
      <c r="Z126" t="s">
        <v>61</v>
      </c>
      <c r="AA126" t="s">
        <v>1069</v>
      </c>
      <c r="AB126">
        <v>23770948</v>
      </c>
      <c r="AC126" t="s">
        <v>67</v>
      </c>
      <c r="AD126" t="s">
        <v>61</v>
      </c>
      <c r="AE126" t="s">
        <v>61</v>
      </c>
      <c r="AF126" t="s">
        <v>61</v>
      </c>
      <c r="AG126" t="s">
        <v>1070</v>
      </c>
      <c r="AH126" t="s">
        <v>61</v>
      </c>
      <c r="AI126" t="s">
        <v>61</v>
      </c>
      <c r="AJ126" t="s">
        <v>61</v>
      </c>
      <c r="AK126" t="s">
        <v>61</v>
      </c>
      <c r="AL126" t="s">
        <v>61</v>
      </c>
      <c r="AM126" t="s">
        <v>1071</v>
      </c>
      <c r="AN126" t="s">
        <v>61</v>
      </c>
      <c r="AO126" t="s">
        <v>61</v>
      </c>
      <c r="AP126" t="s">
        <v>61</v>
      </c>
      <c r="AQ126" t="s">
        <v>61</v>
      </c>
      <c r="AR126" t="s">
        <v>61</v>
      </c>
      <c r="AS126" t="s">
        <v>61</v>
      </c>
      <c r="AT126" t="s">
        <v>61</v>
      </c>
      <c r="AU126" t="s">
        <v>61</v>
      </c>
      <c r="AV126" t="s">
        <v>61</v>
      </c>
      <c r="AW126" t="s">
        <v>61</v>
      </c>
      <c r="AX126" t="s">
        <v>61</v>
      </c>
      <c r="AY126" t="s">
        <v>61</v>
      </c>
      <c r="AZ126" t="s">
        <v>61</v>
      </c>
      <c r="BA126" t="s">
        <v>61</v>
      </c>
      <c r="BB126" t="s">
        <v>61</v>
      </c>
      <c r="BC126" t="s">
        <v>61</v>
      </c>
      <c r="BD126" t="s">
        <v>61</v>
      </c>
      <c r="BE126" t="s">
        <v>61</v>
      </c>
      <c r="BF126" t="s">
        <v>61</v>
      </c>
    </row>
    <row r="127" spans="1:58">
      <c r="A127" t="s">
        <v>58</v>
      </c>
      <c r="B127" t="s">
        <v>1072</v>
      </c>
      <c r="C127" t="s">
        <v>1073</v>
      </c>
      <c r="D127" t="s">
        <v>408</v>
      </c>
      <c r="E127" t="s">
        <v>408</v>
      </c>
      <c r="F127">
        <v>2015</v>
      </c>
      <c r="G127" t="s">
        <v>409</v>
      </c>
      <c r="H127">
        <v>35</v>
      </c>
      <c r="I127">
        <v>11</v>
      </c>
      <c r="J127" t="s">
        <v>1074</v>
      </c>
      <c r="K127" t="s">
        <v>61</v>
      </c>
      <c r="L127" t="s">
        <v>1075</v>
      </c>
      <c r="M127" t="s">
        <v>1076</v>
      </c>
      <c r="N127" t="s">
        <v>1077</v>
      </c>
      <c r="O127" t="s">
        <v>61</v>
      </c>
      <c r="Q127" t="s">
        <v>61</v>
      </c>
      <c r="R127" t="s">
        <v>61</v>
      </c>
      <c r="S127" t="s">
        <v>61</v>
      </c>
      <c r="T127" t="s">
        <v>61</v>
      </c>
      <c r="X127" t="s">
        <v>61</v>
      </c>
      <c r="Y127" t="s">
        <v>414</v>
      </c>
      <c r="Z127" t="s">
        <v>61</v>
      </c>
      <c r="AA127" t="s">
        <v>61</v>
      </c>
      <c r="AB127" t="s">
        <v>61</v>
      </c>
      <c r="AC127" t="s">
        <v>67</v>
      </c>
      <c r="AD127" t="s">
        <v>61</v>
      </c>
      <c r="AE127" t="s">
        <v>61</v>
      </c>
      <c r="AF127" t="s">
        <v>61</v>
      </c>
      <c r="AG127" t="s">
        <v>61</v>
      </c>
      <c r="AH127" t="s">
        <v>61</v>
      </c>
      <c r="AI127" t="s">
        <v>61</v>
      </c>
      <c r="AJ127" t="s">
        <v>61</v>
      </c>
      <c r="AK127" t="s">
        <v>61</v>
      </c>
      <c r="AL127" t="s">
        <v>61</v>
      </c>
      <c r="AM127" t="s">
        <v>1073</v>
      </c>
      <c r="AN127" t="s">
        <v>61</v>
      </c>
      <c r="AO127" t="s">
        <v>61</v>
      </c>
      <c r="AP127" t="s">
        <v>61</v>
      </c>
      <c r="AQ127" t="s">
        <v>61</v>
      </c>
      <c r="AR127" t="s">
        <v>61</v>
      </c>
      <c r="AS127" t="s">
        <v>61</v>
      </c>
      <c r="AT127" t="s">
        <v>61</v>
      </c>
      <c r="AU127" t="s">
        <v>61</v>
      </c>
      <c r="AV127" t="s">
        <v>61</v>
      </c>
      <c r="AW127" t="s">
        <v>61</v>
      </c>
      <c r="AX127" t="s">
        <v>61</v>
      </c>
      <c r="AY127" t="s">
        <v>61</v>
      </c>
      <c r="AZ127" t="s">
        <v>61</v>
      </c>
      <c r="BA127" t="s">
        <v>61</v>
      </c>
      <c r="BB127" t="s">
        <v>61</v>
      </c>
      <c r="BC127" t="s">
        <v>61</v>
      </c>
      <c r="BD127" t="s">
        <v>61</v>
      </c>
      <c r="BE127" t="s">
        <v>61</v>
      </c>
      <c r="BF127" t="s">
        <v>61</v>
      </c>
    </row>
    <row r="128" spans="1:58">
      <c r="A128" t="s">
        <v>58</v>
      </c>
      <c r="B128" t="s">
        <v>1078</v>
      </c>
      <c r="C128" t="s">
        <v>1079</v>
      </c>
      <c r="D128" t="s">
        <v>627</v>
      </c>
      <c r="E128" t="s">
        <v>61</v>
      </c>
      <c r="F128">
        <v>2012</v>
      </c>
      <c r="G128" t="s">
        <v>628</v>
      </c>
      <c r="H128">
        <v>52</v>
      </c>
      <c r="I128">
        <v>2</v>
      </c>
      <c r="J128">
        <v>205</v>
      </c>
      <c r="K128">
        <v>206</v>
      </c>
      <c r="L128" t="s">
        <v>1080</v>
      </c>
      <c r="M128" t="s">
        <v>1081</v>
      </c>
      <c r="N128" t="s">
        <v>1082</v>
      </c>
      <c r="O128" t="s">
        <v>61</v>
      </c>
      <c r="Q128" t="s">
        <v>61</v>
      </c>
      <c r="R128" t="s">
        <v>61</v>
      </c>
      <c r="S128" t="s">
        <v>61</v>
      </c>
      <c r="T128" t="s">
        <v>61</v>
      </c>
      <c r="X128" t="s">
        <v>61</v>
      </c>
      <c r="Y128" t="s">
        <v>632</v>
      </c>
      <c r="Z128" t="s">
        <v>61</v>
      </c>
      <c r="AA128" t="s">
        <v>61</v>
      </c>
      <c r="AB128" t="s">
        <v>61</v>
      </c>
      <c r="AC128" t="s">
        <v>67</v>
      </c>
      <c r="AD128" t="s">
        <v>61</v>
      </c>
      <c r="AE128" t="s">
        <v>61</v>
      </c>
      <c r="AF128" t="s">
        <v>61</v>
      </c>
      <c r="AG128" t="s">
        <v>61</v>
      </c>
      <c r="AH128" t="s">
        <v>61</v>
      </c>
      <c r="AI128" t="s">
        <v>61</v>
      </c>
      <c r="AJ128" t="s">
        <v>61</v>
      </c>
      <c r="AK128" t="s">
        <v>61</v>
      </c>
      <c r="AL128" t="s">
        <v>61</v>
      </c>
      <c r="AM128" t="s">
        <v>1079</v>
      </c>
      <c r="AN128" t="s">
        <v>61</v>
      </c>
      <c r="AO128" t="s">
        <v>61</v>
      </c>
      <c r="AP128" t="s">
        <v>61</v>
      </c>
      <c r="AQ128" t="s">
        <v>61</v>
      </c>
      <c r="AR128" t="s">
        <v>61</v>
      </c>
      <c r="AS128" t="s">
        <v>61</v>
      </c>
      <c r="AT128" t="s">
        <v>61</v>
      </c>
      <c r="AU128" t="s">
        <v>61</v>
      </c>
      <c r="AV128" t="s">
        <v>61</v>
      </c>
      <c r="AW128" t="s">
        <v>61</v>
      </c>
      <c r="AX128" t="s">
        <v>61</v>
      </c>
      <c r="AY128" t="s">
        <v>61</v>
      </c>
      <c r="AZ128" t="s">
        <v>61</v>
      </c>
      <c r="BA128" t="s">
        <v>61</v>
      </c>
      <c r="BB128" t="s">
        <v>61</v>
      </c>
      <c r="BC128" t="s">
        <v>61</v>
      </c>
      <c r="BD128" t="s">
        <v>61</v>
      </c>
      <c r="BE128" t="s">
        <v>61</v>
      </c>
      <c r="BF128" t="s">
        <v>61</v>
      </c>
    </row>
    <row r="129" spans="1:58">
      <c r="A129" t="s">
        <v>58</v>
      </c>
      <c r="B129" t="s">
        <v>1083</v>
      </c>
      <c r="C129" t="s">
        <v>1084</v>
      </c>
      <c r="D129" t="s">
        <v>1085</v>
      </c>
      <c r="E129" t="s">
        <v>1086</v>
      </c>
      <c r="F129">
        <v>2014</v>
      </c>
      <c r="G129" t="s">
        <v>559</v>
      </c>
      <c r="H129">
        <v>48</v>
      </c>
      <c r="I129">
        <v>5</v>
      </c>
      <c r="J129">
        <v>601</v>
      </c>
      <c r="K129">
        <v>606</v>
      </c>
      <c r="L129" t="s">
        <v>1087</v>
      </c>
      <c r="M129" t="s">
        <v>1088</v>
      </c>
      <c r="N129" t="s">
        <v>1089</v>
      </c>
      <c r="O129" t="s">
        <v>61</v>
      </c>
      <c r="Q129" t="s">
        <v>61</v>
      </c>
      <c r="R129" t="s">
        <v>61</v>
      </c>
      <c r="S129" t="s">
        <v>61</v>
      </c>
      <c r="T129" t="s">
        <v>61</v>
      </c>
      <c r="X129" t="s">
        <v>61</v>
      </c>
      <c r="Y129" t="s">
        <v>1090</v>
      </c>
      <c r="Z129" t="s">
        <v>61</v>
      </c>
      <c r="AA129" t="s">
        <v>1091</v>
      </c>
      <c r="AB129">
        <v>24523396</v>
      </c>
      <c r="AC129" t="s">
        <v>67</v>
      </c>
      <c r="AD129" t="s">
        <v>61</v>
      </c>
      <c r="AE129" t="s">
        <v>61</v>
      </c>
      <c r="AF129" t="s">
        <v>61</v>
      </c>
      <c r="AG129" t="s">
        <v>1092</v>
      </c>
      <c r="AH129" t="s">
        <v>61</v>
      </c>
      <c r="AI129" t="s">
        <v>1093</v>
      </c>
      <c r="AJ129" t="s">
        <v>61</v>
      </c>
      <c r="AK129" t="s">
        <v>61</v>
      </c>
      <c r="AL129" t="s">
        <v>61</v>
      </c>
      <c r="AM129" t="s">
        <v>1094</v>
      </c>
      <c r="AN129" t="s">
        <v>61</v>
      </c>
      <c r="AO129" t="s">
        <v>61</v>
      </c>
      <c r="AP129" t="s">
        <v>61</v>
      </c>
      <c r="AQ129" t="s">
        <v>61</v>
      </c>
      <c r="AR129" t="s">
        <v>61</v>
      </c>
      <c r="AS129" t="s">
        <v>61</v>
      </c>
      <c r="AT129" t="s">
        <v>61</v>
      </c>
      <c r="AU129" t="s">
        <v>61</v>
      </c>
      <c r="AV129" t="s">
        <v>61</v>
      </c>
      <c r="AW129" t="s">
        <v>61</v>
      </c>
      <c r="AX129" t="s">
        <v>61</v>
      </c>
      <c r="AY129" t="s">
        <v>61</v>
      </c>
      <c r="AZ129" t="s">
        <v>61</v>
      </c>
      <c r="BA129" t="s">
        <v>61</v>
      </c>
      <c r="BB129" t="s">
        <v>61</v>
      </c>
      <c r="BC129" t="s">
        <v>61</v>
      </c>
      <c r="BD129" t="s">
        <v>61</v>
      </c>
      <c r="BE129" t="s">
        <v>61</v>
      </c>
      <c r="BF129" t="s">
        <v>61</v>
      </c>
    </row>
    <row r="130" spans="1:58">
      <c r="A130" t="s">
        <v>58</v>
      </c>
      <c r="B130" t="s">
        <v>1095</v>
      </c>
      <c r="C130" t="s">
        <v>1096</v>
      </c>
      <c r="D130" t="s">
        <v>1097</v>
      </c>
      <c r="E130" t="s">
        <v>1097</v>
      </c>
      <c r="F130">
        <v>2012</v>
      </c>
      <c r="G130" t="s">
        <v>61</v>
      </c>
      <c r="H130">
        <v>35</v>
      </c>
      <c r="I130">
        <v>6</v>
      </c>
      <c r="J130">
        <v>505</v>
      </c>
      <c r="K130" t="s">
        <v>1098</v>
      </c>
      <c r="L130" t="s">
        <v>1099</v>
      </c>
      <c r="M130" t="s">
        <v>1100</v>
      </c>
      <c r="N130" t="s">
        <v>1101</v>
      </c>
      <c r="O130" t="s">
        <v>61</v>
      </c>
      <c r="Q130" t="s">
        <v>61</v>
      </c>
      <c r="R130" t="s">
        <v>61</v>
      </c>
      <c r="S130" t="s">
        <v>61</v>
      </c>
      <c r="T130" t="s">
        <v>61</v>
      </c>
      <c r="X130" t="s">
        <v>61</v>
      </c>
      <c r="Y130" t="s">
        <v>1102</v>
      </c>
      <c r="Z130" t="s">
        <v>61</v>
      </c>
      <c r="AA130" t="s">
        <v>61</v>
      </c>
      <c r="AB130">
        <v>104462230</v>
      </c>
      <c r="AC130" t="s">
        <v>67</v>
      </c>
      <c r="AD130" t="s">
        <v>61</v>
      </c>
      <c r="AE130" t="s">
        <v>61</v>
      </c>
      <c r="AF130" t="s">
        <v>61</v>
      </c>
      <c r="AG130" t="s">
        <v>1103</v>
      </c>
      <c r="AH130" t="s">
        <v>61</v>
      </c>
      <c r="AI130" t="s">
        <v>1104</v>
      </c>
      <c r="AJ130" t="s">
        <v>61</v>
      </c>
      <c r="AK130" t="s">
        <v>61</v>
      </c>
      <c r="AL130" t="s">
        <v>61</v>
      </c>
      <c r="AM130" t="s">
        <v>1105</v>
      </c>
      <c r="AN130" t="s">
        <v>61</v>
      </c>
      <c r="AO130" t="s">
        <v>61</v>
      </c>
      <c r="AP130" t="s">
        <v>61</v>
      </c>
      <c r="AQ130" t="s">
        <v>61</v>
      </c>
      <c r="AR130" t="s">
        <v>61</v>
      </c>
      <c r="AS130" t="s">
        <v>61</v>
      </c>
      <c r="AT130" t="s">
        <v>61</v>
      </c>
      <c r="AU130" t="s">
        <v>61</v>
      </c>
      <c r="AV130" t="s">
        <v>61</v>
      </c>
      <c r="AW130" t="s">
        <v>61</v>
      </c>
      <c r="AX130" t="s">
        <v>61</v>
      </c>
      <c r="AY130" t="s">
        <v>61</v>
      </c>
      <c r="AZ130" t="s">
        <v>61</v>
      </c>
      <c r="BA130" t="s">
        <v>61</v>
      </c>
      <c r="BB130" t="s">
        <v>61</v>
      </c>
      <c r="BC130" t="s">
        <v>61</v>
      </c>
      <c r="BD130" t="s">
        <v>61</v>
      </c>
      <c r="BE130" t="s">
        <v>61</v>
      </c>
      <c r="BF130" t="s">
        <v>61</v>
      </c>
    </row>
    <row r="131" spans="1:58">
      <c r="A131" t="s">
        <v>58</v>
      </c>
      <c r="B131" t="s">
        <v>1106</v>
      </c>
      <c r="C131" t="s">
        <v>1107</v>
      </c>
      <c r="D131" t="s">
        <v>153</v>
      </c>
      <c r="E131" t="s">
        <v>61</v>
      </c>
      <c r="F131">
        <v>2016</v>
      </c>
      <c r="G131" t="s">
        <v>363</v>
      </c>
      <c r="H131">
        <v>56</v>
      </c>
      <c r="I131">
        <v>1</v>
      </c>
      <c r="J131">
        <v>73</v>
      </c>
      <c r="K131">
        <v>81</v>
      </c>
      <c r="L131" t="s">
        <v>61</v>
      </c>
      <c r="M131" t="s">
        <v>1108</v>
      </c>
      <c r="N131" t="s">
        <v>1109</v>
      </c>
      <c r="O131" t="s">
        <v>61</v>
      </c>
      <c r="Q131" t="s">
        <v>61</v>
      </c>
      <c r="R131" t="s">
        <v>61</v>
      </c>
      <c r="S131" t="s">
        <v>61</v>
      </c>
      <c r="T131" t="s">
        <v>61</v>
      </c>
      <c r="X131" t="s">
        <v>61</v>
      </c>
      <c r="Y131" t="s">
        <v>157</v>
      </c>
      <c r="Z131" t="s">
        <v>61</v>
      </c>
      <c r="AA131" t="s">
        <v>61</v>
      </c>
      <c r="AB131">
        <v>26802925</v>
      </c>
      <c r="AC131" t="s">
        <v>67</v>
      </c>
      <c r="AD131" t="s">
        <v>61</v>
      </c>
      <c r="AE131" t="s">
        <v>61</v>
      </c>
      <c r="AF131" t="s">
        <v>61</v>
      </c>
      <c r="AG131" t="s">
        <v>1110</v>
      </c>
      <c r="AH131" t="s">
        <v>61</v>
      </c>
      <c r="AI131" t="s">
        <v>1111</v>
      </c>
      <c r="AJ131" t="s">
        <v>61</v>
      </c>
      <c r="AK131" t="s">
        <v>61</v>
      </c>
      <c r="AL131" t="s">
        <v>61</v>
      </c>
      <c r="AM131" t="s">
        <v>1112</v>
      </c>
      <c r="AN131" t="s">
        <v>61</v>
      </c>
      <c r="AO131" t="s">
        <v>61</v>
      </c>
      <c r="AP131" t="s">
        <v>61</v>
      </c>
      <c r="AQ131" t="s">
        <v>61</v>
      </c>
      <c r="AR131" t="s">
        <v>61</v>
      </c>
      <c r="AS131" t="s">
        <v>61</v>
      </c>
      <c r="AT131" t="s">
        <v>61</v>
      </c>
      <c r="AU131" t="s">
        <v>61</v>
      </c>
      <c r="AV131" t="s">
        <v>61</v>
      </c>
      <c r="AW131" t="s">
        <v>61</v>
      </c>
      <c r="AX131" t="s">
        <v>61</v>
      </c>
      <c r="AY131" t="s">
        <v>61</v>
      </c>
      <c r="AZ131" t="s">
        <v>61</v>
      </c>
      <c r="BA131" t="s">
        <v>61</v>
      </c>
      <c r="BB131" t="s">
        <v>61</v>
      </c>
      <c r="BC131" t="s">
        <v>61</v>
      </c>
      <c r="BD131" t="s">
        <v>61</v>
      </c>
      <c r="BE131" t="s">
        <v>61</v>
      </c>
      <c r="BF131" t="s">
        <v>61</v>
      </c>
    </row>
    <row r="132" spans="1:58">
      <c r="A132" t="s">
        <v>58</v>
      </c>
      <c r="B132" t="s">
        <v>1113</v>
      </c>
      <c r="C132" t="s">
        <v>1114</v>
      </c>
      <c r="D132" t="s">
        <v>876</v>
      </c>
      <c r="E132" t="s">
        <v>877</v>
      </c>
      <c r="F132">
        <v>1979</v>
      </c>
      <c r="G132" t="s">
        <v>418</v>
      </c>
      <c r="H132">
        <v>43</v>
      </c>
      <c r="I132">
        <v>3</v>
      </c>
      <c r="J132">
        <v>227</v>
      </c>
      <c r="K132">
        <v>229</v>
      </c>
      <c r="L132" t="s">
        <v>1115</v>
      </c>
      <c r="M132" t="s">
        <v>1116</v>
      </c>
      <c r="N132" t="s">
        <v>1117</v>
      </c>
      <c r="O132" t="s">
        <v>61</v>
      </c>
      <c r="Q132" t="s">
        <v>61</v>
      </c>
      <c r="R132" t="s">
        <v>61</v>
      </c>
      <c r="S132" t="s">
        <v>61</v>
      </c>
      <c r="T132" t="s">
        <v>61</v>
      </c>
      <c r="X132" t="s">
        <v>61</v>
      </c>
      <c r="Y132" t="s">
        <v>61</v>
      </c>
      <c r="Z132" t="s">
        <v>61</v>
      </c>
      <c r="AA132" t="s">
        <v>61</v>
      </c>
      <c r="AB132" t="s">
        <v>1118</v>
      </c>
      <c r="AC132" t="s">
        <v>67</v>
      </c>
      <c r="AD132" t="s">
        <v>61</v>
      </c>
      <c r="AE132" t="s">
        <v>61</v>
      </c>
      <c r="AF132" t="s">
        <v>61</v>
      </c>
      <c r="AG132" t="s">
        <v>61</v>
      </c>
      <c r="AH132" t="s">
        <v>61</v>
      </c>
      <c r="AI132" t="s">
        <v>61</v>
      </c>
      <c r="AJ132" t="s">
        <v>61</v>
      </c>
      <c r="AK132" t="s">
        <v>61</v>
      </c>
      <c r="AL132" t="s">
        <v>61</v>
      </c>
      <c r="AM132" t="s">
        <v>1119</v>
      </c>
      <c r="AN132" t="s">
        <v>61</v>
      </c>
      <c r="AO132" t="s">
        <v>61</v>
      </c>
      <c r="AP132" t="s">
        <v>61</v>
      </c>
      <c r="AQ132" t="s">
        <v>61</v>
      </c>
      <c r="AR132" t="s">
        <v>61</v>
      </c>
      <c r="AS132" t="s">
        <v>61</v>
      </c>
      <c r="AT132" t="s">
        <v>61</v>
      </c>
      <c r="AU132" t="s">
        <v>61</v>
      </c>
      <c r="AV132" t="s">
        <v>61</v>
      </c>
      <c r="AW132" t="s">
        <v>61</v>
      </c>
      <c r="AX132" t="s">
        <v>61</v>
      </c>
      <c r="AY132" t="s">
        <v>61</v>
      </c>
      <c r="AZ132" t="s">
        <v>61</v>
      </c>
      <c r="BA132" t="s">
        <v>61</v>
      </c>
      <c r="BB132" t="s">
        <v>61</v>
      </c>
      <c r="BC132" t="s">
        <v>61</v>
      </c>
      <c r="BD132" t="s">
        <v>61</v>
      </c>
      <c r="BE132" t="s">
        <v>61</v>
      </c>
      <c r="BF132" t="s">
        <v>61</v>
      </c>
    </row>
    <row r="133" spans="1:58">
      <c r="A133" t="s">
        <v>58</v>
      </c>
      <c r="B133" t="s">
        <v>1120</v>
      </c>
      <c r="C133" t="s">
        <v>1121</v>
      </c>
      <c r="D133" t="s">
        <v>1122</v>
      </c>
      <c r="E133" t="s">
        <v>61</v>
      </c>
      <c r="F133">
        <v>2011</v>
      </c>
      <c r="G133" t="s">
        <v>61</v>
      </c>
      <c r="H133">
        <v>22</v>
      </c>
      <c r="I133">
        <v>4</v>
      </c>
      <c r="J133">
        <v>1131</v>
      </c>
      <c r="K133" t="s">
        <v>1123</v>
      </c>
      <c r="L133" t="s">
        <v>1124</v>
      </c>
      <c r="M133" t="s">
        <v>1125</v>
      </c>
      <c r="N133" t="s">
        <v>1126</v>
      </c>
      <c r="O133" t="s">
        <v>61</v>
      </c>
      <c r="Q133" t="s">
        <v>61</v>
      </c>
      <c r="R133" t="s">
        <v>61</v>
      </c>
      <c r="S133" t="s">
        <v>61</v>
      </c>
      <c r="T133" t="s">
        <v>61</v>
      </c>
      <c r="X133" t="s">
        <v>61</v>
      </c>
      <c r="Y133" t="s">
        <v>1127</v>
      </c>
      <c r="Z133" t="s">
        <v>61</v>
      </c>
      <c r="AA133" t="s">
        <v>61</v>
      </c>
      <c r="AB133">
        <v>108205756</v>
      </c>
      <c r="AC133" t="s">
        <v>67</v>
      </c>
      <c r="AD133" t="s">
        <v>61</v>
      </c>
      <c r="AE133" t="s">
        <v>61</v>
      </c>
      <c r="AF133" t="s">
        <v>61</v>
      </c>
      <c r="AG133" t="s">
        <v>1128</v>
      </c>
      <c r="AH133" t="s">
        <v>61</v>
      </c>
      <c r="AI133" t="s">
        <v>61</v>
      </c>
      <c r="AJ133" t="s">
        <v>61</v>
      </c>
      <c r="AK133" t="s">
        <v>61</v>
      </c>
      <c r="AL133" t="s">
        <v>61</v>
      </c>
      <c r="AM133" t="s">
        <v>1129</v>
      </c>
      <c r="AN133" t="s">
        <v>61</v>
      </c>
      <c r="AO133" t="s">
        <v>61</v>
      </c>
      <c r="AP133" t="s">
        <v>61</v>
      </c>
      <c r="AQ133" t="s">
        <v>61</v>
      </c>
      <c r="AR133" t="s">
        <v>61</v>
      </c>
      <c r="AS133" t="s">
        <v>61</v>
      </c>
      <c r="AT133" t="s">
        <v>61</v>
      </c>
      <c r="AU133" t="s">
        <v>61</v>
      </c>
      <c r="AV133" t="s">
        <v>61</v>
      </c>
      <c r="AW133" t="s">
        <v>61</v>
      </c>
      <c r="AX133" t="s">
        <v>61</v>
      </c>
      <c r="AY133" t="s">
        <v>61</v>
      </c>
      <c r="AZ133" t="s">
        <v>61</v>
      </c>
      <c r="BA133" t="s">
        <v>61</v>
      </c>
      <c r="BB133" t="s">
        <v>61</v>
      </c>
      <c r="BC133" t="s">
        <v>61</v>
      </c>
      <c r="BD133" t="s">
        <v>61</v>
      </c>
      <c r="BE133" t="s">
        <v>61</v>
      </c>
      <c r="BF133" t="s">
        <v>61</v>
      </c>
    </row>
    <row r="134" spans="1:58">
      <c r="A134" t="s">
        <v>58</v>
      </c>
      <c r="B134" t="s">
        <v>1130</v>
      </c>
      <c r="C134" t="s">
        <v>1131</v>
      </c>
      <c r="D134" t="s">
        <v>876</v>
      </c>
      <c r="E134" t="s">
        <v>877</v>
      </c>
      <c r="F134">
        <v>2009</v>
      </c>
      <c r="G134" s="1">
        <v>42686</v>
      </c>
      <c r="H134">
        <v>73</v>
      </c>
      <c r="I134">
        <v>7</v>
      </c>
      <c r="J134">
        <v>124</v>
      </c>
      <c r="K134" t="s">
        <v>61</v>
      </c>
      <c r="L134" t="s">
        <v>1132</v>
      </c>
      <c r="M134" t="s">
        <v>61</v>
      </c>
      <c r="N134" t="s">
        <v>1133</v>
      </c>
      <c r="O134" t="s">
        <v>61</v>
      </c>
      <c r="Q134" t="s">
        <v>61</v>
      </c>
      <c r="R134" t="s">
        <v>61</v>
      </c>
      <c r="S134" t="s">
        <v>61</v>
      </c>
      <c r="T134" t="s">
        <v>61</v>
      </c>
      <c r="X134" t="s">
        <v>61</v>
      </c>
      <c r="Y134" t="s">
        <v>881</v>
      </c>
      <c r="Z134" t="s">
        <v>61</v>
      </c>
      <c r="AA134" t="s">
        <v>1134</v>
      </c>
      <c r="AB134">
        <v>19960083</v>
      </c>
      <c r="AC134" t="s">
        <v>67</v>
      </c>
      <c r="AD134" t="s">
        <v>61</v>
      </c>
      <c r="AE134" t="s">
        <v>61</v>
      </c>
      <c r="AF134" t="s">
        <v>61</v>
      </c>
      <c r="AG134" t="s">
        <v>1135</v>
      </c>
      <c r="AH134" t="s">
        <v>61</v>
      </c>
      <c r="AI134" t="s">
        <v>61</v>
      </c>
      <c r="AJ134" t="s">
        <v>61</v>
      </c>
      <c r="AK134" t="s">
        <v>61</v>
      </c>
      <c r="AL134" t="s">
        <v>61</v>
      </c>
      <c r="AM134" t="s">
        <v>1136</v>
      </c>
      <c r="AN134" t="s">
        <v>61</v>
      </c>
      <c r="AO134" t="s">
        <v>61</v>
      </c>
      <c r="AP134" t="s">
        <v>61</v>
      </c>
      <c r="AQ134" t="s">
        <v>61</v>
      </c>
      <c r="AR134" t="s">
        <v>61</v>
      </c>
      <c r="AS134" t="s">
        <v>61</v>
      </c>
      <c r="AT134" t="s">
        <v>61</v>
      </c>
      <c r="AU134" t="s">
        <v>61</v>
      </c>
      <c r="AV134" t="s">
        <v>61</v>
      </c>
      <c r="AW134" t="s">
        <v>61</v>
      </c>
      <c r="AX134" t="s">
        <v>61</v>
      </c>
      <c r="AY134" t="s">
        <v>61</v>
      </c>
      <c r="AZ134" t="s">
        <v>61</v>
      </c>
      <c r="BA134" t="s">
        <v>61</v>
      </c>
      <c r="BB134" t="s">
        <v>61</v>
      </c>
      <c r="BC134" t="s">
        <v>61</v>
      </c>
      <c r="BD134" t="s">
        <v>61</v>
      </c>
      <c r="BE134" t="s">
        <v>61</v>
      </c>
      <c r="BF134" t="s">
        <v>61</v>
      </c>
    </row>
    <row r="135" spans="1:58">
      <c r="A135" t="s">
        <v>58</v>
      </c>
      <c r="B135" t="s">
        <v>1130</v>
      </c>
      <c r="C135" t="s">
        <v>1137</v>
      </c>
      <c r="D135" t="s">
        <v>876</v>
      </c>
      <c r="E135" t="s">
        <v>877</v>
      </c>
      <c r="F135">
        <v>2008</v>
      </c>
      <c r="G135" s="1">
        <v>42597</v>
      </c>
      <c r="H135">
        <v>72</v>
      </c>
      <c r="I135">
        <v>4</v>
      </c>
      <c r="J135">
        <v>78</v>
      </c>
      <c r="K135" t="s">
        <v>61</v>
      </c>
      <c r="L135" t="s">
        <v>1138</v>
      </c>
      <c r="M135" t="s">
        <v>1139</v>
      </c>
      <c r="N135" t="s">
        <v>1140</v>
      </c>
      <c r="O135" t="s">
        <v>61</v>
      </c>
      <c r="Q135" t="s">
        <v>61</v>
      </c>
      <c r="R135" t="s">
        <v>61</v>
      </c>
      <c r="S135" t="s">
        <v>61</v>
      </c>
      <c r="T135" t="s">
        <v>61</v>
      </c>
      <c r="X135" t="s">
        <v>61</v>
      </c>
      <c r="Y135" t="s">
        <v>881</v>
      </c>
      <c r="Z135" t="s">
        <v>61</v>
      </c>
      <c r="AA135" t="s">
        <v>1141</v>
      </c>
      <c r="AB135">
        <v>19002278</v>
      </c>
      <c r="AC135" t="s">
        <v>67</v>
      </c>
      <c r="AD135" t="s">
        <v>61</v>
      </c>
      <c r="AE135" t="s">
        <v>61</v>
      </c>
      <c r="AF135" t="s">
        <v>61</v>
      </c>
      <c r="AG135" t="s">
        <v>1142</v>
      </c>
      <c r="AH135" t="s">
        <v>61</v>
      </c>
      <c r="AI135" t="s">
        <v>61</v>
      </c>
      <c r="AJ135" t="s">
        <v>61</v>
      </c>
      <c r="AK135" t="s">
        <v>61</v>
      </c>
      <c r="AL135" t="s">
        <v>61</v>
      </c>
      <c r="AM135" t="s">
        <v>1143</v>
      </c>
      <c r="AN135" t="s">
        <v>61</v>
      </c>
      <c r="AO135" t="s">
        <v>61</v>
      </c>
      <c r="AP135" t="s">
        <v>61</v>
      </c>
      <c r="AQ135" t="s">
        <v>61</v>
      </c>
      <c r="AR135" t="s">
        <v>61</v>
      </c>
      <c r="AS135" t="s">
        <v>61</v>
      </c>
      <c r="AT135" t="s">
        <v>61</v>
      </c>
      <c r="AU135" t="s">
        <v>61</v>
      </c>
      <c r="AV135" t="s">
        <v>61</v>
      </c>
      <c r="AW135" t="s">
        <v>61</v>
      </c>
      <c r="AX135" t="s">
        <v>61</v>
      </c>
      <c r="AY135" t="s">
        <v>61</v>
      </c>
      <c r="AZ135" t="s">
        <v>61</v>
      </c>
      <c r="BA135" t="s">
        <v>61</v>
      </c>
      <c r="BB135" t="s">
        <v>61</v>
      </c>
      <c r="BC135" t="s">
        <v>61</v>
      </c>
      <c r="BD135" t="s">
        <v>61</v>
      </c>
      <c r="BE135" t="s">
        <v>61</v>
      </c>
      <c r="BF135" t="s">
        <v>61</v>
      </c>
    </row>
    <row r="136" spans="1:58">
      <c r="A136" t="s">
        <v>58</v>
      </c>
      <c r="B136" t="s">
        <v>1144</v>
      </c>
      <c r="C136" t="s">
        <v>1145</v>
      </c>
      <c r="D136" t="s">
        <v>60</v>
      </c>
      <c r="E136" t="s">
        <v>61</v>
      </c>
      <c r="F136">
        <v>1998</v>
      </c>
      <c r="G136">
        <v>15</v>
      </c>
      <c r="H136">
        <v>55</v>
      </c>
      <c r="I136">
        <v>16</v>
      </c>
      <c r="J136">
        <v>1721</v>
      </c>
      <c r="K136">
        <v>1724</v>
      </c>
      <c r="L136" t="s">
        <v>1146</v>
      </c>
      <c r="M136" t="s">
        <v>61</v>
      </c>
      <c r="N136" t="s">
        <v>1147</v>
      </c>
      <c r="O136" t="s">
        <v>61</v>
      </c>
      <c r="Q136" t="s">
        <v>61</v>
      </c>
      <c r="R136" t="s">
        <v>61</v>
      </c>
      <c r="S136" t="s">
        <v>61</v>
      </c>
      <c r="T136" t="s">
        <v>61</v>
      </c>
      <c r="X136" t="s">
        <v>61</v>
      </c>
      <c r="Y136" t="s">
        <v>66</v>
      </c>
      <c r="Z136" t="s">
        <v>61</v>
      </c>
      <c r="AA136" t="s">
        <v>61</v>
      </c>
      <c r="AB136">
        <v>1998286507</v>
      </c>
      <c r="AC136" t="s">
        <v>67</v>
      </c>
      <c r="AD136" t="s">
        <v>61</v>
      </c>
      <c r="AE136" t="s">
        <v>61</v>
      </c>
      <c r="AF136" t="s">
        <v>61</v>
      </c>
      <c r="AG136" t="s">
        <v>1148</v>
      </c>
      <c r="AH136" t="s">
        <v>61</v>
      </c>
      <c r="AI136" t="s">
        <v>61</v>
      </c>
      <c r="AJ136" t="s">
        <v>61</v>
      </c>
      <c r="AK136" t="s">
        <v>61</v>
      </c>
      <c r="AL136" t="s">
        <v>61</v>
      </c>
      <c r="AM136" t="s">
        <v>195</v>
      </c>
      <c r="AN136" t="s">
        <v>61</v>
      </c>
      <c r="AO136" t="s">
        <v>61</v>
      </c>
      <c r="AP136" t="s">
        <v>61</v>
      </c>
      <c r="AQ136" t="s">
        <v>61</v>
      </c>
      <c r="AR136" t="s">
        <v>61</v>
      </c>
      <c r="AS136" t="s">
        <v>61</v>
      </c>
      <c r="AT136" t="s">
        <v>61</v>
      </c>
      <c r="AU136" t="s">
        <v>61</v>
      </c>
      <c r="AV136" t="s">
        <v>61</v>
      </c>
      <c r="AW136" t="s">
        <v>61</v>
      </c>
      <c r="AX136" t="s">
        <v>61</v>
      </c>
      <c r="AY136" t="s">
        <v>61</v>
      </c>
      <c r="AZ136" t="s">
        <v>61</v>
      </c>
      <c r="BA136" t="s">
        <v>61</v>
      </c>
      <c r="BB136" t="s">
        <v>61</v>
      </c>
      <c r="BC136" t="s">
        <v>61</v>
      </c>
      <c r="BD136" t="s">
        <v>61</v>
      </c>
      <c r="BE136" t="s">
        <v>61</v>
      </c>
      <c r="BF136" t="s">
        <v>61</v>
      </c>
    </row>
    <row r="137" spans="1:58">
      <c r="A137" t="s">
        <v>58</v>
      </c>
      <c r="B137" t="s">
        <v>1149</v>
      </c>
      <c r="C137" t="s">
        <v>1150</v>
      </c>
      <c r="D137" t="s">
        <v>1151</v>
      </c>
      <c r="E137" t="s">
        <v>61</v>
      </c>
      <c r="F137">
        <v>2006</v>
      </c>
      <c r="G137" t="s">
        <v>1152</v>
      </c>
      <c r="H137">
        <v>27</v>
      </c>
      <c r="I137">
        <v>3</v>
      </c>
      <c r="J137">
        <v>27</v>
      </c>
      <c r="K137">
        <v>37</v>
      </c>
      <c r="L137" t="s">
        <v>1153</v>
      </c>
      <c r="M137" t="s">
        <v>1154</v>
      </c>
      <c r="N137" t="s">
        <v>1155</v>
      </c>
      <c r="O137" t="s">
        <v>61</v>
      </c>
      <c r="Q137" t="s">
        <v>61</v>
      </c>
      <c r="R137" t="s">
        <v>61</v>
      </c>
      <c r="S137" t="s">
        <v>61</v>
      </c>
      <c r="T137" t="s">
        <v>61</v>
      </c>
      <c r="X137" t="s">
        <v>61</v>
      </c>
      <c r="Y137" t="s">
        <v>1156</v>
      </c>
      <c r="Z137" t="s">
        <v>61</v>
      </c>
      <c r="AA137" t="s">
        <v>1157</v>
      </c>
      <c r="AB137">
        <v>17135178</v>
      </c>
      <c r="AC137" t="s">
        <v>67</v>
      </c>
      <c r="AD137" t="s">
        <v>61</v>
      </c>
      <c r="AE137" t="s">
        <v>61</v>
      </c>
      <c r="AF137" t="s">
        <v>61</v>
      </c>
      <c r="AG137" t="s">
        <v>1158</v>
      </c>
      <c r="AH137" t="s">
        <v>61</v>
      </c>
      <c r="AI137" t="s">
        <v>61</v>
      </c>
      <c r="AJ137" t="s">
        <v>61</v>
      </c>
      <c r="AK137" t="s">
        <v>61</v>
      </c>
      <c r="AL137" t="s">
        <v>61</v>
      </c>
      <c r="AM137" t="s">
        <v>1159</v>
      </c>
      <c r="AN137" t="s">
        <v>61</v>
      </c>
      <c r="AO137" t="s">
        <v>61</v>
      </c>
      <c r="AP137" t="s">
        <v>61</v>
      </c>
      <c r="AQ137" t="s">
        <v>61</v>
      </c>
      <c r="AR137" t="s">
        <v>61</v>
      </c>
      <c r="AS137" t="s">
        <v>61</v>
      </c>
      <c r="AT137" t="s">
        <v>61</v>
      </c>
      <c r="AU137" t="s">
        <v>61</v>
      </c>
      <c r="AV137" t="s">
        <v>61</v>
      </c>
      <c r="AW137" t="s">
        <v>61</v>
      </c>
      <c r="AX137" t="s">
        <v>61</v>
      </c>
      <c r="AY137" t="s">
        <v>61</v>
      </c>
      <c r="AZ137" t="s">
        <v>61</v>
      </c>
      <c r="BA137" t="s">
        <v>61</v>
      </c>
      <c r="BB137" t="s">
        <v>61</v>
      </c>
      <c r="BC137" t="s">
        <v>61</v>
      </c>
      <c r="BD137" t="s">
        <v>61</v>
      </c>
      <c r="BE137" t="s">
        <v>61</v>
      </c>
      <c r="BF137" t="s">
        <v>61</v>
      </c>
    </row>
    <row r="138" spans="1:58">
      <c r="A138" t="s">
        <v>58</v>
      </c>
      <c r="B138" t="s">
        <v>1160</v>
      </c>
      <c r="C138" t="s">
        <v>1161</v>
      </c>
      <c r="D138" t="s">
        <v>1151</v>
      </c>
      <c r="E138" t="s">
        <v>61</v>
      </c>
      <c r="F138">
        <v>2011</v>
      </c>
      <c r="G138" t="s">
        <v>363</v>
      </c>
      <c r="H138">
        <v>32</v>
      </c>
      <c r="I138">
        <v>1</v>
      </c>
      <c r="J138">
        <v>27</v>
      </c>
      <c r="K138">
        <v>35</v>
      </c>
      <c r="L138" t="s">
        <v>1162</v>
      </c>
      <c r="M138" t="s">
        <v>1163</v>
      </c>
      <c r="N138" t="s">
        <v>1164</v>
      </c>
      <c r="O138" t="s">
        <v>61</v>
      </c>
      <c r="Q138" t="s">
        <v>61</v>
      </c>
      <c r="R138" t="s">
        <v>61</v>
      </c>
      <c r="S138" t="s">
        <v>61</v>
      </c>
      <c r="T138" t="s">
        <v>61</v>
      </c>
      <c r="X138" t="s">
        <v>61</v>
      </c>
      <c r="Y138" t="s">
        <v>1165</v>
      </c>
      <c r="Z138" t="s">
        <v>61</v>
      </c>
      <c r="AA138" t="s">
        <v>1166</v>
      </c>
      <c r="AB138">
        <v>21302181</v>
      </c>
      <c r="AC138" t="s">
        <v>67</v>
      </c>
      <c r="AD138" t="s">
        <v>61</v>
      </c>
      <c r="AE138" t="s">
        <v>61</v>
      </c>
      <c r="AF138" t="s">
        <v>61</v>
      </c>
      <c r="AG138" t="s">
        <v>1167</v>
      </c>
      <c r="AH138" t="s">
        <v>61</v>
      </c>
      <c r="AI138" t="s">
        <v>1168</v>
      </c>
      <c r="AJ138" t="s">
        <v>61</v>
      </c>
      <c r="AK138" t="s">
        <v>61</v>
      </c>
      <c r="AL138" t="s">
        <v>61</v>
      </c>
      <c r="AM138" t="s">
        <v>1169</v>
      </c>
      <c r="AN138" t="s">
        <v>61</v>
      </c>
      <c r="AO138" t="s">
        <v>61</v>
      </c>
      <c r="AP138" t="s">
        <v>61</v>
      </c>
      <c r="AQ138" t="s">
        <v>61</v>
      </c>
      <c r="AR138" t="s">
        <v>61</v>
      </c>
      <c r="AS138" t="s">
        <v>61</v>
      </c>
      <c r="AT138" t="s">
        <v>61</v>
      </c>
      <c r="AU138" t="s">
        <v>61</v>
      </c>
      <c r="AV138" t="s">
        <v>61</v>
      </c>
      <c r="AW138" t="s">
        <v>61</v>
      </c>
      <c r="AX138" t="s">
        <v>61</v>
      </c>
      <c r="AY138" t="s">
        <v>61</v>
      </c>
      <c r="AZ138" t="s">
        <v>61</v>
      </c>
      <c r="BA138" t="s">
        <v>61</v>
      </c>
      <c r="BB138" t="s">
        <v>61</v>
      </c>
      <c r="BC138" t="s">
        <v>61</v>
      </c>
      <c r="BD138" t="s">
        <v>61</v>
      </c>
      <c r="BE138" t="s">
        <v>61</v>
      </c>
      <c r="BF138" t="s">
        <v>61</v>
      </c>
    </row>
    <row r="139" spans="1:58">
      <c r="A139" t="s">
        <v>58</v>
      </c>
      <c r="B139" t="s">
        <v>1170</v>
      </c>
      <c r="C139" t="s">
        <v>1171</v>
      </c>
      <c r="D139" t="s">
        <v>876</v>
      </c>
      <c r="E139" t="s">
        <v>877</v>
      </c>
      <c r="F139">
        <v>1991</v>
      </c>
      <c r="G139" t="s">
        <v>1172</v>
      </c>
      <c r="H139">
        <v>55</v>
      </c>
      <c r="I139">
        <v>4</v>
      </c>
      <c r="J139">
        <v>311</v>
      </c>
      <c r="K139">
        <v>316</v>
      </c>
      <c r="L139" t="s">
        <v>1173</v>
      </c>
      <c r="M139" t="s">
        <v>1174</v>
      </c>
      <c r="N139" t="s">
        <v>1175</v>
      </c>
      <c r="O139" t="s">
        <v>61</v>
      </c>
      <c r="Q139" t="s">
        <v>61</v>
      </c>
      <c r="R139" t="s">
        <v>61</v>
      </c>
      <c r="S139" t="s">
        <v>61</v>
      </c>
      <c r="T139" t="s">
        <v>61</v>
      </c>
      <c r="X139" t="s">
        <v>61</v>
      </c>
      <c r="Y139" s="2">
        <v>2760901</v>
      </c>
      <c r="Z139" t="s">
        <v>61</v>
      </c>
      <c r="AA139" t="s">
        <v>61</v>
      </c>
      <c r="AB139" t="s">
        <v>1176</v>
      </c>
      <c r="AC139" t="s">
        <v>67</v>
      </c>
      <c r="AD139" t="s">
        <v>61</v>
      </c>
      <c r="AE139" t="s">
        <v>61</v>
      </c>
      <c r="AF139" t="s">
        <v>61</v>
      </c>
      <c r="AG139" t="s">
        <v>61</v>
      </c>
      <c r="AH139" t="s">
        <v>61</v>
      </c>
      <c r="AI139" t="s">
        <v>61</v>
      </c>
      <c r="AJ139" t="s">
        <v>61</v>
      </c>
      <c r="AK139" t="s">
        <v>61</v>
      </c>
      <c r="AL139" t="s">
        <v>61</v>
      </c>
      <c r="AM139" t="s">
        <v>1177</v>
      </c>
      <c r="AN139" t="s">
        <v>61</v>
      </c>
      <c r="AO139" t="s">
        <v>61</v>
      </c>
      <c r="AP139" t="s">
        <v>61</v>
      </c>
      <c r="AQ139" t="s">
        <v>61</v>
      </c>
      <c r="AR139" t="s">
        <v>61</v>
      </c>
      <c r="AS139" t="s">
        <v>61</v>
      </c>
      <c r="AT139" t="s">
        <v>61</v>
      </c>
      <c r="AU139" t="s">
        <v>61</v>
      </c>
      <c r="AV139" t="s">
        <v>61</v>
      </c>
      <c r="AW139" t="s">
        <v>61</v>
      </c>
      <c r="AX139" t="s">
        <v>61</v>
      </c>
      <c r="AY139" t="s">
        <v>61</v>
      </c>
      <c r="AZ139" t="s">
        <v>61</v>
      </c>
      <c r="BA139" t="s">
        <v>61</v>
      </c>
      <c r="BB139" t="s">
        <v>61</v>
      </c>
      <c r="BC139" t="s">
        <v>61</v>
      </c>
      <c r="BD139" t="s">
        <v>61</v>
      </c>
      <c r="BE139" t="s">
        <v>61</v>
      </c>
      <c r="BF139" t="s">
        <v>61</v>
      </c>
    </row>
    <row r="140" spans="1:58">
      <c r="A140" t="s">
        <v>58</v>
      </c>
      <c r="B140" t="s">
        <v>1170</v>
      </c>
      <c r="C140" t="s">
        <v>1178</v>
      </c>
      <c r="D140" t="s">
        <v>876</v>
      </c>
      <c r="E140" t="s">
        <v>877</v>
      </c>
      <c r="F140">
        <v>1990</v>
      </c>
      <c r="G140" t="s">
        <v>1179</v>
      </c>
      <c r="H140">
        <v>54</v>
      </c>
      <c r="I140">
        <v>3</v>
      </c>
      <c r="J140">
        <v>233</v>
      </c>
      <c r="K140">
        <v>238</v>
      </c>
      <c r="L140" t="s">
        <v>1180</v>
      </c>
      <c r="M140" t="s">
        <v>1181</v>
      </c>
      <c r="N140" t="s">
        <v>1182</v>
      </c>
      <c r="O140" t="s">
        <v>61</v>
      </c>
      <c r="Q140" t="s">
        <v>61</v>
      </c>
      <c r="R140" t="s">
        <v>61</v>
      </c>
      <c r="S140" t="s">
        <v>61</v>
      </c>
      <c r="T140" t="s">
        <v>61</v>
      </c>
      <c r="X140" t="s">
        <v>61</v>
      </c>
      <c r="Y140" s="2">
        <v>2760901</v>
      </c>
      <c r="Z140" t="s">
        <v>61</v>
      </c>
      <c r="AA140" t="s">
        <v>61</v>
      </c>
      <c r="AB140" t="s">
        <v>1183</v>
      </c>
      <c r="AC140" t="s">
        <v>67</v>
      </c>
      <c r="AD140" t="s">
        <v>61</v>
      </c>
      <c r="AE140" t="s">
        <v>61</v>
      </c>
      <c r="AF140" t="s">
        <v>61</v>
      </c>
      <c r="AG140" t="s">
        <v>61</v>
      </c>
      <c r="AH140" t="s">
        <v>61</v>
      </c>
      <c r="AI140" t="s">
        <v>61</v>
      </c>
      <c r="AJ140" t="s">
        <v>61</v>
      </c>
      <c r="AK140" t="s">
        <v>61</v>
      </c>
      <c r="AL140" t="s">
        <v>61</v>
      </c>
      <c r="AM140" t="s">
        <v>1184</v>
      </c>
      <c r="AN140" t="s">
        <v>61</v>
      </c>
      <c r="AO140" t="s">
        <v>61</v>
      </c>
      <c r="AP140" t="s">
        <v>61</v>
      </c>
      <c r="AQ140" t="s">
        <v>61</v>
      </c>
      <c r="AR140" t="s">
        <v>61</v>
      </c>
      <c r="AS140" t="s">
        <v>61</v>
      </c>
      <c r="AT140" t="s">
        <v>61</v>
      </c>
      <c r="AU140" t="s">
        <v>61</v>
      </c>
      <c r="AV140" t="s">
        <v>61</v>
      </c>
      <c r="AW140" t="s">
        <v>61</v>
      </c>
      <c r="AX140" t="s">
        <v>61</v>
      </c>
      <c r="AY140" t="s">
        <v>61</v>
      </c>
      <c r="AZ140" t="s">
        <v>61</v>
      </c>
      <c r="BA140" t="s">
        <v>61</v>
      </c>
      <c r="BB140" t="s">
        <v>61</v>
      </c>
      <c r="BC140" t="s">
        <v>61</v>
      </c>
      <c r="BD140" t="s">
        <v>61</v>
      </c>
      <c r="BE140" t="s">
        <v>61</v>
      </c>
      <c r="BF140" t="s">
        <v>61</v>
      </c>
    </row>
    <row r="141" spans="1:58">
      <c r="A141" t="s">
        <v>58</v>
      </c>
      <c r="B141" t="s">
        <v>1170</v>
      </c>
      <c r="C141" t="s">
        <v>1185</v>
      </c>
      <c r="D141" t="s">
        <v>876</v>
      </c>
      <c r="E141" t="s">
        <v>877</v>
      </c>
      <c r="F141">
        <v>1990</v>
      </c>
      <c r="G141" t="s">
        <v>1179</v>
      </c>
      <c r="H141">
        <v>54</v>
      </c>
      <c r="I141">
        <v>3</v>
      </c>
      <c r="J141">
        <v>239</v>
      </c>
      <c r="K141">
        <v>242</v>
      </c>
      <c r="L141" t="s">
        <v>1186</v>
      </c>
      <c r="M141" t="s">
        <v>1187</v>
      </c>
      <c r="N141" t="s">
        <v>1188</v>
      </c>
      <c r="O141" t="s">
        <v>61</v>
      </c>
      <c r="Q141" t="s">
        <v>61</v>
      </c>
      <c r="R141" t="s">
        <v>61</v>
      </c>
      <c r="S141" t="s">
        <v>61</v>
      </c>
      <c r="T141" t="s">
        <v>61</v>
      </c>
      <c r="X141" t="s">
        <v>61</v>
      </c>
      <c r="Y141" s="2">
        <v>2760901</v>
      </c>
      <c r="Z141" t="s">
        <v>61</v>
      </c>
      <c r="AA141" t="s">
        <v>61</v>
      </c>
      <c r="AB141" t="s">
        <v>1189</v>
      </c>
      <c r="AC141" t="s">
        <v>67</v>
      </c>
      <c r="AD141" t="s">
        <v>61</v>
      </c>
      <c r="AE141" t="s">
        <v>61</v>
      </c>
      <c r="AF141" t="s">
        <v>61</v>
      </c>
      <c r="AG141" t="s">
        <v>61</v>
      </c>
      <c r="AH141" t="s">
        <v>61</v>
      </c>
      <c r="AI141" t="s">
        <v>61</v>
      </c>
      <c r="AJ141" t="s">
        <v>61</v>
      </c>
      <c r="AK141" t="s">
        <v>61</v>
      </c>
      <c r="AL141" t="s">
        <v>61</v>
      </c>
      <c r="AM141" t="s">
        <v>1190</v>
      </c>
      <c r="AN141" t="s">
        <v>61</v>
      </c>
      <c r="AO141" t="s">
        <v>61</v>
      </c>
      <c r="AP141" t="s">
        <v>61</v>
      </c>
      <c r="AQ141" t="s">
        <v>61</v>
      </c>
      <c r="AR141" t="s">
        <v>61</v>
      </c>
      <c r="AS141" t="s">
        <v>61</v>
      </c>
      <c r="AT141" t="s">
        <v>61</v>
      </c>
      <c r="AU141" t="s">
        <v>61</v>
      </c>
      <c r="AV141" t="s">
        <v>61</v>
      </c>
      <c r="AW141" t="s">
        <v>61</v>
      </c>
      <c r="AX141" t="s">
        <v>61</v>
      </c>
      <c r="AY141" t="s">
        <v>61</v>
      </c>
      <c r="AZ141" t="s">
        <v>61</v>
      </c>
      <c r="BA141" t="s">
        <v>61</v>
      </c>
      <c r="BB141" t="s">
        <v>61</v>
      </c>
      <c r="BC141" t="s">
        <v>61</v>
      </c>
      <c r="BD141" t="s">
        <v>61</v>
      </c>
      <c r="BE141" t="s">
        <v>61</v>
      </c>
      <c r="BF141" t="s">
        <v>61</v>
      </c>
    </row>
    <row r="142" spans="1:58">
      <c r="A142" t="s">
        <v>58</v>
      </c>
      <c r="B142" t="s">
        <v>1191</v>
      </c>
      <c r="C142" t="s">
        <v>1192</v>
      </c>
      <c r="D142" t="s">
        <v>1193</v>
      </c>
      <c r="E142" t="s">
        <v>61</v>
      </c>
      <c r="F142">
        <v>2012</v>
      </c>
      <c r="G142" t="s">
        <v>61</v>
      </c>
      <c r="H142">
        <v>11</v>
      </c>
      <c r="I142">
        <v>3</v>
      </c>
      <c r="J142">
        <v>123</v>
      </c>
      <c r="K142" t="s">
        <v>1194</v>
      </c>
      <c r="L142" t="s">
        <v>1195</v>
      </c>
      <c r="M142" t="s">
        <v>1196</v>
      </c>
      <c r="N142" t="s">
        <v>1197</v>
      </c>
      <c r="O142" t="s">
        <v>61</v>
      </c>
      <c r="Q142" t="s">
        <v>61</v>
      </c>
      <c r="R142" t="s">
        <v>61</v>
      </c>
      <c r="S142" t="s">
        <v>61</v>
      </c>
      <c r="T142" t="s">
        <v>61</v>
      </c>
      <c r="X142" t="s">
        <v>61</v>
      </c>
      <c r="Y142" t="s">
        <v>1198</v>
      </c>
      <c r="Z142" t="s">
        <v>61</v>
      </c>
      <c r="AA142" t="s">
        <v>61</v>
      </c>
      <c r="AB142">
        <v>108099178</v>
      </c>
      <c r="AC142" t="s">
        <v>67</v>
      </c>
      <c r="AD142" t="s">
        <v>61</v>
      </c>
      <c r="AE142" t="s">
        <v>61</v>
      </c>
      <c r="AF142" t="s">
        <v>61</v>
      </c>
      <c r="AG142" t="s">
        <v>1199</v>
      </c>
      <c r="AH142" t="s">
        <v>61</v>
      </c>
      <c r="AI142" t="s">
        <v>61</v>
      </c>
      <c r="AJ142" t="s">
        <v>61</v>
      </c>
      <c r="AK142" t="s">
        <v>61</v>
      </c>
      <c r="AL142" t="s">
        <v>61</v>
      </c>
      <c r="AM142" t="s">
        <v>1200</v>
      </c>
      <c r="AN142" t="s">
        <v>61</v>
      </c>
      <c r="AO142" t="s">
        <v>61</v>
      </c>
      <c r="AP142" t="s">
        <v>61</v>
      </c>
      <c r="AQ142" t="s">
        <v>61</v>
      </c>
      <c r="AR142" t="s">
        <v>61</v>
      </c>
      <c r="AS142" t="s">
        <v>61</v>
      </c>
      <c r="AT142" t="s">
        <v>61</v>
      </c>
      <c r="AU142" t="s">
        <v>61</v>
      </c>
      <c r="AV142" t="s">
        <v>61</v>
      </c>
      <c r="AW142" t="s">
        <v>61</v>
      </c>
      <c r="AX142" t="s">
        <v>61</v>
      </c>
      <c r="AY142" t="s">
        <v>61</v>
      </c>
      <c r="AZ142" t="s">
        <v>61</v>
      </c>
      <c r="BA142" t="s">
        <v>61</v>
      </c>
      <c r="BB142" t="s">
        <v>61</v>
      </c>
      <c r="BC142" t="s">
        <v>61</v>
      </c>
      <c r="BD142" t="s">
        <v>61</v>
      </c>
      <c r="BE142" t="s">
        <v>61</v>
      </c>
      <c r="BF142" t="s">
        <v>61</v>
      </c>
    </row>
    <row r="143" spans="1:58">
      <c r="A143" t="s">
        <v>58</v>
      </c>
      <c r="B143" t="s">
        <v>1201</v>
      </c>
      <c r="C143" t="s">
        <v>1202</v>
      </c>
      <c r="D143" t="s">
        <v>1203</v>
      </c>
      <c r="E143" t="s">
        <v>1204</v>
      </c>
      <c r="F143">
        <v>1998</v>
      </c>
      <c r="G143" t="s">
        <v>119</v>
      </c>
      <c r="H143" t="s">
        <v>1205</v>
      </c>
      <c r="I143" t="s">
        <v>61</v>
      </c>
      <c r="J143">
        <v>170</v>
      </c>
      <c r="K143">
        <v>181</v>
      </c>
      <c r="L143" t="s">
        <v>1206</v>
      </c>
      <c r="M143" t="s">
        <v>1207</v>
      </c>
      <c r="N143" t="s">
        <v>1208</v>
      </c>
      <c r="O143" t="s">
        <v>61</v>
      </c>
      <c r="Q143" t="s">
        <v>61</v>
      </c>
      <c r="R143" t="s">
        <v>61</v>
      </c>
      <c r="S143" t="s">
        <v>61</v>
      </c>
      <c r="T143" t="s">
        <v>61</v>
      </c>
      <c r="X143" t="s">
        <v>61</v>
      </c>
      <c r="Y143" t="s">
        <v>1209</v>
      </c>
      <c r="Z143" t="s">
        <v>61</v>
      </c>
      <c r="AA143" t="s">
        <v>1210</v>
      </c>
      <c r="AB143">
        <v>9722822</v>
      </c>
      <c r="AC143" t="s">
        <v>67</v>
      </c>
      <c r="AD143" t="s">
        <v>61</v>
      </c>
      <c r="AE143" t="s">
        <v>61</v>
      </c>
      <c r="AF143" t="s">
        <v>61</v>
      </c>
      <c r="AG143" t="s">
        <v>1211</v>
      </c>
      <c r="AH143" t="s">
        <v>61</v>
      </c>
      <c r="AI143" t="s">
        <v>61</v>
      </c>
      <c r="AJ143" t="s">
        <v>61</v>
      </c>
      <c r="AK143" t="s">
        <v>61</v>
      </c>
      <c r="AL143" t="s">
        <v>61</v>
      </c>
      <c r="AM143" t="s">
        <v>1212</v>
      </c>
      <c r="AN143" t="s">
        <v>61</v>
      </c>
      <c r="AO143" t="s">
        <v>61</v>
      </c>
      <c r="AP143" t="s">
        <v>61</v>
      </c>
      <c r="AQ143" t="s">
        <v>61</v>
      </c>
      <c r="AR143" t="s">
        <v>61</v>
      </c>
      <c r="AS143" t="s">
        <v>61</v>
      </c>
      <c r="AT143" t="s">
        <v>61</v>
      </c>
      <c r="AU143" t="s">
        <v>61</v>
      </c>
      <c r="AV143" t="s">
        <v>61</v>
      </c>
      <c r="AW143" t="s">
        <v>61</v>
      </c>
      <c r="AX143" t="s">
        <v>61</v>
      </c>
      <c r="AY143" t="s">
        <v>61</v>
      </c>
      <c r="AZ143" t="s">
        <v>61</v>
      </c>
      <c r="BA143" t="s">
        <v>61</v>
      </c>
      <c r="BB143" t="s">
        <v>61</v>
      </c>
      <c r="BC143" t="s">
        <v>61</v>
      </c>
      <c r="BD143" t="s">
        <v>61</v>
      </c>
      <c r="BE143" t="s">
        <v>61</v>
      </c>
      <c r="BF143" t="s">
        <v>61</v>
      </c>
    </row>
    <row r="144" spans="1:58">
      <c r="A144" t="s">
        <v>58</v>
      </c>
      <c r="B144" t="s">
        <v>1213</v>
      </c>
      <c r="C144" t="s">
        <v>1214</v>
      </c>
      <c r="D144" t="s">
        <v>153</v>
      </c>
      <c r="E144" t="s">
        <v>61</v>
      </c>
      <c r="F144">
        <v>2015</v>
      </c>
      <c r="G144" t="s">
        <v>61</v>
      </c>
      <c r="H144">
        <v>55</v>
      </c>
      <c r="I144">
        <v>4</v>
      </c>
      <c r="J144">
        <v>443</v>
      </c>
      <c r="K144" t="s">
        <v>1215</v>
      </c>
      <c r="L144" t="s">
        <v>61</v>
      </c>
      <c r="M144" t="s">
        <v>1216</v>
      </c>
      <c r="N144" t="s">
        <v>1217</v>
      </c>
      <c r="O144" t="s">
        <v>61</v>
      </c>
      <c r="Q144" t="s">
        <v>61</v>
      </c>
      <c r="R144" t="s">
        <v>61</v>
      </c>
      <c r="S144" t="s">
        <v>61</v>
      </c>
      <c r="T144" t="s">
        <v>61</v>
      </c>
      <c r="X144" t="s">
        <v>61</v>
      </c>
      <c r="Y144" t="s">
        <v>632</v>
      </c>
      <c r="Z144" t="s">
        <v>61</v>
      </c>
      <c r="AA144" t="s">
        <v>61</v>
      </c>
      <c r="AB144">
        <v>109596416</v>
      </c>
      <c r="AC144" t="s">
        <v>67</v>
      </c>
      <c r="AD144" t="s">
        <v>61</v>
      </c>
      <c r="AE144" t="s">
        <v>61</v>
      </c>
      <c r="AF144" t="s">
        <v>61</v>
      </c>
      <c r="AG144" t="s">
        <v>1218</v>
      </c>
      <c r="AH144" t="s">
        <v>61</v>
      </c>
      <c r="AI144" t="s">
        <v>1219</v>
      </c>
      <c r="AJ144" t="s">
        <v>61</v>
      </c>
      <c r="AK144" t="s">
        <v>61</v>
      </c>
      <c r="AL144" t="s">
        <v>61</v>
      </c>
      <c r="AM144" t="s">
        <v>1220</v>
      </c>
      <c r="AN144" t="s">
        <v>61</v>
      </c>
      <c r="AO144" t="s">
        <v>61</v>
      </c>
      <c r="AP144" t="s">
        <v>61</v>
      </c>
      <c r="AQ144" t="s">
        <v>61</v>
      </c>
      <c r="AR144" t="s">
        <v>61</v>
      </c>
      <c r="AS144" t="s">
        <v>61</v>
      </c>
      <c r="AT144" t="s">
        <v>61</v>
      </c>
      <c r="AU144" t="s">
        <v>61</v>
      </c>
      <c r="AV144" t="s">
        <v>61</v>
      </c>
      <c r="AW144" t="s">
        <v>61</v>
      </c>
      <c r="AX144" t="s">
        <v>61</v>
      </c>
      <c r="AY144" t="s">
        <v>61</v>
      </c>
      <c r="AZ144" t="s">
        <v>61</v>
      </c>
      <c r="BA144" t="s">
        <v>61</v>
      </c>
      <c r="BB144" t="s">
        <v>61</v>
      </c>
      <c r="BC144" t="s">
        <v>61</v>
      </c>
      <c r="BD144" t="s">
        <v>61</v>
      </c>
      <c r="BE144" t="s">
        <v>61</v>
      </c>
      <c r="BF144" t="s">
        <v>61</v>
      </c>
    </row>
    <row r="145" spans="1:58">
      <c r="A145" t="s">
        <v>58</v>
      </c>
      <c r="B145" t="s">
        <v>1221</v>
      </c>
      <c r="C145" t="s">
        <v>1222</v>
      </c>
      <c r="D145" t="s">
        <v>1223</v>
      </c>
      <c r="E145" t="s">
        <v>1224</v>
      </c>
      <c r="F145">
        <v>2012</v>
      </c>
      <c r="G145" t="s">
        <v>61</v>
      </c>
      <c r="H145">
        <v>18</v>
      </c>
      <c r="I145">
        <v>4</v>
      </c>
      <c r="J145">
        <v>201</v>
      </c>
      <c r="K145">
        <v>211</v>
      </c>
      <c r="L145" t="s">
        <v>1225</v>
      </c>
      <c r="M145" t="s">
        <v>1226</v>
      </c>
      <c r="N145" t="s">
        <v>1227</v>
      </c>
      <c r="O145" t="s">
        <v>61</v>
      </c>
      <c r="Q145" t="s">
        <v>61</v>
      </c>
      <c r="R145" t="s">
        <v>61</v>
      </c>
      <c r="S145" t="s">
        <v>61</v>
      </c>
      <c r="T145" t="s">
        <v>61</v>
      </c>
      <c r="X145" t="s">
        <v>61</v>
      </c>
      <c r="Y145" t="s">
        <v>1228</v>
      </c>
      <c r="Z145" t="s">
        <v>61</v>
      </c>
      <c r="AA145" t="s">
        <v>1229</v>
      </c>
      <c r="AB145">
        <v>22507891</v>
      </c>
      <c r="AC145" t="s">
        <v>67</v>
      </c>
      <c r="AD145" t="s">
        <v>61</v>
      </c>
      <c r="AE145" t="s">
        <v>61</v>
      </c>
      <c r="AF145" t="s">
        <v>61</v>
      </c>
      <c r="AG145" t="s">
        <v>1230</v>
      </c>
      <c r="AH145" t="s">
        <v>61</v>
      </c>
      <c r="AI145" t="s">
        <v>1231</v>
      </c>
      <c r="AJ145" t="s">
        <v>61</v>
      </c>
      <c r="AK145" t="s">
        <v>61</v>
      </c>
      <c r="AL145" t="s">
        <v>61</v>
      </c>
      <c r="AM145" t="s">
        <v>1232</v>
      </c>
      <c r="AN145" t="s">
        <v>61</v>
      </c>
      <c r="AO145" t="s">
        <v>61</v>
      </c>
      <c r="AP145" t="s">
        <v>61</v>
      </c>
      <c r="AQ145" t="s">
        <v>61</v>
      </c>
      <c r="AR145" t="s">
        <v>61</v>
      </c>
      <c r="AS145" t="s">
        <v>61</v>
      </c>
      <c r="AT145" t="s">
        <v>61</v>
      </c>
      <c r="AU145" t="s">
        <v>61</v>
      </c>
      <c r="AV145" t="s">
        <v>61</v>
      </c>
      <c r="AW145" t="s">
        <v>61</v>
      </c>
      <c r="AX145" t="s">
        <v>61</v>
      </c>
      <c r="AY145" t="s">
        <v>61</v>
      </c>
      <c r="AZ145" t="s">
        <v>61</v>
      </c>
      <c r="BA145" t="s">
        <v>61</v>
      </c>
      <c r="BB145" t="s">
        <v>61</v>
      </c>
      <c r="BC145" t="s">
        <v>61</v>
      </c>
      <c r="BD145" t="s">
        <v>61</v>
      </c>
      <c r="BE145" t="s">
        <v>61</v>
      </c>
      <c r="BF145" t="s">
        <v>61</v>
      </c>
    </row>
    <row r="146" spans="1:58">
      <c r="A146" t="s">
        <v>58</v>
      </c>
      <c r="B146" t="s">
        <v>1233</v>
      </c>
      <c r="C146" t="s">
        <v>1234</v>
      </c>
      <c r="D146" t="s">
        <v>60</v>
      </c>
      <c r="E146" t="s">
        <v>61</v>
      </c>
      <c r="F146">
        <v>1995</v>
      </c>
      <c r="G146" t="s">
        <v>61</v>
      </c>
      <c r="H146">
        <v>52</v>
      </c>
      <c r="I146">
        <v>3</v>
      </c>
      <c r="J146">
        <v>287</v>
      </c>
      <c r="K146">
        <v>293</v>
      </c>
      <c r="L146" t="s">
        <v>1235</v>
      </c>
      <c r="M146" t="s">
        <v>1236</v>
      </c>
      <c r="N146" t="s">
        <v>1237</v>
      </c>
      <c r="O146" t="s">
        <v>61</v>
      </c>
      <c r="Q146" t="s">
        <v>61</v>
      </c>
      <c r="R146" t="s">
        <v>61</v>
      </c>
      <c r="S146" t="s">
        <v>61</v>
      </c>
      <c r="T146" t="s">
        <v>61</v>
      </c>
      <c r="X146" t="s">
        <v>61</v>
      </c>
      <c r="Y146" t="s">
        <v>66</v>
      </c>
      <c r="Z146" t="s">
        <v>61</v>
      </c>
      <c r="AA146" t="s">
        <v>61</v>
      </c>
      <c r="AB146">
        <v>1995077697</v>
      </c>
      <c r="AC146" t="s">
        <v>67</v>
      </c>
      <c r="AD146" t="s">
        <v>61</v>
      </c>
      <c r="AE146" t="s">
        <v>61</v>
      </c>
      <c r="AF146" t="s">
        <v>61</v>
      </c>
      <c r="AG146" t="s">
        <v>1238</v>
      </c>
      <c r="AH146" t="s">
        <v>61</v>
      </c>
      <c r="AI146" t="s">
        <v>61</v>
      </c>
      <c r="AJ146" t="s">
        <v>61</v>
      </c>
      <c r="AK146" t="s">
        <v>61</v>
      </c>
      <c r="AL146" t="s">
        <v>61</v>
      </c>
      <c r="AM146" t="s">
        <v>1239</v>
      </c>
      <c r="AN146" t="s">
        <v>61</v>
      </c>
      <c r="AO146" t="s">
        <v>61</v>
      </c>
      <c r="AP146" t="s">
        <v>61</v>
      </c>
      <c r="AQ146" t="s">
        <v>61</v>
      </c>
      <c r="AR146" t="s">
        <v>61</v>
      </c>
      <c r="AS146" t="s">
        <v>61</v>
      </c>
      <c r="AT146" t="s">
        <v>61</v>
      </c>
      <c r="AU146" t="s">
        <v>61</v>
      </c>
      <c r="AV146" t="s">
        <v>61</v>
      </c>
      <c r="AW146" t="s">
        <v>61</v>
      </c>
      <c r="AX146" t="s">
        <v>61</v>
      </c>
      <c r="AY146" t="s">
        <v>61</v>
      </c>
      <c r="AZ146" t="s">
        <v>61</v>
      </c>
      <c r="BA146" t="s">
        <v>61</v>
      </c>
      <c r="BB146" t="s">
        <v>61</v>
      </c>
      <c r="BC146" t="s">
        <v>61</v>
      </c>
      <c r="BD146" t="s">
        <v>61</v>
      </c>
      <c r="BE146" t="s">
        <v>61</v>
      </c>
      <c r="BF146" t="s">
        <v>61</v>
      </c>
    </row>
    <row r="147" spans="1:58">
      <c r="A147" t="s">
        <v>58</v>
      </c>
      <c r="B147" t="s">
        <v>1240</v>
      </c>
      <c r="C147" t="s">
        <v>1241</v>
      </c>
      <c r="D147" t="s">
        <v>482</v>
      </c>
      <c r="E147" t="s">
        <v>61</v>
      </c>
      <c r="F147">
        <v>1994</v>
      </c>
      <c r="G147" t="s">
        <v>363</v>
      </c>
      <c r="H147">
        <v>34</v>
      </c>
      <c r="I147">
        <v>2</v>
      </c>
      <c r="J147">
        <v>121</v>
      </c>
      <c r="K147">
        <v>127</v>
      </c>
      <c r="L147" t="s">
        <v>1242</v>
      </c>
      <c r="M147" t="s">
        <v>1243</v>
      </c>
      <c r="N147" t="s">
        <v>1244</v>
      </c>
      <c r="O147" t="s">
        <v>61</v>
      </c>
      <c r="Q147" t="s">
        <v>61</v>
      </c>
      <c r="R147" t="s">
        <v>61</v>
      </c>
      <c r="S147" t="s">
        <v>61</v>
      </c>
      <c r="T147" t="s">
        <v>61</v>
      </c>
      <c r="X147" t="s">
        <v>61</v>
      </c>
      <c r="Y147" t="s">
        <v>486</v>
      </c>
      <c r="Z147" t="s">
        <v>61</v>
      </c>
      <c r="AA147" t="s">
        <v>1245</v>
      </c>
      <c r="AB147">
        <v>8026299</v>
      </c>
      <c r="AC147" t="s">
        <v>67</v>
      </c>
      <c r="AD147" t="s">
        <v>61</v>
      </c>
      <c r="AE147" t="s">
        <v>61</v>
      </c>
      <c r="AF147" t="s">
        <v>61</v>
      </c>
      <c r="AG147" t="s">
        <v>1246</v>
      </c>
      <c r="AH147" t="s">
        <v>61</v>
      </c>
      <c r="AI147" t="s">
        <v>61</v>
      </c>
      <c r="AJ147" t="s">
        <v>61</v>
      </c>
      <c r="AK147" t="s">
        <v>61</v>
      </c>
      <c r="AL147" t="s">
        <v>61</v>
      </c>
      <c r="AM147" t="s">
        <v>1247</v>
      </c>
      <c r="AN147" t="s">
        <v>61</v>
      </c>
      <c r="AO147" t="s">
        <v>61</v>
      </c>
      <c r="AP147" t="s">
        <v>61</v>
      </c>
      <c r="AQ147" t="s">
        <v>61</v>
      </c>
      <c r="AR147" t="s">
        <v>61</v>
      </c>
      <c r="AS147" t="s">
        <v>61</v>
      </c>
      <c r="AT147" t="s">
        <v>61</v>
      </c>
      <c r="AU147" t="s">
        <v>61</v>
      </c>
      <c r="AV147" t="s">
        <v>61</v>
      </c>
      <c r="AW147" t="s">
        <v>61</v>
      </c>
      <c r="AX147" t="s">
        <v>61</v>
      </c>
      <c r="AY147" t="s">
        <v>61</v>
      </c>
      <c r="AZ147" t="s">
        <v>61</v>
      </c>
      <c r="BA147" t="s">
        <v>61</v>
      </c>
      <c r="BB147" t="s">
        <v>61</v>
      </c>
      <c r="BC147" t="s">
        <v>61</v>
      </c>
      <c r="BD147" t="s">
        <v>61</v>
      </c>
      <c r="BE147" t="s">
        <v>61</v>
      </c>
      <c r="BF147" t="s">
        <v>61</v>
      </c>
    </row>
    <row r="148" spans="1:58">
      <c r="A148" t="s">
        <v>58</v>
      </c>
      <c r="B148" t="s">
        <v>1248</v>
      </c>
      <c r="C148" t="s">
        <v>1249</v>
      </c>
      <c r="D148" t="s">
        <v>1250</v>
      </c>
      <c r="E148" t="s">
        <v>61</v>
      </c>
      <c r="F148">
        <v>2012</v>
      </c>
      <c r="G148" t="s">
        <v>1152</v>
      </c>
      <c r="H148">
        <v>2</v>
      </c>
      <c r="I148">
        <v>5</v>
      </c>
      <c r="J148">
        <v>435</v>
      </c>
      <c r="K148">
        <v>436</v>
      </c>
      <c r="L148" t="s">
        <v>61</v>
      </c>
      <c r="M148" t="s">
        <v>1251</v>
      </c>
      <c r="N148" t="s">
        <v>1252</v>
      </c>
      <c r="O148" t="s">
        <v>61</v>
      </c>
      <c r="Q148" t="s">
        <v>61</v>
      </c>
      <c r="R148" t="s">
        <v>61</v>
      </c>
      <c r="S148" t="s">
        <v>61</v>
      </c>
      <c r="T148" t="s">
        <v>61</v>
      </c>
      <c r="X148" t="s">
        <v>61</v>
      </c>
      <c r="Y148" t="s">
        <v>1253</v>
      </c>
      <c r="Z148" t="s">
        <v>61</v>
      </c>
      <c r="AA148" t="s">
        <v>1254</v>
      </c>
      <c r="AB148">
        <v>24645858</v>
      </c>
      <c r="AC148" t="s">
        <v>67</v>
      </c>
      <c r="AD148" t="s">
        <v>61</v>
      </c>
      <c r="AE148" t="s">
        <v>61</v>
      </c>
      <c r="AF148" t="s">
        <v>61</v>
      </c>
      <c r="AG148" t="s">
        <v>1255</v>
      </c>
      <c r="AH148" t="s">
        <v>61</v>
      </c>
      <c r="AI148" t="s">
        <v>1256</v>
      </c>
      <c r="AJ148" t="s">
        <v>61</v>
      </c>
      <c r="AK148" t="s">
        <v>61</v>
      </c>
      <c r="AL148" t="s">
        <v>61</v>
      </c>
      <c r="AM148" t="s">
        <v>1257</v>
      </c>
      <c r="AN148" t="s">
        <v>61</v>
      </c>
      <c r="AO148" t="s">
        <v>61</v>
      </c>
      <c r="AP148" t="s">
        <v>61</v>
      </c>
      <c r="AQ148" t="s">
        <v>61</v>
      </c>
      <c r="AR148" t="s">
        <v>61</v>
      </c>
      <c r="AS148" t="s">
        <v>61</v>
      </c>
      <c r="AT148" t="s">
        <v>61</v>
      </c>
      <c r="AU148" t="s">
        <v>61</v>
      </c>
      <c r="AV148" t="s">
        <v>61</v>
      </c>
      <c r="AW148" t="s">
        <v>61</v>
      </c>
      <c r="AX148" t="s">
        <v>61</v>
      </c>
      <c r="AY148" t="s">
        <v>61</v>
      </c>
      <c r="AZ148" t="s">
        <v>61</v>
      </c>
      <c r="BA148" t="s">
        <v>61</v>
      </c>
      <c r="BB148" t="s">
        <v>61</v>
      </c>
      <c r="BC148" t="s">
        <v>61</v>
      </c>
      <c r="BD148" t="s">
        <v>61</v>
      </c>
      <c r="BE148" t="s">
        <v>61</v>
      </c>
      <c r="BF148" t="s">
        <v>61</v>
      </c>
    </row>
    <row r="149" spans="1:58">
      <c r="A149" t="s">
        <v>58</v>
      </c>
      <c r="B149" t="s">
        <v>1258</v>
      </c>
      <c r="C149" t="s">
        <v>1259</v>
      </c>
      <c r="D149" t="s">
        <v>1260</v>
      </c>
      <c r="E149" t="s">
        <v>61</v>
      </c>
      <c r="F149">
        <v>1981</v>
      </c>
      <c r="G149" t="s">
        <v>61</v>
      </c>
      <c r="H149" t="s">
        <v>1261</v>
      </c>
      <c r="I149">
        <v>5</v>
      </c>
      <c r="J149">
        <v>649</v>
      </c>
      <c r="K149">
        <v>657</v>
      </c>
      <c r="L149" t="s">
        <v>1262</v>
      </c>
      <c r="M149" t="s">
        <v>1263</v>
      </c>
      <c r="N149" t="s">
        <v>1264</v>
      </c>
      <c r="O149" t="s">
        <v>61</v>
      </c>
      <c r="Q149" t="s">
        <v>61</v>
      </c>
      <c r="R149" t="s">
        <v>61</v>
      </c>
      <c r="S149" t="s">
        <v>61</v>
      </c>
      <c r="T149" t="s">
        <v>61</v>
      </c>
      <c r="X149" t="s">
        <v>61</v>
      </c>
      <c r="Y149" t="s">
        <v>61</v>
      </c>
      <c r="Z149" t="s">
        <v>61</v>
      </c>
      <c r="AA149" t="s">
        <v>61</v>
      </c>
      <c r="AB149">
        <v>1982033103</v>
      </c>
      <c r="AC149" t="s">
        <v>67</v>
      </c>
      <c r="AD149" t="s">
        <v>61</v>
      </c>
      <c r="AE149" t="s">
        <v>61</v>
      </c>
      <c r="AF149" t="s">
        <v>61</v>
      </c>
      <c r="AG149" t="s">
        <v>1265</v>
      </c>
      <c r="AH149" t="s">
        <v>61</v>
      </c>
      <c r="AI149" t="s">
        <v>61</v>
      </c>
      <c r="AJ149" t="s">
        <v>61</v>
      </c>
      <c r="AK149" t="s">
        <v>61</v>
      </c>
      <c r="AL149" t="s">
        <v>61</v>
      </c>
      <c r="AM149" t="s">
        <v>1266</v>
      </c>
      <c r="AN149" t="s">
        <v>61</v>
      </c>
      <c r="AO149" t="s">
        <v>61</v>
      </c>
      <c r="AP149" t="s">
        <v>61</v>
      </c>
      <c r="AQ149" t="s">
        <v>61</v>
      </c>
      <c r="AR149" t="s">
        <v>61</v>
      </c>
      <c r="AS149" t="s">
        <v>61</v>
      </c>
      <c r="AT149" t="s">
        <v>61</v>
      </c>
      <c r="AU149" t="s">
        <v>61</v>
      </c>
      <c r="AV149" t="s">
        <v>61</v>
      </c>
      <c r="AW149" t="s">
        <v>61</v>
      </c>
      <c r="AX149" t="s">
        <v>61</v>
      </c>
      <c r="AY149" t="s">
        <v>61</v>
      </c>
      <c r="AZ149" t="s">
        <v>61</v>
      </c>
      <c r="BA149" t="s">
        <v>61</v>
      </c>
      <c r="BB149" t="s">
        <v>61</v>
      </c>
      <c r="BC149" t="s">
        <v>61</v>
      </c>
      <c r="BD149" t="s">
        <v>61</v>
      </c>
      <c r="BE149" t="s">
        <v>61</v>
      </c>
      <c r="BF149" t="s">
        <v>61</v>
      </c>
    </row>
    <row r="150" spans="1:58">
      <c r="A150" t="s">
        <v>58</v>
      </c>
      <c r="B150" t="s">
        <v>1267</v>
      </c>
      <c r="C150" t="s">
        <v>1268</v>
      </c>
      <c r="D150" t="s">
        <v>1019</v>
      </c>
      <c r="E150" t="s">
        <v>1019</v>
      </c>
      <c r="F150">
        <v>2015</v>
      </c>
      <c r="G150" t="s">
        <v>119</v>
      </c>
      <c r="H150">
        <v>55</v>
      </c>
      <c r="I150">
        <v>6</v>
      </c>
      <c r="J150">
        <v>885</v>
      </c>
      <c r="K150">
        <v>916</v>
      </c>
      <c r="L150" t="s">
        <v>1269</v>
      </c>
      <c r="M150" t="s">
        <v>1270</v>
      </c>
      <c r="N150" t="s">
        <v>1271</v>
      </c>
      <c r="O150" t="s">
        <v>61</v>
      </c>
      <c r="Q150" t="s">
        <v>61</v>
      </c>
      <c r="R150" t="s">
        <v>61</v>
      </c>
      <c r="S150" t="s">
        <v>61</v>
      </c>
      <c r="T150" t="s">
        <v>61</v>
      </c>
      <c r="X150" t="s">
        <v>61</v>
      </c>
      <c r="Y150" t="s">
        <v>1272</v>
      </c>
      <c r="Z150" t="s">
        <v>61</v>
      </c>
      <c r="AA150" t="s">
        <v>1273</v>
      </c>
      <c r="AB150">
        <v>26015168</v>
      </c>
      <c r="AC150" t="s">
        <v>67</v>
      </c>
      <c r="AD150" t="s">
        <v>61</v>
      </c>
      <c r="AE150" t="s">
        <v>61</v>
      </c>
      <c r="AF150" t="s">
        <v>61</v>
      </c>
      <c r="AG150" t="s">
        <v>1274</v>
      </c>
      <c r="AH150" t="s">
        <v>61</v>
      </c>
      <c r="AI150" t="s">
        <v>1275</v>
      </c>
      <c r="AJ150" t="s">
        <v>61</v>
      </c>
      <c r="AK150" t="s">
        <v>61</v>
      </c>
      <c r="AL150" t="s">
        <v>61</v>
      </c>
      <c r="AM150" t="s">
        <v>1276</v>
      </c>
      <c r="AN150" t="s">
        <v>61</v>
      </c>
      <c r="AO150" t="s">
        <v>61</v>
      </c>
      <c r="AP150" t="s">
        <v>61</v>
      </c>
      <c r="AQ150" t="s">
        <v>61</v>
      </c>
      <c r="AR150" t="s">
        <v>61</v>
      </c>
      <c r="AS150" t="s">
        <v>61</v>
      </c>
      <c r="AT150" t="s">
        <v>61</v>
      </c>
      <c r="AU150" t="s">
        <v>61</v>
      </c>
      <c r="AV150" t="s">
        <v>61</v>
      </c>
      <c r="AW150" t="s">
        <v>61</v>
      </c>
      <c r="AX150" t="s">
        <v>61</v>
      </c>
      <c r="AY150" t="s">
        <v>61</v>
      </c>
      <c r="AZ150" t="s">
        <v>61</v>
      </c>
      <c r="BA150" t="s">
        <v>61</v>
      </c>
      <c r="BB150" t="s">
        <v>61</v>
      </c>
      <c r="BC150" t="s">
        <v>61</v>
      </c>
      <c r="BD150" t="s">
        <v>61</v>
      </c>
      <c r="BE150" t="s">
        <v>61</v>
      </c>
      <c r="BF150" t="s">
        <v>61</v>
      </c>
    </row>
    <row r="151" spans="1:58">
      <c r="A151" t="s">
        <v>58</v>
      </c>
      <c r="B151" t="s">
        <v>1277</v>
      </c>
      <c r="C151" t="s">
        <v>1278</v>
      </c>
      <c r="D151" t="s">
        <v>1279</v>
      </c>
      <c r="E151" t="s">
        <v>1280</v>
      </c>
      <c r="F151">
        <v>2003</v>
      </c>
      <c r="G151" t="s">
        <v>61</v>
      </c>
      <c r="H151">
        <v>44</v>
      </c>
      <c r="I151">
        <v>3</v>
      </c>
      <c r="J151">
        <v>225</v>
      </c>
      <c r="K151">
        <v>237</v>
      </c>
      <c r="L151" t="s">
        <v>1281</v>
      </c>
      <c r="M151" t="s">
        <v>1282</v>
      </c>
      <c r="N151" t="s">
        <v>1283</v>
      </c>
      <c r="O151" t="s">
        <v>61</v>
      </c>
      <c r="Q151" t="s">
        <v>61</v>
      </c>
      <c r="R151" t="s">
        <v>61</v>
      </c>
      <c r="S151" t="s">
        <v>61</v>
      </c>
      <c r="T151" t="s">
        <v>61</v>
      </c>
      <c r="X151" t="s">
        <v>61</v>
      </c>
      <c r="Y151" t="s">
        <v>1284</v>
      </c>
      <c r="Z151" t="s">
        <v>61</v>
      </c>
      <c r="AA151" t="s">
        <v>61</v>
      </c>
      <c r="AB151">
        <v>2007249811</v>
      </c>
      <c r="AC151" t="s">
        <v>837</v>
      </c>
      <c r="AD151" t="s">
        <v>61</v>
      </c>
      <c r="AE151" t="s">
        <v>61</v>
      </c>
      <c r="AF151" t="s">
        <v>61</v>
      </c>
      <c r="AG151" t="s">
        <v>61</v>
      </c>
      <c r="AH151" t="s">
        <v>61</v>
      </c>
      <c r="AI151" t="s">
        <v>61</v>
      </c>
      <c r="AJ151" t="s">
        <v>61</v>
      </c>
      <c r="AK151" t="s">
        <v>61</v>
      </c>
      <c r="AL151" t="s">
        <v>61</v>
      </c>
      <c r="AM151" t="s">
        <v>1278</v>
      </c>
      <c r="AN151" t="s">
        <v>61</v>
      </c>
      <c r="AO151" t="s">
        <v>61</v>
      </c>
      <c r="AP151" t="s">
        <v>61</v>
      </c>
      <c r="AQ151" t="s">
        <v>61</v>
      </c>
      <c r="AR151" t="s">
        <v>61</v>
      </c>
      <c r="AS151" t="s">
        <v>61</v>
      </c>
      <c r="AT151" t="s">
        <v>61</v>
      </c>
      <c r="AU151" t="s">
        <v>61</v>
      </c>
      <c r="AV151" t="s">
        <v>61</v>
      </c>
      <c r="AW151" t="s">
        <v>61</v>
      </c>
      <c r="AX151" t="s">
        <v>61</v>
      </c>
      <c r="AY151" t="s">
        <v>61</v>
      </c>
      <c r="AZ151" t="s">
        <v>61</v>
      </c>
      <c r="BA151" t="s">
        <v>61</v>
      </c>
      <c r="BB151" t="s">
        <v>61</v>
      </c>
      <c r="BC151" t="s">
        <v>61</v>
      </c>
      <c r="BD151" t="s">
        <v>61</v>
      </c>
      <c r="BE151" t="s">
        <v>61</v>
      </c>
      <c r="BF151" t="s">
        <v>61</v>
      </c>
    </row>
    <row r="152" spans="1:58">
      <c r="A152" t="s">
        <v>58</v>
      </c>
      <c r="B152" t="s">
        <v>1285</v>
      </c>
      <c r="C152" t="s">
        <v>1286</v>
      </c>
      <c r="D152" t="s">
        <v>1287</v>
      </c>
      <c r="E152" t="s">
        <v>1288</v>
      </c>
      <c r="F152">
        <v>2015</v>
      </c>
      <c r="G152" t="s">
        <v>637</v>
      </c>
      <c r="H152">
        <v>37</v>
      </c>
      <c r="I152">
        <v>8</v>
      </c>
      <c r="J152" t="s">
        <v>1289</v>
      </c>
      <c r="K152" t="s">
        <v>61</v>
      </c>
      <c r="L152" t="s">
        <v>1290</v>
      </c>
      <c r="M152" t="s">
        <v>1291</v>
      </c>
      <c r="N152" t="s">
        <v>1292</v>
      </c>
      <c r="O152" t="s">
        <v>61</v>
      </c>
      <c r="Q152" t="s">
        <v>61</v>
      </c>
      <c r="R152" t="s">
        <v>61</v>
      </c>
      <c r="S152" t="s">
        <v>61</v>
      </c>
      <c r="T152" t="s">
        <v>61</v>
      </c>
      <c r="X152" t="s">
        <v>61</v>
      </c>
      <c r="Y152" t="s">
        <v>1293</v>
      </c>
      <c r="Z152" t="s">
        <v>61</v>
      </c>
      <c r="AA152" t="s">
        <v>61</v>
      </c>
      <c r="AB152" t="s">
        <v>61</v>
      </c>
      <c r="AC152" t="s">
        <v>67</v>
      </c>
      <c r="AD152" t="s">
        <v>61</v>
      </c>
      <c r="AE152" t="s">
        <v>61</v>
      </c>
      <c r="AF152" t="s">
        <v>61</v>
      </c>
      <c r="AG152" t="s">
        <v>61</v>
      </c>
      <c r="AH152" t="s">
        <v>61</v>
      </c>
      <c r="AI152" t="s">
        <v>61</v>
      </c>
      <c r="AJ152" t="s">
        <v>61</v>
      </c>
      <c r="AK152" t="s">
        <v>61</v>
      </c>
      <c r="AL152" t="s">
        <v>61</v>
      </c>
      <c r="AM152" t="s">
        <v>1286</v>
      </c>
      <c r="AN152" t="s">
        <v>61</v>
      </c>
      <c r="AO152" t="s">
        <v>61</v>
      </c>
      <c r="AP152" t="s">
        <v>61</v>
      </c>
      <c r="AQ152" t="s">
        <v>61</v>
      </c>
      <c r="AR152" t="s">
        <v>61</v>
      </c>
      <c r="AS152" t="s">
        <v>61</v>
      </c>
      <c r="AT152" t="s">
        <v>61</v>
      </c>
      <c r="AU152" t="s">
        <v>61</v>
      </c>
      <c r="AV152" t="s">
        <v>61</v>
      </c>
      <c r="AW152" t="s">
        <v>61</v>
      </c>
      <c r="AX152" t="s">
        <v>61</v>
      </c>
      <c r="AY152" t="s">
        <v>61</v>
      </c>
      <c r="AZ152" t="s">
        <v>61</v>
      </c>
      <c r="BA152" t="s">
        <v>61</v>
      </c>
      <c r="BB152" t="s">
        <v>61</v>
      </c>
      <c r="BC152" t="s">
        <v>61</v>
      </c>
      <c r="BD152" t="s">
        <v>61</v>
      </c>
      <c r="BE152" t="s">
        <v>61</v>
      </c>
      <c r="BF152" t="s">
        <v>61</v>
      </c>
    </row>
    <row r="153" spans="1:58">
      <c r="A153" t="s">
        <v>58</v>
      </c>
      <c r="B153" t="s">
        <v>1294</v>
      </c>
      <c r="C153" t="s">
        <v>1295</v>
      </c>
      <c r="D153" t="s">
        <v>1085</v>
      </c>
      <c r="E153" t="s">
        <v>1086</v>
      </c>
      <c r="F153">
        <v>2015</v>
      </c>
      <c r="G153" t="s">
        <v>85</v>
      </c>
      <c r="H153">
        <v>49</v>
      </c>
      <c r="I153">
        <v>4</v>
      </c>
      <c r="J153">
        <v>405</v>
      </c>
      <c r="K153">
        <v>418</v>
      </c>
      <c r="L153" t="s">
        <v>1296</v>
      </c>
      <c r="M153" t="s">
        <v>1297</v>
      </c>
      <c r="N153" t="s">
        <v>1298</v>
      </c>
      <c r="O153" t="s">
        <v>61</v>
      </c>
      <c r="Q153" t="s">
        <v>61</v>
      </c>
      <c r="R153" t="s">
        <v>61</v>
      </c>
      <c r="S153" t="s">
        <v>61</v>
      </c>
      <c r="T153" t="s">
        <v>61</v>
      </c>
      <c r="X153" t="s">
        <v>61</v>
      </c>
      <c r="Y153" t="s">
        <v>1090</v>
      </c>
      <c r="Z153" t="s">
        <v>61</v>
      </c>
      <c r="AA153" t="s">
        <v>1299</v>
      </c>
      <c r="AB153">
        <v>25614526</v>
      </c>
      <c r="AC153" t="s">
        <v>67</v>
      </c>
      <c r="AD153" t="s">
        <v>61</v>
      </c>
      <c r="AE153" t="s">
        <v>61</v>
      </c>
      <c r="AF153" t="s">
        <v>61</v>
      </c>
      <c r="AG153" t="s">
        <v>1300</v>
      </c>
      <c r="AH153" t="s">
        <v>61</v>
      </c>
      <c r="AI153" t="s">
        <v>1301</v>
      </c>
      <c r="AJ153" t="s">
        <v>61</v>
      </c>
      <c r="AK153" t="s">
        <v>61</v>
      </c>
      <c r="AL153" t="s">
        <v>61</v>
      </c>
      <c r="AM153" t="s">
        <v>1302</v>
      </c>
      <c r="AN153" t="s">
        <v>61</v>
      </c>
      <c r="AO153" t="s">
        <v>61</v>
      </c>
      <c r="AP153" t="s">
        <v>61</v>
      </c>
      <c r="AQ153" t="s">
        <v>61</v>
      </c>
      <c r="AR153" t="s">
        <v>61</v>
      </c>
      <c r="AS153" t="s">
        <v>61</v>
      </c>
      <c r="AT153" t="s">
        <v>61</v>
      </c>
      <c r="AU153" t="s">
        <v>61</v>
      </c>
      <c r="AV153" t="s">
        <v>61</v>
      </c>
      <c r="AW153" t="s">
        <v>61</v>
      </c>
      <c r="AX153" t="s">
        <v>61</v>
      </c>
      <c r="AY153" t="s">
        <v>61</v>
      </c>
      <c r="AZ153" t="s">
        <v>61</v>
      </c>
      <c r="BA153" t="s">
        <v>61</v>
      </c>
      <c r="BB153" t="s">
        <v>61</v>
      </c>
      <c r="BC153" t="s">
        <v>61</v>
      </c>
      <c r="BD153" t="s">
        <v>61</v>
      </c>
      <c r="BE153" t="s">
        <v>61</v>
      </c>
      <c r="BF153" t="s">
        <v>61</v>
      </c>
    </row>
    <row r="154" spans="1:58">
      <c r="A154" t="s">
        <v>58</v>
      </c>
      <c r="B154" t="s">
        <v>1303</v>
      </c>
      <c r="C154" t="s">
        <v>1304</v>
      </c>
      <c r="D154" t="s">
        <v>408</v>
      </c>
      <c r="E154" t="s">
        <v>408</v>
      </c>
      <c r="F154">
        <v>2015</v>
      </c>
      <c r="G154" t="s">
        <v>409</v>
      </c>
      <c r="H154">
        <v>35</v>
      </c>
      <c r="I154">
        <v>11</v>
      </c>
      <c r="J154" t="s">
        <v>1305</v>
      </c>
      <c r="K154" t="s">
        <v>61</v>
      </c>
      <c r="L154" t="s">
        <v>1306</v>
      </c>
      <c r="M154" t="s">
        <v>1307</v>
      </c>
      <c r="N154" t="s">
        <v>1308</v>
      </c>
      <c r="O154" t="s">
        <v>61</v>
      </c>
      <c r="Q154" t="s">
        <v>61</v>
      </c>
      <c r="R154" t="s">
        <v>61</v>
      </c>
      <c r="S154" t="s">
        <v>61</v>
      </c>
      <c r="T154" t="s">
        <v>61</v>
      </c>
      <c r="X154" t="s">
        <v>61</v>
      </c>
      <c r="Y154" t="s">
        <v>414</v>
      </c>
      <c r="Z154" t="s">
        <v>61</v>
      </c>
      <c r="AA154" t="s">
        <v>61</v>
      </c>
      <c r="AB154" t="s">
        <v>61</v>
      </c>
      <c r="AC154" t="s">
        <v>67</v>
      </c>
      <c r="AD154" t="s">
        <v>61</v>
      </c>
      <c r="AE154" t="s">
        <v>61</v>
      </c>
      <c r="AF154" t="s">
        <v>61</v>
      </c>
      <c r="AG154" t="s">
        <v>61</v>
      </c>
      <c r="AH154" t="s">
        <v>61</v>
      </c>
      <c r="AI154" t="s">
        <v>61</v>
      </c>
      <c r="AJ154" t="s">
        <v>61</v>
      </c>
      <c r="AK154" t="s">
        <v>61</v>
      </c>
      <c r="AL154" t="s">
        <v>61</v>
      </c>
      <c r="AM154" t="s">
        <v>1304</v>
      </c>
      <c r="AN154" t="s">
        <v>61</v>
      </c>
      <c r="AO154" t="s">
        <v>61</v>
      </c>
      <c r="AP154" t="s">
        <v>61</v>
      </c>
      <c r="AQ154" t="s">
        <v>61</v>
      </c>
      <c r="AR154" t="s">
        <v>61</v>
      </c>
      <c r="AS154" t="s">
        <v>61</v>
      </c>
      <c r="AT154" t="s">
        <v>61</v>
      </c>
      <c r="AU154" t="s">
        <v>61</v>
      </c>
      <c r="AV154" t="s">
        <v>61</v>
      </c>
      <c r="AW154" t="s">
        <v>61</v>
      </c>
      <c r="AX154" t="s">
        <v>61</v>
      </c>
      <c r="AY154" t="s">
        <v>61</v>
      </c>
      <c r="AZ154" t="s">
        <v>61</v>
      </c>
      <c r="BA154" t="s">
        <v>61</v>
      </c>
      <c r="BB154" t="s">
        <v>61</v>
      </c>
      <c r="BC154" t="s">
        <v>61</v>
      </c>
      <c r="BD154" t="s">
        <v>61</v>
      </c>
      <c r="BE154" t="s">
        <v>61</v>
      </c>
      <c r="BF154" t="s">
        <v>61</v>
      </c>
    </row>
    <row r="155" spans="1:58">
      <c r="A155" t="s">
        <v>58</v>
      </c>
      <c r="B155" t="s">
        <v>1309</v>
      </c>
      <c r="C155" t="s">
        <v>1310</v>
      </c>
      <c r="D155" t="s">
        <v>475</v>
      </c>
      <c r="E155" t="s">
        <v>61</v>
      </c>
      <c r="F155">
        <v>2013</v>
      </c>
      <c r="G155" t="s">
        <v>476</v>
      </c>
      <c r="H155">
        <v>35</v>
      </c>
      <c r="I155">
        <v>6</v>
      </c>
      <c r="J155">
        <v>1321</v>
      </c>
      <c r="K155" t="s">
        <v>61</v>
      </c>
      <c r="L155" t="s">
        <v>1311</v>
      </c>
      <c r="M155" t="s">
        <v>1312</v>
      </c>
      <c r="N155" t="s">
        <v>1313</v>
      </c>
      <c r="O155" t="s">
        <v>61</v>
      </c>
      <c r="Q155" t="s">
        <v>61</v>
      </c>
      <c r="R155" t="s">
        <v>61</v>
      </c>
      <c r="S155" t="s">
        <v>61</v>
      </c>
      <c r="T155" t="s">
        <v>61</v>
      </c>
      <c r="X155" t="s">
        <v>61</v>
      </c>
      <c r="Y155" t="s">
        <v>308</v>
      </c>
      <c r="Z155" t="s">
        <v>61</v>
      </c>
      <c r="AA155" t="s">
        <v>61</v>
      </c>
      <c r="AB155" t="s">
        <v>61</v>
      </c>
      <c r="AC155" t="s">
        <v>67</v>
      </c>
      <c r="AD155" t="s">
        <v>61</v>
      </c>
      <c r="AE155" t="s">
        <v>61</v>
      </c>
      <c r="AF155" t="s">
        <v>61</v>
      </c>
      <c r="AG155" t="s">
        <v>61</v>
      </c>
      <c r="AH155" t="s">
        <v>61</v>
      </c>
      <c r="AI155" t="s">
        <v>61</v>
      </c>
      <c r="AJ155" t="s">
        <v>61</v>
      </c>
      <c r="AK155" t="s">
        <v>61</v>
      </c>
      <c r="AL155" t="s">
        <v>61</v>
      </c>
      <c r="AM155" t="s">
        <v>1310</v>
      </c>
      <c r="AN155" t="s">
        <v>61</v>
      </c>
      <c r="AO155" t="s">
        <v>61</v>
      </c>
      <c r="AP155" t="s">
        <v>61</v>
      </c>
      <c r="AQ155" t="s">
        <v>61</v>
      </c>
      <c r="AR155" t="s">
        <v>61</v>
      </c>
      <c r="AS155" t="s">
        <v>61</v>
      </c>
      <c r="AT155" t="s">
        <v>61</v>
      </c>
      <c r="AU155" t="s">
        <v>61</v>
      </c>
      <c r="AV155" t="s">
        <v>61</v>
      </c>
      <c r="AW155" t="s">
        <v>61</v>
      </c>
      <c r="AX155" t="s">
        <v>61</v>
      </c>
      <c r="AY155" t="s">
        <v>61</v>
      </c>
      <c r="AZ155" t="s">
        <v>61</v>
      </c>
      <c r="BA155" t="s">
        <v>61</v>
      </c>
      <c r="BB155" t="s">
        <v>61</v>
      </c>
      <c r="BC155" t="s">
        <v>61</v>
      </c>
      <c r="BD155" t="s">
        <v>61</v>
      </c>
      <c r="BE155" t="s">
        <v>61</v>
      </c>
      <c r="BF155" t="s">
        <v>61</v>
      </c>
    </row>
    <row r="156" spans="1:58">
      <c r="A156" t="s">
        <v>58</v>
      </c>
      <c r="B156" t="s">
        <v>1314</v>
      </c>
      <c r="C156" t="s">
        <v>1315</v>
      </c>
      <c r="D156" t="s">
        <v>475</v>
      </c>
      <c r="E156" t="s">
        <v>61</v>
      </c>
      <c r="F156">
        <v>2015</v>
      </c>
      <c r="G156" t="s">
        <v>381</v>
      </c>
      <c r="H156">
        <v>37</v>
      </c>
      <c r="I156">
        <v>1</v>
      </c>
      <c r="J156">
        <v>233</v>
      </c>
      <c r="K156" t="s">
        <v>61</v>
      </c>
      <c r="L156" t="s">
        <v>1316</v>
      </c>
      <c r="M156" t="s">
        <v>1317</v>
      </c>
      <c r="N156" t="s">
        <v>1318</v>
      </c>
      <c r="O156" t="s">
        <v>61</v>
      </c>
      <c r="Q156" t="s">
        <v>61</v>
      </c>
      <c r="R156" t="s">
        <v>61</v>
      </c>
      <c r="S156" t="s">
        <v>61</v>
      </c>
      <c r="T156" t="s">
        <v>61</v>
      </c>
      <c r="X156" t="s">
        <v>61</v>
      </c>
      <c r="Y156" t="s">
        <v>308</v>
      </c>
      <c r="Z156" t="s">
        <v>61</v>
      </c>
      <c r="AA156" t="s">
        <v>61</v>
      </c>
      <c r="AB156" t="s">
        <v>61</v>
      </c>
      <c r="AC156" t="s">
        <v>67</v>
      </c>
      <c r="AD156" t="s">
        <v>61</v>
      </c>
      <c r="AE156" t="s">
        <v>61</v>
      </c>
      <c r="AF156" t="s">
        <v>61</v>
      </c>
      <c r="AG156" t="s">
        <v>61</v>
      </c>
      <c r="AH156" t="s">
        <v>61</v>
      </c>
      <c r="AI156" t="s">
        <v>61</v>
      </c>
      <c r="AJ156" t="s">
        <v>61</v>
      </c>
      <c r="AK156" t="s">
        <v>61</v>
      </c>
      <c r="AL156" t="s">
        <v>61</v>
      </c>
      <c r="AM156" t="s">
        <v>1315</v>
      </c>
      <c r="AN156" t="s">
        <v>61</v>
      </c>
      <c r="AO156" t="s">
        <v>61</v>
      </c>
      <c r="AP156" t="s">
        <v>61</v>
      </c>
      <c r="AQ156" t="s">
        <v>61</v>
      </c>
      <c r="AR156" t="s">
        <v>61</v>
      </c>
      <c r="AS156" t="s">
        <v>61</v>
      </c>
      <c r="AT156" t="s">
        <v>61</v>
      </c>
      <c r="AU156" t="s">
        <v>61</v>
      </c>
      <c r="AV156" t="s">
        <v>61</v>
      </c>
      <c r="AW156" t="s">
        <v>61</v>
      </c>
      <c r="AX156" t="s">
        <v>61</v>
      </c>
      <c r="AY156" t="s">
        <v>61</v>
      </c>
      <c r="AZ156" t="s">
        <v>61</v>
      </c>
      <c r="BA156" t="s">
        <v>61</v>
      </c>
      <c r="BB156" t="s">
        <v>61</v>
      </c>
      <c r="BC156" t="s">
        <v>61</v>
      </c>
      <c r="BD156" t="s">
        <v>61</v>
      </c>
      <c r="BE156" t="s">
        <v>61</v>
      </c>
      <c r="BF156" t="s">
        <v>61</v>
      </c>
    </row>
    <row r="157" spans="1:58">
      <c r="A157" t="s">
        <v>58</v>
      </c>
      <c r="B157" t="s">
        <v>1319</v>
      </c>
      <c r="C157" t="s">
        <v>1320</v>
      </c>
      <c r="D157" t="s">
        <v>1321</v>
      </c>
      <c r="E157" t="s">
        <v>61</v>
      </c>
      <c r="F157">
        <v>2011</v>
      </c>
      <c r="G157" s="1">
        <v>42690</v>
      </c>
      <c r="H157">
        <v>31</v>
      </c>
      <c r="I157">
        <v>46</v>
      </c>
      <c r="J157">
        <v>16517</v>
      </c>
      <c r="K157">
        <v>16528</v>
      </c>
      <c r="L157" t="s">
        <v>1322</v>
      </c>
      <c r="M157" t="s">
        <v>1323</v>
      </c>
      <c r="N157" t="s">
        <v>1324</v>
      </c>
      <c r="O157" t="s">
        <v>61</v>
      </c>
      <c r="Q157" t="s">
        <v>61</v>
      </c>
      <c r="R157" t="s">
        <v>61</v>
      </c>
      <c r="S157" t="s">
        <v>61</v>
      </c>
      <c r="T157" t="s">
        <v>61</v>
      </c>
      <c r="X157" t="s">
        <v>61</v>
      </c>
      <c r="Y157" t="s">
        <v>1325</v>
      </c>
      <c r="Z157" t="s">
        <v>61</v>
      </c>
      <c r="AA157" t="s">
        <v>1326</v>
      </c>
      <c r="AB157">
        <v>22090478</v>
      </c>
      <c r="AC157" t="s">
        <v>67</v>
      </c>
      <c r="AD157" t="s">
        <v>61</v>
      </c>
      <c r="AE157" t="s">
        <v>61</v>
      </c>
      <c r="AF157" t="s">
        <v>61</v>
      </c>
      <c r="AG157" t="s">
        <v>1327</v>
      </c>
      <c r="AH157" t="s">
        <v>61</v>
      </c>
      <c r="AI157" t="s">
        <v>1328</v>
      </c>
      <c r="AJ157" t="s">
        <v>61</v>
      </c>
      <c r="AK157" t="s">
        <v>61</v>
      </c>
      <c r="AL157" t="s">
        <v>61</v>
      </c>
      <c r="AM157" t="s">
        <v>1329</v>
      </c>
      <c r="AN157" t="s">
        <v>61</v>
      </c>
      <c r="AO157" t="s">
        <v>61</v>
      </c>
      <c r="AP157" t="s">
        <v>61</v>
      </c>
      <c r="AQ157" t="s">
        <v>61</v>
      </c>
      <c r="AR157" t="s">
        <v>61</v>
      </c>
      <c r="AS157" t="s">
        <v>61</v>
      </c>
      <c r="AT157" t="s">
        <v>61</v>
      </c>
      <c r="AU157" t="s">
        <v>61</v>
      </c>
      <c r="AV157" t="s">
        <v>61</v>
      </c>
      <c r="AW157" t="s">
        <v>61</v>
      </c>
      <c r="AX157" t="s">
        <v>61</v>
      </c>
      <c r="AY157" t="s">
        <v>61</v>
      </c>
      <c r="AZ157" t="s">
        <v>61</v>
      </c>
      <c r="BA157" t="s">
        <v>61</v>
      </c>
      <c r="BB157" t="s">
        <v>61</v>
      </c>
      <c r="BC157" t="s">
        <v>61</v>
      </c>
      <c r="BD157" t="s">
        <v>61</v>
      </c>
      <c r="BE157" t="s">
        <v>61</v>
      </c>
      <c r="BF157" t="s">
        <v>61</v>
      </c>
    </row>
    <row r="158" spans="1:58">
      <c r="A158" t="s">
        <v>58</v>
      </c>
      <c r="B158" t="s">
        <v>1330</v>
      </c>
      <c r="C158" t="s">
        <v>1331</v>
      </c>
      <c r="D158" t="s">
        <v>876</v>
      </c>
      <c r="E158" t="s">
        <v>877</v>
      </c>
      <c r="F158">
        <v>1979</v>
      </c>
      <c r="G158" t="s">
        <v>1332</v>
      </c>
      <c r="H158">
        <v>43</v>
      </c>
      <c r="I158">
        <v>4</v>
      </c>
      <c r="J158">
        <v>361</v>
      </c>
      <c r="K158">
        <v>362</v>
      </c>
      <c r="L158" t="s">
        <v>1333</v>
      </c>
      <c r="M158" t="s">
        <v>1334</v>
      </c>
      <c r="N158" t="s">
        <v>1335</v>
      </c>
      <c r="O158" t="s">
        <v>61</v>
      </c>
      <c r="Q158" t="s">
        <v>61</v>
      </c>
      <c r="R158" t="s">
        <v>61</v>
      </c>
      <c r="S158" t="s">
        <v>61</v>
      </c>
      <c r="T158" t="s">
        <v>61</v>
      </c>
      <c r="X158" t="s">
        <v>61</v>
      </c>
      <c r="Y158" t="s">
        <v>61</v>
      </c>
      <c r="Z158" t="s">
        <v>61</v>
      </c>
      <c r="AA158" t="s">
        <v>61</v>
      </c>
      <c r="AB158" t="s">
        <v>1336</v>
      </c>
      <c r="AC158" t="s">
        <v>67</v>
      </c>
      <c r="AD158" t="s">
        <v>61</v>
      </c>
      <c r="AE158" t="s">
        <v>61</v>
      </c>
      <c r="AF158" t="s">
        <v>61</v>
      </c>
      <c r="AG158" t="s">
        <v>61</v>
      </c>
      <c r="AH158" t="s">
        <v>61</v>
      </c>
      <c r="AI158" t="s">
        <v>61</v>
      </c>
      <c r="AJ158" t="s">
        <v>61</v>
      </c>
      <c r="AK158" t="s">
        <v>61</v>
      </c>
      <c r="AL158" t="s">
        <v>61</v>
      </c>
      <c r="AM158" t="s">
        <v>1337</v>
      </c>
      <c r="AN158" t="s">
        <v>61</v>
      </c>
      <c r="AO158" t="s">
        <v>61</v>
      </c>
      <c r="AP158" t="s">
        <v>61</v>
      </c>
      <c r="AQ158" t="s">
        <v>61</v>
      </c>
      <c r="AR158" t="s">
        <v>61</v>
      </c>
      <c r="AS158" t="s">
        <v>61</v>
      </c>
      <c r="AT158" t="s">
        <v>61</v>
      </c>
      <c r="AU158" t="s">
        <v>61</v>
      </c>
      <c r="AV158" t="s">
        <v>61</v>
      </c>
      <c r="AW158" t="s">
        <v>61</v>
      </c>
      <c r="AX158" t="s">
        <v>61</v>
      </c>
      <c r="AY158" t="s">
        <v>61</v>
      </c>
      <c r="AZ158" t="s">
        <v>61</v>
      </c>
      <c r="BA158" t="s">
        <v>61</v>
      </c>
      <c r="BB158" t="s">
        <v>61</v>
      </c>
      <c r="BC158" t="s">
        <v>61</v>
      </c>
      <c r="BD158" t="s">
        <v>61</v>
      </c>
      <c r="BE158" t="s">
        <v>61</v>
      </c>
      <c r="BF158" t="s">
        <v>61</v>
      </c>
    </row>
    <row r="159" spans="1:58">
      <c r="A159" t="s">
        <v>58</v>
      </c>
      <c r="B159" t="s">
        <v>1338</v>
      </c>
      <c r="C159" t="s">
        <v>1339</v>
      </c>
      <c r="D159" t="s">
        <v>1340</v>
      </c>
      <c r="E159" t="s">
        <v>1341</v>
      </c>
      <c r="F159">
        <v>2009</v>
      </c>
      <c r="G159" t="s">
        <v>409</v>
      </c>
      <c r="H159">
        <v>81</v>
      </c>
      <c r="I159">
        <v>5</v>
      </c>
      <c r="J159">
        <v>127</v>
      </c>
      <c r="K159">
        <v>128</v>
      </c>
      <c r="L159" t="s">
        <v>1342</v>
      </c>
      <c r="M159" t="s">
        <v>1343</v>
      </c>
      <c r="N159" t="s">
        <v>1344</v>
      </c>
      <c r="O159" t="s">
        <v>61</v>
      </c>
      <c r="Q159" t="s">
        <v>61</v>
      </c>
      <c r="R159" t="s">
        <v>61</v>
      </c>
      <c r="S159" t="s">
        <v>61</v>
      </c>
      <c r="T159" t="s">
        <v>61</v>
      </c>
      <c r="X159" t="s">
        <v>61</v>
      </c>
      <c r="Y159" s="2">
        <v>2825915</v>
      </c>
      <c r="Z159" t="s">
        <v>61</v>
      </c>
      <c r="AA159" t="s">
        <v>61</v>
      </c>
      <c r="AB159" t="s">
        <v>61</v>
      </c>
      <c r="AC159" t="s">
        <v>67</v>
      </c>
      <c r="AD159" t="s">
        <v>61</v>
      </c>
      <c r="AE159" t="s">
        <v>61</v>
      </c>
      <c r="AF159" t="s">
        <v>61</v>
      </c>
      <c r="AG159" t="s">
        <v>61</v>
      </c>
      <c r="AH159" t="s">
        <v>61</v>
      </c>
      <c r="AI159" t="s">
        <v>61</v>
      </c>
      <c r="AJ159" t="s">
        <v>61</v>
      </c>
      <c r="AK159" t="s">
        <v>61</v>
      </c>
      <c r="AL159" t="s">
        <v>61</v>
      </c>
      <c r="AM159" t="s">
        <v>1339</v>
      </c>
      <c r="AN159" t="s">
        <v>61</v>
      </c>
      <c r="AO159" t="s">
        <v>61</v>
      </c>
      <c r="AP159" t="s">
        <v>61</v>
      </c>
      <c r="AQ159" t="s">
        <v>61</v>
      </c>
      <c r="AR159" t="s">
        <v>61</v>
      </c>
      <c r="AS159" t="s">
        <v>61</v>
      </c>
      <c r="AT159" t="s">
        <v>61</v>
      </c>
      <c r="AU159" t="s">
        <v>61</v>
      </c>
      <c r="AV159" t="s">
        <v>61</v>
      </c>
      <c r="AW159" t="s">
        <v>61</v>
      </c>
      <c r="AX159" t="s">
        <v>61</v>
      </c>
      <c r="AY159" t="s">
        <v>61</v>
      </c>
      <c r="AZ159" t="s">
        <v>61</v>
      </c>
      <c r="BA159" t="s">
        <v>61</v>
      </c>
      <c r="BB159" t="s">
        <v>61</v>
      </c>
      <c r="BC159" t="s">
        <v>61</v>
      </c>
      <c r="BD159" t="s">
        <v>61</v>
      </c>
      <c r="BE159" t="s">
        <v>61</v>
      </c>
      <c r="BF159" t="s">
        <v>61</v>
      </c>
    </row>
    <row r="160" spans="1:58">
      <c r="A160" t="s">
        <v>58</v>
      </c>
      <c r="B160" t="s">
        <v>1345</v>
      </c>
      <c r="C160" t="s">
        <v>1346</v>
      </c>
      <c r="D160" t="s">
        <v>1347</v>
      </c>
      <c r="E160" t="s">
        <v>1348</v>
      </c>
      <c r="F160">
        <v>2005</v>
      </c>
      <c r="G160" t="s">
        <v>381</v>
      </c>
      <c r="H160">
        <v>37</v>
      </c>
      <c r="I160">
        <v>2</v>
      </c>
      <c r="J160">
        <v>99</v>
      </c>
      <c r="K160">
        <v>104</v>
      </c>
      <c r="L160" t="s">
        <v>1349</v>
      </c>
      <c r="M160" t="s">
        <v>1350</v>
      </c>
      <c r="N160" t="s">
        <v>1351</v>
      </c>
      <c r="O160" t="s">
        <v>61</v>
      </c>
      <c r="Q160" t="s">
        <v>61</v>
      </c>
      <c r="R160" t="s">
        <v>61</v>
      </c>
      <c r="S160" t="s">
        <v>61</v>
      </c>
      <c r="T160" t="s">
        <v>61</v>
      </c>
      <c r="X160" t="s">
        <v>61</v>
      </c>
      <c r="Y160" t="s">
        <v>1352</v>
      </c>
      <c r="Z160" t="s">
        <v>61</v>
      </c>
      <c r="AA160" t="s">
        <v>61</v>
      </c>
      <c r="AB160">
        <v>2005068117</v>
      </c>
      <c r="AC160" t="s">
        <v>67</v>
      </c>
      <c r="AD160" t="s">
        <v>61</v>
      </c>
      <c r="AE160" t="s">
        <v>61</v>
      </c>
      <c r="AF160" t="s">
        <v>61</v>
      </c>
      <c r="AG160" t="s">
        <v>1353</v>
      </c>
      <c r="AH160" t="s">
        <v>61</v>
      </c>
      <c r="AI160" t="s">
        <v>61</v>
      </c>
      <c r="AJ160" t="s">
        <v>61</v>
      </c>
      <c r="AK160" t="s">
        <v>61</v>
      </c>
      <c r="AL160" t="s">
        <v>61</v>
      </c>
      <c r="AM160" t="s">
        <v>1354</v>
      </c>
      <c r="AN160" t="s">
        <v>61</v>
      </c>
      <c r="AO160" t="s">
        <v>61</v>
      </c>
      <c r="AP160" t="s">
        <v>61</v>
      </c>
      <c r="AQ160" t="s">
        <v>61</v>
      </c>
      <c r="AR160" t="s">
        <v>61</v>
      </c>
      <c r="AS160" t="s">
        <v>61</v>
      </c>
      <c r="AT160" t="s">
        <v>61</v>
      </c>
      <c r="AU160" t="s">
        <v>61</v>
      </c>
      <c r="AV160" t="s">
        <v>61</v>
      </c>
      <c r="AW160" t="s">
        <v>61</v>
      </c>
      <c r="AX160" t="s">
        <v>61</v>
      </c>
      <c r="AY160" t="s">
        <v>61</v>
      </c>
      <c r="AZ160" t="s">
        <v>61</v>
      </c>
      <c r="BA160" t="s">
        <v>61</v>
      </c>
      <c r="BB160" t="s">
        <v>61</v>
      </c>
      <c r="BC160" t="s">
        <v>61</v>
      </c>
      <c r="BD160" t="s">
        <v>61</v>
      </c>
      <c r="BE160" t="s">
        <v>61</v>
      </c>
      <c r="BF160" t="s">
        <v>61</v>
      </c>
    </row>
    <row r="161" spans="1:58">
      <c r="A161" t="s">
        <v>58</v>
      </c>
      <c r="B161" t="s">
        <v>1355</v>
      </c>
      <c r="C161" t="s">
        <v>1356</v>
      </c>
      <c r="D161" t="s">
        <v>475</v>
      </c>
      <c r="E161" t="s">
        <v>61</v>
      </c>
      <c r="F161">
        <v>2011</v>
      </c>
      <c r="G161" t="s">
        <v>429</v>
      </c>
      <c r="H161">
        <v>33</v>
      </c>
      <c r="I161">
        <v>2</v>
      </c>
      <c r="J161">
        <v>297</v>
      </c>
      <c r="K161">
        <v>298</v>
      </c>
      <c r="L161" t="s">
        <v>1357</v>
      </c>
      <c r="M161" t="s">
        <v>1358</v>
      </c>
      <c r="N161" t="s">
        <v>1359</v>
      </c>
      <c r="O161" t="s">
        <v>61</v>
      </c>
      <c r="Q161" t="s">
        <v>61</v>
      </c>
      <c r="R161" t="s">
        <v>61</v>
      </c>
      <c r="S161" t="s">
        <v>61</v>
      </c>
      <c r="T161" t="s">
        <v>61</v>
      </c>
      <c r="X161" t="s">
        <v>61</v>
      </c>
      <c r="Y161" t="s">
        <v>308</v>
      </c>
      <c r="Z161" t="s">
        <v>61</v>
      </c>
      <c r="AA161" t="s">
        <v>61</v>
      </c>
      <c r="AB161" t="s">
        <v>61</v>
      </c>
      <c r="AC161" t="s">
        <v>67</v>
      </c>
      <c r="AD161" t="s">
        <v>61</v>
      </c>
      <c r="AE161" t="s">
        <v>61</v>
      </c>
      <c r="AF161" t="s">
        <v>61</v>
      </c>
      <c r="AG161" t="s">
        <v>61</v>
      </c>
      <c r="AH161" t="s">
        <v>61</v>
      </c>
      <c r="AI161" t="s">
        <v>61</v>
      </c>
      <c r="AJ161" t="s">
        <v>61</v>
      </c>
      <c r="AK161" t="s">
        <v>61</v>
      </c>
      <c r="AL161" t="s">
        <v>61</v>
      </c>
      <c r="AM161" t="s">
        <v>1356</v>
      </c>
      <c r="AN161" t="s">
        <v>61</v>
      </c>
      <c r="AO161" t="s">
        <v>61</v>
      </c>
      <c r="AP161" t="s">
        <v>61</v>
      </c>
      <c r="AQ161" t="s">
        <v>61</v>
      </c>
      <c r="AR161" t="s">
        <v>61</v>
      </c>
      <c r="AS161" t="s">
        <v>61</v>
      </c>
      <c r="AT161" t="s">
        <v>61</v>
      </c>
      <c r="AU161" t="s">
        <v>61</v>
      </c>
      <c r="AV161" t="s">
        <v>61</v>
      </c>
      <c r="AW161" t="s">
        <v>61</v>
      </c>
      <c r="AX161" t="s">
        <v>61</v>
      </c>
      <c r="AY161" t="s">
        <v>61</v>
      </c>
      <c r="AZ161" t="s">
        <v>61</v>
      </c>
      <c r="BA161" t="s">
        <v>61</v>
      </c>
      <c r="BB161" t="s">
        <v>61</v>
      </c>
      <c r="BC161" t="s">
        <v>61</v>
      </c>
      <c r="BD161" t="s">
        <v>61</v>
      </c>
      <c r="BE161" t="s">
        <v>61</v>
      </c>
      <c r="BF161" t="s">
        <v>61</v>
      </c>
    </row>
    <row r="162" spans="1:58">
      <c r="A162" t="s">
        <v>58</v>
      </c>
      <c r="B162" t="s">
        <v>1360</v>
      </c>
      <c r="C162" t="s">
        <v>1361</v>
      </c>
      <c r="D162" t="s">
        <v>1362</v>
      </c>
      <c r="E162" t="s">
        <v>61</v>
      </c>
      <c r="F162">
        <v>2011</v>
      </c>
      <c r="G162" t="s">
        <v>429</v>
      </c>
      <c r="H162" t="s">
        <v>1363</v>
      </c>
      <c r="I162" t="s">
        <v>61</v>
      </c>
      <c r="J162">
        <v>54</v>
      </c>
      <c r="K162" t="s">
        <v>61</v>
      </c>
      <c r="L162" t="s">
        <v>1364</v>
      </c>
      <c r="M162" t="s">
        <v>1365</v>
      </c>
      <c r="N162" t="s">
        <v>1366</v>
      </c>
      <c r="O162" t="s">
        <v>61</v>
      </c>
      <c r="Q162" t="s">
        <v>61</v>
      </c>
      <c r="R162" t="s">
        <v>61</v>
      </c>
      <c r="S162" t="s">
        <v>61</v>
      </c>
      <c r="T162" t="s">
        <v>61</v>
      </c>
      <c r="X162" t="s">
        <v>61</v>
      </c>
      <c r="Y162" t="s">
        <v>1367</v>
      </c>
      <c r="Z162" t="s">
        <v>61</v>
      </c>
      <c r="AA162" t="s">
        <v>61</v>
      </c>
      <c r="AB162" t="s">
        <v>61</v>
      </c>
      <c r="AC162" t="s">
        <v>67</v>
      </c>
      <c r="AD162" t="s">
        <v>61</v>
      </c>
      <c r="AE162" t="s">
        <v>61</v>
      </c>
      <c r="AF162" t="s">
        <v>61</v>
      </c>
      <c r="AG162" t="s">
        <v>61</v>
      </c>
      <c r="AH162" t="s">
        <v>61</v>
      </c>
      <c r="AI162" t="s">
        <v>61</v>
      </c>
      <c r="AJ162" t="s">
        <v>61</v>
      </c>
      <c r="AK162" t="s">
        <v>61</v>
      </c>
      <c r="AL162" t="s">
        <v>61</v>
      </c>
      <c r="AM162" t="s">
        <v>1361</v>
      </c>
      <c r="AN162" t="s">
        <v>61</v>
      </c>
      <c r="AO162" t="s">
        <v>61</v>
      </c>
      <c r="AP162" t="s">
        <v>61</v>
      </c>
      <c r="AQ162" t="s">
        <v>61</v>
      </c>
      <c r="AR162" t="s">
        <v>61</v>
      </c>
      <c r="AS162" t="s">
        <v>61</v>
      </c>
      <c r="AT162" t="s">
        <v>61</v>
      </c>
      <c r="AU162" t="s">
        <v>61</v>
      </c>
      <c r="AV162" t="s">
        <v>61</v>
      </c>
      <c r="AW162" t="s">
        <v>61</v>
      </c>
      <c r="AX162" t="s">
        <v>61</v>
      </c>
      <c r="AY162" t="s">
        <v>61</v>
      </c>
      <c r="AZ162" t="s">
        <v>61</v>
      </c>
      <c r="BA162" t="s">
        <v>61</v>
      </c>
      <c r="BB162" t="s">
        <v>61</v>
      </c>
      <c r="BC162" t="s">
        <v>61</v>
      </c>
      <c r="BD162" t="s">
        <v>61</v>
      </c>
      <c r="BE162" t="s">
        <v>61</v>
      </c>
      <c r="BF162" t="s">
        <v>61</v>
      </c>
    </row>
    <row r="163" spans="1:58">
      <c r="A163" t="s">
        <v>58</v>
      </c>
      <c r="B163" t="s">
        <v>1368</v>
      </c>
      <c r="C163" t="s">
        <v>1369</v>
      </c>
      <c r="D163" t="s">
        <v>1370</v>
      </c>
      <c r="E163" t="s">
        <v>61</v>
      </c>
      <c r="F163">
        <v>1997</v>
      </c>
      <c r="G163" t="s">
        <v>61</v>
      </c>
      <c r="H163">
        <v>141</v>
      </c>
      <c r="I163">
        <v>8</v>
      </c>
      <c r="J163">
        <v>55</v>
      </c>
      <c r="K163" t="s">
        <v>61</v>
      </c>
      <c r="L163" t="s">
        <v>1371</v>
      </c>
      <c r="M163" t="s">
        <v>61</v>
      </c>
      <c r="N163" t="s">
        <v>1372</v>
      </c>
      <c r="O163" t="s">
        <v>61</v>
      </c>
      <c r="Q163" t="s">
        <v>61</v>
      </c>
      <c r="R163" t="s">
        <v>61</v>
      </c>
      <c r="S163" t="s">
        <v>61</v>
      </c>
      <c r="T163" t="s">
        <v>61</v>
      </c>
      <c r="X163" t="s">
        <v>61</v>
      </c>
      <c r="Y163" s="2">
        <v>1722820</v>
      </c>
      <c r="Z163" t="s">
        <v>61</v>
      </c>
      <c r="AA163" t="s">
        <v>61</v>
      </c>
      <c r="AB163">
        <v>1997142443</v>
      </c>
      <c r="AC163" t="s">
        <v>67</v>
      </c>
      <c r="AD163" t="s">
        <v>61</v>
      </c>
      <c r="AE163" t="s">
        <v>61</v>
      </c>
      <c r="AF163" t="s">
        <v>61</v>
      </c>
      <c r="AG163" t="s">
        <v>61</v>
      </c>
      <c r="AH163" t="s">
        <v>61</v>
      </c>
      <c r="AI163" t="s">
        <v>61</v>
      </c>
      <c r="AJ163" t="s">
        <v>61</v>
      </c>
      <c r="AK163" t="s">
        <v>61</v>
      </c>
      <c r="AL163" t="s">
        <v>61</v>
      </c>
      <c r="AM163" t="s">
        <v>1369</v>
      </c>
      <c r="AN163" t="s">
        <v>61</v>
      </c>
      <c r="AO163" t="s">
        <v>61</v>
      </c>
      <c r="AP163" t="s">
        <v>61</v>
      </c>
      <c r="AQ163" t="s">
        <v>61</v>
      </c>
      <c r="AR163" t="s">
        <v>61</v>
      </c>
      <c r="AS163" t="s">
        <v>61</v>
      </c>
      <c r="AT163" t="s">
        <v>61</v>
      </c>
      <c r="AU163" t="s">
        <v>61</v>
      </c>
      <c r="AV163" t="s">
        <v>61</v>
      </c>
      <c r="AW163" t="s">
        <v>61</v>
      </c>
      <c r="AX163" t="s">
        <v>61</v>
      </c>
      <c r="AY163" t="s">
        <v>61</v>
      </c>
      <c r="AZ163" t="s">
        <v>61</v>
      </c>
      <c r="BA163" t="s">
        <v>61</v>
      </c>
      <c r="BB163" t="s">
        <v>61</v>
      </c>
      <c r="BC163" t="s">
        <v>61</v>
      </c>
      <c r="BD163" t="s">
        <v>61</v>
      </c>
      <c r="BE163" t="s">
        <v>61</v>
      </c>
      <c r="BF163" t="s">
        <v>61</v>
      </c>
    </row>
    <row r="164" spans="1:58">
      <c r="A164" t="s">
        <v>58</v>
      </c>
      <c r="B164" t="s">
        <v>1373</v>
      </c>
      <c r="C164" t="s">
        <v>1374</v>
      </c>
      <c r="D164" t="s">
        <v>1375</v>
      </c>
      <c r="E164" t="s">
        <v>61</v>
      </c>
      <c r="F164">
        <v>2009</v>
      </c>
      <c r="G164" t="s">
        <v>61</v>
      </c>
      <c r="H164">
        <v>78</v>
      </c>
      <c r="I164">
        <v>4</v>
      </c>
      <c r="J164">
        <v>202</v>
      </c>
      <c r="K164">
        <v>211</v>
      </c>
      <c r="L164" t="s">
        <v>1376</v>
      </c>
      <c r="M164" t="s">
        <v>1377</v>
      </c>
      <c r="N164" t="s">
        <v>1378</v>
      </c>
      <c r="O164" t="s">
        <v>61</v>
      </c>
      <c r="Q164" t="s">
        <v>61</v>
      </c>
      <c r="R164" t="s">
        <v>61</v>
      </c>
      <c r="S164" t="s">
        <v>61</v>
      </c>
      <c r="T164" t="s">
        <v>61</v>
      </c>
      <c r="X164" t="s">
        <v>61</v>
      </c>
      <c r="Y164" t="s">
        <v>1379</v>
      </c>
      <c r="Z164" t="s">
        <v>61</v>
      </c>
      <c r="AA164" t="s">
        <v>1380</v>
      </c>
      <c r="AB164">
        <v>19401620</v>
      </c>
      <c r="AC164" t="s">
        <v>67</v>
      </c>
      <c r="AD164" t="s">
        <v>61</v>
      </c>
      <c r="AE164" t="s">
        <v>61</v>
      </c>
      <c r="AF164" t="s">
        <v>61</v>
      </c>
      <c r="AG164" t="s">
        <v>1381</v>
      </c>
      <c r="AH164" t="s">
        <v>61</v>
      </c>
      <c r="AI164" t="s">
        <v>1382</v>
      </c>
      <c r="AJ164" t="s">
        <v>61</v>
      </c>
      <c r="AK164" t="s">
        <v>61</v>
      </c>
      <c r="AL164" t="s">
        <v>61</v>
      </c>
      <c r="AM164" t="s">
        <v>1383</v>
      </c>
      <c r="AN164" t="s">
        <v>61</v>
      </c>
      <c r="AO164" t="s">
        <v>61</v>
      </c>
      <c r="AP164" t="s">
        <v>61</v>
      </c>
      <c r="AQ164" t="s">
        <v>61</v>
      </c>
      <c r="AR164" t="s">
        <v>61</v>
      </c>
      <c r="AS164" t="s">
        <v>61</v>
      </c>
      <c r="AT164" t="s">
        <v>61</v>
      </c>
      <c r="AU164" t="s">
        <v>61</v>
      </c>
      <c r="AV164" t="s">
        <v>61</v>
      </c>
      <c r="AW164" t="s">
        <v>61</v>
      </c>
      <c r="AX164" t="s">
        <v>61</v>
      </c>
      <c r="AY164" t="s">
        <v>61</v>
      </c>
      <c r="AZ164" t="s">
        <v>61</v>
      </c>
      <c r="BA164" t="s">
        <v>61</v>
      </c>
      <c r="BB164" t="s">
        <v>61</v>
      </c>
      <c r="BC164" t="s">
        <v>61</v>
      </c>
      <c r="BD164" t="s">
        <v>61</v>
      </c>
      <c r="BE164" t="s">
        <v>61</v>
      </c>
      <c r="BF164" t="s">
        <v>61</v>
      </c>
    </row>
    <row r="165" spans="1:58">
      <c r="A165" t="s">
        <v>58</v>
      </c>
      <c r="B165" t="s">
        <v>1384</v>
      </c>
      <c r="C165" t="s">
        <v>1385</v>
      </c>
      <c r="D165" t="s">
        <v>362</v>
      </c>
      <c r="E165" t="s">
        <v>61</v>
      </c>
      <c r="F165">
        <v>2004</v>
      </c>
      <c r="G165" t="s">
        <v>559</v>
      </c>
      <c r="H165">
        <v>28</v>
      </c>
      <c r="I165">
        <v>5</v>
      </c>
      <c r="J165">
        <v>712</v>
      </c>
      <c r="K165">
        <v>719</v>
      </c>
      <c r="L165" t="s">
        <v>1386</v>
      </c>
      <c r="M165" t="s">
        <v>1387</v>
      </c>
      <c r="N165" t="s">
        <v>1388</v>
      </c>
      <c r="O165" t="s">
        <v>61</v>
      </c>
      <c r="Q165" t="s">
        <v>61</v>
      </c>
      <c r="R165" t="s">
        <v>61</v>
      </c>
      <c r="S165" t="s">
        <v>61</v>
      </c>
      <c r="T165" t="s">
        <v>61</v>
      </c>
      <c r="X165" t="s">
        <v>61</v>
      </c>
      <c r="Y165" t="s">
        <v>367</v>
      </c>
      <c r="Z165" t="s">
        <v>61</v>
      </c>
      <c r="AA165" t="s">
        <v>1389</v>
      </c>
      <c r="AB165">
        <v>15166645</v>
      </c>
      <c r="AC165" t="s">
        <v>67</v>
      </c>
      <c r="AD165" t="s">
        <v>61</v>
      </c>
      <c r="AE165" t="s">
        <v>61</v>
      </c>
      <c r="AF165" t="s">
        <v>61</v>
      </c>
      <c r="AG165" t="s">
        <v>1390</v>
      </c>
      <c r="AH165" t="s">
        <v>61</v>
      </c>
      <c r="AI165" t="s">
        <v>61</v>
      </c>
      <c r="AJ165" t="s">
        <v>61</v>
      </c>
      <c r="AK165" t="s">
        <v>61</v>
      </c>
      <c r="AL165" t="s">
        <v>61</v>
      </c>
      <c r="AM165" t="s">
        <v>1391</v>
      </c>
      <c r="AN165" t="s">
        <v>61</v>
      </c>
      <c r="AO165" t="s">
        <v>61</v>
      </c>
      <c r="AP165" t="s">
        <v>61</v>
      </c>
      <c r="AQ165" t="s">
        <v>61</v>
      </c>
      <c r="AR165" t="s">
        <v>61</v>
      </c>
      <c r="AS165" t="s">
        <v>61</v>
      </c>
      <c r="AT165" t="s">
        <v>61</v>
      </c>
      <c r="AU165" t="s">
        <v>61</v>
      </c>
      <c r="AV165" t="s">
        <v>61</v>
      </c>
      <c r="AW165" t="s">
        <v>61</v>
      </c>
      <c r="AX165" t="s">
        <v>61</v>
      </c>
      <c r="AY165" t="s">
        <v>61</v>
      </c>
      <c r="AZ165" t="s">
        <v>61</v>
      </c>
      <c r="BA165" t="s">
        <v>61</v>
      </c>
      <c r="BB165" t="s">
        <v>61</v>
      </c>
      <c r="BC165" t="s">
        <v>61</v>
      </c>
      <c r="BD165" t="s">
        <v>61</v>
      </c>
      <c r="BE165" t="s">
        <v>61</v>
      </c>
      <c r="BF165" t="s">
        <v>61</v>
      </c>
    </row>
    <row r="166" spans="1:58">
      <c r="A166" t="s">
        <v>58</v>
      </c>
      <c r="B166" t="s">
        <v>1392</v>
      </c>
      <c r="C166" t="s">
        <v>1393</v>
      </c>
      <c r="D166" t="s">
        <v>1394</v>
      </c>
      <c r="E166" t="s">
        <v>1395</v>
      </c>
      <c r="F166">
        <v>2010</v>
      </c>
      <c r="G166" t="s">
        <v>1396</v>
      </c>
      <c r="H166">
        <v>34</v>
      </c>
      <c r="I166">
        <v>4</v>
      </c>
      <c r="J166">
        <v>297</v>
      </c>
      <c r="K166">
        <v>305</v>
      </c>
      <c r="L166" t="s">
        <v>1397</v>
      </c>
      <c r="M166" t="s">
        <v>1398</v>
      </c>
      <c r="N166" t="s">
        <v>1399</v>
      </c>
      <c r="O166" t="s">
        <v>61</v>
      </c>
      <c r="Q166" t="s">
        <v>61</v>
      </c>
      <c r="R166" t="s">
        <v>61</v>
      </c>
      <c r="S166" t="s">
        <v>61</v>
      </c>
      <c r="T166" t="s">
        <v>61</v>
      </c>
      <c r="X166" t="s">
        <v>61</v>
      </c>
      <c r="Y166" t="s">
        <v>1400</v>
      </c>
      <c r="Z166" t="s">
        <v>61</v>
      </c>
      <c r="AA166" t="s">
        <v>1401</v>
      </c>
      <c r="AB166">
        <v>20838174</v>
      </c>
      <c r="AC166" t="s">
        <v>67</v>
      </c>
      <c r="AD166" t="s">
        <v>61</v>
      </c>
      <c r="AE166" t="s">
        <v>61</v>
      </c>
      <c r="AF166" t="s">
        <v>61</v>
      </c>
      <c r="AG166" t="s">
        <v>1402</v>
      </c>
      <c r="AH166" t="s">
        <v>61</v>
      </c>
      <c r="AI166" t="s">
        <v>1403</v>
      </c>
      <c r="AJ166" t="s">
        <v>61</v>
      </c>
      <c r="AK166" t="s">
        <v>61</v>
      </c>
      <c r="AL166" t="s">
        <v>61</v>
      </c>
      <c r="AM166" t="s">
        <v>1404</v>
      </c>
      <c r="AN166" t="s">
        <v>61</v>
      </c>
      <c r="AO166" t="s">
        <v>61</v>
      </c>
      <c r="AP166" t="s">
        <v>61</v>
      </c>
      <c r="AQ166" t="s">
        <v>61</v>
      </c>
      <c r="AR166" t="s">
        <v>61</v>
      </c>
      <c r="AS166" t="s">
        <v>61</v>
      </c>
      <c r="AT166" t="s">
        <v>61</v>
      </c>
      <c r="AU166" t="s">
        <v>61</v>
      </c>
      <c r="AV166" t="s">
        <v>61</v>
      </c>
      <c r="AW166" t="s">
        <v>61</v>
      </c>
      <c r="AX166" t="s">
        <v>61</v>
      </c>
      <c r="AY166" t="s">
        <v>61</v>
      </c>
      <c r="AZ166" t="s">
        <v>61</v>
      </c>
      <c r="BA166" t="s">
        <v>61</v>
      </c>
      <c r="BB166" t="s">
        <v>61</v>
      </c>
      <c r="BC166" t="s">
        <v>61</v>
      </c>
      <c r="BD166" t="s">
        <v>61</v>
      </c>
      <c r="BE166" t="s">
        <v>61</v>
      </c>
      <c r="BF166" t="s">
        <v>61</v>
      </c>
    </row>
    <row r="167" spans="1:58">
      <c r="A167" t="s">
        <v>58</v>
      </c>
      <c r="B167" t="s">
        <v>1405</v>
      </c>
      <c r="C167" t="s">
        <v>1406</v>
      </c>
      <c r="D167" t="s">
        <v>1407</v>
      </c>
      <c r="E167" t="s">
        <v>61</v>
      </c>
      <c r="F167">
        <v>2000</v>
      </c>
      <c r="G167" t="s">
        <v>61</v>
      </c>
      <c r="H167">
        <v>25</v>
      </c>
      <c r="I167">
        <v>2</v>
      </c>
      <c r="J167">
        <v>41</v>
      </c>
      <c r="K167">
        <v>44</v>
      </c>
      <c r="L167" t="s">
        <v>1408</v>
      </c>
      <c r="M167" t="s">
        <v>1409</v>
      </c>
      <c r="N167" t="s">
        <v>1410</v>
      </c>
      <c r="O167" t="s">
        <v>61</v>
      </c>
      <c r="Q167" t="s">
        <v>61</v>
      </c>
      <c r="R167" t="s">
        <v>61</v>
      </c>
      <c r="S167" t="s">
        <v>61</v>
      </c>
      <c r="T167" t="s">
        <v>61</v>
      </c>
      <c r="X167" t="s">
        <v>61</v>
      </c>
      <c r="Y167" t="s">
        <v>1411</v>
      </c>
      <c r="Z167" t="s">
        <v>61</v>
      </c>
      <c r="AA167" t="s">
        <v>61</v>
      </c>
      <c r="AB167">
        <v>2000268504</v>
      </c>
      <c r="AC167" t="s">
        <v>67</v>
      </c>
      <c r="AD167" t="s">
        <v>61</v>
      </c>
      <c r="AE167" t="s">
        <v>61</v>
      </c>
      <c r="AF167" t="s">
        <v>61</v>
      </c>
      <c r="AG167" t="s">
        <v>61</v>
      </c>
      <c r="AH167" t="s">
        <v>61</v>
      </c>
      <c r="AI167" t="s">
        <v>61</v>
      </c>
      <c r="AJ167" t="s">
        <v>61</v>
      </c>
      <c r="AK167" t="s">
        <v>61</v>
      </c>
      <c r="AL167" t="s">
        <v>61</v>
      </c>
      <c r="AM167" t="s">
        <v>1406</v>
      </c>
      <c r="AN167" t="s">
        <v>61</v>
      </c>
      <c r="AO167" t="s">
        <v>61</v>
      </c>
      <c r="AP167" t="s">
        <v>61</v>
      </c>
      <c r="AQ167" t="s">
        <v>61</v>
      </c>
      <c r="AR167" t="s">
        <v>61</v>
      </c>
      <c r="AS167" t="s">
        <v>61</v>
      </c>
      <c r="AT167" t="s">
        <v>61</v>
      </c>
      <c r="AU167" t="s">
        <v>61</v>
      </c>
      <c r="AV167" t="s">
        <v>61</v>
      </c>
      <c r="AW167" t="s">
        <v>61</v>
      </c>
      <c r="AX167" t="s">
        <v>61</v>
      </c>
      <c r="AY167" t="s">
        <v>61</v>
      </c>
      <c r="AZ167" t="s">
        <v>61</v>
      </c>
      <c r="BA167" t="s">
        <v>61</v>
      </c>
      <c r="BB167" t="s">
        <v>61</v>
      </c>
      <c r="BC167" t="s">
        <v>61</v>
      </c>
      <c r="BD167" t="s">
        <v>61</v>
      </c>
      <c r="BE167" t="s">
        <v>61</v>
      </c>
      <c r="BF167" t="s">
        <v>61</v>
      </c>
    </row>
    <row r="168" spans="1:58">
      <c r="A168" t="s">
        <v>58</v>
      </c>
      <c r="B168" t="s">
        <v>1412</v>
      </c>
      <c r="C168" t="s">
        <v>1413</v>
      </c>
      <c r="D168" t="s">
        <v>1414</v>
      </c>
      <c r="E168" t="s">
        <v>1415</v>
      </c>
      <c r="F168">
        <v>2012</v>
      </c>
      <c r="G168" t="s">
        <v>418</v>
      </c>
      <c r="H168">
        <v>18</v>
      </c>
      <c r="I168">
        <v>4</v>
      </c>
      <c r="J168">
        <v>911</v>
      </c>
      <c r="K168">
        <v>918</v>
      </c>
      <c r="L168" t="s">
        <v>1416</v>
      </c>
      <c r="M168" t="s">
        <v>1417</v>
      </c>
      <c r="N168" t="s">
        <v>1418</v>
      </c>
      <c r="O168" t="s">
        <v>61</v>
      </c>
      <c r="Q168" t="s">
        <v>61</v>
      </c>
      <c r="R168" t="s">
        <v>61</v>
      </c>
      <c r="S168" t="s">
        <v>61</v>
      </c>
      <c r="T168" t="s">
        <v>61</v>
      </c>
      <c r="X168" t="s">
        <v>61</v>
      </c>
      <c r="Y168" t="s">
        <v>1419</v>
      </c>
      <c r="Z168" t="s">
        <v>61</v>
      </c>
      <c r="AA168" t="s">
        <v>1420</v>
      </c>
      <c r="AB168">
        <v>21689216</v>
      </c>
      <c r="AC168" t="s">
        <v>67</v>
      </c>
      <c r="AD168" t="s">
        <v>61</v>
      </c>
      <c r="AE168" t="s">
        <v>61</v>
      </c>
      <c r="AF168" t="s">
        <v>61</v>
      </c>
      <c r="AG168" t="s">
        <v>1421</v>
      </c>
      <c r="AH168" t="s">
        <v>61</v>
      </c>
      <c r="AI168" t="s">
        <v>1422</v>
      </c>
      <c r="AJ168" t="s">
        <v>61</v>
      </c>
      <c r="AK168" t="s">
        <v>61</v>
      </c>
      <c r="AL168" t="s">
        <v>61</v>
      </c>
      <c r="AM168" t="s">
        <v>1423</v>
      </c>
      <c r="AN168" t="s">
        <v>61</v>
      </c>
      <c r="AO168" t="s">
        <v>61</v>
      </c>
      <c r="AP168" t="s">
        <v>61</v>
      </c>
      <c r="AQ168" t="s">
        <v>61</v>
      </c>
      <c r="AR168" t="s">
        <v>61</v>
      </c>
      <c r="AS168" t="s">
        <v>61</v>
      </c>
      <c r="AT168" t="s">
        <v>61</v>
      </c>
      <c r="AU168" t="s">
        <v>61</v>
      </c>
      <c r="AV168" t="s">
        <v>61</v>
      </c>
      <c r="AW168" t="s">
        <v>61</v>
      </c>
      <c r="AX168" t="s">
        <v>61</v>
      </c>
      <c r="AY168" t="s">
        <v>61</v>
      </c>
      <c r="AZ168" t="s">
        <v>61</v>
      </c>
      <c r="BA168" t="s">
        <v>61</v>
      </c>
      <c r="BB168" t="s">
        <v>61</v>
      </c>
      <c r="BC168" t="s">
        <v>61</v>
      </c>
      <c r="BD168" t="s">
        <v>61</v>
      </c>
      <c r="BE168" t="s">
        <v>61</v>
      </c>
      <c r="BF168" t="s">
        <v>61</v>
      </c>
    </row>
    <row r="169" spans="1:58">
      <c r="A169" t="s">
        <v>58</v>
      </c>
      <c r="B169" t="s">
        <v>1424</v>
      </c>
      <c r="C169" t="s">
        <v>1425</v>
      </c>
      <c r="D169" t="s">
        <v>1426</v>
      </c>
      <c r="E169" t="s">
        <v>1427</v>
      </c>
      <c r="F169">
        <v>1992</v>
      </c>
      <c r="G169" t="s">
        <v>280</v>
      </c>
      <c r="H169">
        <v>16</v>
      </c>
      <c r="I169">
        <v>6</v>
      </c>
      <c r="J169">
        <v>237</v>
      </c>
      <c r="K169">
        <v>245</v>
      </c>
      <c r="L169" t="s">
        <v>1428</v>
      </c>
      <c r="M169" t="s">
        <v>1429</v>
      </c>
      <c r="N169" t="s">
        <v>1430</v>
      </c>
      <c r="O169" t="s">
        <v>61</v>
      </c>
      <c r="Q169" t="s">
        <v>61</v>
      </c>
      <c r="R169" t="s">
        <v>61</v>
      </c>
      <c r="S169" t="s">
        <v>61</v>
      </c>
      <c r="T169" t="s">
        <v>61</v>
      </c>
      <c r="X169" t="s">
        <v>61</v>
      </c>
      <c r="Y169" t="s">
        <v>1431</v>
      </c>
      <c r="Z169" t="s">
        <v>61</v>
      </c>
      <c r="AA169" t="s">
        <v>1432</v>
      </c>
      <c r="AB169">
        <v>1304593</v>
      </c>
      <c r="AC169" t="s">
        <v>67</v>
      </c>
      <c r="AD169" t="s">
        <v>61</v>
      </c>
      <c r="AE169" t="s">
        <v>61</v>
      </c>
      <c r="AF169" t="s">
        <v>61</v>
      </c>
      <c r="AG169" t="s">
        <v>1433</v>
      </c>
      <c r="AH169" t="s">
        <v>61</v>
      </c>
      <c r="AI169" t="s">
        <v>61</v>
      </c>
      <c r="AJ169" t="s">
        <v>61</v>
      </c>
      <c r="AK169" t="s">
        <v>61</v>
      </c>
      <c r="AL169" t="s">
        <v>61</v>
      </c>
      <c r="AM169" t="s">
        <v>1434</v>
      </c>
      <c r="AN169" t="s">
        <v>61</v>
      </c>
      <c r="AO169" t="s">
        <v>61</v>
      </c>
      <c r="AP169" t="s">
        <v>61</v>
      </c>
      <c r="AQ169" t="s">
        <v>61</v>
      </c>
      <c r="AR169" t="s">
        <v>61</v>
      </c>
      <c r="AS169" t="s">
        <v>61</v>
      </c>
      <c r="AT169" t="s">
        <v>61</v>
      </c>
      <c r="AU169" t="s">
        <v>61</v>
      </c>
      <c r="AV169" t="s">
        <v>61</v>
      </c>
      <c r="AW169" t="s">
        <v>61</v>
      </c>
      <c r="AX169" t="s">
        <v>61</v>
      </c>
      <c r="AY169" t="s">
        <v>61</v>
      </c>
      <c r="AZ169" t="s">
        <v>61</v>
      </c>
      <c r="BA169" t="s">
        <v>61</v>
      </c>
      <c r="BB169" t="s">
        <v>61</v>
      </c>
      <c r="BC169" t="s">
        <v>61</v>
      </c>
      <c r="BD169" t="s">
        <v>61</v>
      </c>
      <c r="BE169" t="s">
        <v>61</v>
      </c>
      <c r="BF169" t="s">
        <v>61</v>
      </c>
    </row>
    <row r="170" spans="1:58">
      <c r="A170" t="s">
        <v>58</v>
      </c>
      <c r="B170" t="s">
        <v>1435</v>
      </c>
      <c r="C170" t="s">
        <v>1436</v>
      </c>
      <c r="D170" t="s">
        <v>373</v>
      </c>
      <c r="E170" t="s">
        <v>61</v>
      </c>
      <c r="F170">
        <v>2012</v>
      </c>
      <c r="G170" t="s">
        <v>637</v>
      </c>
      <c r="H170">
        <v>11</v>
      </c>
      <c r="I170">
        <v>3</v>
      </c>
      <c r="J170">
        <v>979</v>
      </c>
      <c r="K170">
        <v>983</v>
      </c>
      <c r="L170" t="s">
        <v>1437</v>
      </c>
      <c r="M170" t="s">
        <v>1438</v>
      </c>
      <c r="N170" t="s">
        <v>1439</v>
      </c>
      <c r="O170" t="s">
        <v>61</v>
      </c>
      <c r="Q170" t="s">
        <v>61</v>
      </c>
      <c r="R170" t="s">
        <v>61</v>
      </c>
      <c r="S170" t="s">
        <v>61</v>
      </c>
      <c r="T170" t="s">
        <v>61</v>
      </c>
      <c r="X170" t="s">
        <v>61</v>
      </c>
      <c r="Y170" t="s">
        <v>377</v>
      </c>
      <c r="Z170" t="s">
        <v>61</v>
      </c>
      <c r="AA170" t="s">
        <v>61</v>
      </c>
      <c r="AB170">
        <v>2012488851</v>
      </c>
      <c r="AC170" t="s">
        <v>67</v>
      </c>
      <c r="AD170" t="s">
        <v>61</v>
      </c>
      <c r="AE170" t="s">
        <v>61</v>
      </c>
      <c r="AF170" t="s">
        <v>61</v>
      </c>
      <c r="AG170" t="s">
        <v>61</v>
      </c>
      <c r="AH170" t="s">
        <v>61</v>
      </c>
      <c r="AI170" t="s">
        <v>61</v>
      </c>
      <c r="AJ170" t="s">
        <v>61</v>
      </c>
      <c r="AK170" t="s">
        <v>61</v>
      </c>
      <c r="AL170" t="s">
        <v>61</v>
      </c>
      <c r="AM170" t="s">
        <v>1436</v>
      </c>
      <c r="AN170" t="s">
        <v>61</v>
      </c>
      <c r="AO170" t="s">
        <v>61</v>
      </c>
      <c r="AP170" t="s">
        <v>61</v>
      </c>
      <c r="AQ170" t="s">
        <v>61</v>
      </c>
      <c r="AR170" t="s">
        <v>61</v>
      </c>
      <c r="AS170" t="s">
        <v>61</v>
      </c>
      <c r="AT170" t="s">
        <v>61</v>
      </c>
      <c r="AU170" t="s">
        <v>61</v>
      </c>
      <c r="AV170" t="s">
        <v>61</v>
      </c>
      <c r="AW170" t="s">
        <v>61</v>
      </c>
      <c r="AX170" t="s">
        <v>61</v>
      </c>
      <c r="AY170" t="s">
        <v>61</v>
      </c>
      <c r="AZ170" t="s">
        <v>61</v>
      </c>
      <c r="BA170" t="s">
        <v>61</v>
      </c>
      <c r="BB170" t="s">
        <v>61</v>
      </c>
      <c r="BC170" t="s">
        <v>61</v>
      </c>
      <c r="BD170" t="s">
        <v>61</v>
      </c>
      <c r="BE170" t="s">
        <v>61</v>
      </c>
      <c r="BF170" t="s">
        <v>61</v>
      </c>
    </row>
    <row r="171" spans="1:58">
      <c r="A171" t="s">
        <v>58</v>
      </c>
      <c r="B171" t="s">
        <v>1440</v>
      </c>
      <c r="C171" t="s">
        <v>1441</v>
      </c>
      <c r="D171" t="s">
        <v>1442</v>
      </c>
      <c r="E171" t="s">
        <v>1443</v>
      </c>
      <c r="F171">
        <v>2012</v>
      </c>
      <c r="G171" t="s">
        <v>154</v>
      </c>
      <c r="H171">
        <v>25</v>
      </c>
      <c r="I171">
        <v>4</v>
      </c>
      <c r="J171">
        <v>558</v>
      </c>
      <c r="K171">
        <v>565</v>
      </c>
      <c r="L171" t="s">
        <v>1444</v>
      </c>
      <c r="M171" t="s">
        <v>1445</v>
      </c>
      <c r="N171" t="s">
        <v>1446</v>
      </c>
      <c r="O171" t="s">
        <v>61</v>
      </c>
      <c r="Q171" t="s">
        <v>61</v>
      </c>
      <c r="R171" t="s">
        <v>61</v>
      </c>
      <c r="S171" t="s">
        <v>61</v>
      </c>
      <c r="T171" t="s">
        <v>61</v>
      </c>
      <c r="X171" t="s">
        <v>61</v>
      </c>
      <c r="Y171" t="s">
        <v>1447</v>
      </c>
      <c r="Z171" t="s">
        <v>61</v>
      </c>
      <c r="AA171" t="s">
        <v>1448</v>
      </c>
      <c r="AB171">
        <v>22101677</v>
      </c>
      <c r="AC171" t="s">
        <v>67</v>
      </c>
      <c r="AD171" t="s">
        <v>61</v>
      </c>
      <c r="AE171" t="s">
        <v>61</v>
      </c>
      <c r="AF171" t="s">
        <v>61</v>
      </c>
      <c r="AG171" t="s">
        <v>1449</v>
      </c>
      <c r="AH171" t="s">
        <v>61</v>
      </c>
      <c r="AI171" t="s">
        <v>1450</v>
      </c>
      <c r="AJ171" t="s">
        <v>61</v>
      </c>
      <c r="AK171" t="s">
        <v>61</v>
      </c>
      <c r="AL171" t="s">
        <v>61</v>
      </c>
      <c r="AM171" t="s">
        <v>1451</v>
      </c>
      <c r="AN171" t="s">
        <v>61</v>
      </c>
      <c r="AO171" t="s">
        <v>61</v>
      </c>
      <c r="AP171" t="s">
        <v>61</v>
      </c>
      <c r="AQ171" t="s">
        <v>61</v>
      </c>
      <c r="AR171" t="s">
        <v>61</v>
      </c>
      <c r="AS171" t="s">
        <v>61</v>
      </c>
      <c r="AT171" t="s">
        <v>61</v>
      </c>
      <c r="AU171" t="s">
        <v>61</v>
      </c>
      <c r="AV171" t="s">
        <v>61</v>
      </c>
      <c r="AW171" t="s">
        <v>61</v>
      </c>
      <c r="AX171" t="s">
        <v>61</v>
      </c>
      <c r="AY171" t="s">
        <v>61</v>
      </c>
      <c r="AZ171" t="s">
        <v>61</v>
      </c>
      <c r="BA171" t="s">
        <v>61</v>
      </c>
      <c r="BB171" t="s">
        <v>61</v>
      </c>
      <c r="BC171" t="s">
        <v>61</v>
      </c>
      <c r="BD171" t="s">
        <v>61</v>
      </c>
      <c r="BE171" t="s">
        <v>61</v>
      </c>
      <c r="BF171" t="s">
        <v>61</v>
      </c>
    </row>
    <row r="172" spans="1:58">
      <c r="A172" t="s">
        <v>58</v>
      </c>
      <c r="B172" t="s">
        <v>1452</v>
      </c>
      <c r="C172" t="s">
        <v>1453</v>
      </c>
      <c r="D172" t="s">
        <v>1454</v>
      </c>
      <c r="E172" t="s">
        <v>1455</v>
      </c>
      <c r="F172">
        <v>1992</v>
      </c>
      <c r="G172" t="s">
        <v>61</v>
      </c>
      <c r="H172">
        <v>22</v>
      </c>
      <c r="I172">
        <v>1</v>
      </c>
      <c r="J172">
        <v>9</v>
      </c>
      <c r="K172">
        <v>13</v>
      </c>
      <c r="L172" t="s">
        <v>1456</v>
      </c>
      <c r="M172" t="s">
        <v>1457</v>
      </c>
      <c r="N172" t="s">
        <v>1458</v>
      </c>
      <c r="O172" t="s">
        <v>61</v>
      </c>
      <c r="Q172" t="s">
        <v>61</v>
      </c>
      <c r="R172" t="s">
        <v>61</v>
      </c>
      <c r="S172" t="s">
        <v>61</v>
      </c>
      <c r="T172" t="s">
        <v>61</v>
      </c>
      <c r="X172" t="s">
        <v>61</v>
      </c>
      <c r="Y172" t="s">
        <v>1459</v>
      </c>
      <c r="Z172" t="s">
        <v>61</v>
      </c>
      <c r="AA172" t="s">
        <v>1460</v>
      </c>
      <c r="AB172">
        <v>1593391</v>
      </c>
      <c r="AC172" t="s">
        <v>67</v>
      </c>
      <c r="AD172" t="s">
        <v>61</v>
      </c>
      <c r="AE172" t="s">
        <v>61</v>
      </c>
      <c r="AF172" t="s">
        <v>61</v>
      </c>
      <c r="AG172" t="s">
        <v>1461</v>
      </c>
      <c r="AH172" t="s">
        <v>61</v>
      </c>
      <c r="AI172" t="s">
        <v>61</v>
      </c>
      <c r="AJ172" t="s">
        <v>61</v>
      </c>
      <c r="AK172" t="s">
        <v>61</v>
      </c>
      <c r="AL172" t="s">
        <v>61</v>
      </c>
      <c r="AM172" t="s">
        <v>1462</v>
      </c>
      <c r="AN172" t="s">
        <v>61</v>
      </c>
      <c r="AO172" t="s">
        <v>61</v>
      </c>
      <c r="AP172" t="s">
        <v>61</v>
      </c>
      <c r="AQ172" t="s">
        <v>61</v>
      </c>
      <c r="AR172" t="s">
        <v>61</v>
      </c>
      <c r="AS172" t="s">
        <v>61</v>
      </c>
      <c r="AT172" t="s">
        <v>61</v>
      </c>
      <c r="AU172" t="s">
        <v>61</v>
      </c>
      <c r="AV172" t="s">
        <v>61</v>
      </c>
      <c r="AW172" t="s">
        <v>61</v>
      </c>
      <c r="AX172" t="s">
        <v>61</v>
      </c>
      <c r="AY172" t="s">
        <v>61</v>
      </c>
      <c r="AZ172" t="s">
        <v>61</v>
      </c>
      <c r="BA172" t="s">
        <v>61</v>
      </c>
      <c r="BB172" t="s">
        <v>61</v>
      </c>
      <c r="BC172" t="s">
        <v>61</v>
      </c>
      <c r="BD172" t="s">
        <v>61</v>
      </c>
      <c r="BE172" t="s">
        <v>61</v>
      </c>
      <c r="BF172" t="s">
        <v>61</v>
      </c>
    </row>
    <row r="173" spans="1:58">
      <c r="A173" t="s">
        <v>58</v>
      </c>
      <c r="B173" t="s">
        <v>1463</v>
      </c>
      <c r="C173" t="s">
        <v>1464</v>
      </c>
      <c r="D173" t="s">
        <v>1465</v>
      </c>
      <c r="E173" t="s">
        <v>61</v>
      </c>
      <c r="F173">
        <v>2013</v>
      </c>
      <c r="G173" t="s">
        <v>85</v>
      </c>
      <c r="H173">
        <v>90</v>
      </c>
      <c r="I173">
        <v>2</v>
      </c>
      <c r="J173">
        <v>284</v>
      </c>
      <c r="K173">
        <v>298</v>
      </c>
      <c r="L173" t="s">
        <v>1466</v>
      </c>
      <c r="M173" t="s">
        <v>1467</v>
      </c>
      <c r="N173" t="s">
        <v>1468</v>
      </c>
      <c r="O173" t="s">
        <v>61</v>
      </c>
      <c r="Q173" t="s">
        <v>61</v>
      </c>
      <c r="R173" t="s">
        <v>61</v>
      </c>
      <c r="S173" t="s">
        <v>61</v>
      </c>
      <c r="T173" t="s">
        <v>61</v>
      </c>
      <c r="X173" t="s">
        <v>61</v>
      </c>
      <c r="Y173" t="s">
        <v>1469</v>
      </c>
      <c r="Z173" t="s">
        <v>61</v>
      </c>
      <c r="AA173" t="s">
        <v>1470</v>
      </c>
      <c r="AB173">
        <v>22806453</v>
      </c>
      <c r="AC173" t="s">
        <v>67</v>
      </c>
      <c r="AD173" t="s">
        <v>61</v>
      </c>
      <c r="AE173" t="s">
        <v>61</v>
      </c>
      <c r="AF173" t="s">
        <v>61</v>
      </c>
      <c r="AG173" t="s">
        <v>1471</v>
      </c>
      <c r="AH173" t="s">
        <v>61</v>
      </c>
      <c r="AI173" t="s">
        <v>1472</v>
      </c>
      <c r="AJ173" t="s">
        <v>61</v>
      </c>
      <c r="AK173" t="s">
        <v>61</v>
      </c>
      <c r="AL173" t="s">
        <v>61</v>
      </c>
      <c r="AM173" t="s">
        <v>1473</v>
      </c>
      <c r="AN173" t="s">
        <v>61</v>
      </c>
      <c r="AO173" t="s">
        <v>61</v>
      </c>
      <c r="AP173" t="s">
        <v>61</v>
      </c>
      <c r="AQ173" t="s">
        <v>61</v>
      </c>
      <c r="AR173" t="s">
        <v>61</v>
      </c>
      <c r="AS173" t="s">
        <v>61</v>
      </c>
      <c r="AT173" t="s">
        <v>61</v>
      </c>
      <c r="AU173" t="s">
        <v>61</v>
      </c>
      <c r="AV173" t="s">
        <v>61</v>
      </c>
      <c r="AW173" t="s">
        <v>61</v>
      </c>
      <c r="AX173" t="s">
        <v>61</v>
      </c>
      <c r="AY173" t="s">
        <v>61</v>
      </c>
      <c r="AZ173" t="s">
        <v>61</v>
      </c>
      <c r="BA173" t="s">
        <v>61</v>
      </c>
      <c r="BB173" t="s">
        <v>61</v>
      </c>
      <c r="BC173" t="s">
        <v>61</v>
      </c>
      <c r="BD173" t="s">
        <v>61</v>
      </c>
      <c r="BE173" t="s">
        <v>61</v>
      </c>
      <c r="BF173" t="s">
        <v>61</v>
      </c>
    </row>
    <row r="174" spans="1:58">
      <c r="A174" t="s">
        <v>58</v>
      </c>
      <c r="B174" t="s">
        <v>1474</v>
      </c>
      <c r="C174" t="s">
        <v>1475</v>
      </c>
      <c r="D174" t="s">
        <v>1476</v>
      </c>
      <c r="E174" t="s">
        <v>61</v>
      </c>
      <c r="F174">
        <v>2004</v>
      </c>
      <c r="G174">
        <v>24</v>
      </c>
      <c r="H174">
        <v>272</v>
      </c>
      <c r="I174">
        <v>7296</v>
      </c>
      <c r="J174">
        <v>502</v>
      </c>
      <c r="K174" t="s">
        <v>61</v>
      </c>
      <c r="L174" t="s">
        <v>1477</v>
      </c>
      <c r="M174" t="s">
        <v>61</v>
      </c>
      <c r="N174" t="s">
        <v>1478</v>
      </c>
      <c r="O174" t="s">
        <v>61</v>
      </c>
      <c r="Q174" t="s">
        <v>61</v>
      </c>
      <c r="R174" t="s">
        <v>61</v>
      </c>
      <c r="S174" t="s">
        <v>61</v>
      </c>
      <c r="T174" t="s">
        <v>61</v>
      </c>
      <c r="X174" t="s">
        <v>61</v>
      </c>
      <c r="Y174" t="s">
        <v>293</v>
      </c>
      <c r="Z174" t="s">
        <v>61</v>
      </c>
      <c r="AA174" t="s">
        <v>61</v>
      </c>
      <c r="AB174">
        <v>2004196312</v>
      </c>
      <c r="AC174" t="s">
        <v>67</v>
      </c>
      <c r="AD174" t="s">
        <v>61</v>
      </c>
      <c r="AE174" t="s">
        <v>61</v>
      </c>
      <c r="AF174" t="s">
        <v>61</v>
      </c>
      <c r="AG174" t="s">
        <v>61</v>
      </c>
      <c r="AH174" t="s">
        <v>61</v>
      </c>
      <c r="AI174" t="s">
        <v>61</v>
      </c>
      <c r="AJ174" t="s">
        <v>61</v>
      </c>
      <c r="AK174" t="s">
        <v>61</v>
      </c>
      <c r="AL174" t="s">
        <v>61</v>
      </c>
      <c r="AM174" t="s">
        <v>1475</v>
      </c>
      <c r="AN174" t="s">
        <v>61</v>
      </c>
      <c r="AO174" t="s">
        <v>61</v>
      </c>
      <c r="AP174" t="s">
        <v>61</v>
      </c>
      <c r="AQ174" t="s">
        <v>61</v>
      </c>
      <c r="AR174" t="s">
        <v>61</v>
      </c>
      <c r="AS174" t="s">
        <v>61</v>
      </c>
      <c r="AT174" t="s">
        <v>61</v>
      </c>
      <c r="AU174" t="s">
        <v>61</v>
      </c>
      <c r="AV174" t="s">
        <v>61</v>
      </c>
      <c r="AW174" t="s">
        <v>61</v>
      </c>
      <c r="AX174" t="s">
        <v>61</v>
      </c>
      <c r="AY174" t="s">
        <v>61</v>
      </c>
      <c r="AZ174" t="s">
        <v>61</v>
      </c>
      <c r="BA174" t="s">
        <v>61</v>
      </c>
      <c r="BB174" t="s">
        <v>61</v>
      </c>
      <c r="BC174" t="s">
        <v>61</v>
      </c>
      <c r="BD174" t="s">
        <v>61</v>
      </c>
      <c r="BE174" t="s">
        <v>61</v>
      </c>
      <c r="BF174" t="s">
        <v>61</v>
      </c>
    </row>
    <row r="175" spans="1:58">
      <c r="A175" t="s">
        <v>58</v>
      </c>
      <c r="B175" t="s">
        <v>1479</v>
      </c>
      <c r="C175" t="s">
        <v>1480</v>
      </c>
      <c r="D175" t="s">
        <v>1481</v>
      </c>
      <c r="E175" t="s">
        <v>1482</v>
      </c>
      <c r="F175">
        <v>2015</v>
      </c>
      <c r="G175" t="s">
        <v>280</v>
      </c>
      <c r="H175">
        <v>58</v>
      </c>
      <c r="I175" t="s">
        <v>61</v>
      </c>
      <c r="J175">
        <v>122</v>
      </c>
      <c r="K175">
        <v>132</v>
      </c>
      <c r="L175" t="s">
        <v>61</v>
      </c>
      <c r="M175" t="s">
        <v>1483</v>
      </c>
      <c r="N175" t="s">
        <v>1484</v>
      </c>
      <c r="O175" t="s">
        <v>61</v>
      </c>
      <c r="Q175" t="s">
        <v>61</v>
      </c>
      <c r="R175" t="s">
        <v>61</v>
      </c>
      <c r="S175" t="s">
        <v>61</v>
      </c>
      <c r="T175" t="s">
        <v>61</v>
      </c>
      <c r="X175" t="s">
        <v>61</v>
      </c>
      <c r="Y175" t="s">
        <v>1485</v>
      </c>
      <c r="Z175" t="s">
        <v>61</v>
      </c>
      <c r="AA175" t="s">
        <v>1486</v>
      </c>
      <c r="AB175">
        <v>26432353</v>
      </c>
      <c r="AC175" t="s">
        <v>67</v>
      </c>
      <c r="AD175" t="s">
        <v>61</v>
      </c>
      <c r="AE175" t="s">
        <v>61</v>
      </c>
      <c r="AF175" t="s">
        <v>61</v>
      </c>
      <c r="AG175" t="s">
        <v>1487</v>
      </c>
      <c r="AH175" t="s">
        <v>61</v>
      </c>
      <c r="AI175" t="s">
        <v>1488</v>
      </c>
      <c r="AJ175" t="s">
        <v>61</v>
      </c>
      <c r="AK175" t="s">
        <v>61</v>
      </c>
      <c r="AL175" t="s">
        <v>61</v>
      </c>
      <c r="AM175" t="s">
        <v>1489</v>
      </c>
      <c r="AN175" t="s">
        <v>61</v>
      </c>
      <c r="AO175" t="s">
        <v>61</v>
      </c>
      <c r="AP175" t="s">
        <v>61</v>
      </c>
      <c r="AQ175" t="s">
        <v>61</v>
      </c>
      <c r="AR175" t="s">
        <v>61</v>
      </c>
      <c r="AS175" t="s">
        <v>61</v>
      </c>
      <c r="AT175" t="s">
        <v>61</v>
      </c>
      <c r="AU175" t="s">
        <v>61</v>
      </c>
      <c r="AV175" t="s">
        <v>61</v>
      </c>
      <c r="AW175" t="s">
        <v>61</v>
      </c>
      <c r="AX175" t="s">
        <v>61</v>
      </c>
      <c r="AY175" t="s">
        <v>61</v>
      </c>
      <c r="AZ175" t="s">
        <v>61</v>
      </c>
      <c r="BA175" t="s">
        <v>61</v>
      </c>
      <c r="BB175" t="s">
        <v>61</v>
      </c>
      <c r="BC175" t="s">
        <v>61</v>
      </c>
      <c r="BD175" t="s">
        <v>61</v>
      </c>
      <c r="BE175" t="s">
        <v>61</v>
      </c>
      <c r="BF175" t="s">
        <v>61</v>
      </c>
    </row>
    <row r="176" spans="1:58">
      <c r="A176" t="s">
        <v>58</v>
      </c>
      <c r="B176" t="s">
        <v>1490</v>
      </c>
      <c r="C176" t="s">
        <v>1491</v>
      </c>
      <c r="D176" t="s">
        <v>1492</v>
      </c>
      <c r="E176" t="s">
        <v>61</v>
      </c>
      <c r="F176">
        <v>2011</v>
      </c>
      <c r="G176" t="s">
        <v>538</v>
      </c>
      <c r="H176">
        <v>3</v>
      </c>
      <c r="I176">
        <v>3</v>
      </c>
      <c r="J176" t="s">
        <v>1493</v>
      </c>
      <c r="K176" t="s">
        <v>61</v>
      </c>
      <c r="L176" t="s">
        <v>1494</v>
      </c>
      <c r="M176" t="s">
        <v>1495</v>
      </c>
      <c r="N176" t="s">
        <v>1496</v>
      </c>
      <c r="O176" t="s">
        <v>61</v>
      </c>
      <c r="Q176" t="s">
        <v>61</v>
      </c>
      <c r="R176" t="s">
        <v>61</v>
      </c>
      <c r="S176" t="s">
        <v>61</v>
      </c>
      <c r="T176" t="s">
        <v>61</v>
      </c>
      <c r="X176" t="s">
        <v>61</v>
      </c>
      <c r="Y176" t="s">
        <v>1497</v>
      </c>
      <c r="Z176" t="s">
        <v>61</v>
      </c>
      <c r="AA176" t="s">
        <v>61</v>
      </c>
      <c r="AB176" t="s">
        <v>61</v>
      </c>
      <c r="AC176" t="s">
        <v>67</v>
      </c>
      <c r="AD176" t="s">
        <v>61</v>
      </c>
      <c r="AE176" t="s">
        <v>61</v>
      </c>
      <c r="AF176" t="s">
        <v>61</v>
      </c>
      <c r="AG176" t="s">
        <v>61</v>
      </c>
      <c r="AH176" t="s">
        <v>61</v>
      </c>
      <c r="AI176" t="s">
        <v>61</v>
      </c>
      <c r="AJ176" t="s">
        <v>61</v>
      </c>
      <c r="AK176" t="s">
        <v>61</v>
      </c>
      <c r="AL176" t="s">
        <v>61</v>
      </c>
      <c r="AM176" t="s">
        <v>1491</v>
      </c>
      <c r="AN176" t="s">
        <v>61</v>
      </c>
      <c r="AO176" t="s">
        <v>61</v>
      </c>
      <c r="AP176" t="s">
        <v>61</v>
      </c>
      <c r="AQ176" t="s">
        <v>61</v>
      </c>
      <c r="AR176" t="s">
        <v>61</v>
      </c>
      <c r="AS176" t="s">
        <v>61</v>
      </c>
      <c r="AT176" t="s">
        <v>61</v>
      </c>
      <c r="AU176" t="s">
        <v>61</v>
      </c>
      <c r="AV176" t="s">
        <v>61</v>
      </c>
      <c r="AW176" t="s">
        <v>61</v>
      </c>
      <c r="AX176" t="s">
        <v>61</v>
      </c>
      <c r="AY176" t="s">
        <v>61</v>
      </c>
      <c r="AZ176" t="s">
        <v>61</v>
      </c>
      <c r="BA176" t="s">
        <v>61</v>
      </c>
      <c r="BB176" t="s">
        <v>61</v>
      </c>
      <c r="BC176" t="s">
        <v>61</v>
      </c>
      <c r="BD176" t="s">
        <v>61</v>
      </c>
      <c r="BE176" t="s">
        <v>61</v>
      </c>
      <c r="BF176" t="s">
        <v>61</v>
      </c>
    </row>
    <row r="177" spans="1:58">
      <c r="A177" t="s">
        <v>58</v>
      </c>
      <c r="B177" t="s">
        <v>1498</v>
      </c>
      <c r="C177" t="s">
        <v>1499</v>
      </c>
      <c r="D177" t="s">
        <v>436</v>
      </c>
      <c r="E177" t="s">
        <v>436</v>
      </c>
      <c r="F177">
        <v>2011</v>
      </c>
      <c r="G177" t="s">
        <v>476</v>
      </c>
      <c r="H177" t="s">
        <v>1500</v>
      </c>
      <c r="I177" t="s">
        <v>61</v>
      </c>
      <c r="J177" t="s">
        <v>1501</v>
      </c>
      <c r="K177" t="s">
        <v>61</v>
      </c>
      <c r="L177" t="s">
        <v>1502</v>
      </c>
      <c r="M177" t="s">
        <v>1503</v>
      </c>
      <c r="N177" t="s">
        <v>1504</v>
      </c>
      <c r="O177" t="s">
        <v>61</v>
      </c>
      <c r="Q177" t="s">
        <v>61</v>
      </c>
      <c r="R177" t="s">
        <v>61</v>
      </c>
      <c r="S177" t="s">
        <v>61</v>
      </c>
      <c r="T177" t="s">
        <v>61</v>
      </c>
      <c r="X177" t="s">
        <v>61</v>
      </c>
      <c r="Y177" t="s">
        <v>1505</v>
      </c>
      <c r="Z177" t="s">
        <v>61</v>
      </c>
      <c r="AA177" t="s">
        <v>61</v>
      </c>
      <c r="AB177" t="s">
        <v>61</v>
      </c>
      <c r="AC177" t="s">
        <v>67</v>
      </c>
      <c r="AD177" t="s">
        <v>61</v>
      </c>
      <c r="AE177" t="s">
        <v>61</v>
      </c>
      <c r="AF177" t="s">
        <v>61</v>
      </c>
      <c r="AG177" t="s">
        <v>61</v>
      </c>
      <c r="AH177" t="s">
        <v>61</v>
      </c>
      <c r="AI177" t="s">
        <v>61</v>
      </c>
      <c r="AJ177" t="s">
        <v>61</v>
      </c>
      <c r="AK177" t="s">
        <v>61</v>
      </c>
      <c r="AL177" t="s">
        <v>61</v>
      </c>
      <c r="AM177" t="s">
        <v>1499</v>
      </c>
      <c r="AN177" t="s">
        <v>61</v>
      </c>
      <c r="AO177" t="s">
        <v>61</v>
      </c>
      <c r="AP177" t="s">
        <v>61</v>
      </c>
      <c r="AQ177" t="s">
        <v>61</v>
      </c>
      <c r="AR177" t="s">
        <v>61</v>
      </c>
      <c r="AS177" t="s">
        <v>61</v>
      </c>
      <c r="AT177" t="s">
        <v>61</v>
      </c>
      <c r="AU177" t="s">
        <v>61</v>
      </c>
      <c r="AV177" t="s">
        <v>61</v>
      </c>
      <c r="AW177" t="s">
        <v>61</v>
      </c>
      <c r="AX177" t="s">
        <v>61</v>
      </c>
      <c r="AY177" t="s">
        <v>61</v>
      </c>
      <c r="AZ177" t="s">
        <v>61</v>
      </c>
      <c r="BA177" t="s">
        <v>61</v>
      </c>
      <c r="BB177" t="s">
        <v>61</v>
      </c>
      <c r="BC177" t="s">
        <v>61</v>
      </c>
      <c r="BD177" t="s">
        <v>61</v>
      </c>
      <c r="BE177" t="s">
        <v>61</v>
      </c>
      <c r="BF177" t="s">
        <v>61</v>
      </c>
    </row>
    <row r="178" spans="1:58">
      <c r="A178" t="s">
        <v>58</v>
      </c>
      <c r="B178" t="s">
        <v>1506</v>
      </c>
      <c r="C178" t="s">
        <v>1507</v>
      </c>
      <c r="D178" t="s">
        <v>1508</v>
      </c>
      <c r="E178" t="s">
        <v>61</v>
      </c>
      <c r="F178">
        <v>2013</v>
      </c>
      <c r="G178" t="s">
        <v>237</v>
      </c>
      <c r="H178">
        <v>13</v>
      </c>
      <c r="I178">
        <v>6</v>
      </c>
      <c r="J178">
        <v>440</v>
      </c>
      <c r="K178">
        <v>450</v>
      </c>
      <c r="L178" t="s">
        <v>1509</v>
      </c>
      <c r="M178" t="s">
        <v>1510</v>
      </c>
      <c r="N178" t="s">
        <v>1511</v>
      </c>
      <c r="O178" t="s">
        <v>61</v>
      </c>
      <c r="Q178" t="s">
        <v>61</v>
      </c>
      <c r="R178" t="s">
        <v>61</v>
      </c>
      <c r="S178" t="s">
        <v>61</v>
      </c>
      <c r="T178" t="s">
        <v>61</v>
      </c>
      <c r="X178" t="s">
        <v>61</v>
      </c>
      <c r="Y178" t="s">
        <v>1512</v>
      </c>
      <c r="Z178" t="s">
        <v>61</v>
      </c>
      <c r="AA178" t="s">
        <v>1513</v>
      </c>
      <c r="AB178">
        <v>23228095</v>
      </c>
      <c r="AC178" t="s">
        <v>67</v>
      </c>
      <c r="AD178" t="s">
        <v>61</v>
      </c>
      <c r="AE178" t="s">
        <v>61</v>
      </c>
      <c r="AF178" t="s">
        <v>61</v>
      </c>
      <c r="AG178" t="s">
        <v>1514</v>
      </c>
      <c r="AH178" t="s">
        <v>61</v>
      </c>
      <c r="AI178" t="s">
        <v>1515</v>
      </c>
      <c r="AJ178" t="s">
        <v>61</v>
      </c>
      <c r="AK178" t="s">
        <v>61</v>
      </c>
      <c r="AL178" t="s">
        <v>61</v>
      </c>
      <c r="AM178" t="s">
        <v>1516</v>
      </c>
      <c r="AN178" t="s">
        <v>61</v>
      </c>
      <c r="AO178" t="s">
        <v>61</v>
      </c>
      <c r="AP178" t="s">
        <v>61</v>
      </c>
      <c r="AQ178" t="s">
        <v>61</v>
      </c>
      <c r="AR178" t="s">
        <v>61</v>
      </c>
      <c r="AS178" t="s">
        <v>61</v>
      </c>
      <c r="AT178" t="s">
        <v>61</v>
      </c>
      <c r="AU178" t="s">
        <v>61</v>
      </c>
      <c r="AV178" t="s">
        <v>61</v>
      </c>
      <c r="AW178" t="s">
        <v>61</v>
      </c>
      <c r="AX178" t="s">
        <v>61</v>
      </c>
      <c r="AY178" t="s">
        <v>61</v>
      </c>
      <c r="AZ178" t="s">
        <v>61</v>
      </c>
      <c r="BA178" t="s">
        <v>61</v>
      </c>
      <c r="BB178" t="s">
        <v>61</v>
      </c>
      <c r="BC178" t="s">
        <v>61</v>
      </c>
      <c r="BD178" t="s">
        <v>61</v>
      </c>
      <c r="BE178" t="s">
        <v>61</v>
      </c>
      <c r="BF178" t="s">
        <v>61</v>
      </c>
    </row>
    <row r="179" spans="1:58">
      <c r="A179" t="s">
        <v>58</v>
      </c>
      <c r="B179" t="s">
        <v>1517</v>
      </c>
      <c r="C179" t="s">
        <v>1518</v>
      </c>
      <c r="D179" t="s">
        <v>428</v>
      </c>
      <c r="E179" t="s">
        <v>61</v>
      </c>
      <c r="F179">
        <v>2013</v>
      </c>
      <c r="G179" t="s">
        <v>457</v>
      </c>
      <c r="H179">
        <v>26</v>
      </c>
      <c r="I179">
        <v>3</v>
      </c>
      <c r="J179">
        <v>338</v>
      </c>
      <c r="K179" t="s">
        <v>61</v>
      </c>
      <c r="L179" t="s">
        <v>1519</v>
      </c>
      <c r="M179" t="s">
        <v>1520</v>
      </c>
      <c r="N179" t="s">
        <v>1521</v>
      </c>
      <c r="O179" t="s">
        <v>61</v>
      </c>
      <c r="Q179" t="s">
        <v>61</v>
      </c>
      <c r="R179" t="s">
        <v>61</v>
      </c>
      <c r="S179" t="s">
        <v>61</v>
      </c>
      <c r="T179" t="s">
        <v>61</v>
      </c>
      <c r="X179" t="s">
        <v>61</v>
      </c>
      <c r="Y179" t="s">
        <v>433</v>
      </c>
      <c r="Z179" t="s">
        <v>61</v>
      </c>
      <c r="AA179" t="s">
        <v>61</v>
      </c>
      <c r="AB179" t="s">
        <v>61</v>
      </c>
      <c r="AC179" t="s">
        <v>67</v>
      </c>
      <c r="AD179" t="s">
        <v>61</v>
      </c>
      <c r="AE179" t="s">
        <v>61</v>
      </c>
      <c r="AF179" t="s">
        <v>61</v>
      </c>
      <c r="AG179" t="s">
        <v>61</v>
      </c>
      <c r="AH179" t="s">
        <v>61</v>
      </c>
      <c r="AI179" t="s">
        <v>61</v>
      </c>
      <c r="AJ179" t="s">
        <v>61</v>
      </c>
      <c r="AK179" t="s">
        <v>61</v>
      </c>
      <c r="AL179" t="s">
        <v>61</v>
      </c>
      <c r="AM179" t="s">
        <v>1518</v>
      </c>
      <c r="AN179" t="s">
        <v>61</v>
      </c>
      <c r="AO179" t="s">
        <v>61</v>
      </c>
      <c r="AP179" t="s">
        <v>61</v>
      </c>
      <c r="AQ179" t="s">
        <v>61</v>
      </c>
      <c r="AR179" t="s">
        <v>61</v>
      </c>
      <c r="AS179" t="s">
        <v>61</v>
      </c>
      <c r="AT179" t="s">
        <v>61</v>
      </c>
      <c r="AU179" t="s">
        <v>61</v>
      </c>
      <c r="AV179" t="s">
        <v>61</v>
      </c>
      <c r="AW179" t="s">
        <v>61</v>
      </c>
      <c r="AX179" t="s">
        <v>61</v>
      </c>
      <c r="AY179" t="s">
        <v>61</v>
      </c>
      <c r="AZ179" t="s">
        <v>61</v>
      </c>
      <c r="BA179" t="s">
        <v>61</v>
      </c>
      <c r="BB179" t="s">
        <v>61</v>
      </c>
      <c r="BC179" t="s">
        <v>61</v>
      </c>
      <c r="BD179" t="s">
        <v>61</v>
      </c>
      <c r="BE179" t="s">
        <v>61</v>
      </c>
      <c r="BF179" t="s">
        <v>61</v>
      </c>
    </row>
    <row r="180" spans="1:58">
      <c r="A180" t="s">
        <v>58</v>
      </c>
      <c r="B180" t="s">
        <v>1522</v>
      </c>
      <c r="C180" t="s">
        <v>1523</v>
      </c>
      <c r="D180" t="s">
        <v>1524</v>
      </c>
      <c r="E180" t="s">
        <v>61</v>
      </c>
      <c r="F180">
        <v>2014</v>
      </c>
      <c r="G180" t="s">
        <v>418</v>
      </c>
      <c r="H180">
        <v>357</v>
      </c>
      <c r="I180">
        <v>2</v>
      </c>
      <c r="J180">
        <v>463</v>
      </c>
      <c r="K180">
        <v>476</v>
      </c>
      <c r="L180" t="s">
        <v>1525</v>
      </c>
      <c r="M180" t="s">
        <v>1526</v>
      </c>
      <c r="N180" t="s">
        <v>1527</v>
      </c>
      <c r="O180" t="s">
        <v>61</v>
      </c>
      <c r="Q180" t="s">
        <v>61</v>
      </c>
      <c r="R180" t="s">
        <v>61</v>
      </c>
      <c r="S180" t="s">
        <v>61</v>
      </c>
      <c r="T180" t="s">
        <v>61</v>
      </c>
      <c r="X180" t="s">
        <v>61</v>
      </c>
      <c r="Y180" t="s">
        <v>1528</v>
      </c>
      <c r="Z180" t="s">
        <v>61</v>
      </c>
      <c r="AA180" t="s">
        <v>1529</v>
      </c>
      <c r="AB180">
        <v>24996399</v>
      </c>
      <c r="AC180" t="s">
        <v>67</v>
      </c>
      <c r="AD180" t="s">
        <v>61</v>
      </c>
      <c r="AE180" t="s">
        <v>61</v>
      </c>
      <c r="AF180" t="s">
        <v>61</v>
      </c>
      <c r="AG180" t="s">
        <v>1530</v>
      </c>
      <c r="AH180" t="s">
        <v>61</v>
      </c>
      <c r="AI180" t="s">
        <v>1531</v>
      </c>
      <c r="AJ180" t="s">
        <v>61</v>
      </c>
      <c r="AK180" t="s">
        <v>61</v>
      </c>
      <c r="AL180" t="s">
        <v>61</v>
      </c>
      <c r="AM180" t="s">
        <v>1532</v>
      </c>
      <c r="AN180" t="s">
        <v>61</v>
      </c>
      <c r="AO180" t="s">
        <v>61</v>
      </c>
      <c r="AP180" t="s">
        <v>61</v>
      </c>
      <c r="AQ180" t="s">
        <v>61</v>
      </c>
      <c r="AR180" t="s">
        <v>61</v>
      </c>
      <c r="AS180" t="s">
        <v>61</v>
      </c>
      <c r="AT180" t="s">
        <v>61</v>
      </c>
      <c r="AU180" t="s">
        <v>61</v>
      </c>
      <c r="AV180" t="s">
        <v>61</v>
      </c>
      <c r="AW180" t="s">
        <v>61</v>
      </c>
      <c r="AX180" t="s">
        <v>61</v>
      </c>
      <c r="AY180" t="s">
        <v>61</v>
      </c>
      <c r="AZ180" t="s">
        <v>61</v>
      </c>
      <c r="BA180" t="s">
        <v>61</v>
      </c>
      <c r="BB180" t="s">
        <v>61</v>
      </c>
      <c r="BC180" t="s">
        <v>61</v>
      </c>
      <c r="BD180" t="s">
        <v>61</v>
      </c>
      <c r="BE180" t="s">
        <v>61</v>
      </c>
      <c r="BF180" t="s">
        <v>61</v>
      </c>
    </row>
    <row r="181" spans="1:58">
      <c r="A181" t="s">
        <v>58</v>
      </c>
      <c r="B181" t="s">
        <v>1533</v>
      </c>
      <c r="C181" t="s">
        <v>1534</v>
      </c>
      <c r="D181" t="s">
        <v>1535</v>
      </c>
      <c r="E181" t="s">
        <v>1536</v>
      </c>
      <c r="F181">
        <v>1984</v>
      </c>
      <c r="G181" t="s">
        <v>61</v>
      </c>
      <c r="H181">
        <v>77</v>
      </c>
      <c r="I181">
        <v>4</v>
      </c>
      <c r="J181">
        <v>450</v>
      </c>
      <c r="K181">
        <v>454</v>
      </c>
      <c r="L181" t="s">
        <v>1537</v>
      </c>
      <c r="M181" t="s">
        <v>1538</v>
      </c>
      <c r="N181" t="s">
        <v>1539</v>
      </c>
      <c r="O181" t="s">
        <v>61</v>
      </c>
      <c r="Q181" t="s">
        <v>61</v>
      </c>
      <c r="R181" t="s">
        <v>61</v>
      </c>
      <c r="S181" t="s">
        <v>61</v>
      </c>
      <c r="T181" t="s">
        <v>61</v>
      </c>
      <c r="X181" t="s">
        <v>61</v>
      </c>
      <c r="Y181" t="s">
        <v>1540</v>
      </c>
      <c r="Z181" t="s">
        <v>61</v>
      </c>
      <c r="AA181" t="s">
        <v>61</v>
      </c>
      <c r="AB181">
        <v>1984119884</v>
      </c>
      <c r="AC181" t="s">
        <v>67</v>
      </c>
      <c r="AD181" t="s">
        <v>61</v>
      </c>
      <c r="AE181" t="s">
        <v>61</v>
      </c>
      <c r="AF181" t="s">
        <v>61</v>
      </c>
      <c r="AG181" t="s">
        <v>1541</v>
      </c>
      <c r="AH181" t="s">
        <v>61</v>
      </c>
      <c r="AI181" t="s">
        <v>61</v>
      </c>
      <c r="AJ181" t="s">
        <v>61</v>
      </c>
      <c r="AK181" t="s">
        <v>61</v>
      </c>
      <c r="AL181" t="s">
        <v>61</v>
      </c>
      <c r="AM181" t="s">
        <v>1542</v>
      </c>
      <c r="AN181" t="s">
        <v>61</v>
      </c>
      <c r="AO181" t="s">
        <v>61</v>
      </c>
      <c r="AP181" t="s">
        <v>61</v>
      </c>
      <c r="AQ181" t="s">
        <v>61</v>
      </c>
      <c r="AR181" t="s">
        <v>61</v>
      </c>
      <c r="AS181" t="s">
        <v>61</v>
      </c>
      <c r="AT181" t="s">
        <v>61</v>
      </c>
      <c r="AU181" t="s">
        <v>61</v>
      </c>
      <c r="AV181" t="s">
        <v>61</v>
      </c>
      <c r="AW181" t="s">
        <v>61</v>
      </c>
      <c r="AX181" t="s">
        <v>61</v>
      </c>
      <c r="AY181" t="s">
        <v>61</v>
      </c>
      <c r="AZ181" t="s">
        <v>61</v>
      </c>
      <c r="BA181" t="s">
        <v>61</v>
      </c>
      <c r="BB181" t="s">
        <v>61</v>
      </c>
      <c r="BC181" t="s">
        <v>61</v>
      </c>
      <c r="BD181" t="s">
        <v>61</v>
      </c>
      <c r="BE181" t="s">
        <v>61</v>
      </c>
      <c r="BF181" t="s">
        <v>61</v>
      </c>
    </row>
    <row r="182" spans="1:58">
      <c r="A182" t="s">
        <v>58</v>
      </c>
      <c r="B182" t="s">
        <v>1543</v>
      </c>
      <c r="C182" t="s">
        <v>1544</v>
      </c>
      <c r="D182" t="s">
        <v>1545</v>
      </c>
      <c r="E182" t="s">
        <v>1546</v>
      </c>
      <c r="F182">
        <v>2012</v>
      </c>
      <c r="G182" t="s">
        <v>559</v>
      </c>
      <c r="H182">
        <v>90</v>
      </c>
      <c r="I182">
        <v>1</v>
      </c>
      <c r="J182">
        <v>28</v>
      </c>
      <c r="K182">
        <v>33</v>
      </c>
      <c r="L182" t="s">
        <v>1547</v>
      </c>
      <c r="M182" t="s">
        <v>1548</v>
      </c>
      <c r="N182" t="s">
        <v>1549</v>
      </c>
      <c r="O182" t="s">
        <v>61</v>
      </c>
      <c r="Q182" t="s">
        <v>61</v>
      </c>
      <c r="R182" t="s">
        <v>61</v>
      </c>
      <c r="S182" t="s">
        <v>61</v>
      </c>
      <c r="T182" t="s">
        <v>61</v>
      </c>
      <c r="X182" t="s">
        <v>61</v>
      </c>
      <c r="Y182" t="s">
        <v>1550</v>
      </c>
      <c r="Z182" t="s">
        <v>61</v>
      </c>
      <c r="AA182" t="s">
        <v>1551</v>
      </c>
      <c r="AB182">
        <v>22119845</v>
      </c>
      <c r="AC182" t="s">
        <v>67</v>
      </c>
      <c r="AD182" t="s">
        <v>61</v>
      </c>
      <c r="AE182" t="s">
        <v>61</v>
      </c>
      <c r="AF182" t="s">
        <v>61</v>
      </c>
      <c r="AG182" t="s">
        <v>1552</v>
      </c>
      <c r="AH182" t="s">
        <v>61</v>
      </c>
      <c r="AI182" t="s">
        <v>1553</v>
      </c>
      <c r="AJ182" t="s">
        <v>61</v>
      </c>
      <c r="AK182" t="s">
        <v>61</v>
      </c>
      <c r="AL182" t="s">
        <v>61</v>
      </c>
      <c r="AM182" t="s">
        <v>1554</v>
      </c>
      <c r="AN182" t="s">
        <v>61</v>
      </c>
      <c r="AO182" t="s">
        <v>61</v>
      </c>
      <c r="AP182" t="s">
        <v>61</v>
      </c>
      <c r="AQ182" t="s">
        <v>61</v>
      </c>
      <c r="AR182" t="s">
        <v>61</v>
      </c>
      <c r="AS182" t="s">
        <v>61</v>
      </c>
      <c r="AT182" t="s">
        <v>61</v>
      </c>
      <c r="AU182" t="s">
        <v>61</v>
      </c>
      <c r="AV182" t="s">
        <v>61</v>
      </c>
      <c r="AW182" t="s">
        <v>61</v>
      </c>
      <c r="AX182" t="s">
        <v>61</v>
      </c>
      <c r="AY182" t="s">
        <v>61</v>
      </c>
      <c r="AZ182" t="s">
        <v>61</v>
      </c>
      <c r="BA182" t="s">
        <v>61</v>
      </c>
      <c r="BB182" t="s">
        <v>61</v>
      </c>
      <c r="BC182" t="s">
        <v>61</v>
      </c>
      <c r="BD182" t="s">
        <v>61</v>
      </c>
      <c r="BE182" t="s">
        <v>61</v>
      </c>
      <c r="BF182" t="s">
        <v>61</v>
      </c>
    </row>
    <row r="183" spans="1:58">
      <c r="A183" t="s">
        <v>58</v>
      </c>
      <c r="B183" t="s">
        <v>1555</v>
      </c>
      <c r="C183" t="s">
        <v>1556</v>
      </c>
      <c r="D183" t="s">
        <v>1557</v>
      </c>
      <c r="E183" t="s">
        <v>61</v>
      </c>
      <c r="F183">
        <v>2016</v>
      </c>
      <c r="G183" t="s">
        <v>273</v>
      </c>
      <c r="H183">
        <v>38</v>
      </c>
      <c r="I183" t="s">
        <v>61</v>
      </c>
      <c r="J183">
        <v>1</v>
      </c>
      <c r="K183">
        <v>5</v>
      </c>
      <c r="L183" t="s">
        <v>61</v>
      </c>
      <c r="M183" t="s">
        <v>1558</v>
      </c>
      <c r="N183" t="s">
        <v>1559</v>
      </c>
      <c r="O183" t="s">
        <v>61</v>
      </c>
      <c r="Q183" t="s">
        <v>61</v>
      </c>
      <c r="R183" t="s">
        <v>61</v>
      </c>
      <c r="S183" t="s">
        <v>61</v>
      </c>
      <c r="T183" t="s">
        <v>61</v>
      </c>
      <c r="X183" t="s">
        <v>61</v>
      </c>
      <c r="Y183" t="s">
        <v>1560</v>
      </c>
      <c r="Z183" t="s">
        <v>61</v>
      </c>
      <c r="AA183" t="s">
        <v>1561</v>
      </c>
      <c r="AB183">
        <v>26694870</v>
      </c>
      <c r="AC183" t="s">
        <v>67</v>
      </c>
      <c r="AD183" t="s">
        <v>61</v>
      </c>
      <c r="AE183" t="s">
        <v>61</v>
      </c>
      <c r="AF183" t="s">
        <v>61</v>
      </c>
      <c r="AG183" t="s">
        <v>1562</v>
      </c>
      <c r="AH183" t="s">
        <v>61</v>
      </c>
      <c r="AI183" t="s">
        <v>1563</v>
      </c>
      <c r="AJ183" t="s">
        <v>61</v>
      </c>
      <c r="AK183" t="s">
        <v>61</v>
      </c>
      <c r="AL183" t="s">
        <v>61</v>
      </c>
      <c r="AM183" t="s">
        <v>1564</v>
      </c>
      <c r="AN183" t="s">
        <v>61</v>
      </c>
      <c r="AO183" t="s">
        <v>61</v>
      </c>
      <c r="AP183" t="s">
        <v>61</v>
      </c>
      <c r="AQ183" t="s">
        <v>61</v>
      </c>
      <c r="AR183" t="s">
        <v>61</v>
      </c>
      <c r="AS183" t="s">
        <v>61</v>
      </c>
      <c r="AT183" t="s">
        <v>61</v>
      </c>
      <c r="AU183" t="s">
        <v>61</v>
      </c>
      <c r="AV183" t="s">
        <v>61</v>
      </c>
      <c r="AW183" t="s">
        <v>61</v>
      </c>
      <c r="AX183" t="s">
        <v>61</v>
      </c>
      <c r="AY183" t="s">
        <v>61</v>
      </c>
      <c r="AZ183" t="s">
        <v>61</v>
      </c>
      <c r="BA183" t="s">
        <v>61</v>
      </c>
      <c r="BB183" t="s">
        <v>61</v>
      </c>
      <c r="BC183" t="s">
        <v>61</v>
      </c>
      <c r="BD183" t="s">
        <v>61</v>
      </c>
      <c r="BE183" t="s">
        <v>61</v>
      </c>
      <c r="BF183" t="s">
        <v>61</v>
      </c>
    </row>
    <row r="184" spans="1:58">
      <c r="A184" t="s">
        <v>58</v>
      </c>
      <c r="B184" t="s">
        <v>1565</v>
      </c>
      <c r="C184" t="s">
        <v>1566</v>
      </c>
      <c r="D184" t="s">
        <v>373</v>
      </c>
      <c r="E184" t="s">
        <v>61</v>
      </c>
      <c r="F184">
        <v>2011</v>
      </c>
      <c r="G184" t="s">
        <v>476</v>
      </c>
      <c r="H184">
        <v>10</v>
      </c>
      <c r="I184">
        <v>4</v>
      </c>
      <c r="J184">
        <v>795</v>
      </c>
      <c r="K184">
        <v>798</v>
      </c>
      <c r="L184" t="s">
        <v>1567</v>
      </c>
      <c r="M184" t="s">
        <v>1568</v>
      </c>
      <c r="N184" t="s">
        <v>1569</v>
      </c>
      <c r="O184" t="s">
        <v>61</v>
      </c>
      <c r="Q184" t="s">
        <v>61</v>
      </c>
      <c r="R184" t="s">
        <v>61</v>
      </c>
      <c r="S184" t="s">
        <v>61</v>
      </c>
      <c r="T184" t="s">
        <v>61</v>
      </c>
      <c r="X184" t="s">
        <v>61</v>
      </c>
      <c r="Y184" t="s">
        <v>377</v>
      </c>
      <c r="Z184" t="s">
        <v>61</v>
      </c>
      <c r="AA184" t="s">
        <v>61</v>
      </c>
      <c r="AB184">
        <v>2012205513</v>
      </c>
      <c r="AC184" t="s">
        <v>67</v>
      </c>
      <c r="AD184" t="s">
        <v>61</v>
      </c>
      <c r="AE184" t="s">
        <v>61</v>
      </c>
      <c r="AF184" t="s">
        <v>61</v>
      </c>
      <c r="AG184" t="s">
        <v>61</v>
      </c>
      <c r="AH184" t="s">
        <v>61</v>
      </c>
      <c r="AI184" t="s">
        <v>61</v>
      </c>
      <c r="AJ184" t="s">
        <v>61</v>
      </c>
      <c r="AK184" t="s">
        <v>61</v>
      </c>
      <c r="AL184" t="s">
        <v>61</v>
      </c>
      <c r="AM184" t="s">
        <v>1566</v>
      </c>
      <c r="AN184" t="s">
        <v>61</v>
      </c>
      <c r="AO184" t="s">
        <v>61</v>
      </c>
      <c r="AP184" t="s">
        <v>61</v>
      </c>
      <c r="AQ184" t="s">
        <v>61</v>
      </c>
      <c r="AR184" t="s">
        <v>61</v>
      </c>
      <c r="AS184" t="s">
        <v>61</v>
      </c>
      <c r="AT184" t="s">
        <v>61</v>
      </c>
      <c r="AU184" t="s">
        <v>61</v>
      </c>
      <c r="AV184" t="s">
        <v>61</v>
      </c>
      <c r="AW184" t="s">
        <v>61</v>
      </c>
      <c r="AX184" t="s">
        <v>61</v>
      </c>
      <c r="AY184" t="s">
        <v>61</v>
      </c>
      <c r="AZ184" t="s">
        <v>61</v>
      </c>
      <c r="BA184" t="s">
        <v>61</v>
      </c>
      <c r="BB184" t="s">
        <v>61</v>
      </c>
      <c r="BC184" t="s">
        <v>61</v>
      </c>
      <c r="BD184" t="s">
        <v>61</v>
      </c>
      <c r="BE184" t="s">
        <v>61</v>
      </c>
      <c r="BF184" t="s">
        <v>61</v>
      </c>
    </row>
    <row r="185" spans="1:58">
      <c r="A185" t="s">
        <v>58</v>
      </c>
      <c r="B185" t="s">
        <v>1570</v>
      </c>
      <c r="C185" t="s">
        <v>1571</v>
      </c>
      <c r="D185" t="s">
        <v>428</v>
      </c>
      <c r="E185" t="s">
        <v>61</v>
      </c>
      <c r="F185">
        <v>2013</v>
      </c>
      <c r="G185" t="s">
        <v>457</v>
      </c>
      <c r="H185">
        <v>26</v>
      </c>
      <c r="I185">
        <v>3</v>
      </c>
      <c r="J185">
        <v>323</v>
      </c>
      <c r="K185" t="s">
        <v>61</v>
      </c>
      <c r="L185" t="s">
        <v>1572</v>
      </c>
      <c r="M185" t="s">
        <v>1573</v>
      </c>
      <c r="N185" t="s">
        <v>1574</v>
      </c>
      <c r="O185" t="s">
        <v>61</v>
      </c>
      <c r="Q185" t="s">
        <v>61</v>
      </c>
      <c r="R185" t="s">
        <v>61</v>
      </c>
      <c r="S185" t="s">
        <v>61</v>
      </c>
      <c r="T185" t="s">
        <v>61</v>
      </c>
      <c r="X185" t="s">
        <v>61</v>
      </c>
      <c r="Y185" t="s">
        <v>433</v>
      </c>
      <c r="Z185" t="s">
        <v>61</v>
      </c>
      <c r="AA185" t="s">
        <v>61</v>
      </c>
      <c r="AB185" t="s">
        <v>61</v>
      </c>
      <c r="AC185" t="s">
        <v>67</v>
      </c>
      <c r="AD185" t="s">
        <v>61</v>
      </c>
      <c r="AE185" t="s">
        <v>61</v>
      </c>
      <c r="AF185" t="s">
        <v>61</v>
      </c>
      <c r="AG185" t="s">
        <v>61</v>
      </c>
      <c r="AH185" t="s">
        <v>61</v>
      </c>
      <c r="AI185" t="s">
        <v>61</v>
      </c>
      <c r="AJ185" t="s">
        <v>61</v>
      </c>
      <c r="AK185" t="s">
        <v>61</v>
      </c>
      <c r="AL185" t="s">
        <v>61</v>
      </c>
      <c r="AM185" t="s">
        <v>1571</v>
      </c>
      <c r="AN185" t="s">
        <v>61</v>
      </c>
      <c r="AO185" t="s">
        <v>61</v>
      </c>
      <c r="AP185" t="s">
        <v>61</v>
      </c>
      <c r="AQ185" t="s">
        <v>61</v>
      </c>
      <c r="AR185" t="s">
        <v>61</v>
      </c>
      <c r="AS185" t="s">
        <v>61</v>
      </c>
      <c r="AT185" t="s">
        <v>61</v>
      </c>
      <c r="AU185" t="s">
        <v>61</v>
      </c>
      <c r="AV185" t="s">
        <v>61</v>
      </c>
      <c r="AW185" t="s">
        <v>61</v>
      </c>
      <c r="AX185" t="s">
        <v>61</v>
      </c>
      <c r="AY185" t="s">
        <v>61</v>
      </c>
      <c r="AZ185" t="s">
        <v>61</v>
      </c>
      <c r="BA185" t="s">
        <v>61</v>
      </c>
      <c r="BB185" t="s">
        <v>61</v>
      </c>
      <c r="BC185" t="s">
        <v>61</v>
      </c>
      <c r="BD185" t="s">
        <v>61</v>
      </c>
      <c r="BE185" t="s">
        <v>61</v>
      </c>
      <c r="BF185" t="s">
        <v>61</v>
      </c>
    </row>
    <row r="186" spans="1:58">
      <c r="A186" t="s">
        <v>58</v>
      </c>
      <c r="B186" t="s">
        <v>1575</v>
      </c>
      <c r="C186" t="s">
        <v>1576</v>
      </c>
      <c r="D186" t="s">
        <v>428</v>
      </c>
      <c r="E186" t="s">
        <v>61</v>
      </c>
      <c r="F186">
        <v>2013</v>
      </c>
      <c r="G186" t="s">
        <v>457</v>
      </c>
      <c r="H186">
        <v>26</v>
      </c>
      <c r="I186">
        <v>3</v>
      </c>
      <c r="J186">
        <v>332</v>
      </c>
      <c r="K186">
        <v>333</v>
      </c>
      <c r="L186" t="s">
        <v>1577</v>
      </c>
      <c r="M186" t="s">
        <v>1578</v>
      </c>
      <c r="N186" t="s">
        <v>1579</v>
      </c>
      <c r="O186" t="s">
        <v>61</v>
      </c>
      <c r="Q186" t="s">
        <v>61</v>
      </c>
      <c r="R186" t="s">
        <v>61</v>
      </c>
      <c r="S186" t="s">
        <v>61</v>
      </c>
      <c r="T186" t="s">
        <v>61</v>
      </c>
      <c r="X186" t="s">
        <v>61</v>
      </c>
      <c r="Y186" t="s">
        <v>433</v>
      </c>
      <c r="Z186" t="s">
        <v>61</v>
      </c>
      <c r="AA186" t="s">
        <v>61</v>
      </c>
      <c r="AB186" t="s">
        <v>61</v>
      </c>
      <c r="AC186" t="s">
        <v>67</v>
      </c>
      <c r="AD186" t="s">
        <v>61</v>
      </c>
      <c r="AE186" t="s">
        <v>61</v>
      </c>
      <c r="AF186" t="s">
        <v>61</v>
      </c>
      <c r="AG186" t="s">
        <v>61</v>
      </c>
      <c r="AH186" t="s">
        <v>61</v>
      </c>
      <c r="AI186" t="s">
        <v>61</v>
      </c>
      <c r="AJ186" t="s">
        <v>61</v>
      </c>
      <c r="AK186" t="s">
        <v>61</v>
      </c>
      <c r="AL186" t="s">
        <v>61</v>
      </c>
      <c r="AM186" t="s">
        <v>1576</v>
      </c>
      <c r="AN186" t="s">
        <v>61</v>
      </c>
      <c r="AO186" t="s">
        <v>61</v>
      </c>
      <c r="AP186" t="s">
        <v>61</v>
      </c>
      <c r="AQ186" t="s">
        <v>61</v>
      </c>
      <c r="AR186" t="s">
        <v>61</v>
      </c>
      <c r="AS186" t="s">
        <v>61</v>
      </c>
      <c r="AT186" t="s">
        <v>61</v>
      </c>
      <c r="AU186" t="s">
        <v>61</v>
      </c>
      <c r="AV186" t="s">
        <v>61</v>
      </c>
      <c r="AW186" t="s">
        <v>61</v>
      </c>
      <c r="AX186" t="s">
        <v>61</v>
      </c>
      <c r="AY186" t="s">
        <v>61</v>
      </c>
      <c r="AZ186" t="s">
        <v>61</v>
      </c>
      <c r="BA186" t="s">
        <v>61</v>
      </c>
      <c r="BB186" t="s">
        <v>61</v>
      </c>
      <c r="BC186" t="s">
        <v>61</v>
      </c>
      <c r="BD186" t="s">
        <v>61</v>
      </c>
      <c r="BE186" t="s">
        <v>61</v>
      </c>
      <c r="BF186" t="s">
        <v>61</v>
      </c>
    </row>
    <row r="187" spans="1:58">
      <c r="A187" t="s">
        <v>58</v>
      </c>
      <c r="B187" t="s">
        <v>1580</v>
      </c>
      <c r="C187" t="s">
        <v>1581</v>
      </c>
      <c r="D187" t="s">
        <v>1582</v>
      </c>
      <c r="E187" t="s">
        <v>1582</v>
      </c>
      <c r="F187">
        <v>1998</v>
      </c>
      <c r="G187" t="s">
        <v>119</v>
      </c>
      <c r="H187" t="s">
        <v>1583</v>
      </c>
      <c r="I187" t="s">
        <v>61</v>
      </c>
      <c r="J187">
        <v>36</v>
      </c>
      <c r="K187">
        <v>43</v>
      </c>
      <c r="L187" t="s">
        <v>1584</v>
      </c>
      <c r="M187" t="s">
        <v>1585</v>
      </c>
      <c r="N187" t="s">
        <v>1586</v>
      </c>
      <c r="O187" t="s">
        <v>61</v>
      </c>
      <c r="Q187" t="s">
        <v>61</v>
      </c>
      <c r="R187" t="s">
        <v>61</v>
      </c>
      <c r="S187" t="s">
        <v>61</v>
      </c>
      <c r="T187" t="s">
        <v>61</v>
      </c>
      <c r="X187" t="s">
        <v>61</v>
      </c>
      <c r="Y187" t="s">
        <v>1587</v>
      </c>
      <c r="Z187" t="s">
        <v>61</v>
      </c>
      <c r="AA187" t="s">
        <v>1588</v>
      </c>
      <c r="AB187">
        <v>9684946</v>
      </c>
      <c r="AC187" t="s">
        <v>67</v>
      </c>
      <c r="AD187" t="s">
        <v>61</v>
      </c>
      <c r="AE187" t="s">
        <v>61</v>
      </c>
      <c r="AF187" t="s">
        <v>61</v>
      </c>
      <c r="AG187" t="s">
        <v>1589</v>
      </c>
      <c r="AH187" t="s">
        <v>61</v>
      </c>
      <c r="AI187" t="s">
        <v>61</v>
      </c>
      <c r="AJ187" t="s">
        <v>61</v>
      </c>
      <c r="AK187" t="s">
        <v>61</v>
      </c>
      <c r="AL187" t="s">
        <v>61</v>
      </c>
      <c r="AM187" t="s">
        <v>1590</v>
      </c>
      <c r="AN187" t="s">
        <v>61</v>
      </c>
      <c r="AO187" t="s">
        <v>61</v>
      </c>
      <c r="AP187" t="s">
        <v>61</v>
      </c>
      <c r="AQ187" t="s">
        <v>61</v>
      </c>
      <c r="AR187" t="s">
        <v>61</v>
      </c>
      <c r="AS187" t="s">
        <v>61</v>
      </c>
      <c r="AT187" t="s">
        <v>61</v>
      </c>
      <c r="AU187" t="s">
        <v>61</v>
      </c>
      <c r="AV187" t="s">
        <v>61</v>
      </c>
      <c r="AW187" t="s">
        <v>61</v>
      </c>
      <c r="AX187" t="s">
        <v>61</v>
      </c>
      <c r="AY187" t="s">
        <v>61</v>
      </c>
      <c r="AZ187" t="s">
        <v>61</v>
      </c>
      <c r="BA187" t="s">
        <v>61</v>
      </c>
      <c r="BB187" t="s">
        <v>61</v>
      </c>
      <c r="BC187" t="s">
        <v>61</v>
      </c>
      <c r="BD187" t="s">
        <v>61</v>
      </c>
      <c r="BE187" t="s">
        <v>61</v>
      </c>
      <c r="BF187" t="s">
        <v>61</v>
      </c>
    </row>
    <row r="188" spans="1:58">
      <c r="A188" t="s">
        <v>58</v>
      </c>
      <c r="B188" t="s">
        <v>1591</v>
      </c>
      <c r="C188" t="s">
        <v>1592</v>
      </c>
      <c r="D188" t="s">
        <v>1593</v>
      </c>
      <c r="E188" t="s">
        <v>61</v>
      </c>
      <c r="F188">
        <v>1991</v>
      </c>
      <c r="G188" t="s">
        <v>61</v>
      </c>
      <c r="H188">
        <v>3</v>
      </c>
      <c r="I188">
        <v>1</v>
      </c>
      <c r="J188">
        <v>9</v>
      </c>
      <c r="K188">
        <v>22</v>
      </c>
      <c r="L188" t="s">
        <v>1594</v>
      </c>
      <c r="M188" t="s">
        <v>1595</v>
      </c>
      <c r="N188" t="s">
        <v>1596</v>
      </c>
      <c r="O188" t="s">
        <v>61</v>
      </c>
      <c r="Q188" t="s">
        <v>61</v>
      </c>
      <c r="R188" t="s">
        <v>61</v>
      </c>
      <c r="S188" t="s">
        <v>61</v>
      </c>
      <c r="T188" t="s">
        <v>61</v>
      </c>
      <c r="X188" t="s">
        <v>61</v>
      </c>
      <c r="Y188" t="s">
        <v>1597</v>
      </c>
      <c r="Z188" t="s">
        <v>61</v>
      </c>
      <c r="AA188" t="s">
        <v>61</v>
      </c>
      <c r="AB188">
        <v>1991186162</v>
      </c>
      <c r="AC188" t="s">
        <v>67</v>
      </c>
      <c r="AD188" t="s">
        <v>61</v>
      </c>
      <c r="AE188" t="s">
        <v>61</v>
      </c>
      <c r="AF188" t="s">
        <v>61</v>
      </c>
      <c r="AG188" t="s">
        <v>61</v>
      </c>
      <c r="AH188" t="s">
        <v>61</v>
      </c>
      <c r="AI188" t="s">
        <v>61</v>
      </c>
      <c r="AJ188" t="s">
        <v>61</v>
      </c>
      <c r="AK188" t="s">
        <v>61</v>
      </c>
      <c r="AL188" t="s">
        <v>61</v>
      </c>
      <c r="AM188" t="s">
        <v>1592</v>
      </c>
      <c r="AN188" t="s">
        <v>61</v>
      </c>
      <c r="AO188" t="s">
        <v>61</v>
      </c>
      <c r="AP188" t="s">
        <v>61</v>
      </c>
      <c r="AQ188" t="s">
        <v>61</v>
      </c>
      <c r="AR188" t="s">
        <v>61</v>
      </c>
      <c r="AS188" t="s">
        <v>61</v>
      </c>
      <c r="AT188" t="s">
        <v>61</v>
      </c>
      <c r="AU188" t="s">
        <v>61</v>
      </c>
      <c r="AV188" t="s">
        <v>61</v>
      </c>
      <c r="AW188" t="s">
        <v>61</v>
      </c>
      <c r="AX188" t="s">
        <v>61</v>
      </c>
      <c r="AY188" t="s">
        <v>61</v>
      </c>
      <c r="AZ188" t="s">
        <v>61</v>
      </c>
      <c r="BA188" t="s">
        <v>61</v>
      </c>
      <c r="BB188" t="s">
        <v>61</v>
      </c>
      <c r="BC188" t="s">
        <v>61</v>
      </c>
      <c r="BD188" t="s">
        <v>61</v>
      </c>
      <c r="BE188" t="s">
        <v>61</v>
      </c>
      <c r="BF188" t="s">
        <v>61</v>
      </c>
    </row>
    <row r="189" spans="1:58">
      <c r="A189" t="s">
        <v>58</v>
      </c>
      <c r="B189" t="s">
        <v>1598</v>
      </c>
      <c r="C189" t="s">
        <v>1599</v>
      </c>
      <c r="D189" t="s">
        <v>1600</v>
      </c>
      <c r="E189" t="s">
        <v>1601</v>
      </c>
      <c r="F189">
        <v>2006</v>
      </c>
      <c r="G189" s="1">
        <v>42689</v>
      </c>
      <c r="H189">
        <v>60</v>
      </c>
      <c r="I189">
        <v>10</v>
      </c>
      <c r="J189">
        <v>1106</v>
      </c>
      <c r="K189">
        <v>1110</v>
      </c>
      <c r="L189" t="s">
        <v>1602</v>
      </c>
      <c r="M189" t="s">
        <v>1603</v>
      </c>
      <c r="N189" t="s">
        <v>1604</v>
      </c>
      <c r="O189" t="s">
        <v>61</v>
      </c>
      <c r="Q189" t="s">
        <v>61</v>
      </c>
      <c r="R189" t="s">
        <v>61</v>
      </c>
      <c r="S189" t="s">
        <v>61</v>
      </c>
      <c r="T189" t="s">
        <v>61</v>
      </c>
      <c r="X189" t="s">
        <v>61</v>
      </c>
      <c r="Y189" s="2">
        <v>483369</v>
      </c>
      <c r="Z189" t="s">
        <v>61</v>
      </c>
      <c r="AA189" t="s">
        <v>1605</v>
      </c>
      <c r="AB189">
        <v>16806096</v>
      </c>
      <c r="AC189" t="s">
        <v>67</v>
      </c>
      <c r="AD189" t="s">
        <v>61</v>
      </c>
      <c r="AE189" t="s">
        <v>61</v>
      </c>
      <c r="AF189" t="s">
        <v>61</v>
      </c>
      <c r="AG189" t="s">
        <v>1606</v>
      </c>
      <c r="AH189" t="s">
        <v>61</v>
      </c>
      <c r="AI189" t="s">
        <v>61</v>
      </c>
      <c r="AJ189" t="s">
        <v>61</v>
      </c>
      <c r="AK189" t="s">
        <v>61</v>
      </c>
      <c r="AL189" t="s">
        <v>61</v>
      </c>
      <c r="AM189" t="s">
        <v>1607</v>
      </c>
      <c r="AN189" t="s">
        <v>61</v>
      </c>
      <c r="AO189" t="s">
        <v>61</v>
      </c>
      <c r="AP189" t="s">
        <v>61</v>
      </c>
      <c r="AQ189" t="s">
        <v>61</v>
      </c>
      <c r="AR189" t="s">
        <v>61</v>
      </c>
      <c r="AS189" t="s">
        <v>61</v>
      </c>
      <c r="AT189" t="s">
        <v>61</v>
      </c>
      <c r="AU189" t="s">
        <v>61</v>
      </c>
      <c r="AV189" t="s">
        <v>61</v>
      </c>
      <c r="AW189" t="s">
        <v>61</v>
      </c>
      <c r="AX189" t="s">
        <v>61</v>
      </c>
      <c r="AY189" t="s">
        <v>61</v>
      </c>
      <c r="AZ189" t="s">
        <v>61</v>
      </c>
      <c r="BA189" t="s">
        <v>61</v>
      </c>
      <c r="BB189" t="s">
        <v>61</v>
      </c>
      <c r="BC189" t="s">
        <v>61</v>
      </c>
      <c r="BD189" t="s">
        <v>61</v>
      </c>
      <c r="BE189" t="s">
        <v>61</v>
      </c>
      <c r="BF189" t="s">
        <v>61</v>
      </c>
    </row>
    <row r="190" spans="1:58">
      <c r="A190" t="s">
        <v>58</v>
      </c>
      <c r="B190" t="s">
        <v>1608</v>
      </c>
      <c r="C190" t="s">
        <v>1609</v>
      </c>
      <c r="D190" t="s">
        <v>1610</v>
      </c>
      <c r="E190" t="s">
        <v>61</v>
      </c>
      <c r="F190">
        <v>2004</v>
      </c>
      <c r="G190" t="s">
        <v>61</v>
      </c>
      <c r="H190">
        <v>11</v>
      </c>
      <c r="I190">
        <v>7</v>
      </c>
      <c r="J190">
        <v>57</v>
      </c>
      <c r="K190" t="s">
        <v>1611</v>
      </c>
      <c r="L190" t="s">
        <v>1612</v>
      </c>
      <c r="M190" t="s">
        <v>1613</v>
      </c>
      <c r="N190" t="s">
        <v>1614</v>
      </c>
      <c r="O190" t="s">
        <v>61</v>
      </c>
      <c r="Q190" t="s">
        <v>61</v>
      </c>
      <c r="R190" t="s">
        <v>61</v>
      </c>
      <c r="S190" t="s">
        <v>61</v>
      </c>
      <c r="T190" t="s">
        <v>61</v>
      </c>
      <c r="X190" t="s">
        <v>61</v>
      </c>
      <c r="Y190" t="s">
        <v>1615</v>
      </c>
      <c r="Z190" t="s">
        <v>61</v>
      </c>
      <c r="AA190" t="s">
        <v>1616</v>
      </c>
      <c r="AB190">
        <v>106682272</v>
      </c>
      <c r="AC190" t="s">
        <v>67</v>
      </c>
      <c r="AD190" t="s">
        <v>61</v>
      </c>
      <c r="AE190" t="s">
        <v>61</v>
      </c>
      <c r="AF190" t="s">
        <v>61</v>
      </c>
      <c r="AG190" t="s">
        <v>1617</v>
      </c>
      <c r="AH190" t="s">
        <v>61</v>
      </c>
      <c r="AI190" t="s">
        <v>61</v>
      </c>
      <c r="AJ190" t="s">
        <v>61</v>
      </c>
      <c r="AK190" t="s">
        <v>61</v>
      </c>
      <c r="AL190" t="s">
        <v>61</v>
      </c>
      <c r="AM190" t="s">
        <v>1618</v>
      </c>
      <c r="AN190" t="s">
        <v>61</v>
      </c>
      <c r="AO190" t="s">
        <v>61</v>
      </c>
      <c r="AP190" t="s">
        <v>61</v>
      </c>
      <c r="AQ190" t="s">
        <v>61</v>
      </c>
      <c r="AR190" t="s">
        <v>61</v>
      </c>
      <c r="AS190" t="s">
        <v>61</v>
      </c>
      <c r="AT190" t="s">
        <v>61</v>
      </c>
      <c r="AU190" t="s">
        <v>61</v>
      </c>
      <c r="AV190" t="s">
        <v>61</v>
      </c>
      <c r="AW190" t="s">
        <v>61</v>
      </c>
      <c r="AX190" t="s">
        <v>61</v>
      </c>
      <c r="AY190" t="s">
        <v>61</v>
      </c>
      <c r="AZ190" t="s">
        <v>61</v>
      </c>
      <c r="BA190" t="s">
        <v>61</v>
      </c>
      <c r="BB190" t="s">
        <v>61</v>
      </c>
      <c r="BC190" t="s">
        <v>61</v>
      </c>
      <c r="BD190" t="s">
        <v>61</v>
      </c>
      <c r="BE190" t="s">
        <v>61</v>
      </c>
      <c r="BF190" t="s">
        <v>61</v>
      </c>
    </row>
    <row r="191" spans="1:58">
      <c r="A191" t="s">
        <v>58</v>
      </c>
      <c r="B191" t="s">
        <v>1619</v>
      </c>
      <c r="C191" t="s">
        <v>1620</v>
      </c>
      <c r="D191" t="s">
        <v>1621</v>
      </c>
      <c r="E191" t="s">
        <v>1622</v>
      </c>
      <c r="F191">
        <v>1983</v>
      </c>
      <c r="G191" t="s">
        <v>85</v>
      </c>
      <c r="H191">
        <v>43</v>
      </c>
      <c r="I191" t="s">
        <v>61</v>
      </c>
      <c r="J191">
        <v>125</v>
      </c>
      <c r="K191">
        <v>131</v>
      </c>
      <c r="L191" t="s">
        <v>1623</v>
      </c>
      <c r="M191" t="s">
        <v>61</v>
      </c>
      <c r="N191" t="s">
        <v>1624</v>
      </c>
      <c r="O191" t="s">
        <v>61</v>
      </c>
      <c r="Q191" t="s">
        <v>61</v>
      </c>
      <c r="R191" t="s">
        <v>61</v>
      </c>
      <c r="S191" t="s">
        <v>61</v>
      </c>
      <c r="T191" t="s">
        <v>61</v>
      </c>
      <c r="X191" t="s">
        <v>61</v>
      </c>
      <c r="Y191" t="s">
        <v>1625</v>
      </c>
      <c r="Z191" t="s">
        <v>61</v>
      </c>
      <c r="AA191" t="s">
        <v>61</v>
      </c>
      <c r="AB191">
        <v>6410246</v>
      </c>
      <c r="AC191" t="s">
        <v>67</v>
      </c>
      <c r="AD191" t="s">
        <v>61</v>
      </c>
      <c r="AE191" t="s">
        <v>61</v>
      </c>
      <c r="AF191" t="s">
        <v>61</v>
      </c>
      <c r="AG191" t="s">
        <v>1626</v>
      </c>
      <c r="AH191" t="s">
        <v>61</v>
      </c>
      <c r="AI191" t="s">
        <v>61</v>
      </c>
      <c r="AJ191" t="s">
        <v>61</v>
      </c>
      <c r="AK191" t="s">
        <v>61</v>
      </c>
      <c r="AL191" t="s">
        <v>61</v>
      </c>
      <c r="AM191" t="s">
        <v>1627</v>
      </c>
      <c r="AN191" t="s">
        <v>61</v>
      </c>
      <c r="AO191" t="s">
        <v>61</v>
      </c>
      <c r="AP191" t="s">
        <v>61</v>
      </c>
      <c r="AQ191" t="s">
        <v>61</v>
      </c>
      <c r="AR191" t="s">
        <v>61</v>
      </c>
      <c r="AS191" t="s">
        <v>61</v>
      </c>
      <c r="AT191" t="s">
        <v>61</v>
      </c>
      <c r="AU191" t="s">
        <v>61</v>
      </c>
      <c r="AV191" t="s">
        <v>61</v>
      </c>
      <c r="AW191" t="s">
        <v>61</v>
      </c>
      <c r="AX191" t="s">
        <v>61</v>
      </c>
      <c r="AY191" t="s">
        <v>61</v>
      </c>
      <c r="AZ191" t="s">
        <v>61</v>
      </c>
      <c r="BA191" t="s">
        <v>61</v>
      </c>
      <c r="BB191" t="s">
        <v>61</v>
      </c>
      <c r="BC191" t="s">
        <v>61</v>
      </c>
      <c r="BD191" t="s">
        <v>61</v>
      </c>
      <c r="BE191" t="s">
        <v>61</v>
      </c>
      <c r="BF191" t="s">
        <v>61</v>
      </c>
    </row>
    <row r="192" spans="1:58">
      <c r="A192" t="s">
        <v>58</v>
      </c>
      <c r="B192" t="s">
        <v>1628</v>
      </c>
      <c r="C192" t="s">
        <v>1629</v>
      </c>
      <c r="D192" t="s">
        <v>1630</v>
      </c>
      <c r="E192" t="s">
        <v>61</v>
      </c>
      <c r="F192">
        <v>2011</v>
      </c>
      <c r="G192" t="s">
        <v>1020</v>
      </c>
      <c r="H192">
        <v>9</v>
      </c>
      <c r="I192">
        <v>1</v>
      </c>
      <c r="J192">
        <v>111</v>
      </c>
      <c r="K192">
        <v>112</v>
      </c>
      <c r="L192" t="s">
        <v>1631</v>
      </c>
      <c r="M192" t="s">
        <v>1632</v>
      </c>
      <c r="N192" t="s">
        <v>1633</v>
      </c>
      <c r="O192" t="s">
        <v>61</v>
      </c>
      <c r="Q192" t="s">
        <v>61</v>
      </c>
      <c r="R192" t="s">
        <v>61</v>
      </c>
      <c r="S192" t="s">
        <v>61</v>
      </c>
      <c r="T192" t="s">
        <v>61</v>
      </c>
      <c r="X192" t="s">
        <v>61</v>
      </c>
      <c r="Y192" t="s">
        <v>1634</v>
      </c>
      <c r="Z192" t="s">
        <v>61</v>
      </c>
      <c r="AA192" t="s">
        <v>61</v>
      </c>
      <c r="AB192">
        <v>2011402000</v>
      </c>
      <c r="AC192" t="s">
        <v>67</v>
      </c>
      <c r="AD192" t="s">
        <v>61</v>
      </c>
      <c r="AE192" t="s">
        <v>61</v>
      </c>
      <c r="AF192" t="s">
        <v>61</v>
      </c>
      <c r="AG192" t="s">
        <v>61</v>
      </c>
      <c r="AH192" t="s">
        <v>61</v>
      </c>
      <c r="AI192" t="s">
        <v>61</v>
      </c>
      <c r="AJ192" t="s">
        <v>61</v>
      </c>
      <c r="AK192" t="s">
        <v>61</v>
      </c>
      <c r="AL192" t="s">
        <v>61</v>
      </c>
      <c r="AM192" t="s">
        <v>1629</v>
      </c>
      <c r="AN192" t="s">
        <v>61</v>
      </c>
      <c r="AO192" t="s">
        <v>61</v>
      </c>
      <c r="AP192" t="s">
        <v>61</v>
      </c>
      <c r="AQ192" t="s">
        <v>61</v>
      </c>
      <c r="AR192" t="s">
        <v>61</v>
      </c>
      <c r="AS192" t="s">
        <v>61</v>
      </c>
      <c r="AT192" t="s">
        <v>61</v>
      </c>
      <c r="AU192" t="s">
        <v>61</v>
      </c>
      <c r="AV192" t="s">
        <v>61</v>
      </c>
      <c r="AW192" t="s">
        <v>61</v>
      </c>
      <c r="AX192" t="s">
        <v>61</v>
      </c>
      <c r="AY192" t="s">
        <v>61</v>
      </c>
      <c r="AZ192" t="s">
        <v>61</v>
      </c>
      <c r="BA192" t="s">
        <v>61</v>
      </c>
      <c r="BB192" t="s">
        <v>61</v>
      </c>
      <c r="BC192" t="s">
        <v>61</v>
      </c>
      <c r="BD192" t="s">
        <v>61</v>
      </c>
      <c r="BE192" t="s">
        <v>61</v>
      </c>
      <c r="BF192" t="s">
        <v>61</v>
      </c>
    </row>
    <row r="193" spans="1:58">
      <c r="A193" t="s">
        <v>58</v>
      </c>
      <c r="B193" t="s">
        <v>1635</v>
      </c>
      <c r="C193" t="s">
        <v>1636</v>
      </c>
      <c r="D193" t="s">
        <v>1637</v>
      </c>
      <c r="E193" t="s">
        <v>1638</v>
      </c>
      <c r="F193">
        <v>1996</v>
      </c>
      <c r="G193" t="s">
        <v>85</v>
      </c>
      <c r="H193">
        <v>49</v>
      </c>
      <c r="I193">
        <v>2</v>
      </c>
      <c r="J193">
        <v>72</v>
      </c>
      <c r="K193">
        <v>79</v>
      </c>
      <c r="L193" t="s">
        <v>1639</v>
      </c>
      <c r="M193" t="s">
        <v>1640</v>
      </c>
      <c r="N193" t="s">
        <v>1641</v>
      </c>
      <c r="O193" t="s">
        <v>61</v>
      </c>
      <c r="Q193" t="s">
        <v>61</v>
      </c>
      <c r="R193" t="s">
        <v>61</v>
      </c>
      <c r="S193" t="s">
        <v>61</v>
      </c>
      <c r="T193" t="s">
        <v>61</v>
      </c>
      <c r="X193" t="s">
        <v>61</v>
      </c>
      <c r="Y193" s="2">
        <v>812148</v>
      </c>
      <c r="Z193" t="s">
        <v>61</v>
      </c>
      <c r="AA193" t="s">
        <v>61</v>
      </c>
      <c r="AB193">
        <v>1996164179</v>
      </c>
      <c r="AC193" t="s">
        <v>67</v>
      </c>
      <c r="AD193" t="s">
        <v>61</v>
      </c>
      <c r="AE193" t="s">
        <v>61</v>
      </c>
      <c r="AF193" t="s">
        <v>61</v>
      </c>
      <c r="AG193" t="s">
        <v>61</v>
      </c>
      <c r="AH193" t="s">
        <v>61</v>
      </c>
      <c r="AI193" t="s">
        <v>61</v>
      </c>
      <c r="AJ193" t="s">
        <v>61</v>
      </c>
      <c r="AK193" t="s">
        <v>61</v>
      </c>
      <c r="AL193" t="s">
        <v>61</v>
      </c>
      <c r="AM193" t="s">
        <v>1636</v>
      </c>
      <c r="AN193" t="s">
        <v>61</v>
      </c>
      <c r="AO193" t="s">
        <v>61</v>
      </c>
      <c r="AP193" t="s">
        <v>61</v>
      </c>
      <c r="AQ193" t="s">
        <v>61</v>
      </c>
      <c r="AR193" t="s">
        <v>61</v>
      </c>
      <c r="AS193" t="s">
        <v>61</v>
      </c>
      <c r="AT193" t="s">
        <v>61</v>
      </c>
      <c r="AU193" t="s">
        <v>61</v>
      </c>
      <c r="AV193" t="s">
        <v>61</v>
      </c>
      <c r="AW193" t="s">
        <v>61</v>
      </c>
      <c r="AX193" t="s">
        <v>61</v>
      </c>
      <c r="AY193" t="s">
        <v>61</v>
      </c>
      <c r="AZ193" t="s">
        <v>61</v>
      </c>
      <c r="BA193" t="s">
        <v>61</v>
      </c>
      <c r="BB193" t="s">
        <v>61</v>
      </c>
      <c r="BC193" t="s">
        <v>61</v>
      </c>
      <c r="BD193" t="s">
        <v>61</v>
      </c>
      <c r="BE193" t="s">
        <v>61</v>
      </c>
      <c r="BF193" t="s">
        <v>61</v>
      </c>
    </row>
    <row r="194" spans="1:58">
      <c r="A194" t="s">
        <v>58</v>
      </c>
      <c r="B194" t="s">
        <v>1642</v>
      </c>
      <c r="C194" t="s">
        <v>1643</v>
      </c>
      <c r="D194" t="s">
        <v>876</v>
      </c>
      <c r="E194" t="s">
        <v>877</v>
      </c>
      <c r="F194">
        <v>1990</v>
      </c>
      <c r="G194" t="s">
        <v>1644</v>
      </c>
      <c r="H194">
        <v>54</v>
      </c>
      <c r="I194">
        <v>1</v>
      </c>
      <c r="J194">
        <v>69</v>
      </c>
      <c r="K194">
        <v>70</v>
      </c>
      <c r="L194" t="s">
        <v>1645</v>
      </c>
      <c r="M194" t="s">
        <v>1646</v>
      </c>
      <c r="N194" t="s">
        <v>1647</v>
      </c>
      <c r="O194" t="s">
        <v>61</v>
      </c>
      <c r="Q194" t="s">
        <v>61</v>
      </c>
      <c r="R194" t="s">
        <v>61</v>
      </c>
      <c r="S194" t="s">
        <v>61</v>
      </c>
      <c r="T194" t="s">
        <v>61</v>
      </c>
      <c r="X194" t="s">
        <v>61</v>
      </c>
      <c r="Y194" t="s">
        <v>61</v>
      </c>
      <c r="Z194" t="s">
        <v>61</v>
      </c>
      <c r="AA194" t="s">
        <v>61</v>
      </c>
      <c r="AB194" t="s">
        <v>1648</v>
      </c>
      <c r="AC194" t="s">
        <v>67</v>
      </c>
      <c r="AD194" t="s">
        <v>61</v>
      </c>
      <c r="AE194" t="s">
        <v>61</v>
      </c>
      <c r="AF194" t="s">
        <v>61</v>
      </c>
      <c r="AG194" t="s">
        <v>61</v>
      </c>
      <c r="AH194" t="s">
        <v>61</v>
      </c>
      <c r="AI194" t="s">
        <v>61</v>
      </c>
      <c r="AJ194" t="s">
        <v>61</v>
      </c>
      <c r="AK194" t="s">
        <v>61</v>
      </c>
      <c r="AL194" t="s">
        <v>61</v>
      </c>
      <c r="AM194" t="s">
        <v>1649</v>
      </c>
      <c r="AN194" t="s">
        <v>61</v>
      </c>
      <c r="AO194" t="s">
        <v>61</v>
      </c>
      <c r="AP194" t="s">
        <v>61</v>
      </c>
      <c r="AQ194" t="s">
        <v>61</v>
      </c>
      <c r="AR194" t="s">
        <v>61</v>
      </c>
      <c r="AS194" t="s">
        <v>61</v>
      </c>
      <c r="AT194" t="s">
        <v>61</v>
      </c>
      <c r="AU194" t="s">
        <v>61</v>
      </c>
      <c r="AV194" t="s">
        <v>61</v>
      </c>
      <c r="AW194" t="s">
        <v>61</v>
      </c>
      <c r="AX194" t="s">
        <v>61</v>
      </c>
      <c r="AY194" t="s">
        <v>61</v>
      </c>
      <c r="AZ194" t="s">
        <v>61</v>
      </c>
      <c r="BA194" t="s">
        <v>61</v>
      </c>
      <c r="BB194" t="s">
        <v>61</v>
      </c>
      <c r="BC194" t="s">
        <v>61</v>
      </c>
      <c r="BD194" t="s">
        <v>61</v>
      </c>
      <c r="BE194" t="s">
        <v>61</v>
      </c>
      <c r="BF194" t="s">
        <v>61</v>
      </c>
    </row>
    <row r="195" spans="1:58">
      <c r="A195" t="s">
        <v>58</v>
      </c>
      <c r="B195" t="s">
        <v>1650</v>
      </c>
      <c r="C195" t="s">
        <v>1651</v>
      </c>
      <c r="D195" t="s">
        <v>627</v>
      </c>
      <c r="E195" t="s">
        <v>61</v>
      </c>
      <c r="F195">
        <v>2015</v>
      </c>
      <c r="G195" t="s">
        <v>628</v>
      </c>
      <c r="H195">
        <v>55</v>
      </c>
      <c r="I195">
        <v>2</v>
      </c>
      <c r="J195" t="s">
        <v>1652</v>
      </c>
      <c r="K195" t="s">
        <v>61</v>
      </c>
      <c r="L195" t="s">
        <v>1653</v>
      </c>
      <c r="M195" t="s">
        <v>1654</v>
      </c>
      <c r="N195" t="s">
        <v>1655</v>
      </c>
      <c r="O195" t="s">
        <v>61</v>
      </c>
      <c r="Q195" t="s">
        <v>61</v>
      </c>
      <c r="R195" t="s">
        <v>61</v>
      </c>
      <c r="S195" t="s">
        <v>61</v>
      </c>
      <c r="T195" t="s">
        <v>61</v>
      </c>
      <c r="X195" t="s">
        <v>61</v>
      </c>
      <c r="Y195" t="s">
        <v>632</v>
      </c>
      <c r="Z195" t="s">
        <v>61</v>
      </c>
      <c r="AA195" t="s">
        <v>61</v>
      </c>
      <c r="AB195" t="s">
        <v>61</v>
      </c>
      <c r="AC195" t="s">
        <v>67</v>
      </c>
      <c r="AD195" t="s">
        <v>61</v>
      </c>
      <c r="AE195" t="s">
        <v>61</v>
      </c>
      <c r="AF195" t="s">
        <v>61</v>
      </c>
      <c r="AG195" t="s">
        <v>61</v>
      </c>
      <c r="AH195" t="s">
        <v>61</v>
      </c>
      <c r="AI195" t="s">
        <v>61</v>
      </c>
      <c r="AJ195" t="s">
        <v>61</v>
      </c>
      <c r="AK195" t="s">
        <v>61</v>
      </c>
      <c r="AL195" t="s">
        <v>61</v>
      </c>
      <c r="AM195" t="s">
        <v>1651</v>
      </c>
      <c r="AN195" t="s">
        <v>61</v>
      </c>
      <c r="AO195" t="s">
        <v>61</v>
      </c>
      <c r="AP195" t="s">
        <v>61</v>
      </c>
      <c r="AQ195" t="s">
        <v>61</v>
      </c>
      <c r="AR195" t="s">
        <v>61</v>
      </c>
      <c r="AS195" t="s">
        <v>61</v>
      </c>
      <c r="AT195" t="s">
        <v>61</v>
      </c>
      <c r="AU195" t="s">
        <v>61</v>
      </c>
      <c r="AV195" t="s">
        <v>61</v>
      </c>
      <c r="AW195" t="s">
        <v>61</v>
      </c>
      <c r="AX195" t="s">
        <v>61</v>
      </c>
      <c r="AY195" t="s">
        <v>61</v>
      </c>
      <c r="AZ195" t="s">
        <v>61</v>
      </c>
      <c r="BA195" t="s">
        <v>61</v>
      </c>
      <c r="BB195" t="s">
        <v>61</v>
      </c>
      <c r="BC195" t="s">
        <v>61</v>
      </c>
      <c r="BD195" t="s">
        <v>61</v>
      </c>
      <c r="BE195" t="s">
        <v>61</v>
      </c>
      <c r="BF195" t="s">
        <v>61</v>
      </c>
    </row>
    <row r="196" spans="1:58">
      <c r="A196" t="s">
        <v>58</v>
      </c>
      <c r="B196" t="s">
        <v>1656</v>
      </c>
      <c r="C196" t="s">
        <v>1657</v>
      </c>
      <c r="D196" t="s">
        <v>271</v>
      </c>
      <c r="E196" t="s">
        <v>272</v>
      </c>
      <c r="F196">
        <v>2002</v>
      </c>
      <c r="G196" t="s">
        <v>1332</v>
      </c>
      <c r="H196">
        <v>42</v>
      </c>
      <c r="I196">
        <v>6</v>
      </c>
      <c r="J196" t="s">
        <v>832</v>
      </c>
      <c r="K196">
        <v>9</v>
      </c>
      <c r="L196" t="s">
        <v>1658</v>
      </c>
      <c r="M196" t="s">
        <v>1659</v>
      </c>
      <c r="N196" t="s">
        <v>1660</v>
      </c>
      <c r="O196" t="s">
        <v>61</v>
      </c>
      <c r="Q196" t="s">
        <v>61</v>
      </c>
      <c r="R196" t="s">
        <v>61</v>
      </c>
      <c r="S196" t="s">
        <v>61</v>
      </c>
      <c r="T196" t="s">
        <v>61</v>
      </c>
      <c r="X196" t="s">
        <v>61</v>
      </c>
      <c r="Y196" t="s">
        <v>1661</v>
      </c>
      <c r="Z196" t="s">
        <v>61</v>
      </c>
      <c r="AA196" t="s">
        <v>1662</v>
      </c>
      <c r="AB196">
        <v>12489613</v>
      </c>
      <c r="AC196" t="s">
        <v>67</v>
      </c>
      <c r="AD196" t="s">
        <v>61</v>
      </c>
      <c r="AE196" t="s">
        <v>61</v>
      </c>
      <c r="AF196" t="s">
        <v>61</v>
      </c>
      <c r="AG196" t="s">
        <v>1663</v>
      </c>
      <c r="AH196" t="s">
        <v>61</v>
      </c>
      <c r="AI196" t="s">
        <v>61</v>
      </c>
      <c r="AJ196" t="s">
        <v>61</v>
      </c>
      <c r="AK196" t="s">
        <v>61</v>
      </c>
      <c r="AL196" t="s">
        <v>61</v>
      </c>
      <c r="AM196" t="s">
        <v>1664</v>
      </c>
      <c r="AN196" t="s">
        <v>61</v>
      </c>
      <c r="AO196" t="s">
        <v>61</v>
      </c>
      <c r="AP196" t="s">
        <v>61</v>
      </c>
      <c r="AQ196" t="s">
        <v>61</v>
      </c>
      <c r="AR196" t="s">
        <v>61</v>
      </c>
      <c r="AS196" t="s">
        <v>61</v>
      </c>
      <c r="AT196" t="s">
        <v>61</v>
      </c>
      <c r="AU196" t="s">
        <v>61</v>
      </c>
      <c r="AV196" t="s">
        <v>61</v>
      </c>
      <c r="AW196" t="s">
        <v>61</v>
      </c>
      <c r="AX196" t="s">
        <v>61</v>
      </c>
      <c r="AY196" t="s">
        <v>61</v>
      </c>
      <c r="AZ196" t="s">
        <v>61</v>
      </c>
      <c r="BA196" t="s">
        <v>61</v>
      </c>
      <c r="BB196" t="s">
        <v>61</v>
      </c>
      <c r="BC196" t="s">
        <v>61</v>
      </c>
      <c r="BD196" t="s">
        <v>61</v>
      </c>
      <c r="BE196" t="s">
        <v>61</v>
      </c>
      <c r="BF196" t="s">
        <v>61</v>
      </c>
    </row>
    <row r="197" spans="1:58">
      <c r="A197" t="s">
        <v>58</v>
      </c>
      <c r="B197" t="s">
        <v>1665</v>
      </c>
      <c r="C197" t="s">
        <v>1666</v>
      </c>
      <c r="D197" t="s">
        <v>271</v>
      </c>
      <c r="E197" t="s">
        <v>272</v>
      </c>
      <c r="F197">
        <v>2002</v>
      </c>
      <c r="G197" t="s">
        <v>1667</v>
      </c>
      <c r="H197">
        <v>42</v>
      </c>
      <c r="I197">
        <v>3</v>
      </c>
      <c r="J197">
        <v>432</v>
      </c>
      <c r="K197">
        <v>438</v>
      </c>
      <c r="L197" t="s">
        <v>1668</v>
      </c>
      <c r="M197" t="s">
        <v>1669</v>
      </c>
      <c r="N197" t="s">
        <v>1670</v>
      </c>
      <c r="O197" t="s">
        <v>61</v>
      </c>
      <c r="Q197" t="s">
        <v>61</v>
      </c>
      <c r="R197" t="s">
        <v>61</v>
      </c>
      <c r="S197" t="s">
        <v>61</v>
      </c>
      <c r="T197" t="s">
        <v>61</v>
      </c>
      <c r="X197" t="s">
        <v>61</v>
      </c>
      <c r="Y197" t="s">
        <v>1661</v>
      </c>
      <c r="Z197" t="s">
        <v>61</v>
      </c>
      <c r="AA197" t="s">
        <v>1671</v>
      </c>
      <c r="AB197">
        <v>12030630</v>
      </c>
      <c r="AC197" t="s">
        <v>67</v>
      </c>
      <c r="AD197" t="s">
        <v>61</v>
      </c>
      <c r="AE197" t="s">
        <v>61</v>
      </c>
      <c r="AF197" t="s">
        <v>61</v>
      </c>
      <c r="AG197" t="s">
        <v>1672</v>
      </c>
      <c r="AH197" t="s">
        <v>61</v>
      </c>
      <c r="AI197" t="s">
        <v>61</v>
      </c>
      <c r="AJ197" t="s">
        <v>61</v>
      </c>
      <c r="AK197" t="s">
        <v>61</v>
      </c>
      <c r="AL197" t="s">
        <v>61</v>
      </c>
      <c r="AM197" t="s">
        <v>1673</v>
      </c>
      <c r="AN197" t="s">
        <v>61</v>
      </c>
      <c r="AO197" t="s">
        <v>61</v>
      </c>
      <c r="AP197" t="s">
        <v>61</v>
      </c>
      <c r="AQ197" t="s">
        <v>61</v>
      </c>
      <c r="AR197" t="s">
        <v>61</v>
      </c>
      <c r="AS197" t="s">
        <v>61</v>
      </c>
      <c r="AT197" t="s">
        <v>61</v>
      </c>
      <c r="AU197" t="s">
        <v>61</v>
      </c>
      <c r="AV197" t="s">
        <v>61</v>
      </c>
      <c r="AW197" t="s">
        <v>61</v>
      </c>
      <c r="AX197" t="s">
        <v>61</v>
      </c>
      <c r="AY197" t="s">
        <v>61</v>
      </c>
      <c r="AZ197" t="s">
        <v>61</v>
      </c>
      <c r="BA197" t="s">
        <v>61</v>
      </c>
      <c r="BB197" t="s">
        <v>61</v>
      </c>
      <c r="BC197" t="s">
        <v>61</v>
      </c>
      <c r="BD197" t="s">
        <v>61</v>
      </c>
      <c r="BE197" t="s">
        <v>61</v>
      </c>
      <c r="BF197" t="s">
        <v>61</v>
      </c>
    </row>
    <row r="198" spans="1:58">
      <c r="A198" t="s">
        <v>58</v>
      </c>
      <c r="B198" t="s">
        <v>1674</v>
      </c>
      <c r="C198" t="s">
        <v>1675</v>
      </c>
      <c r="D198" t="s">
        <v>428</v>
      </c>
      <c r="E198" t="s">
        <v>61</v>
      </c>
      <c r="F198">
        <v>2012</v>
      </c>
      <c r="G198" t="s">
        <v>429</v>
      </c>
      <c r="H198">
        <v>25</v>
      </c>
      <c r="I198">
        <v>2</v>
      </c>
      <c r="J198">
        <v>298</v>
      </c>
      <c r="K198" t="s">
        <v>61</v>
      </c>
      <c r="L198" t="s">
        <v>1676</v>
      </c>
      <c r="M198" t="s">
        <v>1677</v>
      </c>
      <c r="N198" t="s">
        <v>1678</v>
      </c>
      <c r="O198" t="s">
        <v>61</v>
      </c>
      <c r="Q198" t="s">
        <v>61</v>
      </c>
      <c r="R198" t="s">
        <v>61</v>
      </c>
      <c r="S198" t="s">
        <v>61</v>
      </c>
      <c r="T198" t="s">
        <v>61</v>
      </c>
      <c r="X198" t="s">
        <v>61</v>
      </c>
      <c r="Y198" t="s">
        <v>433</v>
      </c>
      <c r="Z198" t="s">
        <v>61</v>
      </c>
      <c r="AA198" t="s">
        <v>61</v>
      </c>
      <c r="AB198" t="s">
        <v>61</v>
      </c>
      <c r="AC198" t="s">
        <v>67</v>
      </c>
      <c r="AD198" t="s">
        <v>61</v>
      </c>
      <c r="AE198" t="s">
        <v>61</v>
      </c>
      <c r="AF198" t="s">
        <v>61</v>
      </c>
      <c r="AG198" t="s">
        <v>61</v>
      </c>
      <c r="AH198" t="s">
        <v>61</v>
      </c>
      <c r="AI198" t="s">
        <v>61</v>
      </c>
      <c r="AJ198" t="s">
        <v>61</v>
      </c>
      <c r="AK198" t="s">
        <v>61</v>
      </c>
      <c r="AL198" t="s">
        <v>61</v>
      </c>
      <c r="AM198" t="s">
        <v>1675</v>
      </c>
      <c r="AN198" t="s">
        <v>61</v>
      </c>
      <c r="AO198" t="s">
        <v>61</v>
      </c>
      <c r="AP198" t="s">
        <v>61</v>
      </c>
      <c r="AQ198" t="s">
        <v>61</v>
      </c>
      <c r="AR198" t="s">
        <v>61</v>
      </c>
      <c r="AS198" t="s">
        <v>61</v>
      </c>
      <c r="AT198" t="s">
        <v>61</v>
      </c>
      <c r="AU198" t="s">
        <v>61</v>
      </c>
      <c r="AV198" t="s">
        <v>61</v>
      </c>
      <c r="AW198" t="s">
        <v>61</v>
      </c>
      <c r="AX198" t="s">
        <v>61</v>
      </c>
      <c r="AY198" t="s">
        <v>61</v>
      </c>
      <c r="AZ198" t="s">
        <v>61</v>
      </c>
      <c r="BA198" t="s">
        <v>61</v>
      </c>
      <c r="BB198" t="s">
        <v>61</v>
      </c>
      <c r="BC198" t="s">
        <v>61</v>
      </c>
      <c r="BD198" t="s">
        <v>61</v>
      </c>
      <c r="BE198" t="s">
        <v>61</v>
      </c>
      <c r="BF198" t="s">
        <v>61</v>
      </c>
    </row>
    <row r="199" spans="1:58">
      <c r="A199" t="s">
        <v>58</v>
      </c>
      <c r="B199" t="s">
        <v>1679</v>
      </c>
      <c r="C199" t="s">
        <v>1680</v>
      </c>
      <c r="D199" t="s">
        <v>428</v>
      </c>
      <c r="E199" t="s">
        <v>61</v>
      </c>
      <c r="F199">
        <v>2010</v>
      </c>
      <c r="G199" t="s">
        <v>429</v>
      </c>
      <c r="H199">
        <v>23</v>
      </c>
      <c r="I199">
        <v>2</v>
      </c>
      <c r="J199">
        <v>172</v>
      </c>
      <c r="K199">
        <v>173</v>
      </c>
      <c r="L199" t="s">
        <v>1681</v>
      </c>
      <c r="M199" t="s">
        <v>1682</v>
      </c>
      <c r="N199" t="s">
        <v>1683</v>
      </c>
      <c r="O199" t="s">
        <v>61</v>
      </c>
      <c r="Q199" t="s">
        <v>61</v>
      </c>
      <c r="R199" t="s">
        <v>61</v>
      </c>
      <c r="S199" t="s">
        <v>61</v>
      </c>
      <c r="T199" t="s">
        <v>61</v>
      </c>
      <c r="X199" t="s">
        <v>61</v>
      </c>
      <c r="Y199" t="s">
        <v>433</v>
      </c>
      <c r="Z199" t="s">
        <v>61</v>
      </c>
      <c r="AA199" t="s">
        <v>61</v>
      </c>
      <c r="AB199" t="s">
        <v>61</v>
      </c>
      <c r="AC199" t="s">
        <v>67</v>
      </c>
      <c r="AD199" t="s">
        <v>61</v>
      </c>
      <c r="AE199" t="s">
        <v>61</v>
      </c>
      <c r="AF199" t="s">
        <v>61</v>
      </c>
      <c r="AG199" t="s">
        <v>61</v>
      </c>
      <c r="AH199" t="s">
        <v>61</v>
      </c>
      <c r="AI199" t="s">
        <v>61</v>
      </c>
      <c r="AJ199" t="s">
        <v>61</v>
      </c>
      <c r="AK199" t="s">
        <v>61</v>
      </c>
      <c r="AL199" t="s">
        <v>61</v>
      </c>
      <c r="AM199" t="s">
        <v>1680</v>
      </c>
      <c r="AN199" t="s">
        <v>61</v>
      </c>
      <c r="AO199" t="s">
        <v>61</v>
      </c>
      <c r="AP199" t="s">
        <v>61</v>
      </c>
      <c r="AQ199" t="s">
        <v>61</v>
      </c>
      <c r="AR199" t="s">
        <v>61</v>
      </c>
      <c r="AS199" t="s">
        <v>61</v>
      </c>
      <c r="AT199" t="s">
        <v>61</v>
      </c>
      <c r="AU199" t="s">
        <v>61</v>
      </c>
      <c r="AV199" t="s">
        <v>61</v>
      </c>
      <c r="AW199" t="s">
        <v>61</v>
      </c>
      <c r="AX199" t="s">
        <v>61</v>
      </c>
      <c r="AY199" t="s">
        <v>61</v>
      </c>
      <c r="AZ199" t="s">
        <v>61</v>
      </c>
      <c r="BA199" t="s">
        <v>61</v>
      </c>
      <c r="BB199" t="s">
        <v>61</v>
      </c>
      <c r="BC199" t="s">
        <v>61</v>
      </c>
      <c r="BD199" t="s">
        <v>61</v>
      </c>
      <c r="BE199" t="s">
        <v>61</v>
      </c>
      <c r="BF199" t="s">
        <v>61</v>
      </c>
    </row>
    <row r="200" spans="1:58">
      <c r="A200" t="s">
        <v>58</v>
      </c>
      <c r="B200" t="s">
        <v>1684</v>
      </c>
      <c r="C200" t="s">
        <v>1685</v>
      </c>
      <c r="D200" t="s">
        <v>408</v>
      </c>
      <c r="E200" t="s">
        <v>408</v>
      </c>
      <c r="F200">
        <v>2015</v>
      </c>
      <c r="G200" t="s">
        <v>409</v>
      </c>
      <c r="H200">
        <v>35</v>
      </c>
      <c r="I200">
        <v>11</v>
      </c>
      <c r="J200" t="s">
        <v>1686</v>
      </c>
      <c r="K200" t="s">
        <v>1687</v>
      </c>
      <c r="L200" t="s">
        <v>1688</v>
      </c>
      <c r="M200" t="s">
        <v>1689</v>
      </c>
      <c r="N200" t="s">
        <v>1690</v>
      </c>
      <c r="O200" t="s">
        <v>61</v>
      </c>
      <c r="Q200" t="s">
        <v>61</v>
      </c>
      <c r="R200" t="s">
        <v>61</v>
      </c>
      <c r="S200" t="s">
        <v>61</v>
      </c>
      <c r="T200" t="s">
        <v>61</v>
      </c>
      <c r="X200" t="s">
        <v>61</v>
      </c>
      <c r="Y200" t="s">
        <v>414</v>
      </c>
      <c r="Z200" t="s">
        <v>61</v>
      </c>
      <c r="AA200" t="s">
        <v>61</v>
      </c>
      <c r="AB200" t="s">
        <v>61</v>
      </c>
      <c r="AC200" t="s">
        <v>67</v>
      </c>
      <c r="AD200" t="s">
        <v>61</v>
      </c>
      <c r="AE200" t="s">
        <v>61</v>
      </c>
      <c r="AF200" t="s">
        <v>61</v>
      </c>
      <c r="AG200" t="s">
        <v>61</v>
      </c>
      <c r="AH200" t="s">
        <v>61</v>
      </c>
      <c r="AI200" t="s">
        <v>61</v>
      </c>
      <c r="AJ200" t="s">
        <v>61</v>
      </c>
      <c r="AK200" t="s">
        <v>61</v>
      </c>
      <c r="AL200" t="s">
        <v>61</v>
      </c>
      <c r="AM200" t="s">
        <v>1685</v>
      </c>
      <c r="AN200" t="s">
        <v>61</v>
      </c>
      <c r="AO200" t="s">
        <v>61</v>
      </c>
      <c r="AP200" t="s">
        <v>61</v>
      </c>
      <c r="AQ200" t="s">
        <v>61</v>
      </c>
      <c r="AR200" t="s">
        <v>61</v>
      </c>
      <c r="AS200" t="s">
        <v>61</v>
      </c>
      <c r="AT200" t="s">
        <v>61</v>
      </c>
      <c r="AU200" t="s">
        <v>61</v>
      </c>
      <c r="AV200" t="s">
        <v>61</v>
      </c>
      <c r="AW200" t="s">
        <v>61</v>
      </c>
      <c r="AX200" t="s">
        <v>61</v>
      </c>
      <c r="AY200" t="s">
        <v>61</v>
      </c>
      <c r="AZ200" t="s">
        <v>61</v>
      </c>
      <c r="BA200" t="s">
        <v>61</v>
      </c>
      <c r="BB200" t="s">
        <v>61</v>
      </c>
      <c r="BC200" t="s">
        <v>61</v>
      </c>
      <c r="BD200" t="s">
        <v>61</v>
      </c>
      <c r="BE200" t="s">
        <v>61</v>
      </c>
      <c r="BF200" t="s">
        <v>61</v>
      </c>
    </row>
    <row r="201" spans="1:58">
      <c r="A201" t="s">
        <v>58</v>
      </c>
      <c r="B201" t="s">
        <v>1691</v>
      </c>
      <c r="C201" t="s">
        <v>1692</v>
      </c>
      <c r="D201" t="s">
        <v>408</v>
      </c>
      <c r="E201" t="s">
        <v>408</v>
      </c>
      <c r="F201">
        <v>2015</v>
      </c>
      <c r="G201" t="s">
        <v>409</v>
      </c>
      <c r="H201">
        <v>35</v>
      </c>
      <c r="I201">
        <v>11</v>
      </c>
      <c r="J201" t="s">
        <v>1693</v>
      </c>
      <c r="K201" t="s">
        <v>1686</v>
      </c>
      <c r="L201" t="s">
        <v>1694</v>
      </c>
      <c r="M201" t="s">
        <v>1695</v>
      </c>
      <c r="N201" t="s">
        <v>1696</v>
      </c>
      <c r="O201" t="s">
        <v>61</v>
      </c>
      <c r="Q201" t="s">
        <v>61</v>
      </c>
      <c r="R201" t="s">
        <v>61</v>
      </c>
      <c r="S201" t="s">
        <v>61</v>
      </c>
      <c r="T201" t="s">
        <v>61</v>
      </c>
      <c r="X201" t="s">
        <v>61</v>
      </c>
      <c r="Y201" t="s">
        <v>414</v>
      </c>
      <c r="Z201" t="s">
        <v>61</v>
      </c>
      <c r="AA201" t="s">
        <v>61</v>
      </c>
      <c r="AB201" t="s">
        <v>61</v>
      </c>
      <c r="AC201" t="s">
        <v>67</v>
      </c>
      <c r="AD201" t="s">
        <v>61</v>
      </c>
      <c r="AE201" t="s">
        <v>61</v>
      </c>
      <c r="AF201" t="s">
        <v>61</v>
      </c>
      <c r="AG201" t="s">
        <v>61</v>
      </c>
      <c r="AH201" t="s">
        <v>61</v>
      </c>
      <c r="AI201" t="s">
        <v>61</v>
      </c>
      <c r="AJ201" t="s">
        <v>61</v>
      </c>
      <c r="AK201" t="s">
        <v>61</v>
      </c>
      <c r="AL201" t="s">
        <v>61</v>
      </c>
      <c r="AM201" t="s">
        <v>1692</v>
      </c>
      <c r="AN201" t="s">
        <v>61</v>
      </c>
      <c r="AO201" t="s">
        <v>61</v>
      </c>
      <c r="AP201" t="s">
        <v>61</v>
      </c>
      <c r="AQ201" t="s">
        <v>61</v>
      </c>
      <c r="AR201" t="s">
        <v>61</v>
      </c>
      <c r="AS201" t="s">
        <v>61</v>
      </c>
      <c r="AT201" t="s">
        <v>61</v>
      </c>
      <c r="AU201" t="s">
        <v>61</v>
      </c>
      <c r="AV201" t="s">
        <v>61</v>
      </c>
      <c r="AW201" t="s">
        <v>61</v>
      </c>
      <c r="AX201" t="s">
        <v>61</v>
      </c>
      <c r="AY201" t="s">
        <v>61</v>
      </c>
      <c r="AZ201" t="s">
        <v>61</v>
      </c>
      <c r="BA201" t="s">
        <v>61</v>
      </c>
      <c r="BB201" t="s">
        <v>61</v>
      </c>
      <c r="BC201" t="s">
        <v>61</v>
      </c>
      <c r="BD201" t="s">
        <v>61</v>
      </c>
      <c r="BE201" t="s">
        <v>61</v>
      </c>
      <c r="BF201" t="s">
        <v>61</v>
      </c>
    </row>
    <row r="202" spans="1:58">
      <c r="A202" t="s">
        <v>58</v>
      </c>
      <c r="B202" t="s">
        <v>1697</v>
      </c>
      <c r="C202" t="s">
        <v>1698</v>
      </c>
      <c r="D202" t="s">
        <v>1699</v>
      </c>
      <c r="E202" t="s">
        <v>61</v>
      </c>
      <c r="F202">
        <v>2012</v>
      </c>
      <c r="G202" t="s">
        <v>119</v>
      </c>
      <c r="H202">
        <v>26</v>
      </c>
      <c r="I202">
        <v>6</v>
      </c>
      <c r="J202">
        <v>766</v>
      </c>
      <c r="K202">
        <v>770</v>
      </c>
      <c r="L202" t="s">
        <v>1700</v>
      </c>
      <c r="M202" t="s">
        <v>1701</v>
      </c>
      <c r="N202" t="s">
        <v>1702</v>
      </c>
      <c r="O202" t="s">
        <v>61</v>
      </c>
      <c r="Q202" t="s">
        <v>61</v>
      </c>
      <c r="R202" t="s">
        <v>61</v>
      </c>
      <c r="S202" t="s">
        <v>61</v>
      </c>
      <c r="T202" t="s">
        <v>61</v>
      </c>
      <c r="X202" t="s">
        <v>61</v>
      </c>
      <c r="Y202" t="s">
        <v>1703</v>
      </c>
      <c r="Z202" t="s">
        <v>61</v>
      </c>
      <c r="AA202" t="s">
        <v>1704</v>
      </c>
      <c r="AB202">
        <v>21890596</v>
      </c>
      <c r="AC202" t="s">
        <v>67</v>
      </c>
      <c r="AD202" t="s">
        <v>61</v>
      </c>
      <c r="AE202" t="s">
        <v>61</v>
      </c>
      <c r="AF202" t="s">
        <v>61</v>
      </c>
      <c r="AG202" t="s">
        <v>1705</v>
      </c>
      <c r="AH202" t="s">
        <v>61</v>
      </c>
      <c r="AI202" t="s">
        <v>1706</v>
      </c>
      <c r="AJ202" t="s">
        <v>61</v>
      </c>
      <c r="AK202" t="s">
        <v>61</v>
      </c>
      <c r="AL202" t="s">
        <v>61</v>
      </c>
      <c r="AM202" t="s">
        <v>1707</v>
      </c>
      <c r="AN202" t="s">
        <v>61</v>
      </c>
      <c r="AO202" t="s">
        <v>61</v>
      </c>
      <c r="AP202" t="s">
        <v>61</v>
      </c>
      <c r="AQ202" t="s">
        <v>61</v>
      </c>
      <c r="AR202" t="s">
        <v>61</v>
      </c>
      <c r="AS202" t="s">
        <v>61</v>
      </c>
      <c r="AT202" t="s">
        <v>61</v>
      </c>
      <c r="AU202" t="s">
        <v>61</v>
      </c>
      <c r="AV202" t="s">
        <v>61</v>
      </c>
      <c r="AW202" t="s">
        <v>61</v>
      </c>
      <c r="AX202" t="s">
        <v>61</v>
      </c>
      <c r="AY202" t="s">
        <v>61</v>
      </c>
      <c r="AZ202" t="s">
        <v>61</v>
      </c>
      <c r="BA202" t="s">
        <v>61</v>
      </c>
      <c r="BB202" t="s">
        <v>61</v>
      </c>
      <c r="BC202" t="s">
        <v>61</v>
      </c>
      <c r="BD202" t="s">
        <v>61</v>
      </c>
      <c r="BE202" t="s">
        <v>61</v>
      </c>
      <c r="BF202" t="s">
        <v>61</v>
      </c>
    </row>
    <row r="203" spans="1:58">
      <c r="A203" t="s">
        <v>58</v>
      </c>
      <c r="B203" t="s">
        <v>1708</v>
      </c>
      <c r="C203" t="s">
        <v>1709</v>
      </c>
      <c r="D203" t="s">
        <v>1710</v>
      </c>
      <c r="E203" t="s">
        <v>61</v>
      </c>
      <c r="F203">
        <v>2012</v>
      </c>
      <c r="G203" t="s">
        <v>61</v>
      </c>
      <c r="H203">
        <v>5</v>
      </c>
      <c r="I203">
        <v>1</v>
      </c>
      <c r="J203">
        <v>113</v>
      </c>
      <c r="K203">
        <v>114</v>
      </c>
      <c r="L203" t="s">
        <v>1711</v>
      </c>
      <c r="M203" t="s">
        <v>1712</v>
      </c>
      <c r="N203" t="s">
        <v>1713</v>
      </c>
      <c r="O203" t="s">
        <v>61</v>
      </c>
      <c r="Q203" t="s">
        <v>61</v>
      </c>
      <c r="R203" t="s">
        <v>61</v>
      </c>
      <c r="S203" t="s">
        <v>61</v>
      </c>
      <c r="T203" t="s">
        <v>61</v>
      </c>
      <c r="X203" t="s">
        <v>61</v>
      </c>
      <c r="Y203" t="s">
        <v>1714</v>
      </c>
      <c r="Z203" t="s">
        <v>61</v>
      </c>
      <c r="AA203" t="s">
        <v>61</v>
      </c>
      <c r="AB203" t="s">
        <v>61</v>
      </c>
      <c r="AC203" t="s">
        <v>67</v>
      </c>
      <c r="AD203" t="s">
        <v>61</v>
      </c>
      <c r="AE203" t="s">
        <v>61</v>
      </c>
      <c r="AF203" t="s">
        <v>61</v>
      </c>
      <c r="AG203" t="s">
        <v>61</v>
      </c>
      <c r="AH203" t="s">
        <v>61</v>
      </c>
      <c r="AI203" t="s">
        <v>61</v>
      </c>
      <c r="AJ203" t="s">
        <v>61</v>
      </c>
      <c r="AK203" t="s">
        <v>61</v>
      </c>
      <c r="AL203" t="s">
        <v>61</v>
      </c>
      <c r="AM203" t="s">
        <v>1709</v>
      </c>
      <c r="AN203" t="s">
        <v>61</v>
      </c>
      <c r="AO203" t="s">
        <v>61</v>
      </c>
      <c r="AP203" t="s">
        <v>61</v>
      </c>
      <c r="AQ203" t="s">
        <v>61</v>
      </c>
      <c r="AR203" t="s">
        <v>61</v>
      </c>
      <c r="AS203" t="s">
        <v>61</v>
      </c>
      <c r="AT203" t="s">
        <v>61</v>
      </c>
      <c r="AU203" t="s">
        <v>61</v>
      </c>
      <c r="AV203" t="s">
        <v>61</v>
      </c>
      <c r="AW203" t="s">
        <v>61</v>
      </c>
      <c r="AX203" t="s">
        <v>61</v>
      </c>
      <c r="AY203" t="s">
        <v>61</v>
      </c>
      <c r="AZ203" t="s">
        <v>61</v>
      </c>
      <c r="BA203" t="s">
        <v>61</v>
      </c>
      <c r="BB203" t="s">
        <v>61</v>
      </c>
      <c r="BC203" t="s">
        <v>61</v>
      </c>
      <c r="BD203" t="s">
        <v>61</v>
      </c>
      <c r="BE203" t="s">
        <v>61</v>
      </c>
      <c r="BF203" t="s">
        <v>61</v>
      </c>
    </row>
    <row r="204" spans="1:58">
      <c r="A204" t="s">
        <v>58</v>
      </c>
      <c r="B204" t="s">
        <v>1715</v>
      </c>
      <c r="C204" t="s">
        <v>1716</v>
      </c>
      <c r="D204" t="s">
        <v>1582</v>
      </c>
      <c r="E204" t="s">
        <v>1582</v>
      </c>
      <c r="F204">
        <v>2009</v>
      </c>
      <c r="G204" t="s">
        <v>559</v>
      </c>
      <c r="H204" t="s">
        <v>1717</v>
      </c>
      <c r="I204" t="s">
        <v>61</v>
      </c>
      <c r="J204" t="s">
        <v>1718</v>
      </c>
      <c r="K204">
        <v>8</v>
      </c>
      <c r="L204" t="s">
        <v>1719</v>
      </c>
      <c r="M204" t="s">
        <v>1720</v>
      </c>
      <c r="N204" t="s">
        <v>1721</v>
      </c>
      <c r="O204" t="s">
        <v>61</v>
      </c>
      <c r="Q204" t="s">
        <v>61</v>
      </c>
      <c r="R204" t="s">
        <v>61</v>
      </c>
      <c r="S204" t="s">
        <v>61</v>
      </c>
      <c r="T204" t="s">
        <v>61</v>
      </c>
      <c r="X204" t="s">
        <v>61</v>
      </c>
      <c r="Y204" t="s">
        <v>1722</v>
      </c>
      <c r="Z204" t="s">
        <v>61</v>
      </c>
      <c r="AA204" t="s">
        <v>1723</v>
      </c>
      <c r="AB204">
        <v>19434557</v>
      </c>
      <c r="AC204" t="s">
        <v>67</v>
      </c>
      <c r="AD204" t="s">
        <v>61</v>
      </c>
      <c r="AE204" t="s">
        <v>61</v>
      </c>
      <c r="AF204" t="s">
        <v>61</v>
      </c>
      <c r="AG204" t="s">
        <v>1724</v>
      </c>
      <c r="AH204" t="s">
        <v>61</v>
      </c>
      <c r="AI204" t="s">
        <v>1725</v>
      </c>
      <c r="AJ204" t="s">
        <v>61</v>
      </c>
      <c r="AK204" t="s">
        <v>61</v>
      </c>
      <c r="AL204" t="s">
        <v>61</v>
      </c>
      <c r="AM204" t="s">
        <v>1726</v>
      </c>
      <c r="AN204" t="s">
        <v>61</v>
      </c>
      <c r="AO204" t="s">
        <v>61</v>
      </c>
      <c r="AP204" t="s">
        <v>61</v>
      </c>
      <c r="AQ204" t="s">
        <v>61</v>
      </c>
      <c r="AR204" t="s">
        <v>61</v>
      </c>
      <c r="AS204" t="s">
        <v>61</v>
      </c>
      <c r="AT204" t="s">
        <v>61</v>
      </c>
      <c r="AU204" t="s">
        <v>61</v>
      </c>
      <c r="AV204" t="s">
        <v>61</v>
      </c>
      <c r="AW204" t="s">
        <v>61</v>
      </c>
      <c r="AX204" t="s">
        <v>61</v>
      </c>
      <c r="AY204" t="s">
        <v>61</v>
      </c>
      <c r="AZ204" t="s">
        <v>61</v>
      </c>
      <c r="BA204" t="s">
        <v>61</v>
      </c>
      <c r="BB204" t="s">
        <v>61</v>
      </c>
      <c r="BC204" t="s">
        <v>61</v>
      </c>
      <c r="BD204" t="s">
        <v>61</v>
      </c>
      <c r="BE204" t="s">
        <v>61</v>
      </c>
      <c r="BF204" t="s">
        <v>61</v>
      </c>
    </row>
    <row r="205" spans="1:58">
      <c r="A205" t="s">
        <v>58</v>
      </c>
      <c r="B205" t="s">
        <v>1727</v>
      </c>
      <c r="C205" t="s">
        <v>1728</v>
      </c>
      <c r="D205" t="s">
        <v>1729</v>
      </c>
      <c r="E205" t="s">
        <v>1730</v>
      </c>
      <c r="F205">
        <v>1997</v>
      </c>
      <c r="G205" s="1">
        <v>42656</v>
      </c>
      <c r="H205">
        <v>157</v>
      </c>
      <c r="I205">
        <v>18</v>
      </c>
      <c r="J205">
        <v>2089</v>
      </c>
      <c r="K205">
        <v>2096</v>
      </c>
      <c r="L205" t="s">
        <v>1731</v>
      </c>
      <c r="M205" t="s">
        <v>1732</v>
      </c>
      <c r="N205" t="s">
        <v>1733</v>
      </c>
      <c r="O205" t="s">
        <v>61</v>
      </c>
      <c r="Q205" t="s">
        <v>61</v>
      </c>
      <c r="R205" t="s">
        <v>61</v>
      </c>
      <c r="S205" t="s">
        <v>61</v>
      </c>
      <c r="T205" t="s">
        <v>61</v>
      </c>
      <c r="X205" t="s">
        <v>61</v>
      </c>
      <c r="Y205" s="2">
        <v>2931497</v>
      </c>
      <c r="Z205" t="s">
        <v>61</v>
      </c>
      <c r="AA205" t="s">
        <v>1734</v>
      </c>
      <c r="AB205">
        <v>9382665</v>
      </c>
      <c r="AC205" t="s">
        <v>67</v>
      </c>
      <c r="AD205" t="s">
        <v>61</v>
      </c>
      <c r="AE205" t="s">
        <v>61</v>
      </c>
      <c r="AF205" t="s">
        <v>61</v>
      </c>
      <c r="AG205" t="s">
        <v>1735</v>
      </c>
      <c r="AH205" t="s">
        <v>61</v>
      </c>
      <c r="AI205" t="s">
        <v>61</v>
      </c>
      <c r="AJ205" t="s">
        <v>61</v>
      </c>
      <c r="AK205" t="s">
        <v>61</v>
      </c>
      <c r="AL205" t="s">
        <v>61</v>
      </c>
      <c r="AM205" t="s">
        <v>1736</v>
      </c>
      <c r="AN205" t="s">
        <v>61</v>
      </c>
      <c r="AO205" t="s">
        <v>61</v>
      </c>
      <c r="AP205" t="s">
        <v>61</v>
      </c>
      <c r="AQ205" t="s">
        <v>61</v>
      </c>
      <c r="AR205" t="s">
        <v>61</v>
      </c>
      <c r="AS205" t="s">
        <v>61</v>
      </c>
      <c r="AT205" t="s">
        <v>61</v>
      </c>
      <c r="AU205" t="s">
        <v>61</v>
      </c>
      <c r="AV205" t="s">
        <v>61</v>
      </c>
      <c r="AW205" t="s">
        <v>61</v>
      </c>
      <c r="AX205" t="s">
        <v>61</v>
      </c>
      <c r="AY205" t="s">
        <v>61</v>
      </c>
      <c r="AZ205" t="s">
        <v>61</v>
      </c>
      <c r="BA205" t="s">
        <v>61</v>
      </c>
      <c r="BB205" t="s">
        <v>61</v>
      </c>
      <c r="BC205" t="s">
        <v>61</v>
      </c>
      <c r="BD205" t="s">
        <v>61</v>
      </c>
      <c r="BE205" t="s">
        <v>61</v>
      </c>
      <c r="BF205" t="s">
        <v>61</v>
      </c>
    </row>
    <row r="206" spans="1:58">
      <c r="A206" t="s">
        <v>58</v>
      </c>
      <c r="B206" t="s">
        <v>1737</v>
      </c>
      <c r="C206" t="s">
        <v>1738</v>
      </c>
      <c r="D206" t="s">
        <v>1739</v>
      </c>
      <c r="E206" t="s">
        <v>1740</v>
      </c>
      <c r="F206">
        <v>1994</v>
      </c>
      <c r="G206" s="1">
        <v>42444</v>
      </c>
      <c r="H206">
        <v>51</v>
      </c>
      <c r="I206">
        <v>6</v>
      </c>
      <c r="J206">
        <v>772</v>
      </c>
      <c r="K206">
        <v>777</v>
      </c>
      <c r="L206" t="s">
        <v>1741</v>
      </c>
      <c r="M206" t="s">
        <v>1742</v>
      </c>
      <c r="N206" t="s">
        <v>1743</v>
      </c>
      <c r="O206" t="s">
        <v>61</v>
      </c>
      <c r="Q206" t="s">
        <v>61</v>
      </c>
      <c r="R206" t="s">
        <v>61</v>
      </c>
      <c r="S206" t="s">
        <v>61</v>
      </c>
      <c r="T206" t="s">
        <v>61</v>
      </c>
      <c r="X206" t="s">
        <v>61</v>
      </c>
      <c r="Y206" s="2">
        <v>2698811</v>
      </c>
      <c r="Z206" t="s">
        <v>61</v>
      </c>
      <c r="AA206" t="s">
        <v>1744</v>
      </c>
      <c r="AB206">
        <v>8010315</v>
      </c>
      <c r="AC206" t="s">
        <v>67</v>
      </c>
      <c r="AD206" t="s">
        <v>61</v>
      </c>
      <c r="AE206" t="s">
        <v>61</v>
      </c>
      <c r="AF206" t="s">
        <v>61</v>
      </c>
      <c r="AG206" t="s">
        <v>1745</v>
      </c>
      <c r="AH206" t="s">
        <v>61</v>
      </c>
      <c r="AI206" t="s">
        <v>61</v>
      </c>
      <c r="AJ206" t="s">
        <v>61</v>
      </c>
      <c r="AK206" t="s">
        <v>61</v>
      </c>
      <c r="AL206" t="s">
        <v>61</v>
      </c>
      <c r="AM206" t="s">
        <v>1746</v>
      </c>
      <c r="AN206" t="s">
        <v>61</v>
      </c>
      <c r="AO206" t="s">
        <v>61</v>
      </c>
      <c r="AP206" t="s">
        <v>61</v>
      </c>
      <c r="AQ206" t="s">
        <v>61</v>
      </c>
      <c r="AR206" t="s">
        <v>61</v>
      </c>
      <c r="AS206" t="s">
        <v>61</v>
      </c>
      <c r="AT206" t="s">
        <v>61</v>
      </c>
      <c r="AU206" t="s">
        <v>61</v>
      </c>
      <c r="AV206" t="s">
        <v>61</v>
      </c>
      <c r="AW206" t="s">
        <v>61</v>
      </c>
      <c r="AX206" t="s">
        <v>61</v>
      </c>
      <c r="AY206" t="s">
        <v>61</v>
      </c>
      <c r="AZ206" t="s">
        <v>61</v>
      </c>
      <c r="BA206" t="s">
        <v>61</v>
      </c>
      <c r="BB206" t="s">
        <v>61</v>
      </c>
      <c r="BC206" t="s">
        <v>61</v>
      </c>
      <c r="BD206" t="s">
        <v>61</v>
      </c>
      <c r="BE206" t="s">
        <v>61</v>
      </c>
      <c r="BF206" t="s">
        <v>61</v>
      </c>
    </row>
    <row r="207" spans="1:58">
      <c r="A207" t="s">
        <v>58</v>
      </c>
      <c r="B207" t="s">
        <v>1747</v>
      </c>
      <c r="C207" t="s">
        <v>1748</v>
      </c>
      <c r="D207" t="s">
        <v>1749</v>
      </c>
      <c r="E207" t="s">
        <v>1750</v>
      </c>
      <c r="F207">
        <v>2011</v>
      </c>
      <c r="G207" t="s">
        <v>363</v>
      </c>
      <c r="H207">
        <v>67</v>
      </c>
      <c r="I207">
        <v>1</v>
      </c>
      <c r="J207">
        <v>79</v>
      </c>
      <c r="K207">
        <v>89</v>
      </c>
      <c r="L207" t="s">
        <v>1751</v>
      </c>
      <c r="M207" t="s">
        <v>1752</v>
      </c>
      <c r="N207" t="s">
        <v>1753</v>
      </c>
      <c r="O207" t="s">
        <v>61</v>
      </c>
      <c r="Q207" t="s">
        <v>61</v>
      </c>
      <c r="R207" t="s">
        <v>61</v>
      </c>
      <c r="S207" t="s">
        <v>61</v>
      </c>
      <c r="T207" t="s">
        <v>61</v>
      </c>
      <c r="X207" t="s">
        <v>61</v>
      </c>
      <c r="Y207" t="s">
        <v>1754</v>
      </c>
      <c r="Z207" t="s">
        <v>61</v>
      </c>
      <c r="AA207" t="s">
        <v>1755</v>
      </c>
      <c r="AB207">
        <v>20853103</v>
      </c>
      <c r="AC207" t="s">
        <v>67</v>
      </c>
      <c r="AD207" t="s">
        <v>61</v>
      </c>
      <c r="AE207" t="s">
        <v>61</v>
      </c>
      <c r="AF207" t="s">
        <v>61</v>
      </c>
      <c r="AG207" t="s">
        <v>1756</v>
      </c>
      <c r="AH207" t="s">
        <v>61</v>
      </c>
      <c r="AI207" t="s">
        <v>1757</v>
      </c>
      <c r="AJ207" t="s">
        <v>61</v>
      </c>
      <c r="AK207" t="s">
        <v>61</v>
      </c>
      <c r="AL207" t="s">
        <v>61</v>
      </c>
      <c r="AM207" t="s">
        <v>1758</v>
      </c>
      <c r="AN207" t="s">
        <v>61</v>
      </c>
      <c r="AO207" t="s">
        <v>61</v>
      </c>
      <c r="AP207" t="s">
        <v>61</v>
      </c>
      <c r="AQ207" t="s">
        <v>61</v>
      </c>
      <c r="AR207" t="s">
        <v>61</v>
      </c>
      <c r="AS207" t="s">
        <v>61</v>
      </c>
      <c r="AT207" t="s">
        <v>61</v>
      </c>
      <c r="AU207" t="s">
        <v>61</v>
      </c>
      <c r="AV207" t="s">
        <v>61</v>
      </c>
      <c r="AW207" t="s">
        <v>61</v>
      </c>
      <c r="AX207" t="s">
        <v>61</v>
      </c>
      <c r="AY207" t="s">
        <v>61</v>
      </c>
      <c r="AZ207" t="s">
        <v>61</v>
      </c>
      <c r="BA207" t="s">
        <v>61</v>
      </c>
      <c r="BB207" t="s">
        <v>61</v>
      </c>
      <c r="BC207" t="s">
        <v>61</v>
      </c>
      <c r="BD207" t="s">
        <v>61</v>
      </c>
      <c r="BE207" t="s">
        <v>61</v>
      </c>
      <c r="BF207" t="s">
        <v>61</v>
      </c>
    </row>
    <row r="208" spans="1:58">
      <c r="A208" t="s">
        <v>58</v>
      </c>
      <c r="B208" t="s">
        <v>1759</v>
      </c>
      <c r="C208" t="s">
        <v>1760</v>
      </c>
      <c r="D208" t="s">
        <v>1761</v>
      </c>
      <c r="E208" t="s">
        <v>61</v>
      </c>
      <c r="F208">
        <v>1987</v>
      </c>
      <c r="G208" t="s">
        <v>273</v>
      </c>
      <c r="H208">
        <v>33</v>
      </c>
      <c r="I208" t="s">
        <v>61</v>
      </c>
      <c r="J208">
        <v>417</v>
      </c>
      <c r="K208">
        <v>421</v>
      </c>
      <c r="L208" t="s">
        <v>61</v>
      </c>
      <c r="M208" t="s">
        <v>1762</v>
      </c>
      <c r="N208" t="s">
        <v>1763</v>
      </c>
      <c r="O208" t="s">
        <v>61</v>
      </c>
      <c r="Q208" t="s">
        <v>61</v>
      </c>
      <c r="R208" t="s">
        <v>61</v>
      </c>
      <c r="S208" t="s">
        <v>61</v>
      </c>
      <c r="T208" t="s">
        <v>61</v>
      </c>
      <c r="X208" t="s">
        <v>61</v>
      </c>
      <c r="Y208" t="s">
        <v>1764</v>
      </c>
      <c r="Z208" t="s">
        <v>61</v>
      </c>
      <c r="AA208" t="s">
        <v>61</v>
      </c>
      <c r="AB208">
        <v>21263834</v>
      </c>
      <c r="AC208" t="s">
        <v>67</v>
      </c>
      <c r="AD208" t="s">
        <v>61</v>
      </c>
      <c r="AE208" t="s">
        <v>61</v>
      </c>
      <c r="AF208" t="s">
        <v>61</v>
      </c>
      <c r="AG208" t="s">
        <v>1765</v>
      </c>
      <c r="AH208" t="s">
        <v>61</v>
      </c>
      <c r="AI208" t="s">
        <v>61</v>
      </c>
      <c r="AJ208" t="s">
        <v>61</v>
      </c>
      <c r="AK208" t="s">
        <v>61</v>
      </c>
      <c r="AL208" t="s">
        <v>61</v>
      </c>
      <c r="AM208" t="s">
        <v>1766</v>
      </c>
      <c r="AN208" t="s">
        <v>61</v>
      </c>
      <c r="AO208" t="s">
        <v>61</v>
      </c>
      <c r="AP208" t="s">
        <v>61</v>
      </c>
      <c r="AQ208" t="s">
        <v>61</v>
      </c>
      <c r="AR208" t="s">
        <v>61</v>
      </c>
      <c r="AS208" t="s">
        <v>61</v>
      </c>
      <c r="AT208" t="s">
        <v>61</v>
      </c>
      <c r="AU208" t="s">
        <v>61</v>
      </c>
      <c r="AV208" t="s">
        <v>61</v>
      </c>
      <c r="AW208" t="s">
        <v>61</v>
      </c>
      <c r="AX208" t="s">
        <v>61</v>
      </c>
      <c r="AY208" t="s">
        <v>61</v>
      </c>
      <c r="AZ208" t="s">
        <v>61</v>
      </c>
      <c r="BA208" t="s">
        <v>61</v>
      </c>
      <c r="BB208" t="s">
        <v>61</v>
      </c>
      <c r="BC208" t="s">
        <v>61</v>
      </c>
      <c r="BD208" t="s">
        <v>61</v>
      </c>
      <c r="BE208" t="s">
        <v>61</v>
      </c>
      <c r="BF208" t="s">
        <v>61</v>
      </c>
    </row>
    <row r="209" spans="1:58">
      <c r="A209" t="s">
        <v>58</v>
      </c>
      <c r="B209" t="s">
        <v>1767</v>
      </c>
      <c r="C209" t="s">
        <v>1768</v>
      </c>
      <c r="D209" t="s">
        <v>408</v>
      </c>
      <c r="E209" t="s">
        <v>408</v>
      </c>
      <c r="F209">
        <v>2012</v>
      </c>
      <c r="G209" t="s">
        <v>645</v>
      </c>
      <c r="H209">
        <v>32</v>
      </c>
      <c r="I209">
        <v>10</v>
      </c>
      <c r="J209" t="s">
        <v>1769</v>
      </c>
      <c r="K209" t="s">
        <v>61</v>
      </c>
      <c r="L209" t="s">
        <v>1770</v>
      </c>
      <c r="M209" t="s">
        <v>1771</v>
      </c>
      <c r="N209" t="s">
        <v>1772</v>
      </c>
      <c r="O209" t="s">
        <v>61</v>
      </c>
      <c r="Q209" t="s">
        <v>61</v>
      </c>
      <c r="R209" t="s">
        <v>61</v>
      </c>
      <c r="S209" t="s">
        <v>61</v>
      </c>
      <c r="T209" t="s">
        <v>61</v>
      </c>
      <c r="X209" t="s">
        <v>61</v>
      </c>
      <c r="Y209" t="s">
        <v>414</v>
      </c>
      <c r="Z209" t="s">
        <v>61</v>
      </c>
      <c r="AA209" t="s">
        <v>61</v>
      </c>
      <c r="AB209" t="s">
        <v>61</v>
      </c>
      <c r="AC209" t="s">
        <v>67</v>
      </c>
      <c r="AD209" t="s">
        <v>61</v>
      </c>
      <c r="AE209" t="s">
        <v>61</v>
      </c>
      <c r="AF209" t="s">
        <v>61</v>
      </c>
      <c r="AG209" t="s">
        <v>61</v>
      </c>
      <c r="AH209" t="s">
        <v>61</v>
      </c>
      <c r="AI209" t="s">
        <v>61</v>
      </c>
      <c r="AJ209" t="s">
        <v>61</v>
      </c>
      <c r="AK209" t="s">
        <v>61</v>
      </c>
      <c r="AL209" t="s">
        <v>61</v>
      </c>
      <c r="AM209" t="s">
        <v>1768</v>
      </c>
      <c r="AN209" t="s">
        <v>61</v>
      </c>
      <c r="AO209" t="s">
        <v>61</v>
      </c>
      <c r="AP209" t="s">
        <v>61</v>
      </c>
      <c r="AQ209" t="s">
        <v>61</v>
      </c>
      <c r="AR209" t="s">
        <v>61</v>
      </c>
      <c r="AS209" t="s">
        <v>61</v>
      </c>
      <c r="AT209" t="s">
        <v>61</v>
      </c>
      <c r="AU209" t="s">
        <v>61</v>
      </c>
      <c r="AV209" t="s">
        <v>61</v>
      </c>
      <c r="AW209" t="s">
        <v>61</v>
      </c>
      <c r="AX209" t="s">
        <v>61</v>
      </c>
      <c r="AY209" t="s">
        <v>61</v>
      </c>
      <c r="AZ209" t="s">
        <v>61</v>
      </c>
      <c r="BA209" t="s">
        <v>61</v>
      </c>
      <c r="BB209" t="s">
        <v>61</v>
      </c>
      <c r="BC209" t="s">
        <v>61</v>
      </c>
      <c r="BD209" t="s">
        <v>61</v>
      </c>
      <c r="BE209" t="s">
        <v>61</v>
      </c>
      <c r="BF209" t="s">
        <v>61</v>
      </c>
    </row>
    <row r="210" spans="1:58">
      <c r="A210" t="s">
        <v>58</v>
      </c>
      <c r="B210" t="s">
        <v>1773</v>
      </c>
      <c r="C210" t="s">
        <v>1774</v>
      </c>
      <c r="D210" t="s">
        <v>907</v>
      </c>
      <c r="E210" t="s">
        <v>61</v>
      </c>
      <c r="F210">
        <v>2013</v>
      </c>
      <c r="G210" t="s">
        <v>1775</v>
      </c>
      <c r="H210">
        <v>88</v>
      </c>
      <c r="I210">
        <v>7</v>
      </c>
      <c r="J210">
        <v>967</v>
      </c>
      <c r="K210">
        <v>971</v>
      </c>
      <c r="L210" t="s">
        <v>1776</v>
      </c>
      <c r="M210" t="s">
        <v>1777</v>
      </c>
      <c r="N210" t="s">
        <v>1778</v>
      </c>
      <c r="O210" t="s">
        <v>61</v>
      </c>
      <c r="Q210" t="s">
        <v>61</v>
      </c>
      <c r="R210" t="s">
        <v>61</v>
      </c>
      <c r="S210" t="s">
        <v>61</v>
      </c>
      <c r="T210" t="s">
        <v>61</v>
      </c>
      <c r="X210" t="s">
        <v>61</v>
      </c>
      <c r="Y210" t="s">
        <v>1779</v>
      </c>
      <c r="Z210" t="s">
        <v>61</v>
      </c>
      <c r="AA210" t="s">
        <v>61</v>
      </c>
      <c r="AB210" t="s">
        <v>61</v>
      </c>
      <c r="AC210" t="s">
        <v>67</v>
      </c>
      <c r="AD210" t="s">
        <v>61</v>
      </c>
      <c r="AE210" t="s">
        <v>61</v>
      </c>
      <c r="AF210" t="s">
        <v>61</v>
      </c>
      <c r="AG210" t="s">
        <v>1780</v>
      </c>
      <c r="AH210" t="s">
        <v>61</v>
      </c>
      <c r="AI210" t="s">
        <v>61</v>
      </c>
      <c r="AJ210" t="s">
        <v>61</v>
      </c>
      <c r="AK210" t="s">
        <v>61</v>
      </c>
      <c r="AL210" t="s">
        <v>61</v>
      </c>
      <c r="AM210" t="s">
        <v>1781</v>
      </c>
      <c r="AN210" t="s">
        <v>61</v>
      </c>
      <c r="AO210" t="s">
        <v>61</v>
      </c>
      <c r="AP210" t="s">
        <v>61</v>
      </c>
      <c r="AQ210" t="s">
        <v>61</v>
      </c>
      <c r="AR210" t="s">
        <v>61</v>
      </c>
      <c r="AS210" t="s">
        <v>61</v>
      </c>
      <c r="AT210" t="s">
        <v>61</v>
      </c>
      <c r="AU210" t="s">
        <v>61</v>
      </c>
      <c r="AV210" t="s">
        <v>61</v>
      </c>
      <c r="AW210" t="s">
        <v>61</v>
      </c>
      <c r="AX210" t="s">
        <v>61</v>
      </c>
      <c r="AY210" t="s">
        <v>61</v>
      </c>
      <c r="AZ210" t="s">
        <v>61</v>
      </c>
      <c r="BA210" t="s">
        <v>61</v>
      </c>
      <c r="BB210" t="s">
        <v>61</v>
      </c>
      <c r="BC210" t="s">
        <v>61</v>
      </c>
      <c r="BD210" t="s">
        <v>61</v>
      </c>
      <c r="BE210" t="s">
        <v>61</v>
      </c>
      <c r="BF210" t="s">
        <v>61</v>
      </c>
    </row>
    <row r="211" spans="1:58">
      <c r="A211" t="s">
        <v>58</v>
      </c>
      <c r="B211" t="s">
        <v>1782</v>
      </c>
      <c r="C211" t="s">
        <v>1783</v>
      </c>
      <c r="D211" t="s">
        <v>627</v>
      </c>
      <c r="E211" t="s">
        <v>61</v>
      </c>
      <c r="F211">
        <v>2012</v>
      </c>
      <c r="G211" t="s">
        <v>1020</v>
      </c>
      <c r="H211">
        <v>52</v>
      </c>
      <c r="I211">
        <v>4</v>
      </c>
      <c r="J211">
        <v>535</v>
      </c>
      <c r="K211">
        <v>540</v>
      </c>
      <c r="L211" t="s">
        <v>1784</v>
      </c>
      <c r="M211" t="s">
        <v>1785</v>
      </c>
      <c r="N211" t="s">
        <v>1786</v>
      </c>
      <c r="O211" t="s">
        <v>61</v>
      </c>
      <c r="Q211" t="s">
        <v>61</v>
      </c>
      <c r="R211" t="s">
        <v>61</v>
      </c>
      <c r="S211" t="s">
        <v>61</v>
      </c>
      <c r="T211" t="s">
        <v>61</v>
      </c>
      <c r="X211" t="s">
        <v>61</v>
      </c>
      <c r="Y211" t="s">
        <v>1787</v>
      </c>
      <c r="Z211" t="s">
        <v>61</v>
      </c>
      <c r="AA211" t="s">
        <v>61</v>
      </c>
      <c r="AB211">
        <v>2013810271</v>
      </c>
      <c r="AC211" t="s">
        <v>67</v>
      </c>
      <c r="AD211" t="s">
        <v>61</v>
      </c>
      <c r="AE211" t="s">
        <v>61</v>
      </c>
      <c r="AF211" t="s">
        <v>61</v>
      </c>
      <c r="AG211" t="s">
        <v>1788</v>
      </c>
      <c r="AH211" t="s">
        <v>61</v>
      </c>
      <c r="AI211" t="s">
        <v>61</v>
      </c>
      <c r="AJ211" t="s">
        <v>61</v>
      </c>
      <c r="AK211" t="s">
        <v>61</v>
      </c>
      <c r="AL211" t="s">
        <v>61</v>
      </c>
      <c r="AM211" t="s">
        <v>1789</v>
      </c>
      <c r="AN211" t="s">
        <v>61</v>
      </c>
      <c r="AO211" t="s">
        <v>61</v>
      </c>
      <c r="AP211" t="s">
        <v>61</v>
      </c>
      <c r="AQ211" t="s">
        <v>61</v>
      </c>
      <c r="AR211" t="s">
        <v>61</v>
      </c>
      <c r="AS211" t="s">
        <v>61</v>
      </c>
      <c r="AT211" t="s">
        <v>61</v>
      </c>
      <c r="AU211" t="s">
        <v>61</v>
      </c>
      <c r="AV211" t="s">
        <v>61</v>
      </c>
      <c r="AW211" t="s">
        <v>61</v>
      </c>
      <c r="AX211" t="s">
        <v>61</v>
      </c>
      <c r="AY211" t="s">
        <v>61</v>
      </c>
      <c r="AZ211" t="s">
        <v>61</v>
      </c>
      <c r="BA211" t="s">
        <v>61</v>
      </c>
      <c r="BB211" t="s">
        <v>61</v>
      </c>
      <c r="BC211" t="s">
        <v>61</v>
      </c>
      <c r="BD211" t="s">
        <v>61</v>
      </c>
      <c r="BE211" t="s">
        <v>61</v>
      </c>
      <c r="BF211" t="s">
        <v>61</v>
      </c>
    </row>
    <row r="212" spans="1:58">
      <c r="A212" t="s">
        <v>58</v>
      </c>
      <c r="B212" t="s">
        <v>1790</v>
      </c>
      <c r="C212" t="s">
        <v>1791</v>
      </c>
      <c r="D212" t="s">
        <v>1792</v>
      </c>
      <c r="E212" t="s">
        <v>61</v>
      </c>
      <c r="F212">
        <v>2013</v>
      </c>
      <c r="G212" t="s">
        <v>1793</v>
      </c>
      <c r="H212">
        <v>4</v>
      </c>
      <c r="I212">
        <v>4</v>
      </c>
      <c r="J212">
        <v>168</v>
      </c>
      <c r="K212">
        <v>179</v>
      </c>
      <c r="L212" t="s">
        <v>1794</v>
      </c>
      <c r="M212" t="s">
        <v>1795</v>
      </c>
      <c r="N212" t="s">
        <v>1796</v>
      </c>
      <c r="O212" t="s">
        <v>61</v>
      </c>
      <c r="Q212" t="s">
        <v>61</v>
      </c>
      <c r="R212" t="s">
        <v>61</v>
      </c>
      <c r="S212" t="s">
        <v>61</v>
      </c>
      <c r="T212" t="s">
        <v>61</v>
      </c>
      <c r="X212" t="s">
        <v>61</v>
      </c>
      <c r="Y212" t="s">
        <v>1797</v>
      </c>
      <c r="Z212" t="s">
        <v>61</v>
      </c>
      <c r="AA212" t="s">
        <v>61</v>
      </c>
      <c r="AB212" t="s">
        <v>1798</v>
      </c>
      <c r="AC212" t="s">
        <v>67</v>
      </c>
      <c r="AD212" t="s">
        <v>61</v>
      </c>
      <c r="AE212" t="s">
        <v>61</v>
      </c>
      <c r="AF212" t="s">
        <v>61</v>
      </c>
      <c r="AG212" t="s">
        <v>61</v>
      </c>
      <c r="AH212" t="s">
        <v>61</v>
      </c>
      <c r="AI212" t="s">
        <v>61</v>
      </c>
      <c r="AJ212" t="s">
        <v>61</v>
      </c>
      <c r="AK212" t="s">
        <v>61</v>
      </c>
      <c r="AL212" t="s">
        <v>61</v>
      </c>
      <c r="AM212" t="s">
        <v>1791</v>
      </c>
      <c r="AN212" t="s">
        <v>61</v>
      </c>
      <c r="AO212" t="s">
        <v>61</v>
      </c>
      <c r="AP212" t="s">
        <v>61</v>
      </c>
      <c r="AQ212" t="s">
        <v>61</v>
      </c>
      <c r="AR212" t="s">
        <v>61</v>
      </c>
      <c r="AS212" t="s">
        <v>61</v>
      </c>
      <c r="AT212" t="s">
        <v>61</v>
      </c>
      <c r="AU212" t="s">
        <v>61</v>
      </c>
      <c r="AV212" t="s">
        <v>61</v>
      </c>
      <c r="AW212" t="s">
        <v>61</v>
      </c>
      <c r="AX212" t="s">
        <v>61</v>
      </c>
      <c r="AY212" t="s">
        <v>61</v>
      </c>
      <c r="AZ212" t="s">
        <v>61</v>
      </c>
      <c r="BA212" t="s">
        <v>61</v>
      </c>
      <c r="BB212" t="s">
        <v>61</v>
      </c>
      <c r="BC212" t="s">
        <v>61</v>
      </c>
      <c r="BD212" t="s">
        <v>61</v>
      </c>
      <c r="BE212" t="s">
        <v>61</v>
      </c>
      <c r="BF212" t="s">
        <v>61</v>
      </c>
    </row>
    <row r="213" spans="1:58">
      <c r="A213" t="s">
        <v>58</v>
      </c>
      <c r="B213" t="s">
        <v>1799</v>
      </c>
      <c r="C213" t="s">
        <v>1800</v>
      </c>
      <c r="D213" t="s">
        <v>1801</v>
      </c>
      <c r="E213" t="s">
        <v>61</v>
      </c>
      <c r="F213">
        <v>2010</v>
      </c>
      <c r="G213" t="s">
        <v>61</v>
      </c>
      <c r="H213">
        <v>30</v>
      </c>
      <c r="I213">
        <v>1</v>
      </c>
      <c r="J213">
        <v>68</v>
      </c>
      <c r="K213">
        <v>70</v>
      </c>
      <c r="L213" t="s">
        <v>1802</v>
      </c>
      <c r="M213" t="s">
        <v>1803</v>
      </c>
      <c r="N213" t="s">
        <v>1804</v>
      </c>
      <c r="O213" t="s">
        <v>61</v>
      </c>
      <c r="Q213" t="s">
        <v>61</v>
      </c>
      <c r="R213" t="s">
        <v>61</v>
      </c>
      <c r="S213" t="s">
        <v>61</v>
      </c>
      <c r="T213" t="s">
        <v>61</v>
      </c>
      <c r="X213" t="s">
        <v>61</v>
      </c>
      <c r="Y213" t="s">
        <v>1805</v>
      </c>
      <c r="Z213" t="s">
        <v>61</v>
      </c>
      <c r="AA213" t="s">
        <v>61</v>
      </c>
      <c r="AB213" t="s">
        <v>61</v>
      </c>
      <c r="AC213" t="s">
        <v>67</v>
      </c>
      <c r="AD213" t="s">
        <v>61</v>
      </c>
      <c r="AE213" t="s">
        <v>61</v>
      </c>
      <c r="AF213" t="s">
        <v>61</v>
      </c>
      <c r="AG213" t="s">
        <v>61</v>
      </c>
      <c r="AH213" t="s">
        <v>61</v>
      </c>
      <c r="AI213" t="s">
        <v>61</v>
      </c>
      <c r="AJ213" t="s">
        <v>61</v>
      </c>
      <c r="AK213" t="s">
        <v>61</v>
      </c>
      <c r="AL213" t="s">
        <v>61</v>
      </c>
      <c r="AM213" t="s">
        <v>1800</v>
      </c>
      <c r="AN213" t="s">
        <v>61</v>
      </c>
      <c r="AO213" t="s">
        <v>61</v>
      </c>
      <c r="AP213" t="s">
        <v>61</v>
      </c>
      <c r="AQ213" t="s">
        <v>61</v>
      </c>
      <c r="AR213" t="s">
        <v>61</v>
      </c>
      <c r="AS213" t="s">
        <v>61</v>
      </c>
      <c r="AT213" t="s">
        <v>61</v>
      </c>
      <c r="AU213" t="s">
        <v>61</v>
      </c>
      <c r="AV213" t="s">
        <v>61</v>
      </c>
      <c r="AW213" t="s">
        <v>61</v>
      </c>
      <c r="AX213" t="s">
        <v>61</v>
      </c>
      <c r="AY213" t="s">
        <v>61</v>
      </c>
      <c r="AZ213" t="s">
        <v>61</v>
      </c>
      <c r="BA213" t="s">
        <v>61</v>
      </c>
      <c r="BB213" t="s">
        <v>61</v>
      </c>
      <c r="BC213" t="s">
        <v>61</v>
      </c>
      <c r="BD213" t="s">
        <v>61</v>
      </c>
      <c r="BE213" t="s">
        <v>61</v>
      </c>
      <c r="BF213" t="s">
        <v>61</v>
      </c>
    </row>
    <row r="214" spans="1:58">
      <c r="A214" t="s">
        <v>58</v>
      </c>
      <c r="B214" t="s">
        <v>1806</v>
      </c>
      <c r="C214" t="s">
        <v>1807</v>
      </c>
      <c r="D214" t="s">
        <v>428</v>
      </c>
      <c r="E214" t="s">
        <v>61</v>
      </c>
      <c r="F214">
        <v>2011</v>
      </c>
      <c r="G214" t="s">
        <v>429</v>
      </c>
      <c r="H214">
        <v>24</v>
      </c>
      <c r="I214">
        <v>2</v>
      </c>
      <c r="J214">
        <v>264</v>
      </c>
      <c r="K214" t="s">
        <v>61</v>
      </c>
      <c r="L214" t="s">
        <v>1808</v>
      </c>
      <c r="M214" t="s">
        <v>1809</v>
      </c>
      <c r="N214" t="s">
        <v>1810</v>
      </c>
      <c r="O214" t="s">
        <v>61</v>
      </c>
      <c r="Q214" t="s">
        <v>61</v>
      </c>
      <c r="R214" t="s">
        <v>61</v>
      </c>
      <c r="S214" t="s">
        <v>61</v>
      </c>
      <c r="T214" t="s">
        <v>61</v>
      </c>
      <c r="X214" t="s">
        <v>61</v>
      </c>
      <c r="Y214" t="s">
        <v>433</v>
      </c>
      <c r="Z214" t="s">
        <v>61</v>
      </c>
      <c r="AA214" t="s">
        <v>61</v>
      </c>
      <c r="AB214" t="s">
        <v>61</v>
      </c>
      <c r="AC214" t="s">
        <v>67</v>
      </c>
      <c r="AD214" t="s">
        <v>61</v>
      </c>
      <c r="AE214" t="s">
        <v>61</v>
      </c>
      <c r="AF214" t="s">
        <v>61</v>
      </c>
      <c r="AG214" t="s">
        <v>61</v>
      </c>
      <c r="AH214" t="s">
        <v>61</v>
      </c>
      <c r="AI214" t="s">
        <v>61</v>
      </c>
      <c r="AJ214" t="s">
        <v>61</v>
      </c>
      <c r="AK214" t="s">
        <v>61</v>
      </c>
      <c r="AL214" t="s">
        <v>61</v>
      </c>
      <c r="AM214" t="s">
        <v>1807</v>
      </c>
      <c r="AN214" t="s">
        <v>61</v>
      </c>
      <c r="AO214" t="s">
        <v>61</v>
      </c>
      <c r="AP214" t="s">
        <v>61</v>
      </c>
      <c r="AQ214" t="s">
        <v>61</v>
      </c>
      <c r="AR214" t="s">
        <v>61</v>
      </c>
      <c r="AS214" t="s">
        <v>61</v>
      </c>
      <c r="AT214" t="s">
        <v>61</v>
      </c>
      <c r="AU214" t="s">
        <v>61</v>
      </c>
      <c r="AV214" t="s">
        <v>61</v>
      </c>
      <c r="AW214" t="s">
        <v>61</v>
      </c>
      <c r="AX214" t="s">
        <v>61</v>
      </c>
      <c r="AY214" t="s">
        <v>61</v>
      </c>
      <c r="AZ214" t="s">
        <v>61</v>
      </c>
      <c r="BA214" t="s">
        <v>61</v>
      </c>
      <c r="BB214" t="s">
        <v>61</v>
      </c>
      <c r="BC214" t="s">
        <v>61</v>
      </c>
      <c r="BD214" t="s">
        <v>61</v>
      </c>
      <c r="BE214" t="s">
        <v>61</v>
      </c>
      <c r="BF214" t="s">
        <v>61</v>
      </c>
    </row>
    <row r="215" spans="1:58">
      <c r="A215" t="s">
        <v>58</v>
      </c>
      <c r="B215" t="s">
        <v>1811</v>
      </c>
      <c r="C215" t="s">
        <v>1812</v>
      </c>
      <c r="D215" t="s">
        <v>1813</v>
      </c>
      <c r="E215" t="s">
        <v>61</v>
      </c>
      <c r="F215">
        <v>2010</v>
      </c>
      <c r="G215" t="s">
        <v>645</v>
      </c>
      <c r="H215">
        <v>2</v>
      </c>
      <c r="I215">
        <v>4</v>
      </c>
      <c r="J215">
        <v>204</v>
      </c>
      <c r="K215">
        <v>210</v>
      </c>
      <c r="L215" t="s">
        <v>1814</v>
      </c>
      <c r="M215" t="s">
        <v>1815</v>
      </c>
      <c r="N215" t="s">
        <v>1816</v>
      </c>
      <c r="O215" t="s">
        <v>61</v>
      </c>
      <c r="Q215" t="s">
        <v>61</v>
      </c>
      <c r="R215" t="s">
        <v>61</v>
      </c>
      <c r="S215" t="s">
        <v>61</v>
      </c>
      <c r="T215" t="s">
        <v>61</v>
      </c>
      <c r="X215" t="s">
        <v>61</v>
      </c>
      <c r="Y215" t="s">
        <v>1817</v>
      </c>
      <c r="Z215" t="s">
        <v>61</v>
      </c>
      <c r="AA215" t="s">
        <v>61</v>
      </c>
      <c r="AB215" t="s">
        <v>1818</v>
      </c>
      <c r="AC215" t="s">
        <v>67</v>
      </c>
      <c r="AD215" t="s">
        <v>61</v>
      </c>
      <c r="AE215" t="s">
        <v>61</v>
      </c>
      <c r="AF215" t="s">
        <v>61</v>
      </c>
      <c r="AG215" t="s">
        <v>61</v>
      </c>
      <c r="AH215" t="s">
        <v>61</v>
      </c>
      <c r="AI215" t="s">
        <v>61</v>
      </c>
      <c r="AJ215" t="s">
        <v>61</v>
      </c>
      <c r="AK215" t="s">
        <v>61</v>
      </c>
      <c r="AL215" t="s">
        <v>61</v>
      </c>
      <c r="AM215" t="s">
        <v>1812</v>
      </c>
      <c r="AN215" t="s">
        <v>61</v>
      </c>
      <c r="AO215" t="s">
        <v>61</v>
      </c>
      <c r="AP215" t="s">
        <v>61</v>
      </c>
      <c r="AQ215" t="s">
        <v>61</v>
      </c>
      <c r="AR215" t="s">
        <v>61</v>
      </c>
      <c r="AS215" t="s">
        <v>61</v>
      </c>
      <c r="AT215" t="s">
        <v>61</v>
      </c>
      <c r="AU215" t="s">
        <v>61</v>
      </c>
      <c r="AV215" t="s">
        <v>61</v>
      </c>
      <c r="AW215" t="s">
        <v>61</v>
      </c>
      <c r="AX215" t="s">
        <v>61</v>
      </c>
      <c r="AY215" t="s">
        <v>61</v>
      </c>
      <c r="AZ215" t="s">
        <v>61</v>
      </c>
      <c r="BA215" t="s">
        <v>61</v>
      </c>
      <c r="BB215" t="s">
        <v>61</v>
      </c>
      <c r="BC215" t="s">
        <v>61</v>
      </c>
      <c r="BD215" t="s">
        <v>61</v>
      </c>
      <c r="BE215" t="s">
        <v>61</v>
      </c>
      <c r="BF215" t="s">
        <v>61</v>
      </c>
    </row>
    <row r="216" spans="1:58">
      <c r="A216" t="s">
        <v>58</v>
      </c>
      <c r="B216" t="s">
        <v>1819</v>
      </c>
      <c r="C216" t="s">
        <v>1820</v>
      </c>
      <c r="D216" t="s">
        <v>1813</v>
      </c>
      <c r="E216" t="s">
        <v>61</v>
      </c>
      <c r="F216">
        <v>2012</v>
      </c>
      <c r="G216" t="s">
        <v>645</v>
      </c>
      <c r="H216">
        <v>4</v>
      </c>
      <c r="I216">
        <v>4</v>
      </c>
      <c r="J216">
        <v>267</v>
      </c>
      <c r="K216">
        <v>272</v>
      </c>
      <c r="L216" t="s">
        <v>1821</v>
      </c>
      <c r="M216" t="s">
        <v>1822</v>
      </c>
      <c r="N216" t="s">
        <v>1823</v>
      </c>
      <c r="O216" t="s">
        <v>61</v>
      </c>
      <c r="Q216" t="s">
        <v>61</v>
      </c>
      <c r="R216" t="s">
        <v>61</v>
      </c>
      <c r="S216" t="s">
        <v>61</v>
      </c>
      <c r="T216" t="s">
        <v>61</v>
      </c>
      <c r="X216" t="s">
        <v>61</v>
      </c>
      <c r="Y216" t="s">
        <v>1817</v>
      </c>
      <c r="Z216" t="s">
        <v>61</v>
      </c>
      <c r="AA216" t="s">
        <v>61</v>
      </c>
      <c r="AB216" t="s">
        <v>1824</v>
      </c>
      <c r="AC216" t="s">
        <v>67</v>
      </c>
      <c r="AD216" t="s">
        <v>61</v>
      </c>
      <c r="AE216" t="s">
        <v>61</v>
      </c>
      <c r="AF216" t="s">
        <v>61</v>
      </c>
      <c r="AG216" t="s">
        <v>61</v>
      </c>
      <c r="AH216" t="s">
        <v>61</v>
      </c>
      <c r="AI216" t="s">
        <v>61</v>
      </c>
      <c r="AJ216" t="s">
        <v>61</v>
      </c>
      <c r="AK216" t="s">
        <v>61</v>
      </c>
      <c r="AL216" t="s">
        <v>61</v>
      </c>
      <c r="AM216" t="s">
        <v>1820</v>
      </c>
      <c r="AN216" t="s">
        <v>61</v>
      </c>
      <c r="AO216" t="s">
        <v>61</v>
      </c>
      <c r="AP216" t="s">
        <v>61</v>
      </c>
      <c r="AQ216" t="s">
        <v>61</v>
      </c>
      <c r="AR216" t="s">
        <v>61</v>
      </c>
      <c r="AS216" t="s">
        <v>61</v>
      </c>
      <c r="AT216" t="s">
        <v>61</v>
      </c>
      <c r="AU216" t="s">
        <v>61</v>
      </c>
      <c r="AV216" t="s">
        <v>61</v>
      </c>
      <c r="AW216" t="s">
        <v>61</v>
      </c>
      <c r="AX216" t="s">
        <v>61</v>
      </c>
      <c r="AY216" t="s">
        <v>61</v>
      </c>
      <c r="AZ216" t="s">
        <v>61</v>
      </c>
      <c r="BA216" t="s">
        <v>61</v>
      </c>
      <c r="BB216" t="s">
        <v>61</v>
      </c>
      <c r="BC216" t="s">
        <v>61</v>
      </c>
      <c r="BD216" t="s">
        <v>61</v>
      </c>
      <c r="BE216" t="s">
        <v>61</v>
      </c>
      <c r="BF216" t="s">
        <v>61</v>
      </c>
    </row>
    <row r="217" spans="1:58">
      <c r="A217" t="s">
        <v>58</v>
      </c>
      <c r="B217" t="s">
        <v>1825</v>
      </c>
      <c r="C217" t="s">
        <v>1826</v>
      </c>
      <c r="D217" t="s">
        <v>428</v>
      </c>
      <c r="E217" t="s">
        <v>61</v>
      </c>
      <c r="F217">
        <v>2010</v>
      </c>
      <c r="G217" t="s">
        <v>429</v>
      </c>
      <c r="H217">
        <v>23</v>
      </c>
      <c r="I217">
        <v>2</v>
      </c>
      <c r="J217">
        <v>159</v>
      </c>
      <c r="K217" t="s">
        <v>61</v>
      </c>
      <c r="L217" t="s">
        <v>1827</v>
      </c>
      <c r="M217" t="s">
        <v>1828</v>
      </c>
      <c r="N217" t="s">
        <v>1829</v>
      </c>
      <c r="O217" t="s">
        <v>61</v>
      </c>
      <c r="Q217" t="s">
        <v>61</v>
      </c>
      <c r="R217" t="s">
        <v>61</v>
      </c>
      <c r="S217" t="s">
        <v>61</v>
      </c>
      <c r="T217" t="s">
        <v>61</v>
      </c>
      <c r="X217" t="s">
        <v>61</v>
      </c>
      <c r="Y217" t="s">
        <v>433</v>
      </c>
      <c r="Z217" t="s">
        <v>61</v>
      </c>
      <c r="AA217" t="s">
        <v>61</v>
      </c>
      <c r="AB217" t="s">
        <v>61</v>
      </c>
      <c r="AC217" t="s">
        <v>67</v>
      </c>
      <c r="AD217" t="s">
        <v>61</v>
      </c>
      <c r="AE217" t="s">
        <v>61</v>
      </c>
      <c r="AF217" t="s">
        <v>61</v>
      </c>
      <c r="AG217" t="s">
        <v>61</v>
      </c>
      <c r="AH217" t="s">
        <v>61</v>
      </c>
      <c r="AI217" t="s">
        <v>61</v>
      </c>
      <c r="AJ217" t="s">
        <v>61</v>
      </c>
      <c r="AK217" t="s">
        <v>61</v>
      </c>
      <c r="AL217" t="s">
        <v>61</v>
      </c>
      <c r="AM217" t="s">
        <v>1826</v>
      </c>
      <c r="AN217" t="s">
        <v>61</v>
      </c>
      <c r="AO217" t="s">
        <v>61</v>
      </c>
      <c r="AP217" t="s">
        <v>61</v>
      </c>
      <c r="AQ217" t="s">
        <v>61</v>
      </c>
      <c r="AR217" t="s">
        <v>61</v>
      </c>
      <c r="AS217" t="s">
        <v>61</v>
      </c>
      <c r="AT217" t="s">
        <v>61</v>
      </c>
      <c r="AU217" t="s">
        <v>61</v>
      </c>
      <c r="AV217" t="s">
        <v>61</v>
      </c>
      <c r="AW217" t="s">
        <v>61</v>
      </c>
      <c r="AX217" t="s">
        <v>61</v>
      </c>
      <c r="AY217" t="s">
        <v>61</v>
      </c>
      <c r="AZ217" t="s">
        <v>61</v>
      </c>
      <c r="BA217" t="s">
        <v>61</v>
      </c>
      <c r="BB217" t="s">
        <v>61</v>
      </c>
      <c r="BC217" t="s">
        <v>61</v>
      </c>
      <c r="BD217" t="s">
        <v>61</v>
      </c>
      <c r="BE217" t="s">
        <v>61</v>
      </c>
      <c r="BF217" t="s">
        <v>61</v>
      </c>
    </row>
    <row r="218" spans="1:58">
      <c r="A218" t="s">
        <v>58</v>
      </c>
      <c r="B218" t="s">
        <v>1830</v>
      </c>
      <c r="C218" t="s">
        <v>1831</v>
      </c>
      <c r="D218" t="s">
        <v>1832</v>
      </c>
      <c r="E218" t="s">
        <v>61</v>
      </c>
      <c r="F218">
        <v>2008</v>
      </c>
      <c r="G218" t="s">
        <v>645</v>
      </c>
      <c r="H218">
        <v>2</v>
      </c>
      <c r="I218">
        <v>3</v>
      </c>
      <c r="J218">
        <v>259</v>
      </c>
      <c r="K218">
        <v>261</v>
      </c>
      <c r="L218" t="s">
        <v>1833</v>
      </c>
      <c r="M218" t="s">
        <v>1834</v>
      </c>
      <c r="N218" t="s">
        <v>1835</v>
      </c>
      <c r="O218" t="s">
        <v>61</v>
      </c>
      <c r="Q218" t="s">
        <v>61</v>
      </c>
      <c r="R218" t="s">
        <v>61</v>
      </c>
      <c r="S218" t="s">
        <v>61</v>
      </c>
      <c r="T218" t="s">
        <v>61</v>
      </c>
      <c r="X218" t="s">
        <v>61</v>
      </c>
      <c r="Y218" t="s">
        <v>1836</v>
      </c>
      <c r="Z218" t="s">
        <v>61</v>
      </c>
      <c r="AA218" t="s">
        <v>61</v>
      </c>
      <c r="AB218" t="s">
        <v>1837</v>
      </c>
      <c r="AC218" t="s">
        <v>67</v>
      </c>
      <c r="AD218" t="s">
        <v>61</v>
      </c>
      <c r="AE218" t="s">
        <v>61</v>
      </c>
      <c r="AF218" t="s">
        <v>61</v>
      </c>
      <c r="AG218" t="s">
        <v>61</v>
      </c>
      <c r="AH218" t="s">
        <v>61</v>
      </c>
      <c r="AI218" t="s">
        <v>61</v>
      </c>
      <c r="AJ218" t="s">
        <v>61</v>
      </c>
      <c r="AK218" t="s">
        <v>61</v>
      </c>
      <c r="AL218" t="s">
        <v>61</v>
      </c>
      <c r="AM218" t="s">
        <v>1831</v>
      </c>
      <c r="AN218" t="s">
        <v>61</v>
      </c>
      <c r="AO218" t="s">
        <v>61</v>
      </c>
      <c r="AP218" t="s">
        <v>61</v>
      </c>
      <c r="AQ218" t="s">
        <v>61</v>
      </c>
      <c r="AR218" t="s">
        <v>61</v>
      </c>
      <c r="AS218" t="s">
        <v>61</v>
      </c>
      <c r="AT218" t="s">
        <v>61</v>
      </c>
      <c r="AU218" t="s">
        <v>61</v>
      </c>
      <c r="AV218" t="s">
        <v>61</v>
      </c>
      <c r="AW218" t="s">
        <v>61</v>
      </c>
      <c r="AX218" t="s">
        <v>61</v>
      </c>
      <c r="AY218" t="s">
        <v>61</v>
      </c>
      <c r="AZ218" t="s">
        <v>61</v>
      </c>
      <c r="BA218" t="s">
        <v>61</v>
      </c>
      <c r="BB218" t="s">
        <v>61</v>
      </c>
      <c r="BC218" t="s">
        <v>61</v>
      </c>
      <c r="BD218" t="s">
        <v>61</v>
      </c>
      <c r="BE218" t="s">
        <v>61</v>
      </c>
      <c r="BF218" t="s">
        <v>61</v>
      </c>
    </row>
    <row r="219" spans="1:58">
      <c r="A219" t="s">
        <v>58</v>
      </c>
      <c r="B219" t="s">
        <v>1838</v>
      </c>
      <c r="C219" t="s">
        <v>1839</v>
      </c>
      <c r="D219" t="s">
        <v>862</v>
      </c>
      <c r="E219" t="s">
        <v>61</v>
      </c>
      <c r="F219">
        <v>2003</v>
      </c>
      <c r="G219" t="s">
        <v>273</v>
      </c>
      <c r="H219">
        <v>18</v>
      </c>
      <c r="I219">
        <v>2</v>
      </c>
      <c r="J219">
        <v>119</v>
      </c>
      <c r="K219">
        <v>128</v>
      </c>
      <c r="L219" t="s">
        <v>1840</v>
      </c>
      <c r="M219" t="s">
        <v>1841</v>
      </c>
      <c r="N219" t="s">
        <v>1842</v>
      </c>
      <c r="O219" t="s">
        <v>61</v>
      </c>
      <c r="Q219" t="s">
        <v>61</v>
      </c>
      <c r="R219" t="s">
        <v>61</v>
      </c>
      <c r="S219" t="s">
        <v>61</v>
      </c>
      <c r="T219" t="s">
        <v>61</v>
      </c>
      <c r="X219" t="s">
        <v>61</v>
      </c>
      <c r="Y219" t="s">
        <v>866</v>
      </c>
      <c r="Z219" t="s">
        <v>61</v>
      </c>
      <c r="AA219" t="s">
        <v>61</v>
      </c>
      <c r="AB219">
        <v>2004067659</v>
      </c>
      <c r="AC219" t="s">
        <v>67</v>
      </c>
      <c r="AD219" t="s">
        <v>61</v>
      </c>
      <c r="AE219" t="s">
        <v>61</v>
      </c>
      <c r="AF219" t="s">
        <v>61</v>
      </c>
      <c r="AG219" t="s">
        <v>61</v>
      </c>
      <c r="AH219" t="s">
        <v>61</v>
      </c>
      <c r="AI219" t="s">
        <v>61</v>
      </c>
      <c r="AJ219" t="s">
        <v>61</v>
      </c>
      <c r="AK219" t="s">
        <v>61</v>
      </c>
      <c r="AL219" t="s">
        <v>61</v>
      </c>
      <c r="AM219" t="s">
        <v>1839</v>
      </c>
      <c r="AN219" t="s">
        <v>61</v>
      </c>
      <c r="AO219" t="s">
        <v>61</v>
      </c>
      <c r="AP219" t="s">
        <v>61</v>
      </c>
      <c r="AQ219" t="s">
        <v>61</v>
      </c>
      <c r="AR219" t="s">
        <v>61</v>
      </c>
      <c r="AS219" t="s">
        <v>61</v>
      </c>
      <c r="AT219" t="s">
        <v>61</v>
      </c>
      <c r="AU219" t="s">
        <v>61</v>
      </c>
      <c r="AV219" t="s">
        <v>61</v>
      </c>
      <c r="AW219" t="s">
        <v>61</v>
      </c>
      <c r="AX219" t="s">
        <v>61</v>
      </c>
      <c r="AY219" t="s">
        <v>61</v>
      </c>
      <c r="AZ219" t="s">
        <v>61</v>
      </c>
      <c r="BA219" t="s">
        <v>61</v>
      </c>
      <c r="BB219" t="s">
        <v>61</v>
      </c>
      <c r="BC219" t="s">
        <v>61</v>
      </c>
      <c r="BD219" t="s">
        <v>61</v>
      </c>
      <c r="BE219" t="s">
        <v>61</v>
      </c>
      <c r="BF219" t="s">
        <v>61</v>
      </c>
    </row>
    <row r="220" spans="1:58">
      <c r="A220" t="s">
        <v>58</v>
      </c>
      <c r="B220" t="s">
        <v>1843</v>
      </c>
      <c r="C220" t="s">
        <v>1844</v>
      </c>
      <c r="D220" t="s">
        <v>1845</v>
      </c>
      <c r="E220" t="s">
        <v>61</v>
      </c>
      <c r="F220">
        <v>2006</v>
      </c>
      <c r="G220" t="s">
        <v>119</v>
      </c>
      <c r="H220">
        <v>12</v>
      </c>
      <c r="I220">
        <v>2</v>
      </c>
      <c r="J220">
        <v>75</v>
      </c>
      <c r="K220">
        <v>81</v>
      </c>
      <c r="L220" t="s">
        <v>1846</v>
      </c>
      <c r="M220" t="s">
        <v>1847</v>
      </c>
      <c r="N220" t="s">
        <v>1848</v>
      </c>
      <c r="O220" t="s">
        <v>61</v>
      </c>
      <c r="Q220" t="s">
        <v>61</v>
      </c>
      <c r="R220" t="s">
        <v>61</v>
      </c>
      <c r="S220" t="s">
        <v>61</v>
      </c>
      <c r="T220" t="s">
        <v>61</v>
      </c>
      <c r="X220" t="s">
        <v>61</v>
      </c>
      <c r="Y220" t="s">
        <v>1849</v>
      </c>
      <c r="Z220" t="s">
        <v>61</v>
      </c>
      <c r="AA220" t="s">
        <v>1850</v>
      </c>
      <c r="AB220">
        <v>16984745</v>
      </c>
      <c r="AC220" t="s">
        <v>67</v>
      </c>
      <c r="AD220" t="s">
        <v>61</v>
      </c>
      <c r="AE220" t="s">
        <v>61</v>
      </c>
      <c r="AF220" t="s">
        <v>61</v>
      </c>
      <c r="AG220" t="s">
        <v>1851</v>
      </c>
      <c r="AH220" t="s">
        <v>61</v>
      </c>
      <c r="AI220" t="s">
        <v>61</v>
      </c>
      <c r="AJ220" t="s">
        <v>61</v>
      </c>
      <c r="AK220" t="s">
        <v>61</v>
      </c>
      <c r="AL220" t="s">
        <v>61</v>
      </c>
      <c r="AM220" t="s">
        <v>1852</v>
      </c>
      <c r="AN220" t="s">
        <v>61</v>
      </c>
      <c r="AO220" t="s">
        <v>61</v>
      </c>
      <c r="AP220" t="s">
        <v>61</v>
      </c>
      <c r="AQ220" t="s">
        <v>61</v>
      </c>
      <c r="AR220" t="s">
        <v>61</v>
      </c>
      <c r="AS220" t="s">
        <v>61</v>
      </c>
      <c r="AT220" t="s">
        <v>61</v>
      </c>
      <c r="AU220" t="s">
        <v>61</v>
      </c>
      <c r="AV220" t="s">
        <v>61</v>
      </c>
      <c r="AW220" t="s">
        <v>61</v>
      </c>
      <c r="AX220" t="s">
        <v>61</v>
      </c>
      <c r="AY220" t="s">
        <v>61</v>
      </c>
      <c r="AZ220" t="s">
        <v>61</v>
      </c>
      <c r="BA220" t="s">
        <v>61</v>
      </c>
      <c r="BB220" t="s">
        <v>61</v>
      </c>
      <c r="BC220" t="s">
        <v>61</v>
      </c>
      <c r="BD220" t="s">
        <v>61</v>
      </c>
      <c r="BE220" t="s">
        <v>61</v>
      </c>
      <c r="BF220" t="s">
        <v>61</v>
      </c>
    </row>
    <row r="221" spans="1:58">
      <c r="A221" t="s">
        <v>58</v>
      </c>
      <c r="B221" t="s">
        <v>1853</v>
      </c>
      <c r="C221" t="s">
        <v>1854</v>
      </c>
      <c r="D221" t="s">
        <v>428</v>
      </c>
      <c r="E221" t="s">
        <v>61</v>
      </c>
      <c r="F221">
        <v>2013</v>
      </c>
      <c r="G221" t="s">
        <v>457</v>
      </c>
      <c r="H221">
        <v>26</v>
      </c>
      <c r="I221">
        <v>3</v>
      </c>
      <c r="J221">
        <v>306</v>
      </c>
      <c r="K221" t="s">
        <v>61</v>
      </c>
      <c r="L221" t="s">
        <v>1855</v>
      </c>
      <c r="M221" t="s">
        <v>1856</v>
      </c>
      <c r="N221" t="s">
        <v>1857</v>
      </c>
      <c r="O221" t="s">
        <v>61</v>
      </c>
      <c r="Q221" t="s">
        <v>61</v>
      </c>
      <c r="R221" t="s">
        <v>61</v>
      </c>
      <c r="S221" t="s">
        <v>61</v>
      </c>
      <c r="T221" t="s">
        <v>61</v>
      </c>
      <c r="X221" t="s">
        <v>61</v>
      </c>
      <c r="Y221" t="s">
        <v>433</v>
      </c>
      <c r="Z221" t="s">
        <v>61</v>
      </c>
      <c r="AA221" t="s">
        <v>61</v>
      </c>
      <c r="AB221" t="s">
        <v>61</v>
      </c>
      <c r="AC221" t="s">
        <v>67</v>
      </c>
      <c r="AD221" t="s">
        <v>61</v>
      </c>
      <c r="AE221" t="s">
        <v>61</v>
      </c>
      <c r="AF221" t="s">
        <v>61</v>
      </c>
      <c r="AG221" t="s">
        <v>61</v>
      </c>
      <c r="AH221" t="s">
        <v>61</v>
      </c>
      <c r="AI221" t="s">
        <v>61</v>
      </c>
      <c r="AJ221" t="s">
        <v>61</v>
      </c>
      <c r="AK221" t="s">
        <v>61</v>
      </c>
      <c r="AL221" t="s">
        <v>61</v>
      </c>
      <c r="AM221" t="s">
        <v>1854</v>
      </c>
      <c r="AN221" t="s">
        <v>61</v>
      </c>
      <c r="AO221" t="s">
        <v>61</v>
      </c>
      <c r="AP221" t="s">
        <v>61</v>
      </c>
      <c r="AQ221" t="s">
        <v>61</v>
      </c>
      <c r="AR221" t="s">
        <v>61</v>
      </c>
      <c r="AS221" t="s">
        <v>61</v>
      </c>
      <c r="AT221" t="s">
        <v>61</v>
      </c>
      <c r="AU221" t="s">
        <v>61</v>
      </c>
      <c r="AV221" t="s">
        <v>61</v>
      </c>
      <c r="AW221" t="s">
        <v>61</v>
      </c>
      <c r="AX221" t="s">
        <v>61</v>
      </c>
      <c r="AY221" t="s">
        <v>61</v>
      </c>
      <c r="AZ221" t="s">
        <v>61</v>
      </c>
      <c r="BA221" t="s">
        <v>61</v>
      </c>
      <c r="BB221" t="s">
        <v>61</v>
      </c>
      <c r="BC221" t="s">
        <v>61</v>
      </c>
      <c r="BD221" t="s">
        <v>61</v>
      </c>
      <c r="BE221" t="s">
        <v>61</v>
      </c>
      <c r="BF221" t="s">
        <v>61</v>
      </c>
    </row>
    <row r="222" spans="1:58">
      <c r="A222" t="s">
        <v>58</v>
      </c>
      <c r="B222" t="s">
        <v>1858</v>
      </c>
      <c r="C222" t="s">
        <v>1859</v>
      </c>
      <c r="D222" t="s">
        <v>408</v>
      </c>
      <c r="E222" t="s">
        <v>408</v>
      </c>
      <c r="F222">
        <v>2011</v>
      </c>
      <c r="G222" t="s">
        <v>645</v>
      </c>
      <c r="H222">
        <v>31</v>
      </c>
      <c r="I222">
        <v>10</v>
      </c>
      <c r="J222" t="s">
        <v>1860</v>
      </c>
      <c r="K222" t="s">
        <v>1861</v>
      </c>
      <c r="L222" t="s">
        <v>1862</v>
      </c>
      <c r="M222" t="s">
        <v>1863</v>
      </c>
      <c r="N222" t="s">
        <v>1864</v>
      </c>
      <c r="O222" t="s">
        <v>61</v>
      </c>
      <c r="Q222" t="s">
        <v>61</v>
      </c>
      <c r="R222" t="s">
        <v>61</v>
      </c>
      <c r="S222" t="s">
        <v>61</v>
      </c>
      <c r="T222" t="s">
        <v>61</v>
      </c>
      <c r="X222" t="s">
        <v>61</v>
      </c>
      <c r="Y222" t="s">
        <v>414</v>
      </c>
      <c r="Z222" t="s">
        <v>61</v>
      </c>
      <c r="AA222" t="s">
        <v>61</v>
      </c>
      <c r="AB222" t="s">
        <v>61</v>
      </c>
      <c r="AC222" t="s">
        <v>67</v>
      </c>
      <c r="AD222" t="s">
        <v>61</v>
      </c>
      <c r="AE222" t="s">
        <v>61</v>
      </c>
      <c r="AF222" t="s">
        <v>61</v>
      </c>
      <c r="AG222" t="s">
        <v>61</v>
      </c>
      <c r="AH222" t="s">
        <v>61</v>
      </c>
      <c r="AI222" t="s">
        <v>61</v>
      </c>
      <c r="AJ222" t="s">
        <v>61</v>
      </c>
      <c r="AK222" t="s">
        <v>61</v>
      </c>
      <c r="AL222" t="s">
        <v>61</v>
      </c>
      <c r="AM222" t="s">
        <v>1859</v>
      </c>
      <c r="AN222" t="s">
        <v>61</v>
      </c>
      <c r="AO222" t="s">
        <v>61</v>
      </c>
      <c r="AP222" t="s">
        <v>61</v>
      </c>
      <c r="AQ222" t="s">
        <v>61</v>
      </c>
      <c r="AR222" t="s">
        <v>61</v>
      </c>
      <c r="AS222" t="s">
        <v>61</v>
      </c>
      <c r="AT222" t="s">
        <v>61</v>
      </c>
      <c r="AU222" t="s">
        <v>61</v>
      </c>
      <c r="AV222" t="s">
        <v>61</v>
      </c>
      <c r="AW222" t="s">
        <v>61</v>
      </c>
      <c r="AX222" t="s">
        <v>61</v>
      </c>
      <c r="AY222" t="s">
        <v>61</v>
      </c>
      <c r="AZ222" t="s">
        <v>61</v>
      </c>
      <c r="BA222" t="s">
        <v>61</v>
      </c>
      <c r="BB222" t="s">
        <v>61</v>
      </c>
      <c r="BC222" t="s">
        <v>61</v>
      </c>
      <c r="BD222" t="s">
        <v>61</v>
      </c>
      <c r="BE222" t="s">
        <v>61</v>
      </c>
      <c r="BF222" t="s">
        <v>61</v>
      </c>
    </row>
    <row r="223" spans="1:58">
      <c r="A223" t="s">
        <v>58</v>
      </c>
      <c r="B223" t="s">
        <v>1865</v>
      </c>
      <c r="C223" t="s">
        <v>1866</v>
      </c>
      <c r="D223" t="s">
        <v>1867</v>
      </c>
      <c r="E223" t="s">
        <v>1867</v>
      </c>
      <c r="F223">
        <v>1991</v>
      </c>
      <c r="G223" t="s">
        <v>851</v>
      </c>
      <c r="H223">
        <v>25</v>
      </c>
      <c r="I223">
        <v>11</v>
      </c>
      <c r="J223">
        <v>1225</v>
      </c>
      <c r="K223">
        <v>1230</v>
      </c>
      <c r="L223" t="s">
        <v>1868</v>
      </c>
      <c r="M223" t="s">
        <v>1869</v>
      </c>
      <c r="N223" t="s">
        <v>1870</v>
      </c>
      <c r="O223" t="s">
        <v>61</v>
      </c>
      <c r="Q223" t="s">
        <v>61</v>
      </c>
      <c r="R223" t="s">
        <v>61</v>
      </c>
      <c r="S223" t="s">
        <v>61</v>
      </c>
      <c r="T223" t="s">
        <v>61</v>
      </c>
      <c r="X223" t="s">
        <v>61</v>
      </c>
      <c r="Y223" t="s">
        <v>1871</v>
      </c>
      <c r="Z223" t="s">
        <v>61</v>
      </c>
      <c r="AA223" t="s">
        <v>1872</v>
      </c>
      <c r="AB223">
        <v>1722370</v>
      </c>
      <c r="AC223" t="s">
        <v>67</v>
      </c>
      <c r="AD223" t="s">
        <v>61</v>
      </c>
      <c r="AE223" t="s">
        <v>61</v>
      </c>
      <c r="AF223" t="s">
        <v>61</v>
      </c>
      <c r="AG223" t="s">
        <v>1873</v>
      </c>
      <c r="AH223" t="s">
        <v>61</v>
      </c>
      <c r="AI223" t="s">
        <v>61</v>
      </c>
      <c r="AJ223" t="s">
        <v>61</v>
      </c>
      <c r="AK223" t="s">
        <v>61</v>
      </c>
      <c r="AL223" t="s">
        <v>61</v>
      </c>
      <c r="AM223" t="s">
        <v>1874</v>
      </c>
      <c r="AN223" t="s">
        <v>61</v>
      </c>
      <c r="AO223" t="s">
        <v>61</v>
      </c>
      <c r="AP223" t="s">
        <v>61</v>
      </c>
      <c r="AQ223" t="s">
        <v>61</v>
      </c>
      <c r="AR223" t="s">
        <v>61</v>
      </c>
      <c r="AS223" t="s">
        <v>61</v>
      </c>
      <c r="AT223" t="s">
        <v>61</v>
      </c>
      <c r="AU223" t="s">
        <v>61</v>
      </c>
      <c r="AV223" t="s">
        <v>61</v>
      </c>
      <c r="AW223" t="s">
        <v>61</v>
      </c>
      <c r="AX223" t="s">
        <v>61</v>
      </c>
      <c r="AY223" t="s">
        <v>61</v>
      </c>
      <c r="AZ223" t="s">
        <v>61</v>
      </c>
      <c r="BA223" t="s">
        <v>61</v>
      </c>
      <c r="BB223" t="s">
        <v>61</v>
      </c>
      <c r="BC223" t="s">
        <v>61</v>
      </c>
      <c r="BD223" t="s">
        <v>61</v>
      </c>
      <c r="BE223" t="s">
        <v>61</v>
      </c>
      <c r="BF223" t="s">
        <v>61</v>
      </c>
    </row>
    <row r="224" spans="1:58">
      <c r="A224" t="s">
        <v>58</v>
      </c>
      <c r="B224" t="s">
        <v>1875</v>
      </c>
      <c r="C224" t="s">
        <v>1876</v>
      </c>
      <c r="D224" t="s">
        <v>1877</v>
      </c>
      <c r="E224" t="s">
        <v>61</v>
      </c>
      <c r="F224">
        <v>2014</v>
      </c>
      <c r="G224">
        <v>1</v>
      </c>
      <c r="H224" t="s">
        <v>1878</v>
      </c>
      <c r="I224" t="s">
        <v>61</v>
      </c>
      <c r="J224" t="s">
        <v>1879</v>
      </c>
      <c r="K224" t="s">
        <v>61</v>
      </c>
      <c r="L224" t="s">
        <v>1880</v>
      </c>
      <c r="M224" t="s">
        <v>1881</v>
      </c>
      <c r="N224" t="s">
        <v>1882</v>
      </c>
      <c r="O224" t="s">
        <v>61</v>
      </c>
      <c r="Q224" t="s">
        <v>61</v>
      </c>
      <c r="R224" t="s">
        <v>61</v>
      </c>
      <c r="S224" t="s">
        <v>61</v>
      </c>
      <c r="T224" t="s">
        <v>61</v>
      </c>
      <c r="X224" t="s">
        <v>61</v>
      </c>
      <c r="Y224" t="s">
        <v>1883</v>
      </c>
      <c r="Z224" t="s">
        <v>61</v>
      </c>
      <c r="AA224" t="s">
        <v>61</v>
      </c>
      <c r="AB224" t="s">
        <v>61</v>
      </c>
      <c r="AC224" t="s">
        <v>67</v>
      </c>
      <c r="AD224" t="s">
        <v>61</v>
      </c>
      <c r="AE224" t="s">
        <v>61</v>
      </c>
      <c r="AF224" t="s">
        <v>61</v>
      </c>
      <c r="AG224" t="s">
        <v>61</v>
      </c>
      <c r="AH224" t="s">
        <v>61</v>
      </c>
      <c r="AI224" t="s">
        <v>61</v>
      </c>
      <c r="AJ224" t="s">
        <v>61</v>
      </c>
      <c r="AK224" t="s">
        <v>61</v>
      </c>
      <c r="AL224" t="s">
        <v>61</v>
      </c>
      <c r="AM224" t="s">
        <v>1876</v>
      </c>
      <c r="AN224" t="s">
        <v>61</v>
      </c>
      <c r="AO224" t="s">
        <v>61</v>
      </c>
      <c r="AP224" t="s">
        <v>61</v>
      </c>
      <c r="AQ224" t="s">
        <v>61</v>
      </c>
      <c r="AR224" t="s">
        <v>61</v>
      </c>
      <c r="AS224" t="s">
        <v>61</v>
      </c>
      <c r="AT224" t="s">
        <v>61</v>
      </c>
      <c r="AU224" t="s">
        <v>61</v>
      </c>
      <c r="AV224" t="s">
        <v>61</v>
      </c>
      <c r="AW224" t="s">
        <v>61</v>
      </c>
      <c r="AX224" t="s">
        <v>61</v>
      </c>
      <c r="AY224" t="s">
        <v>61</v>
      </c>
      <c r="AZ224" t="s">
        <v>61</v>
      </c>
      <c r="BA224" t="s">
        <v>61</v>
      </c>
      <c r="BB224" t="s">
        <v>61</v>
      </c>
      <c r="BC224" t="s">
        <v>61</v>
      </c>
      <c r="BD224" t="s">
        <v>61</v>
      </c>
      <c r="BE224" t="s">
        <v>61</v>
      </c>
      <c r="BF224" t="s">
        <v>61</v>
      </c>
    </row>
    <row r="225" spans="1:58">
      <c r="A225" t="s">
        <v>58</v>
      </c>
      <c r="B225" t="s">
        <v>1884</v>
      </c>
      <c r="C225" t="s">
        <v>1885</v>
      </c>
      <c r="D225" t="s">
        <v>1151</v>
      </c>
      <c r="E225" t="s">
        <v>61</v>
      </c>
      <c r="F225">
        <v>2003</v>
      </c>
      <c r="G225" t="s">
        <v>1152</v>
      </c>
      <c r="H225">
        <v>24</v>
      </c>
      <c r="I225">
        <v>3</v>
      </c>
      <c r="J225">
        <v>157</v>
      </c>
      <c r="K225">
        <v>173</v>
      </c>
      <c r="L225" t="s">
        <v>1886</v>
      </c>
      <c r="M225" t="s">
        <v>1887</v>
      </c>
      <c r="N225" t="s">
        <v>1888</v>
      </c>
      <c r="O225" t="s">
        <v>61</v>
      </c>
      <c r="Q225" t="s">
        <v>61</v>
      </c>
      <c r="R225" t="s">
        <v>61</v>
      </c>
      <c r="S225" t="s">
        <v>61</v>
      </c>
      <c r="T225" t="s">
        <v>61</v>
      </c>
      <c r="X225" t="s">
        <v>61</v>
      </c>
      <c r="Y225" t="s">
        <v>1156</v>
      </c>
      <c r="Z225" t="s">
        <v>61</v>
      </c>
      <c r="AA225" t="s">
        <v>1889</v>
      </c>
      <c r="AB225">
        <v>12913365</v>
      </c>
      <c r="AC225" t="s">
        <v>67</v>
      </c>
      <c r="AD225" t="s">
        <v>61</v>
      </c>
      <c r="AE225" t="s">
        <v>61</v>
      </c>
      <c r="AF225" t="s">
        <v>61</v>
      </c>
      <c r="AG225" t="s">
        <v>1890</v>
      </c>
      <c r="AH225" t="s">
        <v>61</v>
      </c>
      <c r="AI225" t="s">
        <v>61</v>
      </c>
      <c r="AJ225" t="s">
        <v>61</v>
      </c>
      <c r="AK225" t="s">
        <v>61</v>
      </c>
      <c r="AL225" t="s">
        <v>61</v>
      </c>
      <c r="AM225" t="s">
        <v>1891</v>
      </c>
      <c r="AN225" t="s">
        <v>61</v>
      </c>
      <c r="AO225" t="s">
        <v>61</v>
      </c>
      <c r="AP225" t="s">
        <v>61</v>
      </c>
      <c r="AQ225" t="s">
        <v>61</v>
      </c>
      <c r="AR225" t="s">
        <v>61</v>
      </c>
      <c r="AS225" t="s">
        <v>61</v>
      </c>
      <c r="AT225" t="s">
        <v>61</v>
      </c>
      <c r="AU225" t="s">
        <v>61</v>
      </c>
      <c r="AV225" t="s">
        <v>61</v>
      </c>
      <c r="AW225" t="s">
        <v>61</v>
      </c>
      <c r="AX225" t="s">
        <v>61</v>
      </c>
      <c r="AY225" t="s">
        <v>61</v>
      </c>
      <c r="AZ225" t="s">
        <v>61</v>
      </c>
      <c r="BA225" t="s">
        <v>61</v>
      </c>
      <c r="BB225" t="s">
        <v>61</v>
      </c>
      <c r="BC225" t="s">
        <v>61</v>
      </c>
      <c r="BD225" t="s">
        <v>61</v>
      </c>
      <c r="BE225" t="s">
        <v>61</v>
      </c>
      <c r="BF225" t="s">
        <v>61</v>
      </c>
    </row>
    <row r="226" spans="1:58">
      <c r="A226" t="s">
        <v>58</v>
      </c>
      <c r="B226" t="s">
        <v>1892</v>
      </c>
      <c r="C226" t="s">
        <v>1893</v>
      </c>
      <c r="D226" t="s">
        <v>1894</v>
      </c>
      <c r="E226" t="s">
        <v>1895</v>
      </c>
      <c r="F226">
        <v>2005</v>
      </c>
      <c r="G226" t="s">
        <v>85</v>
      </c>
      <c r="H226">
        <v>138</v>
      </c>
      <c r="I226">
        <v>3</v>
      </c>
      <c r="J226">
        <v>32</v>
      </c>
      <c r="K226">
        <v>38</v>
      </c>
      <c r="L226" t="s">
        <v>1896</v>
      </c>
      <c r="M226" t="s">
        <v>1897</v>
      </c>
      <c r="N226" t="s">
        <v>1898</v>
      </c>
      <c r="O226" t="s">
        <v>61</v>
      </c>
      <c r="Q226" t="s">
        <v>61</v>
      </c>
      <c r="R226" t="s">
        <v>61</v>
      </c>
      <c r="S226" t="s">
        <v>61</v>
      </c>
      <c r="T226" t="s">
        <v>61</v>
      </c>
      <c r="X226" t="s">
        <v>61</v>
      </c>
      <c r="Y226" t="s">
        <v>1899</v>
      </c>
      <c r="Z226" t="s">
        <v>61</v>
      </c>
      <c r="AA226" t="s">
        <v>61</v>
      </c>
      <c r="AB226">
        <v>2005449770</v>
      </c>
      <c r="AC226" t="s">
        <v>67</v>
      </c>
      <c r="AD226" t="s">
        <v>61</v>
      </c>
      <c r="AE226" t="s">
        <v>61</v>
      </c>
      <c r="AF226" t="s">
        <v>61</v>
      </c>
      <c r="AG226" t="s">
        <v>61</v>
      </c>
      <c r="AH226" t="s">
        <v>61</v>
      </c>
      <c r="AI226" t="s">
        <v>61</v>
      </c>
      <c r="AJ226" t="s">
        <v>61</v>
      </c>
      <c r="AK226" t="s">
        <v>61</v>
      </c>
      <c r="AL226" t="s">
        <v>61</v>
      </c>
      <c r="AM226" t="s">
        <v>1893</v>
      </c>
      <c r="AN226" t="s">
        <v>61</v>
      </c>
      <c r="AO226" t="s">
        <v>61</v>
      </c>
      <c r="AP226" t="s">
        <v>61</v>
      </c>
      <c r="AQ226" t="s">
        <v>61</v>
      </c>
      <c r="AR226" t="s">
        <v>61</v>
      </c>
      <c r="AS226" t="s">
        <v>61</v>
      </c>
      <c r="AT226" t="s">
        <v>61</v>
      </c>
      <c r="AU226" t="s">
        <v>61</v>
      </c>
      <c r="AV226" t="s">
        <v>61</v>
      </c>
      <c r="AW226" t="s">
        <v>61</v>
      </c>
      <c r="AX226" t="s">
        <v>61</v>
      </c>
      <c r="AY226" t="s">
        <v>61</v>
      </c>
      <c r="AZ226" t="s">
        <v>61</v>
      </c>
      <c r="BA226" t="s">
        <v>61</v>
      </c>
      <c r="BB226" t="s">
        <v>61</v>
      </c>
      <c r="BC226" t="s">
        <v>61</v>
      </c>
      <c r="BD226" t="s">
        <v>61</v>
      </c>
      <c r="BE226" t="s">
        <v>61</v>
      </c>
      <c r="BF226" t="s">
        <v>61</v>
      </c>
    </row>
    <row r="227" spans="1:58">
      <c r="A227" t="s">
        <v>58</v>
      </c>
      <c r="B227" t="s">
        <v>1900</v>
      </c>
      <c r="C227" t="s">
        <v>1901</v>
      </c>
      <c r="D227" t="s">
        <v>1902</v>
      </c>
      <c r="E227" t="s">
        <v>61</v>
      </c>
      <c r="F227">
        <v>2007</v>
      </c>
      <c r="G227" t="s">
        <v>61</v>
      </c>
      <c r="H227">
        <v>98</v>
      </c>
      <c r="I227">
        <v>5</v>
      </c>
      <c r="J227">
        <v>395</v>
      </c>
      <c r="K227" t="s">
        <v>1903</v>
      </c>
      <c r="L227" t="s">
        <v>1904</v>
      </c>
      <c r="M227" t="s">
        <v>1905</v>
      </c>
      <c r="N227" t="s">
        <v>1906</v>
      </c>
      <c r="O227" t="s">
        <v>61</v>
      </c>
      <c r="Q227" t="s">
        <v>61</v>
      </c>
      <c r="R227" t="s">
        <v>61</v>
      </c>
      <c r="S227" t="s">
        <v>61</v>
      </c>
      <c r="T227" t="s">
        <v>61</v>
      </c>
      <c r="X227" t="s">
        <v>61</v>
      </c>
      <c r="Y227" s="2">
        <v>863282</v>
      </c>
      <c r="Z227" t="s">
        <v>61</v>
      </c>
      <c r="AA227" t="s">
        <v>61</v>
      </c>
      <c r="AB227">
        <v>106004192</v>
      </c>
      <c r="AC227" t="s">
        <v>67</v>
      </c>
      <c r="AD227" t="s">
        <v>61</v>
      </c>
      <c r="AE227" t="s">
        <v>61</v>
      </c>
      <c r="AF227" t="s">
        <v>61</v>
      </c>
      <c r="AG227" t="s">
        <v>1907</v>
      </c>
      <c r="AH227" t="s">
        <v>61</v>
      </c>
      <c r="AI227" t="s">
        <v>61</v>
      </c>
      <c r="AJ227" t="s">
        <v>61</v>
      </c>
      <c r="AK227" t="s">
        <v>61</v>
      </c>
      <c r="AL227" t="s">
        <v>61</v>
      </c>
      <c r="AM227" t="s">
        <v>1908</v>
      </c>
      <c r="AN227" t="s">
        <v>61</v>
      </c>
      <c r="AO227" t="s">
        <v>61</v>
      </c>
      <c r="AP227" t="s">
        <v>61</v>
      </c>
      <c r="AQ227" t="s">
        <v>61</v>
      </c>
      <c r="AR227" t="s">
        <v>61</v>
      </c>
      <c r="AS227" t="s">
        <v>61</v>
      </c>
      <c r="AT227" t="s">
        <v>61</v>
      </c>
      <c r="AU227" t="s">
        <v>61</v>
      </c>
      <c r="AV227" t="s">
        <v>61</v>
      </c>
      <c r="AW227" t="s">
        <v>61</v>
      </c>
      <c r="AX227" t="s">
        <v>61</v>
      </c>
      <c r="AY227" t="s">
        <v>61</v>
      </c>
      <c r="AZ227" t="s">
        <v>61</v>
      </c>
      <c r="BA227" t="s">
        <v>61</v>
      </c>
      <c r="BB227" t="s">
        <v>61</v>
      </c>
      <c r="BC227" t="s">
        <v>61</v>
      </c>
      <c r="BD227" t="s">
        <v>61</v>
      </c>
      <c r="BE227" t="s">
        <v>61</v>
      </c>
      <c r="BF227" t="s">
        <v>61</v>
      </c>
    </row>
    <row r="228" spans="1:58">
      <c r="A228" t="s">
        <v>58</v>
      </c>
      <c r="B228" t="s">
        <v>1909</v>
      </c>
      <c r="C228" t="s">
        <v>1910</v>
      </c>
      <c r="D228" t="s">
        <v>1739</v>
      </c>
      <c r="E228" t="s">
        <v>1740</v>
      </c>
      <c r="F228">
        <v>1993</v>
      </c>
      <c r="G228" t="s">
        <v>273</v>
      </c>
      <c r="H228">
        <v>50</v>
      </c>
      <c r="I228">
        <v>2</v>
      </c>
      <c r="J228">
        <v>294</v>
      </c>
      <c r="K228">
        <v>296</v>
      </c>
      <c r="L228" t="s">
        <v>1911</v>
      </c>
      <c r="M228" t="s">
        <v>61</v>
      </c>
      <c r="N228" t="s">
        <v>1912</v>
      </c>
      <c r="O228" t="s">
        <v>61</v>
      </c>
      <c r="Q228" t="s">
        <v>61</v>
      </c>
      <c r="R228" t="s">
        <v>61</v>
      </c>
      <c r="S228" t="s">
        <v>61</v>
      </c>
      <c r="T228" t="s">
        <v>61</v>
      </c>
      <c r="X228" t="s">
        <v>61</v>
      </c>
      <c r="Y228" s="2">
        <v>2698811</v>
      </c>
      <c r="Z228" t="s">
        <v>61</v>
      </c>
      <c r="AA228" t="s">
        <v>1913</v>
      </c>
      <c r="AB228">
        <v>8480787</v>
      </c>
      <c r="AC228" t="s">
        <v>67</v>
      </c>
      <c r="AD228" t="s">
        <v>61</v>
      </c>
      <c r="AE228" t="s">
        <v>61</v>
      </c>
      <c r="AF228" t="s">
        <v>61</v>
      </c>
      <c r="AG228" t="s">
        <v>1914</v>
      </c>
      <c r="AH228" t="s">
        <v>61</v>
      </c>
      <c r="AI228" t="s">
        <v>61</v>
      </c>
      <c r="AJ228" t="s">
        <v>61</v>
      </c>
      <c r="AK228" t="s">
        <v>61</v>
      </c>
      <c r="AL228" t="s">
        <v>61</v>
      </c>
      <c r="AM228" t="s">
        <v>1915</v>
      </c>
      <c r="AN228" t="s">
        <v>61</v>
      </c>
      <c r="AO228" t="s">
        <v>61</v>
      </c>
      <c r="AP228" t="s">
        <v>61</v>
      </c>
      <c r="AQ228" t="s">
        <v>61</v>
      </c>
      <c r="AR228" t="s">
        <v>61</v>
      </c>
      <c r="AS228" t="s">
        <v>61</v>
      </c>
      <c r="AT228" t="s">
        <v>61</v>
      </c>
      <c r="AU228" t="s">
        <v>61</v>
      </c>
      <c r="AV228" t="s">
        <v>61</v>
      </c>
      <c r="AW228" t="s">
        <v>61</v>
      </c>
      <c r="AX228" t="s">
        <v>61</v>
      </c>
      <c r="AY228" t="s">
        <v>61</v>
      </c>
      <c r="AZ228" t="s">
        <v>61</v>
      </c>
      <c r="BA228" t="s">
        <v>61</v>
      </c>
      <c r="BB228" t="s">
        <v>61</v>
      </c>
      <c r="BC228" t="s">
        <v>61</v>
      </c>
      <c r="BD228" t="s">
        <v>61</v>
      </c>
      <c r="BE228" t="s">
        <v>61</v>
      </c>
      <c r="BF228" t="s">
        <v>61</v>
      </c>
    </row>
    <row r="229" spans="1:58">
      <c r="A229" t="s">
        <v>58</v>
      </c>
      <c r="B229" t="s">
        <v>1916</v>
      </c>
      <c r="C229" t="s">
        <v>1917</v>
      </c>
      <c r="D229" t="s">
        <v>1739</v>
      </c>
      <c r="E229" t="s">
        <v>1740</v>
      </c>
      <c r="F229">
        <v>1992</v>
      </c>
      <c r="G229" t="s">
        <v>559</v>
      </c>
      <c r="H229">
        <v>49</v>
      </c>
      <c r="I229">
        <v>5</v>
      </c>
      <c r="J229">
        <v>1130</v>
      </c>
      <c r="K229">
        <v>1132</v>
      </c>
      <c r="L229" t="s">
        <v>1918</v>
      </c>
      <c r="M229" t="s">
        <v>1919</v>
      </c>
      <c r="N229" t="s">
        <v>1920</v>
      </c>
      <c r="O229" t="s">
        <v>61</v>
      </c>
      <c r="Q229" t="s">
        <v>61</v>
      </c>
      <c r="R229" t="s">
        <v>61</v>
      </c>
      <c r="S229" t="s">
        <v>61</v>
      </c>
      <c r="T229" t="s">
        <v>61</v>
      </c>
      <c r="X229" t="s">
        <v>61</v>
      </c>
      <c r="Y229" s="2">
        <v>2698811</v>
      </c>
      <c r="Z229" t="s">
        <v>61</v>
      </c>
      <c r="AA229" t="s">
        <v>1921</v>
      </c>
      <c r="AB229">
        <v>1595740</v>
      </c>
      <c r="AC229" t="s">
        <v>67</v>
      </c>
      <c r="AD229" t="s">
        <v>61</v>
      </c>
      <c r="AE229" t="s">
        <v>61</v>
      </c>
      <c r="AF229" t="s">
        <v>61</v>
      </c>
      <c r="AG229" t="s">
        <v>1922</v>
      </c>
      <c r="AH229" t="s">
        <v>61</v>
      </c>
      <c r="AI229" t="s">
        <v>61</v>
      </c>
      <c r="AJ229" t="s">
        <v>61</v>
      </c>
      <c r="AK229" t="s">
        <v>61</v>
      </c>
      <c r="AL229" t="s">
        <v>61</v>
      </c>
      <c r="AM229" t="s">
        <v>1923</v>
      </c>
      <c r="AN229" t="s">
        <v>61</v>
      </c>
      <c r="AO229" t="s">
        <v>61</v>
      </c>
      <c r="AP229" t="s">
        <v>61</v>
      </c>
      <c r="AQ229" t="s">
        <v>61</v>
      </c>
      <c r="AR229" t="s">
        <v>61</v>
      </c>
      <c r="AS229" t="s">
        <v>61</v>
      </c>
      <c r="AT229" t="s">
        <v>61</v>
      </c>
      <c r="AU229" t="s">
        <v>61</v>
      </c>
      <c r="AV229" t="s">
        <v>61</v>
      </c>
      <c r="AW229" t="s">
        <v>61</v>
      </c>
      <c r="AX229" t="s">
        <v>61</v>
      </c>
      <c r="AY229" t="s">
        <v>61</v>
      </c>
      <c r="AZ229" t="s">
        <v>61</v>
      </c>
      <c r="BA229" t="s">
        <v>61</v>
      </c>
      <c r="BB229" t="s">
        <v>61</v>
      </c>
      <c r="BC229" t="s">
        <v>61</v>
      </c>
      <c r="BD229" t="s">
        <v>61</v>
      </c>
      <c r="BE229" t="s">
        <v>61</v>
      </c>
      <c r="BF229" t="s">
        <v>61</v>
      </c>
    </row>
    <row r="230" spans="1:58">
      <c r="A230" t="s">
        <v>58</v>
      </c>
      <c r="B230" t="s">
        <v>1924</v>
      </c>
      <c r="C230" t="s">
        <v>1925</v>
      </c>
      <c r="D230" t="s">
        <v>627</v>
      </c>
      <c r="E230" t="s">
        <v>61</v>
      </c>
      <c r="F230">
        <v>2013</v>
      </c>
      <c r="G230" t="s">
        <v>628</v>
      </c>
      <c r="H230">
        <v>53</v>
      </c>
      <c r="I230">
        <v>2</v>
      </c>
      <c r="J230" t="s">
        <v>1926</v>
      </c>
      <c r="K230" t="s">
        <v>61</v>
      </c>
      <c r="L230" t="s">
        <v>1927</v>
      </c>
      <c r="M230" t="s">
        <v>1928</v>
      </c>
      <c r="N230" t="s">
        <v>1929</v>
      </c>
      <c r="O230" t="s">
        <v>61</v>
      </c>
      <c r="Q230" t="s">
        <v>61</v>
      </c>
      <c r="R230" t="s">
        <v>61</v>
      </c>
      <c r="S230" t="s">
        <v>61</v>
      </c>
      <c r="T230" t="s">
        <v>61</v>
      </c>
      <c r="X230" t="s">
        <v>61</v>
      </c>
      <c r="Y230" t="s">
        <v>632</v>
      </c>
      <c r="Z230" t="s">
        <v>61</v>
      </c>
      <c r="AA230" t="s">
        <v>61</v>
      </c>
      <c r="AB230" t="s">
        <v>61</v>
      </c>
      <c r="AC230" t="s">
        <v>67</v>
      </c>
      <c r="AD230" t="s">
        <v>61</v>
      </c>
      <c r="AE230" t="s">
        <v>61</v>
      </c>
      <c r="AF230" t="s">
        <v>61</v>
      </c>
      <c r="AG230" t="s">
        <v>61</v>
      </c>
      <c r="AH230" t="s">
        <v>61</v>
      </c>
      <c r="AI230" t="s">
        <v>61</v>
      </c>
      <c r="AJ230" t="s">
        <v>61</v>
      </c>
      <c r="AK230" t="s">
        <v>61</v>
      </c>
      <c r="AL230" t="s">
        <v>61</v>
      </c>
      <c r="AM230" t="s">
        <v>1925</v>
      </c>
      <c r="AN230" t="s">
        <v>61</v>
      </c>
      <c r="AO230" t="s">
        <v>61</v>
      </c>
      <c r="AP230" t="s">
        <v>61</v>
      </c>
      <c r="AQ230" t="s">
        <v>61</v>
      </c>
      <c r="AR230" t="s">
        <v>61</v>
      </c>
      <c r="AS230" t="s">
        <v>61</v>
      </c>
      <c r="AT230" t="s">
        <v>61</v>
      </c>
      <c r="AU230" t="s">
        <v>61</v>
      </c>
      <c r="AV230" t="s">
        <v>61</v>
      </c>
      <c r="AW230" t="s">
        <v>61</v>
      </c>
      <c r="AX230" t="s">
        <v>61</v>
      </c>
      <c r="AY230" t="s">
        <v>61</v>
      </c>
      <c r="AZ230" t="s">
        <v>61</v>
      </c>
      <c r="BA230" t="s">
        <v>61</v>
      </c>
      <c r="BB230" t="s">
        <v>61</v>
      </c>
      <c r="BC230" t="s">
        <v>61</v>
      </c>
      <c r="BD230" t="s">
        <v>61</v>
      </c>
      <c r="BE230" t="s">
        <v>61</v>
      </c>
      <c r="BF230" t="s">
        <v>61</v>
      </c>
    </row>
    <row r="231" spans="1:58">
      <c r="A231" t="s">
        <v>58</v>
      </c>
      <c r="B231" t="s">
        <v>1930</v>
      </c>
      <c r="C231" t="s">
        <v>1931</v>
      </c>
      <c r="D231" t="s">
        <v>1932</v>
      </c>
      <c r="E231" t="s">
        <v>1932</v>
      </c>
      <c r="F231">
        <v>2003</v>
      </c>
      <c r="G231" t="s">
        <v>119</v>
      </c>
      <c r="H231">
        <v>34</v>
      </c>
      <c r="I231">
        <v>6</v>
      </c>
      <c r="J231">
        <v>1375</v>
      </c>
      <c r="K231">
        <v>1381</v>
      </c>
      <c r="L231" t="s">
        <v>1933</v>
      </c>
      <c r="M231" t="s">
        <v>1934</v>
      </c>
      <c r="N231" t="s">
        <v>1935</v>
      </c>
      <c r="O231" t="s">
        <v>61</v>
      </c>
      <c r="Q231" t="s">
        <v>61</v>
      </c>
      <c r="R231" t="s">
        <v>61</v>
      </c>
      <c r="S231" t="s">
        <v>61</v>
      </c>
      <c r="T231" t="s">
        <v>61</v>
      </c>
      <c r="X231" t="s">
        <v>61</v>
      </c>
      <c r="Y231" t="s">
        <v>1936</v>
      </c>
      <c r="Z231" t="s">
        <v>61</v>
      </c>
      <c r="AA231" t="s">
        <v>1937</v>
      </c>
      <c r="AB231">
        <v>12764233</v>
      </c>
      <c r="AC231" t="s">
        <v>67</v>
      </c>
      <c r="AD231" t="s">
        <v>61</v>
      </c>
      <c r="AE231" t="s">
        <v>61</v>
      </c>
      <c r="AF231" t="s">
        <v>61</v>
      </c>
      <c r="AG231" t="s">
        <v>1938</v>
      </c>
      <c r="AH231" t="s">
        <v>61</v>
      </c>
      <c r="AI231" t="s">
        <v>61</v>
      </c>
      <c r="AJ231" t="s">
        <v>61</v>
      </c>
      <c r="AK231" t="s">
        <v>61</v>
      </c>
      <c r="AL231" t="s">
        <v>61</v>
      </c>
      <c r="AM231" t="s">
        <v>1939</v>
      </c>
      <c r="AN231" t="s">
        <v>61</v>
      </c>
      <c r="AO231" t="s">
        <v>61</v>
      </c>
      <c r="AP231" t="s">
        <v>61</v>
      </c>
      <c r="AQ231" t="s">
        <v>61</v>
      </c>
      <c r="AR231" t="s">
        <v>61</v>
      </c>
      <c r="AS231" t="s">
        <v>61</v>
      </c>
      <c r="AT231" t="s">
        <v>61</v>
      </c>
      <c r="AU231" t="s">
        <v>61</v>
      </c>
      <c r="AV231" t="s">
        <v>61</v>
      </c>
      <c r="AW231" t="s">
        <v>61</v>
      </c>
      <c r="AX231" t="s">
        <v>61</v>
      </c>
      <c r="AY231" t="s">
        <v>61</v>
      </c>
      <c r="AZ231" t="s">
        <v>61</v>
      </c>
      <c r="BA231" t="s">
        <v>61</v>
      </c>
      <c r="BB231" t="s">
        <v>61</v>
      </c>
      <c r="BC231" t="s">
        <v>61</v>
      </c>
      <c r="BD231" t="s">
        <v>61</v>
      </c>
      <c r="BE231" t="s">
        <v>61</v>
      </c>
      <c r="BF231" t="s">
        <v>61</v>
      </c>
    </row>
    <row r="232" spans="1:58">
      <c r="A232" t="s">
        <v>58</v>
      </c>
      <c r="B232" t="s">
        <v>1940</v>
      </c>
      <c r="C232" t="s">
        <v>1941</v>
      </c>
      <c r="D232" t="s">
        <v>1454</v>
      </c>
      <c r="E232" t="s">
        <v>1455</v>
      </c>
      <c r="F232">
        <v>2001</v>
      </c>
      <c r="G232" t="s">
        <v>61</v>
      </c>
      <c r="H232">
        <v>31</v>
      </c>
      <c r="I232">
        <v>2</v>
      </c>
      <c r="J232">
        <v>153</v>
      </c>
      <c r="K232">
        <v>169</v>
      </c>
      <c r="L232" t="s">
        <v>1942</v>
      </c>
      <c r="M232" t="s">
        <v>1943</v>
      </c>
      <c r="N232" t="s">
        <v>1944</v>
      </c>
      <c r="O232" t="s">
        <v>61</v>
      </c>
      <c r="Q232" t="s">
        <v>61</v>
      </c>
      <c r="R232" t="s">
        <v>61</v>
      </c>
      <c r="S232" t="s">
        <v>61</v>
      </c>
      <c r="T232" t="s">
        <v>61</v>
      </c>
      <c r="X232" t="s">
        <v>61</v>
      </c>
      <c r="Y232" t="s">
        <v>1459</v>
      </c>
      <c r="Z232" t="s">
        <v>61</v>
      </c>
      <c r="AA232" t="s">
        <v>1945</v>
      </c>
      <c r="AB232">
        <v>11487992</v>
      </c>
      <c r="AC232" t="s">
        <v>67</v>
      </c>
      <c r="AD232" t="s">
        <v>61</v>
      </c>
      <c r="AE232" t="s">
        <v>61</v>
      </c>
      <c r="AF232" t="s">
        <v>61</v>
      </c>
      <c r="AG232" t="s">
        <v>1946</v>
      </c>
      <c r="AH232" t="s">
        <v>61</v>
      </c>
      <c r="AI232" t="s">
        <v>61</v>
      </c>
      <c r="AJ232" t="s">
        <v>61</v>
      </c>
      <c r="AK232" t="s">
        <v>61</v>
      </c>
      <c r="AL232" t="s">
        <v>61</v>
      </c>
      <c r="AM232" t="s">
        <v>1947</v>
      </c>
      <c r="AN232" t="s">
        <v>61</v>
      </c>
      <c r="AO232" t="s">
        <v>61</v>
      </c>
      <c r="AP232" t="s">
        <v>61</v>
      </c>
      <c r="AQ232" t="s">
        <v>61</v>
      </c>
      <c r="AR232" t="s">
        <v>61</v>
      </c>
      <c r="AS232" t="s">
        <v>61</v>
      </c>
      <c r="AT232" t="s">
        <v>61</v>
      </c>
      <c r="AU232" t="s">
        <v>61</v>
      </c>
      <c r="AV232" t="s">
        <v>61</v>
      </c>
      <c r="AW232" t="s">
        <v>61</v>
      </c>
      <c r="AX232" t="s">
        <v>61</v>
      </c>
      <c r="AY232" t="s">
        <v>61</v>
      </c>
      <c r="AZ232" t="s">
        <v>61</v>
      </c>
      <c r="BA232" t="s">
        <v>61</v>
      </c>
      <c r="BB232" t="s">
        <v>61</v>
      </c>
      <c r="BC232" t="s">
        <v>61</v>
      </c>
      <c r="BD232" t="s">
        <v>61</v>
      </c>
      <c r="BE232" t="s">
        <v>61</v>
      </c>
      <c r="BF232" t="s">
        <v>61</v>
      </c>
    </row>
    <row r="233" spans="1:58">
      <c r="A233" t="s">
        <v>58</v>
      </c>
      <c r="B233" t="s">
        <v>1948</v>
      </c>
      <c r="C233" t="s">
        <v>1949</v>
      </c>
      <c r="D233" t="s">
        <v>475</v>
      </c>
      <c r="E233" t="s">
        <v>61</v>
      </c>
      <c r="F233">
        <v>2012</v>
      </c>
      <c r="G233" t="s">
        <v>457</v>
      </c>
      <c r="H233">
        <v>34</v>
      </c>
      <c r="I233">
        <v>3</v>
      </c>
      <c r="J233">
        <v>399</v>
      </c>
      <c r="K233">
        <v>409</v>
      </c>
      <c r="L233" t="s">
        <v>1950</v>
      </c>
      <c r="M233" t="s">
        <v>1951</v>
      </c>
      <c r="N233" t="s">
        <v>1952</v>
      </c>
      <c r="O233" t="s">
        <v>61</v>
      </c>
      <c r="Q233" t="s">
        <v>61</v>
      </c>
      <c r="R233" t="s">
        <v>61</v>
      </c>
      <c r="S233" t="s">
        <v>61</v>
      </c>
      <c r="T233" t="s">
        <v>61</v>
      </c>
      <c r="X233" t="s">
        <v>61</v>
      </c>
      <c r="Y233" t="s">
        <v>308</v>
      </c>
      <c r="Z233" t="s">
        <v>61</v>
      </c>
      <c r="AA233" t="s">
        <v>61</v>
      </c>
      <c r="AB233">
        <v>2012373283</v>
      </c>
      <c r="AC233" t="s">
        <v>67</v>
      </c>
      <c r="AD233" t="s">
        <v>61</v>
      </c>
      <c r="AE233" t="s">
        <v>61</v>
      </c>
      <c r="AF233" t="s">
        <v>61</v>
      </c>
      <c r="AG233" t="s">
        <v>1953</v>
      </c>
      <c r="AH233" t="s">
        <v>61</v>
      </c>
      <c r="AI233" t="s">
        <v>61</v>
      </c>
      <c r="AJ233" t="s">
        <v>61</v>
      </c>
      <c r="AK233" t="s">
        <v>61</v>
      </c>
      <c r="AL233" t="s">
        <v>61</v>
      </c>
      <c r="AM233" t="s">
        <v>1954</v>
      </c>
      <c r="AN233" t="s">
        <v>61</v>
      </c>
      <c r="AO233" t="s">
        <v>61</v>
      </c>
      <c r="AP233" t="s">
        <v>61</v>
      </c>
      <c r="AQ233" t="s">
        <v>61</v>
      </c>
      <c r="AR233" t="s">
        <v>61</v>
      </c>
      <c r="AS233" t="s">
        <v>61</v>
      </c>
      <c r="AT233" t="s">
        <v>61</v>
      </c>
      <c r="AU233" t="s">
        <v>61</v>
      </c>
      <c r="AV233" t="s">
        <v>61</v>
      </c>
      <c r="AW233" t="s">
        <v>61</v>
      </c>
      <c r="AX233" t="s">
        <v>61</v>
      </c>
      <c r="AY233" t="s">
        <v>61</v>
      </c>
      <c r="AZ233" t="s">
        <v>61</v>
      </c>
      <c r="BA233" t="s">
        <v>61</v>
      </c>
      <c r="BB233" t="s">
        <v>61</v>
      </c>
      <c r="BC233" t="s">
        <v>61</v>
      </c>
      <c r="BD233" t="s">
        <v>61</v>
      </c>
      <c r="BE233" t="s">
        <v>61</v>
      </c>
      <c r="BF233" t="s">
        <v>61</v>
      </c>
    </row>
    <row r="234" spans="1:58">
      <c r="A234" t="s">
        <v>58</v>
      </c>
      <c r="B234" t="s">
        <v>1955</v>
      </c>
      <c r="C234" t="s">
        <v>1956</v>
      </c>
      <c r="D234" t="s">
        <v>1957</v>
      </c>
      <c r="E234" t="s">
        <v>61</v>
      </c>
      <c r="F234">
        <v>2015</v>
      </c>
      <c r="G234" t="s">
        <v>61</v>
      </c>
      <c r="H234">
        <v>82</v>
      </c>
      <c r="I234">
        <v>8</v>
      </c>
      <c r="J234">
        <v>46</v>
      </c>
      <c r="K234" t="s">
        <v>61</v>
      </c>
      <c r="L234" t="s">
        <v>1958</v>
      </c>
      <c r="M234" t="s">
        <v>61</v>
      </c>
      <c r="N234" t="s">
        <v>1959</v>
      </c>
      <c r="O234" t="s">
        <v>61</v>
      </c>
      <c r="Q234" t="s">
        <v>61</v>
      </c>
      <c r="R234" t="s">
        <v>61</v>
      </c>
      <c r="S234" t="s">
        <v>61</v>
      </c>
      <c r="T234" t="s">
        <v>61</v>
      </c>
      <c r="X234" t="s">
        <v>61</v>
      </c>
      <c r="Y234" t="s">
        <v>1960</v>
      </c>
      <c r="Z234" t="s">
        <v>61</v>
      </c>
      <c r="AA234" t="s">
        <v>61</v>
      </c>
      <c r="AB234">
        <v>2015441194</v>
      </c>
      <c r="AC234" t="s">
        <v>67</v>
      </c>
      <c r="AD234" t="s">
        <v>61</v>
      </c>
      <c r="AE234" t="s">
        <v>61</v>
      </c>
      <c r="AF234" t="s">
        <v>61</v>
      </c>
      <c r="AG234" t="s">
        <v>61</v>
      </c>
      <c r="AH234" t="s">
        <v>61</v>
      </c>
      <c r="AI234" t="s">
        <v>61</v>
      </c>
      <c r="AJ234" t="s">
        <v>61</v>
      </c>
      <c r="AK234" t="s">
        <v>61</v>
      </c>
      <c r="AL234" t="s">
        <v>61</v>
      </c>
      <c r="AM234" t="s">
        <v>1956</v>
      </c>
      <c r="AN234" t="s">
        <v>61</v>
      </c>
      <c r="AO234" t="s">
        <v>61</v>
      </c>
      <c r="AP234" t="s">
        <v>61</v>
      </c>
      <c r="AQ234" t="s">
        <v>61</v>
      </c>
      <c r="AR234" t="s">
        <v>61</v>
      </c>
      <c r="AS234" t="s">
        <v>61</v>
      </c>
      <c r="AT234" t="s">
        <v>61</v>
      </c>
      <c r="AU234" t="s">
        <v>61</v>
      </c>
      <c r="AV234" t="s">
        <v>61</v>
      </c>
      <c r="AW234" t="s">
        <v>61</v>
      </c>
      <c r="AX234" t="s">
        <v>61</v>
      </c>
      <c r="AY234" t="s">
        <v>61</v>
      </c>
      <c r="AZ234" t="s">
        <v>61</v>
      </c>
      <c r="BA234" t="s">
        <v>61</v>
      </c>
      <c r="BB234" t="s">
        <v>61</v>
      </c>
      <c r="BC234" t="s">
        <v>61</v>
      </c>
      <c r="BD234" t="s">
        <v>61</v>
      </c>
      <c r="BE234" t="s">
        <v>61</v>
      </c>
      <c r="BF234" t="s">
        <v>61</v>
      </c>
    </row>
    <row r="235" spans="1:58">
      <c r="A235" t="s">
        <v>58</v>
      </c>
      <c r="B235" t="s">
        <v>1961</v>
      </c>
      <c r="C235" t="s">
        <v>1962</v>
      </c>
      <c r="D235" t="s">
        <v>1963</v>
      </c>
      <c r="E235" t="s">
        <v>1964</v>
      </c>
      <c r="F235">
        <v>1994</v>
      </c>
      <c r="G235" t="s">
        <v>851</v>
      </c>
      <c r="H235">
        <v>39</v>
      </c>
      <c r="I235">
        <v>6</v>
      </c>
      <c r="J235">
        <v>1515</v>
      </c>
      <c r="K235">
        <v>1519</v>
      </c>
      <c r="L235" t="s">
        <v>1965</v>
      </c>
      <c r="M235" t="s">
        <v>1966</v>
      </c>
      <c r="N235" t="s">
        <v>1967</v>
      </c>
      <c r="O235" t="s">
        <v>61</v>
      </c>
      <c r="Q235" t="s">
        <v>61</v>
      </c>
      <c r="R235" t="s">
        <v>61</v>
      </c>
      <c r="S235" t="s">
        <v>61</v>
      </c>
      <c r="T235" t="s">
        <v>61</v>
      </c>
      <c r="X235" t="s">
        <v>61</v>
      </c>
      <c r="Y235" t="s">
        <v>1968</v>
      </c>
      <c r="Z235" t="s">
        <v>61</v>
      </c>
      <c r="AA235" t="s">
        <v>1969</v>
      </c>
      <c r="AB235">
        <v>7815031</v>
      </c>
      <c r="AC235" t="s">
        <v>67</v>
      </c>
      <c r="AD235" t="s">
        <v>61</v>
      </c>
      <c r="AE235" t="s">
        <v>61</v>
      </c>
      <c r="AF235" t="s">
        <v>61</v>
      </c>
      <c r="AG235" t="s">
        <v>1970</v>
      </c>
      <c r="AH235" t="s">
        <v>61</v>
      </c>
      <c r="AI235" t="s">
        <v>61</v>
      </c>
      <c r="AJ235" t="s">
        <v>61</v>
      </c>
      <c r="AK235" t="s">
        <v>61</v>
      </c>
      <c r="AL235" t="s">
        <v>61</v>
      </c>
      <c r="AM235" t="s">
        <v>1971</v>
      </c>
      <c r="AN235" t="s">
        <v>61</v>
      </c>
      <c r="AO235" t="s">
        <v>61</v>
      </c>
      <c r="AP235" t="s">
        <v>61</v>
      </c>
      <c r="AQ235" t="s">
        <v>61</v>
      </c>
      <c r="AR235" t="s">
        <v>61</v>
      </c>
      <c r="AS235" t="s">
        <v>61</v>
      </c>
      <c r="AT235" t="s">
        <v>61</v>
      </c>
      <c r="AU235" t="s">
        <v>61</v>
      </c>
      <c r="AV235" t="s">
        <v>61</v>
      </c>
      <c r="AW235" t="s">
        <v>61</v>
      </c>
      <c r="AX235" t="s">
        <v>61</v>
      </c>
      <c r="AY235" t="s">
        <v>61</v>
      </c>
      <c r="AZ235" t="s">
        <v>61</v>
      </c>
      <c r="BA235" t="s">
        <v>61</v>
      </c>
      <c r="BB235" t="s">
        <v>61</v>
      </c>
      <c r="BC235" t="s">
        <v>61</v>
      </c>
      <c r="BD235" t="s">
        <v>61</v>
      </c>
      <c r="BE235" t="s">
        <v>61</v>
      </c>
      <c r="BF235" t="s">
        <v>61</v>
      </c>
    </row>
    <row r="236" spans="1:58">
      <c r="A236" t="s">
        <v>58</v>
      </c>
      <c r="B236" t="s">
        <v>1972</v>
      </c>
      <c r="C236" t="s">
        <v>1973</v>
      </c>
      <c r="D236" t="s">
        <v>1974</v>
      </c>
      <c r="E236" t="s">
        <v>61</v>
      </c>
      <c r="F236">
        <v>2015</v>
      </c>
      <c r="G236" t="s">
        <v>61</v>
      </c>
      <c r="H236" t="s">
        <v>61</v>
      </c>
      <c r="I236" t="s">
        <v>61</v>
      </c>
      <c r="J236" t="s">
        <v>1975</v>
      </c>
      <c r="K236">
        <v>9</v>
      </c>
      <c r="L236" t="s">
        <v>1976</v>
      </c>
      <c r="M236" t="s">
        <v>1977</v>
      </c>
      <c r="N236" t="s">
        <v>1978</v>
      </c>
      <c r="O236" t="s">
        <v>61</v>
      </c>
      <c r="Q236" t="s">
        <v>61</v>
      </c>
      <c r="R236" t="s">
        <v>61</v>
      </c>
      <c r="S236" t="s">
        <v>61</v>
      </c>
      <c r="T236" t="s">
        <v>61</v>
      </c>
      <c r="X236" t="s">
        <v>61</v>
      </c>
      <c r="Y236" t="s">
        <v>1979</v>
      </c>
      <c r="Z236" t="s">
        <v>61</v>
      </c>
      <c r="AA236" t="s">
        <v>1980</v>
      </c>
      <c r="AB236">
        <v>25993228</v>
      </c>
      <c r="AC236" t="s">
        <v>67</v>
      </c>
      <c r="AD236" t="s">
        <v>61</v>
      </c>
      <c r="AE236" t="s">
        <v>61</v>
      </c>
      <c r="AF236" t="s">
        <v>61</v>
      </c>
      <c r="AG236" t="s">
        <v>1981</v>
      </c>
      <c r="AH236" t="s">
        <v>61</v>
      </c>
      <c r="AI236" t="s">
        <v>1982</v>
      </c>
      <c r="AJ236" t="s">
        <v>61</v>
      </c>
      <c r="AK236" t="s">
        <v>61</v>
      </c>
      <c r="AL236" t="s">
        <v>61</v>
      </c>
      <c r="AM236" t="s">
        <v>1983</v>
      </c>
      <c r="AN236" t="s">
        <v>61</v>
      </c>
      <c r="AO236" t="s">
        <v>61</v>
      </c>
      <c r="AP236" t="s">
        <v>61</v>
      </c>
      <c r="AQ236" t="s">
        <v>61</v>
      </c>
      <c r="AR236" t="s">
        <v>61</v>
      </c>
      <c r="AS236" t="s">
        <v>61</v>
      </c>
      <c r="AT236" t="s">
        <v>61</v>
      </c>
      <c r="AU236" t="s">
        <v>61</v>
      </c>
      <c r="AV236" t="s">
        <v>61</v>
      </c>
      <c r="AW236" t="s">
        <v>61</v>
      </c>
      <c r="AX236" t="s">
        <v>61</v>
      </c>
      <c r="AY236" t="s">
        <v>61</v>
      </c>
      <c r="AZ236" t="s">
        <v>61</v>
      </c>
      <c r="BA236" t="s">
        <v>61</v>
      </c>
      <c r="BB236" t="s">
        <v>61</v>
      </c>
      <c r="BC236" t="s">
        <v>61</v>
      </c>
      <c r="BD236" t="s">
        <v>61</v>
      </c>
      <c r="BE236" t="s">
        <v>61</v>
      </c>
      <c r="BF236" t="s">
        <v>61</v>
      </c>
    </row>
    <row r="237" spans="1:58">
      <c r="A237" t="s">
        <v>58</v>
      </c>
      <c r="B237" t="s">
        <v>1984</v>
      </c>
      <c r="C237" t="s">
        <v>1985</v>
      </c>
      <c r="D237" t="s">
        <v>1986</v>
      </c>
      <c r="E237" t="s">
        <v>1987</v>
      </c>
      <c r="F237">
        <v>2015</v>
      </c>
      <c r="G237" t="s">
        <v>418</v>
      </c>
      <c r="H237">
        <v>17</v>
      </c>
      <c r="I237">
        <v>8</v>
      </c>
      <c r="J237">
        <v>960</v>
      </c>
      <c r="K237">
        <v>967</v>
      </c>
      <c r="L237" t="s">
        <v>1988</v>
      </c>
      <c r="M237" t="s">
        <v>1989</v>
      </c>
      <c r="N237" t="s">
        <v>1990</v>
      </c>
      <c r="O237" t="s">
        <v>61</v>
      </c>
      <c r="Q237" t="s">
        <v>61</v>
      </c>
      <c r="R237" t="s">
        <v>61</v>
      </c>
      <c r="S237" t="s">
        <v>61</v>
      </c>
      <c r="T237" t="s">
        <v>61</v>
      </c>
      <c r="X237" t="s">
        <v>61</v>
      </c>
      <c r="Y237" t="s">
        <v>1991</v>
      </c>
      <c r="Z237" t="s">
        <v>61</v>
      </c>
      <c r="AA237" t="s">
        <v>1992</v>
      </c>
      <c r="AB237">
        <v>26180220</v>
      </c>
      <c r="AC237" t="s">
        <v>67</v>
      </c>
      <c r="AD237" t="s">
        <v>61</v>
      </c>
      <c r="AE237" t="s">
        <v>61</v>
      </c>
      <c r="AF237" t="s">
        <v>61</v>
      </c>
      <c r="AG237" t="s">
        <v>1993</v>
      </c>
      <c r="AH237" t="s">
        <v>61</v>
      </c>
      <c r="AI237" t="s">
        <v>1994</v>
      </c>
      <c r="AJ237" t="s">
        <v>61</v>
      </c>
      <c r="AK237" t="s">
        <v>61</v>
      </c>
      <c r="AL237" t="s">
        <v>61</v>
      </c>
      <c r="AM237" t="s">
        <v>1995</v>
      </c>
      <c r="AN237" t="s">
        <v>61</v>
      </c>
      <c r="AO237" t="s">
        <v>61</v>
      </c>
      <c r="AP237" t="s">
        <v>61</v>
      </c>
      <c r="AQ237" t="s">
        <v>61</v>
      </c>
      <c r="AR237" t="s">
        <v>61</v>
      </c>
      <c r="AS237" t="s">
        <v>61</v>
      </c>
      <c r="AT237" t="s">
        <v>61</v>
      </c>
      <c r="AU237" t="s">
        <v>61</v>
      </c>
      <c r="AV237" t="s">
        <v>61</v>
      </c>
      <c r="AW237" t="s">
        <v>61</v>
      </c>
      <c r="AX237" t="s">
        <v>61</v>
      </c>
      <c r="AY237" t="s">
        <v>61</v>
      </c>
      <c r="AZ237" t="s">
        <v>61</v>
      </c>
      <c r="BA237" t="s">
        <v>61</v>
      </c>
      <c r="BB237" t="s">
        <v>61</v>
      </c>
      <c r="BC237" t="s">
        <v>61</v>
      </c>
      <c r="BD237" t="s">
        <v>61</v>
      </c>
      <c r="BE237" t="s">
        <v>61</v>
      </c>
      <c r="BF237" t="s">
        <v>61</v>
      </c>
    </row>
    <row r="238" spans="1:58">
      <c r="A238" t="s">
        <v>58</v>
      </c>
      <c r="B238" t="s">
        <v>1996</v>
      </c>
      <c r="C238" t="s">
        <v>1997</v>
      </c>
      <c r="D238" t="s">
        <v>1998</v>
      </c>
      <c r="E238" t="s">
        <v>1999</v>
      </c>
      <c r="F238">
        <v>1996</v>
      </c>
      <c r="G238" t="s">
        <v>851</v>
      </c>
      <c r="H238">
        <v>71</v>
      </c>
      <c r="I238">
        <v>5</v>
      </c>
      <c r="J238">
        <v>359</v>
      </c>
      <c r="K238">
        <v>361</v>
      </c>
      <c r="L238" t="s">
        <v>2000</v>
      </c>
      <c r="M238" t="s">
        <v>2001</v>
      </c>
      <c r="N238" t="s">
        <v>2002</v>
      </c>
      <c r="O238" t="s">
        <v>61</v>
      </c>
      <c r="Q238" t="s">
        <v>61</v>
      </c>
      <c r="R238" t="s">
        <v>61</v>
      </c>
      <c r="S238" t="s">
        <v>61</v>
      </c>
      <c r="T238" t="s">
        <v>61</v>
      </c>
      <c r="X238" t="s">
        <v>61</v>
      </c>
      <c r="Y238" t="s">
        <v>2003</v>
      </c>
      <c r="Z238" t="s">
        <v>61</v>
      </c>
      <c r="AA238" t="s">
        <v>61</v>
      </c>
      <c r="AB238" t="s">
        <v>2004</v>
      </c>
      <c r="AC238" t="s">
        <v>67</v>
      </c>
      <c r="AD238" t="s">
        <v>61</v>
      </c>
      <c r="AE238" t="s">
        <v>61</v>
      </c>
      <c r="AF238" t="s">
        <v>61</v>
      </c>
      <c r="AG238" t="s">
        <v>61</v>
      </c>
      <c r="AH238" t="s">
        <v>61</v>
      </c>
      <c r="AI238" t="s">
        <v>61</v>
      </c>
      <c r="AJ238" t="s">
        <v>61</v>
      </c>
      <c r="AK238" t="s">
        <v>61</v>
      </c>
      <c r="AL238" t="s">
        <v>61</v>
      </c>
      <c r="AM238" t="s">
        <v>1997</v>
      </c>
      <c r="AN238" t="s">
        <v>61</v>
      </c>
      <c r="AO238" t="s">
        <v>61</v>
      </c>
      <c r="AP238" t="s">
        <v>61</v>
      </c>
      <c r="AQ238" t="s">
        <v>61</v>
      </c>
      <c r="AR238" t="s">
        <v>61</v>
      </c>
      <c r="AS238" t="s">
        <v>61</v>
      </c>
      <c r="AT238" t="s">
        <v>61</v>
      </c>
      <c r="AU238" t="s">
        <v>61</v>
      </c>
      <c r="AV238" t="s">
        <v>61</v>
      </c>
      <c r="AW238" t="s">
        <v>61</v>
      </c>
      <c r="AX238" t="s">
        <v>61</v>
      </c>
      <c r="AY238" t="s">
        <v>61</v>
      </c>
      <c r="AZ238" t="s">
        <v>61</v>
      </c>
      <c r="BA238" t="s">
        <v>61</v>
      </c>
      <c r="BB238" t="s">
        <v>61</v>
      </c>
      <c r="BC238" t="s">
        <v>61</v>
      </c>
      <c r="BD238" t="s">
        <v>61</v>
      </c>
      <c r="BE238" t="s">
        <v>61</v>
      </c>
      <c r="BF238" t="s">
        <v>61</v>
      </c>
    </row>
    <row r="239" spans="1:58">
      <c r="A239" t="s">
        <v>58</v>
      </c>
      <c r="B239" t="s">
        <v>2005</v>
      </c>
      <c r="C239" t="s">
        <v>2006</v>
      </c>
      <c r="D239" t="s">
        <v>2007</v>
      </c>
      <c r="E239" t="s">
        <v>61</v>
      </c>
      <c r="F239">
        <v>2006</v>
      </c>
      <c r="G239" t="s">
        <v>61</v>
      </c>
      <c r="H239">
        <v>17</v>
      </c>
      <c r="I239">
        <v>5</v>
      </c>
      <c r="J239">
        <v>418</v>
      </c>
      <c r="K239" t="s">
        <v>2008</v>
      </c>
      <c r="L239" t="s">
        <v>2009</v>
      </c>
      <c r="M239" t="s">
        <v>2010</v>
      </c>
      <c r="N239" t="s">
        <v>2011</v>
      </c>
      <c r="O239" t="s">
        <v>61</v>
      </c>
      <c r="Q239" t="s">
        <v>61</v>
      </c>
      <c r="R239" t="s">
        <v>61</v>
      </c>
      <c r="S239" t="s">
        <v>61</v>
      </c>
      <c r="T239" t="s">
        <v>61</v>
      </c>
      <c r="X239" t="s">
        <v>61</v>
      </c>
      <c r="Y239" t="s">
        <v>2012</v>
      </c>
      <c r="Z239" t="s">
        <v>61</v>
      </c>
      <c r="AA239" t="s">
        <v>2013</v>
      </c>
      <c r="AB239">
        <v>105727331</v>
      </c>
      <c r="AC239" t="s">
        <v>67</v>
      </c>
      <c r="AD239" t="s">
        <v>61</v>
      </c>
      <c r="AE239" t="s">
        <v>61</v>
      </c>
      <c r="AF239" t="s">
        <v>61</v>
      </c>
      <c r="AG239" t="s">
        <v>2014</v>
      </c>
      <c r="AH239" t="s">
        <v>61</v>
      </c>
      <c r="AI239" t="s">
        <v>61</v>
      </c>
      <c r="AJ239" t="s">
        <v>61</v>
      </c>
      <c r="AK239" t="s">
        <v>61</v>
      </c>
      <c r="AL239" t="s">
        <v>61</v>
      </c>
      <c r="AM239" t="s">
        <v>2015</v>
      </c>
      <c r="AN239" t="s">
        <v>61</v>
      </c>
      <c r="AO239" t="s">
        <v>61</v>
      </c>
      <c r="AP239" t="s">
        <v>61</v>
      </c>
      <c r="AQ239" t="s">
        <v>61</v>
      </c>
      <c r="AR239" t="s">
        <v>61</v>
      </c>
      <c r="AS239" t="s">
        <v>61</v>
      </c>
      <c r="AT239" t="s">
        <v>61</v>
      </c>
      <c r="AU239" t="s">
        <v>61</v>
      </c>
      <c r="AV239" t="s">
        <v>61</v>
      </c>
      <c r="AW239" t="s">
        <v>61</v>
      </c>
      <c r="AX239" t="s">
        <v>61</v>
      </c>
      <c r="AY239" t="s">
        <v>61</v>
      </c>
      <c r="AZ239" t="s">
        <v>61</v>
      </c>
      <c r="BA239" t="s">
        <v>61</v>
      </c>
      <c r="BB239" t="s">
        <v>61</v>
      </c>
      <c r="BC239" t="s">
        <v>61</v>
      </c>
      <c r="BD239" t="s">
        <v>61</v>
      </c>
      <c r="BE239" t="s">
        <v>61</v>
      </c>
      <c r="BF239" t="s">
        <v>61</v>
      </c>
    </row>
    <row r="240" spans="1:58">
      <c r="A240" t="s">
        <v>58</v>
      </c>
      <c r="B240" t="s">
        <v>2016</v>
      </c>
      <c r="C240" t="s">
        <v>2017</v>
      </c>
      <c r="D240" t="s">
        <v>2018</v>
      </c>
      <c r="E240" t="s">
        <v>61</v>
      </c>
      <c r="F240">
        <v>2011</v>
      </c>
      <c r="G240" t="s">
        <v>391</v>
      </c>
      <c r="H240">
        <v>6</v>
      </c>
      <c r="I240">
        <v>1</v>
      </c>
      <c r="J240">
        <v>68</v>
      </c>
      <c r="K240">
        <v>70</v>
      </c>
      <c r="L240" t="s">
        <v>2019</v>
      </c>
      <c r="M240" t="s">
        <v>2020</v>
      </c>
      <c r="N240" t="s">
        <v>2021</v>
      </c>
      <c r="O240" t="s">
        <v>61</v>
      </c>
      <c r="Q240" t="s">
        <v>61</v>
      </c>
      <c r="R240" t="s">
        <v>61</v>
      </c>
      <c r="S240" t="s">
        <v>61</v>
      </c>
      <c r="T240" t="s">
        <v>61</v>
      </c>
      <c r="X240" t="s">
        <v>61</v>
      </c>
      <c r="Y240" t="s">
        <v>2022</v>
      </c>
      <c r="Z240" t="s">
        <v>61</v>
      </c>
      <c r="AA240" t="s">
        <v>2023</v>
      </c>
      <c r="AB240">
        <v>20607431</v>
      </c>
      <c r="AC240" t="s">
        <v>67</v>
      </c>
      <c r="AD240" t="s">
        <v>61</v>
      </c>
      <c r="AE240" t="s">
        <v>61</v>
      </c>
      <c r="AF240" t="s">
        <v>61</v>
      </c>
      <c r="AG240" t="s">
        <v>2024</v>
      </c>
      <c r="AH240" t="s">
        <v>61</v>
      </c>
      <c r="AI240" t="s">
        <v>2025</v>
      </c>
      <c r="AJ240" t="s">
        <v>61</v>
      </c>
      <c r="AK240" t="s">
        <v>61</v>
      </c>
      <c r="AL240" t="s">
        <v>61</v>
      </c>
      <c r="AM240" t="s">
        <v>2026</v>
      </c>
      <c r="AN240" t="s">
        <v>61</v>
      </c>
      <c r="AO240" t="s">
        <v>61</v>
      </c>
      <c r="AP240" t="s">
        <v>61</v>
      </c>
      <c r="AQ240" t="s">
        <v>61</v>
      </c>
      <c r="AR240" t="s">
        <v>61</v>
      </c>
      <c r="AS240" t="s">
        <v>61</v>
      </c>
      <c r="AT240" t="s">
        <v>61</v>
      </c>
      <c r="AU240" t="s">
        <v>61</v>
      </c>
      <c r="AV240" t="s">
        <v>61</v>
      </c>
      <c r="AW240" t="s">
        <v>61</v>
      </c>
      <c r="AX240" t="s">
        <v>61</v>
      </c>
      <c r="AY240" t="s">
        <v>61</v>
      </c>
      <c r="AZ240" t="s">
        <v>61</v>
      </c>
      <c r="BA240" t="s">
        <v>61</v>
      </c>
      <c r="BB240" t="s">
        <v>61</v>
      </c>
      <c r="BC240" t="s">
        <v>61</v>
      </c>
      <c r="BD240" t="s">
        <v>61</v>
      </c>
      <c r="BE240" t="s">
        <v>61</v>
      </c>
      <c r="BF240" t="s">
        <v>61</v>
      </c>
    </row>
    <row r="241" spans="1:58">
      <c r="A241" t="s">
        <v>58</v>
      </c>
      <c r="B241" t="s">
        <v>2027</v>
      </c>
      <c r="C241" t="s">
        <v>2028</v>
      </c>
      <c r="D241" t="s">
        <v>1739</v>
      </c>
      <c r="E241" t="s">
        <v>1740</v>
      </c>
      <c r="F241">
        <v>1993</v>
      </c>
      <c r="G241" t="s">
        <v>363</v>
      </c>
      <c r="H241">
        <v>50</v>
      </c>
      <c r="I241">
        <v>1</v>
      </c>
      <c r="J241">
        <v>78</v>
      </c>
      <c r="K241">
        <v>84</v>
      </c>
      <c r="L241" t="s">
        <v>2029</v>
      </c>
      <c r="M241" t="s">
        <v>2030</v>
      </c>
      <c r="N241" t="s">
        <v>2031</v>
      </c>
      <c r="O241" t="s">
        <v>61</v>
      </c>
      <c r="Q241" t="s">
        <v>61</v>
      </c>
      <c r="R241" t="s">
        <v>61</v>
      </c>
      <c r="S241" t="s">
        <v>61</v>
      </c>
      <c r="T241" t="s">
        <v>61</v>
      </c>
      <c r="X241" t="s">
        <v>61</v>
      </c>
      <c r="Y241" s="2">
        <v>2698811</v>
      </c>
      <c r="Z241" t="s">
        <v>61</v>
      </c>
      <c r="AA241" t="s">
        <v>2032</v>
      </c>
      <c r="AB241">
        <v>8427284</v>
      </c>
      <c r="AC241" t="s">
        <v>67</v>
      </c>
      <c r="AD241" t="s">
        <v>61</v>
      </c>
      <c r="AE241" t="s">
        <v>61</v>
      </c>
      <c r="AF241" t="s">
        <v>61</v>
      </c>
      <c r="AG241" t="s">
        <v>2033</v>
      </c>
      <c r="AH241" t="s">
        <v>61</v>
      </c>
      <c r="AI241" t="s">
        <v>61</v>
      </c>
      <c r="AJ241" t="s">
        <v>61</v>
      </c>
      <c r="AK241" t="s">
        <v>61</v>
      </c>
      <c r="AL241" t="s">
        <v>61</v>
      </c>
      <c r="AM241" t="s">
        <v>2034</v>
      </c>
      <c r="AN241" t="s">
        <v>61</v>
      </c>
      <c r="AO241" t="s">
        <v>61</v>
      </c>
      <c r="AP241" t="s">
        <v>61</v>
      </c>
      <c r="AQ241" t="s">
        <v>61</v>
      </c>
      <c r="AR241" t="s">
        <v>61</v>
      </c>
      <c r="AS241" t="s">
        <v>61</v>
      </c>
      <c r="AT241" t="s">
        <v>61</v>
      </c>
      <c r="AU241" t="s">
        <v>61</v>
      </c>
      <c r="AV241" t="s">
        <v>61</v>
      </c>
      <c r="AW241" t="s">
        <v>61</v>
      </c>
      <c r="AX241" t="s">
        <v>61</v>
      </c>
      <c r="AY241" t="s">
        <v>61</v>
      </c>
      <c r="AZ241" t="s">
        <v>61</v>
      </c>
      <c r="BA241" t="s">
        <v>61</v>
      </c>
      <c r="BB241" t="s">
        <v>61</v>
      </c>
      <c r="BC241" t="s">
        <v>61</v>
      </c>
      <c r="BD241" t="s">
        <v>61</v>
      </c>
      <c r="BE241" t="s">
        <v>61</v>
      </c>
      <c r="BF241" t="s">
        <v>61</v>
      </c>
    </row>
    <row r="242" spans="1:58">
      <c r="A242" t="s">
        <v>142</v>
      </c>
      <c r="B242" t="s">
        <v>2035</v>
      </c>
      <c r="C242" t="s">
        <v>2036</v>
      </c>
      <c r="D242" t="s">
        <v>61</v>
      </c>
      <c r="E242" t="s">
        <v>61</v>
      </c>
      <c r="F242">
        <v>1990</v>
      </c>
      <c r="G242" s="2">
        <v>36739</v>
      </c>
      <c r="H242" t="s">
        <v>61</v>
      </c>
      <c r="I242" t="s">
        <v>61</v>
      </c>
      <c r="J242">
        <v>15</v>
      </c>
      <c r="K242" t="s">
        <v>61</v>
      </c>
      <c r="L242" t="s">
        <v>2037</v>
      </c>
      <c r="M242" t="s">
        <v>2038</v>
      </c>
      <c r="N242" t="s">
        <v>2039</v>
      </c>
      <c r="O242" t="s">
        <v>61</v>
      </c>
      <c r="Q242" t="s">
        <v>61</v>
      </c>
      <c r="R242" t="s">
        <v>61</v>
      </c>
      <c r="S242" t="s">
        <v>61</v>
      </c>
      <c r="T242" t="s">
        <v>61</v>
      </c>
      <c r="X242" t="s">
        <v>61</v>
      </c>
      <c r="Y242" t="s">
        <v>61</v>
      </c>
      <c r="Z242" t="s">
        <v>61</v>
      </c>
      <c r="AA242" t="s">
        <v>61</v>
      </c>
      <c r="AB242" t="s">
        <v>2040</v>
      </c>
      <c r="AC242" t="s">
        <v>67</v>
      </c>
      <c r="AD242" t="s">
        <v>61</v>
      </c>
      <c r="AE242" t="s">
        <v>61</v>
      </c>
      <c r="AF242" t="s">
        <v>61</v>
      </c>
      <c r="AG242" t="s">
        <v>61</v>
      </c>
      <c r="AH242" t="s">
        <v>61</v>
      </c>
      <c r="AI242" t="s">
        <v>61</v>
      </c>
      <c r="AJ242" t="s">
        <v>61</v>
      </c>
      <c r="AK242" t="s">
        <v>61</v>
      </c>
      <c r="AL242" t="s">
        <v>61</v>
      </c>
      <c r="AM242" t="s">
        <v>2041</v>
      </c>
      <c r="AN242" t="s">
        <v>61</v>
      </c>
      <c r="AO242" t="s">
        <v>61</v>
      </c>
      <c r="AP242" t="s">
        <v>61</v>
      </c>
      <c r="AQ242" t="s">
        <v>61</v>
      </c>
      <c r="AR242" t="s">
        <v>61</v>
      </c>
      <c r="AS242" t="s">
        <v>61</v>
      </c>
      <c r="AT242" t="s">
        <v>61</v>
      </c>
      <c r="AU242" t="s">
        <v>61</v>
      </c>
      <c r="AV242" t="s">
        <v>61</v>
      </c>
      <c r="AW242" t="s">
        <v>61</v>
      </c>
      <c r="AX242" t="s">
        <v>61</v>
      </c>
      <c r="AY242" t="s">
        <v>61</v>
      </c>
      <c r="AZ242" t="s">
        <v>61</v>
      </c>
      <c r="BA242" t="s">
        <v>61</v>
      </c>
      <c r="BB242" t="s">
        <v>61</v>
      </c>
      <c r="BC242" t="s">
        <v>61</v>
      </c>
      <c r="BD242" t="s">
        <v>61</v>
      </c>
      <c r="BE242" t="s">
        <v>61</v>
      </c>
      <c r="BF242" t="s">
        <v>61</v>
      </c>
    </row>
    <row r="243" spans="1:58">
      <c r="A243" t="s">
        <v>58</v>
      </c>
      <c r="B243" t="s">
        <v>2042</v>
      </c>
      <c r="C243" t="s">
        <v>2043</v>
      </c>
      <c r="D243" t="s">
        <v>475</v>
      </c>
      <c r="E243" t="s">
        <v>61</v>
      </c>
      <c r="F243">
        <v>2015</v>
      </c>
      <c r="G243" t="s">
        <v>381</v>
      </c>
      <c r="H243">
        <v>37</v>
      </c>
      <c r="I243">
        <v>1</v>
      </c>
      <c r="J243">
        <v>241</v>
      </c>
      <c r="K243" t="s">
        <v>61</v>
      </c>
      <c r="L243" t="s">
        <v>2044</v>
      </c>
      <c r="M243" t="s">
        <v>2045</v>
      </c>
      <c r="N243" t="s">
        <v>2046</v>
      </c>
      <c r="O243" t="s">
        <v>61</v>
      </c>
      <c r="Q243" t="s">
        <v>61</v>
      </c>
      <c r="R243" t="s">
        <v>61</v>
      </c>
      <c r="S243" t="s">
        <v>61</v>
      </c>
      <c r="T243" t="s">
        <v>61</v>
      </c>
      <c r="X243" t="s">
        <v>61</v>
      </c>
      <c r="Y243" t="s">
        <v>308</v>
      </c>
      <c r="Z243" t="s">
        <v>61</v>
      </c>
      <c r="AA243" t="s">
        <v>61</v>
      </c>
      <c r="AB243" t="s">
        <v>61</v>
      </c>
      <c r="AC243" t="s">
        <v>67</v>
      </c>
      <c r="AD243" t="s">
        <v>61</v>
      </c>
      <c r="AE243" t="s">
        <v>61</v>
      </c>
      <c r="AF243" t="s">
        <v>61</v>
      </c>
      <c r="AG243" t="s">
        <v>61</v>
      </c>
      <c r="AH243" t="s">
        <v>61</v>
      </c>
      <c r="AI243" t="s">
        <v>61</v>
      </c>
      <c r="AJ243" t="s">
        <v>61</v>
      </c>
      <c r="AK243" t="s">
        <v>61</v>
      </c>
      <c r="AL243" t="s">
        <v>61</v>
      </c>
      <c r="AM243" t="s">
        <v>2043</v>
      </c>
      <c r="AN243" t="s">
        <v>61</v>
      </c>
      <c r="AO243" t="s">
        <v>61</v>
      </c>
      <c r="AP243" t="s">
        <v>61</v>
      </c>
      <c r="AQ243" t="s">
        <v>61</v>
      </c>
      <c r="AR243" t="s">
        <v>61</v>
      </c>
      <c r="AS243" t="s">
        <v>61</v>
      </c>
      <c r="AT243" t="s">
        <v>61</v>
      </c>
      <c r="AU243" t="s">
        <v>61</v>
      </c>
      <c r="AV243" t="s">
        <v>61</v>
      </c>
      <c r="AW243" t="s">
        <v>61</v>
      </c>
      <c r="AX243" t="s">
        <v>61</v>
      </c>
      <c r="AY243" t="s">
        <v>61</v>
      </c>
      <c r="AZ243" t="s">
        <v>61</v>
      </c>
      <c r="BA243" t="s">
        <v>61</v>
      </c>
      <c r="BB243" t="s">
        <v>61</v>
      </c>
      <c r="BC243" t="s">
        <v>61</v>
      </c>
      <c r="BD243" t="s">
        <v>61</v>
      </c>
      <c r="BE243" t="s">
        <v>61</v>
      </c>
      <c r="BF243" t="s">
        <v>61</v>
      </c>
    </row>
    <row r="244" spans="1:58">
      <c r="A244" t="s">
        <v>58</v>
      </c>
      <c r="B244" t="s">
        <v>2047</v>
      </c>
      <c r="C244" t="s">
        <v>2048</v>
      </c>
      <c r="D244" t="s">
        <v>2049</v>
      </c>
      <c r="E244" t="s">
        <v>2049</v>
      </c>
      <c r="F244">
        <v>2012</v>
      </c>
      <c r="G244" t="s">
        <v>61</v>
      </c>
      <c r="H244">
        <v>66</v>
      </c>
      <c r="I244">
        <v>5</v>
      </c>
      <c r="J244">
        <v>304</v>
      </c>
      <c r="K244">
        <v>307</v>
      </c>
      <c r="L244" t="s">
        <v>2050</v>
      </c>
      <c r="M244" t="s">
        <v>2051</v>
      </c>
      <c r="N244" t="s">
        <v>2052</v>
      </c>
      <c r="O244" t="s">
        <v>61</v>
      </c>
      <c r="Q244" t="s">
        <v>61</v>
      </c>
      <c r="R244" t="s">
        <v>61</v>
      </c>
      <c r="S244" t="s">
        <v>61</v>
      </c>
      <c r="T244" t="s">
        <v>61</v>
      </c>
      <c r="X244" t="s">
        <v>61</v>
      </c>
      <c r="Y244" s="2">
        <v>874271</v>
      </c>
      <c r="Z244" t="s">
        <v>61</v>
      </c>
      <c r="AA244" t="s">
        <v>2053</v>
      </c>
      <c r="AB244">
        <v>22867541</v>
      </c>
      <c r="AC244" t="s">
        <v>67</v>
      </c>
      <c r="AD244" t="s">
        <v>61</v>
      </c>
      <c r="AE244" t="s">
        <v>61</v>
      </c>
      <c r="AF244" t="s">
        <v>61</v>
      </c>
      <c r="AG244" t="s">
        <v>2054</v>
      </c>
      <c r="AH244" t="s">
        <v>61</v>
      </c>
      <c r="AI244" t="s">
        <v>2055</v>
      </c>
      <c r="AJ244" t="s">
        <v>61</v>
      </c>
      <c r="AK244" t="s">
        <v>61</v>
      </c>
      <c r="AL244" t="s">
        <v>61</v>
      </c>
      <c r="AM244" t="s">
        <v>2056</v>
      </c>
      <c r="AN244" t="s">
        <v>61</v>
      </c>
      <c r="AO244" t="s">
        <v>61</v>
      </c>
      <c r="AP244" t="s">
        <v>61</v>
      </c>
      <c r="AQ244" t="s">
        <v>61</v>
      </c>
      <c r="AR244" t="s">
        <v>61</v>
      </c>
      <c r="AS244" t="s">
        <v>61</v>
      </c>
      <c r="AT244" t="s">
        <v>61</v>
      </c>
      <c r="AU244" t="s">
        <v>61</v>
      </c>
      <c r="AV244" t="s">
        <v>61</v>
      </c>
      <c r="AW244" t="s">
        <v>61</v>
      </c>
      <c r="AX244" t="s">
        <v>61</v>
      </c>
      <c r="AY244" t="s">
        <v>61</v>
      </c>
      <c r="AZ244" t="s">
        <v>61</v>
      </c>
      <c r="BA244" t="s">
        <v>61</v>
      </c>
      <c r="BB244" t="s">
        <v>61</v>
      </c>
      <c r="BC244" t="s">
        <v>61</v>
      </c>
      <c r="BD244" t="s">
        <v>61</v>
      </c>
      <c r="BE244" t="s">
        <v>61</v>
      </c>
      <c r="BF244" t="s">
        <v>61</v>
      </c>
    </row>
    <row r="245" spans="1:58">
      <c r="A245" t="s">
        <v>58</v>
      </c>
      <c r="B245" t="s">
        <v>2057</v>
      </c>
      <c r="C245" t="s">
        <v>2058</v>
      </c>
      <c r="D245" t="s">
        <v>2059</v>
      </c>
      <c r="E245" t="s">
        <v>61</v>
      </c>
      <c r="F245">
        <v>2007</v>
      </c>
      <c r="G245" t="s">
        <v>559</v>
      </c>
      <c r="H245">
        <v>12</v>
      </c>
      <c r="I245">
        <v>2</v>
      </c>
      <c r="J245">
        <v>211</v>
      </c>
      <c r="K245">
        <v>222</v>
      </c>
      <c r="L245" t="s">
        <v>2060</v>
      </c>
      <c r="M245" t="s">
        <v>2061</v>
      </c>
      <c r="N245" t="s">
        <v>2062</v>
      </c>
      <c r="O245" t="s">
        <v>61</v>
      </c>
      <c r="Q245" t="s">
        <v>61</v>
      </c>
      <c r="R245" t="s">
        <v>61</v>
      </c>
      <c r="S245" t="s">
        <v>61</v>
      </c>
      <c r="T245" t="s">
        <v>61</v>
      </c>
      <c r="X245" t="s">
        <v>61</v>
      </c>
      <c r="Y245" t="s">
        <v>2063</v>
      </c>
      <c r="Z245" t="s">
        <v>61</v>
      </c>
      <c r="AA245" t="s">
        <v>2064</v>
      </c>
      <c r="AB245">
        <v>17041786</v>
      </c>
      <c r="AC245" t="s">
        <v>67</v>
      </c>
      <c r="AD245" t="s">
        <v>61</v>
      </c>
      <c r="AE245" t="s">
        <v>61</v>
      </c>
      <c r="AF245" t="s">
        <v>61</v>
      </c>
      <c r="AG245" t="s">
        <v>2065</v>
      </c>
      <c r="AH245" t="s">
        <v>61</v>
      </c>
      <c r="AI245" t="s">
        <v>61</v>
      </c>
      <c r="AJ245" t="s">
        <v>61</v>
      </c>
      <c r="AK245" t="s">
        <v>61</v>
      </c>
      <c r="AL245" t="s">
        <v>61</v>
      </c>
      <c r="AM245" t="s">
        <v>2066</v>
      </c>
      <c r="AN245" t="s">
        <v>61</v>
      </c>
      <c r="AO245" t="s">
        <v>61</v>
      </c>
      <c r="AP245" t="s">
        <v>61</v>
      </c>
      <c r="AQ245" t="s">
        <v>61</v>
      </c>
      <c r="AR245" t="s">
        <v>61</v>
      </c>
      <c r="AS245" t="s">
        <v>61</v>
      </c>
      <c r="AT245" t="s">
        <v>61</v>
      </c>
      <c r="AU245" t="s">
        <v>61</v>
      </c>
      <c r="AV245" t="s">
        <v>61</v>
      </c>
      <c r="AW245" t="s">
        <v>61</v>
      </c>
      <c r="AX245" t="s">
        <v>61</v>
      </c>
      <c r="AY245" t="s">
        <v>61</v>
      </c>
      <c r="AZ245" t="s">
        <v>61</v>
      </c>
      <c r="BA245" t="s">
        <v>61</v>
      </c>
      <c r="BB245" t="s">
        <v>61</v>
      </c>
      <c r="BC245" t="s">
        <v>61</v>
      </c>
      <c r="BD245" t="s">
        <v>61</v>
      </c>
      <c r="BE245" t="s">
        <v>61</v>
      </c>
      <c r="BF245" t="s">
        <v>61</v>
      </c>
    </row>
    <row r="246" spans="1:58">
      <c r="A246" t="s">
        <v>58</v>
      </c>
      <c r="B246" t="s">
        <v>2067</v>
      </c>
      <c r="C246" t="s">
        <v>2068</v>
      </c>
      <c r="D246" t="s">
        <v>2069</v>
      </c>
      <c r="E246" t="s">
        <v>2070</v>
      </c>
      <c r="F246">
        <v>1999</v>
      </c>
      <c r="G246" t="s">
        <v>61</v>
      </c>
      <c r="H246">
        <v>43</v>
      </c>
      <c r="I246">
        <v>3</v>
      </c>
      <c r="J246">
        <v>513</v>
      </c>
      <c r="K246" t="s">
        <v>2071</v>
      </c>
      <c r="L246" t="s">
        <v>2072</v>
      </c>
      <c r="M246" t="s">
        <v>2073</v>
      </c>
      <c r="N246" t="s">
        <v>2074</v>
      </c>
      <c r="O246" t="s">
        <v>61</v>
      </c>
      <c r="Q246" t="s">
        <v>61</v>
      </c>
      <c r="R246" t="s">
        <v>61</v>
      </c>
      <c r="S246" t="s">
        <v>61</v>
      </c>
      <c r="T246" t="s">
        <v>61</v>
      </c>
      <c r="X246" t="s">
        <v>61</v>
      </c>
      <c r="Y246" s="2">
        <v>2422595</v>
      </c>
      <c r="Z246" t="s">
        <v>61</v>
      </c>
      <c r="AA246" t="s">
        <v>2075</v>
      </c>
      <c r="AB246">
        <v>107231058</v>
      </c>
      <c r="AC246" t="s">
        <v>67</v>
      </c>
      <c r="AD246" t="s">
        <v>61</v>
      </c>
      <c r="AE246" t="s">
        <v>61</v>
      </c>
      <c r="AF246" t="s">
        <v>61</v>
      </c>
      <c r="AG246" t="s">
        <v>2076</v>
      </c>
      <c r="AH246" t="s">
        <v>61</v>
      </c>
      <c r="AI246" t="s">
        <v>61</v>
      </c>
      <c r="AJ246" t="s">
        <v>61</v>
      </c>
      <c r="AK246" t="s">
        <v>61</v>
      </c>
      <c r="AL246" t="s">
        <v>61</v>
      </c>
      <c r="AM246" t="s">
        <v>2077</v>
      </c>
      <c r="AN246" t="s">
        <v>61</v>
      </c>
      <c r="AO246" t="s">
        <v>61</v>
      </c>
      <c r="AP246" t="s">
        <v>61</v>
      </c>
      <c r="AQ246" t="s">
        <v>61</v>
      </c>
      <c r="AR246" t="s">
        <v>61</v>
      </c>
      <c r="AS246" t="s">
        <v>61</v>
      </c>
      <c r="AT246" t="s">
        <v>61</v>
      </c>
      <c r="AU246" t="s">
        <v>61</v>
      </c>
      <c r="AV246" t="s">
        <v>61</v>
      </c>
      <c r="AW246" t="s">
        <v>61</v>
      </c>
      <c r="AX246" t="s">
        <v>61</v>
      </c>
      <c r="AY246" t="s">
        <v>61</v>
      </c>
      <c r="AZ246" t="s">
        <v>61</v>
      </c>
      <c r="BA246" t="s">
        <v>61</v>
      </c>
      <c r="BB246" t="s">
        <v>61</v>
      </c>
      <c r="BC246" t="s">
        <v>61</v>
      </c>
      <c r="BD246" t="s">
        <v>61</v>
      </c>
      <c r="BE246" t="s">
        <v>61</v>
      </c>
      <c r="BF246" t="s">
        <v>61</v>
      </c>
    </row>
    <row r="247" spans="1:58">
      <c r="A247" t="s">
        <v>58</v>
      </c>
      <c r="B247" t="s">
        <v>2078</v>
      </c>
      <c r="C247" t="s">
        <v>2079</v>
      </c>
      <c r="D247" t="s">
        <v>162</v>
      </c>
      <c r="E247" t="s">
        <v>163</v>
      </c>
      <c r="F247">
        <v>2005</v>
      </c>
      <c r="G247" t="s">
        <v>645</v>
      </c>
      <c r="H247">
        <v>45</v>
      </c>
      <c r="I247">
        <v>10</v>
      </c>
      <c r="J247">
        <v>1123</v>
      </c>
      <c r="K247">
        <v>1136</v>
      </c>
      <c r="L247" t="s">
        <v>2080</v>
      </c>
      <c r="M247" t="s">
        <v>2081</v>
      </c>
      <c r="N247" t="s">
        <v>2082</v>
      </c>
      <c r="O247" t="s">
        <v>61</v>
      </c>
      <c r="Q247" t="s">
        <v>61</v>
      </c>
      <c r="R247" t="s">
        <v>61</v>
      </c>
      <c r="S247" t="s">
        <v>61</v>
      </c>
      <c r="T247" t="s">
        <v>61</v>
      </c>
      <c r="X247" t="s">
        <v>61</v>
      </c>
      <c r="Y247" t="s">
        <v>167</v>
      </c>
      <c r="Z247" t="s">
        <v>61</v>
      </c>
      <c r="AA247" t="s">
        <v>61</v>
      </c>
      <c r="AB247">
        <v>2005432725</v>
      </c>
      <c r="AC247" t="s">
        <v>67</v>
      </c>
      <c r="AD247" t="s">
        <v>61</v>
      </c>
      <c r="AE247" t="s">
        <v>61</v>
      </c>
      <c r="AF247" t="s">
        <v>61</v>
      </c>
      <c r="AG247" t="s">
        <v>2083</v>
      </c>
      <c r="AH247" t="s">
        <v>61</v>
      </c>
      <c r="AI247" t="s">
        <v>61</v>
      </c>
      <c r="AJ247" t="s">
        <v>61</v>
      </c>
      <c r="AK247" t="s">
        <v>61</v>
      </c>
      <c r="AL247" t="s">
        <v>61</v>
      </c>
      <c r="AM247" t="s">
        <v>2084</v>
      </c>
      <c r="AN247" t="s">
        <v>61</v>
      </c>
      <c r="AO247" t="s">
        <v>61</v>
      </c>
      <c r="AP247" t="s">
        <v>61</v>
      </c>
      <c r="AQ247" t="s">
        <v>61</v>
      </c>
      <c r="AR247" t="s">
        <v>61</v>
      </c>
      <c r="AS247" t="s">
        <v>61</v>
      </c>
      <c r="AT247" t="s">
        <v>61</v>
      </c>
      <c r="AU247" t="s">
        <v>61</v>
      </c>
      <c r="AV247" t="s">
        <v>61</v>
      </c>
      <c r="AW247" t="s">
        <v>61</v>
      </c>
      <c r="AX247" t="s">
        <v>61</v>
      </c>
      <c r="AY247" t="s">
        <v>61</v>
      </c>
      <c r="AZ247" t="s">
        <v>61</v>
      </c>
      <c r="BA247" t="s">
        <v>61</v>
      </c>
      <c r="BB247" t="s">
        <v>61</v>
      </c>
      <c r="BC247" t="s">
        <v>61</v>
      </c>
      <c r="BD247" t="s">
        <v>61</v>
      </c>
      <c r="BE247" t="s">
        <v>61</v>
      </c>
      <c r="BF247" t="s">
        <v>61</v>
      </c>
    </row>
    <row r="248" spans="1:58">
      <c r="A248" t="s">
        <v>58</v>
      </c>
      <c r="B248" t="s">
        <v>2085</v>
      </c>
      <c r="C248" t="s">
        <v>2086</v>
      </c>
      <c r="D248" t="s">
        <v>2087</v>
      </c>
      <c r="E248" t="s">
        <v>2088</v>
      </c>
      <c r="F248">
        <v>1987</v>
      </c>
      <c r="G248" t="s">
        <v>61</v>
      </c>
      <c r="H248">
        <v>6</v>
      </c>
      <c r="I248">
        <v>7</v>
      </c>
      <c r="J248">
        <v>520</v>
      </c>
      <c r="K248">
        <v>521</v>
      </c>
      <c r="L248" t="s">
        <v>2089</v>
      </c>
      <c r="M248" t="s">
        <v>2090</v>
      </c>
      <c r="N248" t="s">
        <v>2091</v>
      </c>
      <c r="O248" t="s">
        <v>61</v>
      </c>
      <c r="Q248" t="s">
        <v>61</v>
      </c>
      <c r="R248" t="s">
        <v>61</v>
      </c>
      <c r="S248" t="s">
        <v>61</v>
      </c>
      <c r="T248" t="s">
        <v>61</v>
      </c>
      <c r="X248" t="s">
        <v>61</v>
      </c>
      <c r="Y248" t="s">
        <v>2092</v>
      </c>
      <c r="Z248" t="s">
        <v>61</v>
      </c>
      <c r="AA248" t="s">
        <v>61</v>
      </c>
      <c r="AB248">
        <v>1987181564</v>
      </c>
      <c r="AC248" t="s">
        <v>67</v>
      </c>
      <c r="AD248" t="s">
        <v>61</v>
      </c>
      <c r="AE248" t="s">
        <v>61</v>
      </c>
      <c r="AF248" t="s">
        <v>61</v>
      </c>
      <c r="AG248" t="s">
        <v>2093</v>
      </c>
      <c r="AH248" t="s">
        <v>61</v>
      </c>
      <c r="AI248" t="s">
        <v>61</v>
      </c>
      <c r="AJ248" t="s">
        <v>61</v>
      </c>
      <c r="AK248" t="s">
        <v>61</v>
      </c>
      <c r="AL248" t="s">
        <v>61</v>
      </c>
      <c r="AM248" t="s">
        <v>2094</v>
      </c>
      <c r="AN248" t="s">
        <v>61</v>
      </c>
      <c r="AO248" t="s">
        <v>61</v>
      </c>
      <c r="AP248" t="s">
        <v>61</v>
      </c>
      <c r="AQ248" t="s">
        <v>61</v>
      </c>
      <c r="AR248" t="s">
        <v>61</v>
      </c>
      <c r="AS248" t="s">
        <v>61</v>
      </c>
      <c r="AT248" t="s">
        <v>61</v>
      </c>
      <c r="AU248" t="s">
        <v>61</v>
      </c>
      <c r="AV248" t="s">
        <v>61</v>
      </c>
      <c r="AW248" t="s">
        <v>61</v>
      </c>
      <c r="AX248" t="s">
        <v>61</v>
      </c>
      <c r="AY248" t="s">
        <v>61</v>
      </c>
      <c r="AZ248" t="s">
        <v>61</v>
      </c>
      <c r="BA248" t="s">
        <v>61</v>
      </c>
      <c r="BB248" t="s">
        <v>61</v>
      </c>
      <c r="BC248" t="s">
        <v>61</v>
      </c>
      <c r="BD248" t="s">
        <v>61</v>
      </c>
      <c r="BE248" t="s">
        <v>61</v>
      </c>
      <c r="BF248" t="s">
        <v>61</v>
      </c>
    </row>
    <row r="249" spans="1:58">
      <c r="A249" t="s">
        <v>58</v>
      </c>
      <c r="B249" t="s">
        <v>2095</v>
      </c>
      <c r="C249" t="s">
        <v>2096</v>
      </c>
      <c r="D249" t="s">
        <v>771</v>
      </c>
      <c r="E249" t="s">
        <v>61</v>
      </c>
      <c r="F249">
        <v>2007</v>
      </c>
      <c r="G249" t="s">
        <v>154</v>
      </c>
      <c r="H249">
        <v>42</v>
      </c>
      <c r="I249">
        <v>4</v>
      </c>
      <c r="J249">
        <v>333</v>
      </c>
      <c r="K249">
        <v>339</v>
      </c>
      <c r="L249" t="s">
        <v>2097</v>
      </c>
      <c r="M249" t="s">
        <v>2098</v>
      </c>
      <c r="N249" t="s">
        <v>2099</v>
      </c>
      <c r="O249" t="s">
        <v>61</v>
      </c>
      <c r="Q249" t="s">
        <v>61</v>
      </c>
      <c r="R249" t="s">
        <v>61</v>
      </c>
      <c r="S249" t="s">
        <v>61</v>
      </c>
      <c r="T249" t="s">
        <v>61</v>
      </c>
      <c r="X249" t="s">
        <v>61</v>
      </c>
      <c r="Y249" t="s">
        <v>1883</v>
      </c>
      <c r="Z249" t="s">
        <v>61</v>
      </c>
      <c r="AA249" t="s">
        <v>2100</v>
      </c>
      <c r="AB249">
        <v>17517820</v>
      </c>
      <c r="AC249" t="s">
        <v>67</v>
      </c>
      <c r="AD249" t="s">
        <v>61</v>
      </c>
      <c r="AE249" t="s">
        <v>61</v>
      </c>
      <c r="AF249" t="s">
        <v>61</v>
      </c>
      <c r="AG249" t="s">
        <v>2101</v>
      </c>
      <c r="AH249" t="s">
        <v>61</v>
      </c>
      <c r="AI249" t="s">
        <v>61</v>
      </c>
      <c r="AJ249" t="s">
        <v>61</v>
      </c>
      <c r="AK249" t="s">
        <v>61</v>
      </c>
      <c r="AL249" t="s">
        <v>61</v>
      </c>
      <c r="AM249" t="s">
        <v>2102</v>
      </c>
      <c r="AN249" t="s">
        <v>61</v>
      </c>
      <c r="AO249" t="s">
        <v>61</v>
      </c>
      <c r="AP249" t="s">
        <v>61</v>
      </c>
      <c r="AQ249" t="s">
        <v>61</v>
      </c>
      <c r="AR249" t="s">
        <v>61</v>
      </c>
      <c r="AS249" t="s">
        <v>61</v>
      </c>
      <c r="AT249" t="s">
        <v>61</v>
      </c>
      <c r="AU249" t="s">
        <v>61</v>
      </c>
      <c r="AV249" t="s">
        <v>61</v>
      </c>
      <c r="AW249" t="s">
        <v>61</v>
      </c>
      <c r="AX249" t="s">
        <v>61</v>
      </c>
      <c r="AY249" t="s">
        <v>61</v>
      </c>
      <c r="AZ249" t="s">
        <v>61</v>
      </c>
      <c r="BA249" t="s">
        <v>61</v>
      </c>
      <c r="BB249" t="s">
        <v>61</v>
      </c>
      <c r="BC249" t="s">
        <v>61</v>
      </c>
      <c r="BD249" t="s">
        <v>61</v>
      </c>
      <c r="BE249" t="s">
        <v>61</v>
      </c>
      <c r="BF249" t="s">
        <v>61</v>
      </c>
    </row>
    <row r="250" spans="1:58">
      <c r="A250" t="s">
        <v>58</v>
      </c>
      <c r="B250" t="s">
        <v>2103</v>
      </c>
      <c r="C250" t="s">
        <v>2104</v>
      </c>
      <c r="D250" t="s">
        <v>2105</v>
      </c>
      <c r="E250" t="s">
        <v>2106</v>
      </c>
      <c r="F250">
        <v>2011</v>
      </c>
      <c r="G250" t="s">
        <v>645</v>
      </c>
      <c r="H250">
        <v>58</v>
      </c>
      <c r="I250">
        <v>4</v>
      </c>
      <c r="J250" t="s">
        <v>2107</v>
      </c>
      <c r="K250" t="s">
        <v>2108</v>
      </c>
      <c r="L250" t="s">
        <v>2109</v>
      </c>
      <c r="M250" t="s">
        <v>2110</v>
      </c>
      <c r="N250" t="s">
        <v>2111</v>
      </c>
      <c r="O250" t="s">
        <v>61</v>
      </c>
      <c r="Q250" t="s">
        <v>61</v>
      </c>
      <c r="R250" t="s">
        <v>61</v>
      </c>
      <c r="S250" t="s">
        <v>61</v>
      </c>
      <c r="T250" t="s">
        <v>61</v>
      </c>
      <c r="X250" t="s">
        <v>61</v>
      </c>
      <c r="Y250" t="s">
        <v>2112</v>
      </c>
      <c r="Z250" t="s">
        <v>61</v>
      </c>
      <c r="AA250" t="s">
        <v>61</v>
      </c>
      <c r="AB250" t="s">
        <v>61</v>
      </c>
      <c r="AC250" t="s">
        <v>67</v>
      </c>
      <c r="AD250" t="s">
        <v>61</v>
      </c>
      <c r="AE250" t="s">
        <v>61</v>
      </c>
      <c r="AF250" t="s">
        <v>61</v>
      </c>
      <c r="AG250" t="s">
        <v>61</v>
      </c>
      <c r="AH250" t="s">
        <v>61</v>
      </c>
      <c r="AI250" t="s">
        <v>61</v>
      </c>
      <c r="AJ250" t="s">
        <v>61</v>
      </c>
      <c r="AK250" t="s">
        <v>61</v>
      </c>
      <c r="AL250" t="s">
        <v>61</v>
      </c>
      <c r="AM250" t="s">
        <v>2104</v>
      </c>
      <c r="AN250" t="s">
        <v>61</v>
      </c>
      <c r="AO250" t="s">
        <v>61</v>
      </c>
      <c r="AP250" t="s">
        <v>61</v>
      </c>
      <c r="AQ250" t="s">
        <v>61</v>
      </c>
      <c r="AR250" t="s">
        <v>61</v>
      </c>
      <c r="AS250" t="s">
        <v>61</v>
      </c>
      <c r="AT250" t="s">
        <v>61</v>
      </c>
      <c r="AU250" t="s">
        <v>61</v>
      </c>
      <c r="AV250" t="s">
        <v>61</v>
      </c>
      <c r="AW250" t="s">
        <v>61</v>
      </c>
      <c r="AX250" t="s">
        <v>61</v>
      </c>
      <c r="AY250" t="s">
        <v>61</v>
      </c>
      <c r="AZ250" t="s">
        <v>61</v>
      </c>
      <c r="BA250" t="s">
        <v>61</v>
      </c>
      <c r="BB250" t="s">
        <v>61</v>
      </c>
      <c r="BC250" t="s">
        <v>61</v>
      </c>
      <c r="BD250" t="s">
        <v>61</v>
      </c>
      <c r="BE250" t="s">
        <v>61</v>
      </c>
      <c r="BF250" t="s">
        <v>61</v>
      </c>
    </row>
    <row r="251" spans="1:58">
      <c r="A251" t="s">
        <v>58</v>
      </c>
      <c r="B251" t="s">
        <v>2113</v>
      </c>
      <c r="C251" t="s">
        <v>2114</v>
      </c>
      <c r="D251" t="s">
        <v>271</v>
      </c>
      <c r="E251" t="s">
        <v>272</v>
      </c>
      <c r="F251">
        <v>2002</v>
      </c>
      <c r="G251" t="s">
        <v>1332</v>
      </c>
      <c r="H251">
        <v>42</v>
      </c>
      <c r="I251">
        <v>6</v>
      </c>
      <c r="J251" t="s">
        <v>2115</v>
      </c>
      <c r="K251">
        <v>8</v>
      </c>
      <c r="L251" t="s">
        <v>2116</v>
      </c>
      <c r="M251" t="s">
        <v>2117</v>
      </c>
      <c r="N251" t="s">
        <v>2118</v>
      </c>
      <c r="O251" t="s">
        <v>61</v>
      </c>
      <c r="Q251" t="s">
        <v>61</v>
      </c>
      <c r="R251" t="s">
        <v>61</v>
      </c>
      <c r="S251" t="s">
        <v>61</v>
      </c>
      <c r="T251" t="s">
        <v>61</v>
      </c>
      <c r="X251" t="s">
        <v>61</v>
      </c>
      <c r="Y251" t="s">
        <v>1661</v>
      </c>
      <c r="Z251" t="s">
        <v>61</v>
      </c>
      <c r="AA251" t="s">
        <v>2119</v>
      </c>
      <c r="AB251">
        <v>12489604</v>
      </c>
      <c r="AC251" t="s">
        <v>67</v>
      </c>
      <c r="AD251" t="s">
        <v>61</v>
      </c>
      <c r="AE251" t="s">
        <v>61</v>
      </c>
      <c r="AF251" t="s">
        <v>61</v>
      </c>
      <c r="AG251" t="s">
        <v>2120</v>
      </c>
      <c r="AH251" t="s">
        <v>61</v>
      </c>
      <c r="AI251" t="s">
        <v>61</v>
      </c>
      <c r="AJ251" t="s">
        <v>61</v>
      </c>
      <c r="AK251" t="s">
        <v>61</v>
      </c>
      <c r="AL251" t="s">
        <v>61</v>
      </c>
      <c r="AM251" t="s">
        <v>2121</v>
      </c>
      <c r="AN251" t="s">
        <v>61</v>
      </c>
      <c r="AO251" t="s">
        <v>61</v>
      </c>
      <c r="AP251" t="s">
        <v>61</v>
      </c>
      <c r="AQ251" t="s">
        <v>61</v>
      </c>
      <c r="AR251" t="s">
        <v>61</v>
      </c>
      <c r="AS251" t="s">
        <v>61</v>
      </c>
      <c r="AT251" t="s">
        <v>61</v>
      </c>
      <c r="AU251" t="s">
        <v>61</v>
      </c>
      <c r="AV251" t="s">
        <v>61</v>
      </c>
      <c r="AW251" t="s">
        <v>61</v>
      </c>
      <c r="AX251" t="s">
        <v>61</v>
      </c>
      <c r="AY251" t="s">
        <v>61</v>
      </c>
      <c r="AZ251" t="s">
        <v>61</v>
      </c>
      <c r="BA251" t="s">
        <v>61</v>
      </c>
      <c r="BB251" t="s">
        <v>61</v>
      </c>
      <c r="BC251" t="s">
        <v>61</v>
      </c>
      <c r="BD251" t="s">
        <v>61</v>
      </c>
      <c r="BE251" t="s">
        <v>61</v>
      </c>
      <c r="BF251" t="s">
        <v>61</v>
      </c>
    </row>
    <row r="252" spans="1:58">
      <c r="A252" t="s">
        <v>58</v>
      </c>
      <c r="B252" t="s">
        <v>2122</v>
      </c>
      <c r="C252" t="s">
        <v>2123</v>
      </c>
      <c r="D252" t="s">
        <v>162</v>
      </c>
      <c r="E252" t="s">
        <v>163</v>
      </c>
      <c r="F252">
        <v>2006</v>
      </c>
      <c r="G252" t="s">
        <v>409</v>
      </c>
      <c r="H252">
        <v>46</v>
      </c>
      <c r="I252">
        <v>11</v>
      </c>
      <c r="J252">
        <v>1234</v>
      </c>
      <c r="K252">
        <v>1240</v>
      </c>
      <c r="L252" t="s">
        <v>2124</v>
      </c>
      <c r="M252" t="s">
        <v>2125</v>
      </c>
      <c r="N252" t="s">
        <v>2126</v>
      </c>
      <c r="O252" t="s">
        <v>61</v>
      </c>
      <c r="Q252" t="s">
        <v>61</v>
      </c>
      <c r="R252" t="s">
        <v>61</v>
      </c>
      <c r="S252" t="s">
        <v>61</v>
      </c>
      <c r="T252" t="s">
        <v>61</v>
      </c>
      <c r="X252" t="s">
        <v>61</v>
      </c>
      <c r="Y252" t="s">
        <v>902</v>
      </c>
      <c r="Z252" t="s">
        <v>61</v>
      </c>
      <c r="AA252" t="s">
        <v>61</v>
      </c>
      <c r="AB252">
        <v>2006504176</v>
      </c>
      <c r="AC252" t="s">
        <v>67</v>
      </c>
      <c r="AD252" t="s">
        <v>61</v>
      </c>
      <c r="AE252" t="s">
        <v>61</v>
      </c>
      <c r="AF252" t="s">
        <v>61</v>
      </c>
      <c r="AG252" t="s">
        <v>2127</v>
      </c>
      <c r="AH252" t="s">
        <v>61</v>
      </c>
      <c r="AI252" t="s">
        <v>61</v>
      </c>
      <c r="AJ252" t="s">
        <v>61</v>
      </c>
      <c r="AK252" t="s">
        <v>61</v>
      </c>
      <c r="AL252" t="s">
        <v>61</v>
      </c>
      <c r="AM252" t="s">
        <v>2128</v>
      </c>
      <c r="AN252" t="s">
        <v>61</v>
      </c>
      <c r="AO252" t="s">
        <v>61</v>
      </c>
      <c r="AP252" t="s">
        <v>61</v>
      </c>
      <c r="AQ252" t="s">
        <v>61</v>
      </c>
      <c r="AR252" t="s">
        <v>61</v>
      </c>
      <c r="AS252" t="s">
        <v>61</v>
      </c>
      <c r="AT252" t="s">
        <v>61</v>
      </c>
      <c r="AU252" t="s">
        <v>61</v>
      </c>
      <c r="AV252" t="s">
        <v>61</v>
      </c>
      <c r="AW252" t="s">
        <v>61</v>
      </c>
      <c r="AX252" t="s">
        <v>61</v>
      </c>
      <c r="AY252" t="s">
        <v>61</v>
      </c>
      <c r="AZ252" t="s">
        <v>61</v>
      </c>
      <c r="BA252" t="s">
        <v>61</v>
      </c>
      <c r="BB252" t="s">
        <v>61</v>
      </c>
      <c r="BC252" t="s">
        <v>61</v>
      </c>
      <c r="BD252" t="s">
        <v>61</v>
      </c>
      <c r="BE252" t="s">
        <v>61</v>
      </c>
      <c r="BF252" t="s">
        <v>61</v>
      </c>
    </row>
    <row r="253" spans="1:58">
      <c r="A253" t="s">
        <v>58</v>
      </c>
      <c r="B253" t="s">
        <v>2129</v>
      </c>
      <c r="C253" t="s">
        <v>2130</v>
      </c>
      <c r="D253" t="s">
        <v>389</v>
      </c>
      <c r="E253" t="s">
        <v>390</v>
      </c>
      <c r="F253">
        <v>1983</v>
      </c>
      <c r="G253" t="s">
        <v>61</v>
      </c>
      <c r="H253">
        <v>67</v>
      </c>
      <c r="I253">
        <v>2</v>
      </c>
      <c r="J253">
        <v>315</v>
      </c>
      <c r="K253">
        <v>331</v>
      </c>
      <c r="L253" t="s">
        <v>2131</v>
      </c>
      <c r="M253" t="s">
        <v>2132</v>
      </c>
      <c r="N253" t="s">
        <v>2133</v>
      </c>
      <c r="O253" t="s">
        <v>61</v>
      </c>
      <c r="Q253" t="s">
        <v>61</v>
      </c>
      <c r="R253" t="s">
        <v>61</v>
      </c>
      <c r="S253" t="s">
        <v>61</v>
      </c>
      <c r="T253" t="s">
        <v>61</v>
      </c>
      <c r="X253" t="s">
        <v>61</v>
      </c>
      <c r="Y253" t="s">
        <v>2134</v>
      </c>
      <c r="Z253" t="s">
        <v>61</v>
      </c>
      <c r="AA253" t="s">
        <v>61</v>
      </c>
      <c r="AB253">
        <v>1983128954</v>
      </c>
      <c r="AC253" t="s">
        <v>67</v>
      </c>
      <c r="AD253" t="s">
        <v>61</v>
      </c>
      <c r="AE253" t="s">
        <v>61</v>
      </c>
      <c r="AF253" t="s">
        <v>61</v>
      </c>
      <c r="AG253" t="s">
        <v>2135</v>
      </c>
      <c r="AH253" t="s">
        <v>61</v>
      </c>
      <c r="AI253" t="s">
        <v>61</v>
      </c>
      <c r="AJ253" t="s">
        <v>61</v>
      </c>
      <c r="AK253" t="s">
        <v>61</v>
      </c>
      <c r="AL253" t="s">
        <v>61</v>
      </c>
      <c r="AM253" t="s">
        <v>2136</v>
      </c>
      <c r="AN253" t="s">
        <v>61</v>
      </c>
      <c r="AO253" t="s">
        <v>61</v>
      </c>
      <c r="AP253" t="s">
        <v>61</v>
      </c>
      <c r="AQ253" t="s">
        <v>61</v>
      </c>
      <c r="AR253" t="s">
        <v>61</v>
      </c>
      <c r="AS253" t="s">
        <v>61</v>
      </c>
      <c r="AT253" t="s">
        <v>61</v>
      </c>
      <c r="AU253" t="s">
        <v>61</v>
      </c>
      <c r="AV253" t="s">
        <v>61</v>
      </c>
      <c r="AW253" t="s">
        <v>61</v>
      </c>
      <c r="AX253" t="s">
        <v>61</v>
      </c>
      <c r="AY253" t="s">
        <v>61</v>
      </c>
      <c r="AZ253" t="s">
        <v>61</v>
      </c>
      <c r="BA253" t="s">
        <v>61</v>
      </c>
      <c r="BB253" t="s">
        <v>61</v>
      </c>
      <c r="BC253" t="s">
        <v>61</v>
      </c>
      <c r="BD253" t="s">
        <v>61</v>
      </c>
      <c r="BE253" t="s">
        <v>61</v>
      </c>
      <c r="BF253" t="s">
        <v>61</v>
      </c>
    </row>
    <row r="254" spans="1:58">
      <c r="A254" t="s">
        <v>58</v>
      </c>
      <c r="B254" t="s">
        <v>2137</v>
      </c>
      <c r="C254" t="s">
        <v>2138</v>
      </c>
      <c r="D254" t="s">
        <v>2139</v>
      </c>
      <c r="E254" t="s">
        <v>2140</v>
      </c>
      <c r="F254">
        <v>2012</v>
      </c>
      <c r="G254" t="s">
        <v>363</v>
      </c>
      <c r="H254">
        <v>74</v>
      </c>
      <c r="I254">
        <v>1</v>
      </c>
      <c r="J254">
        <v>92</v>
      </c>
      <c r="K254">
        <v>100</v>
      </c>
      <c r="L254" t="s">
        <v>2141</v>
      </c>
      <c r="M254" t="s">
        <v>2142</v>
      </c>
      <c r="N254" t="s">
        <v>2143</v>
      </c>
      <c r="O254" t="s">
        <v>61</v>
      </c>
      <c r="Q254" t="s">
        <v>61</v>
      </c>
      <c r="R254" t="s">
        <v>61</v>
      </c>
      <c r="S254" t="s">
        <v>61</v>
      </c>
      <c r="T254" t="s">
        <v>61</v>
      </c>
      <c r="X254" t="s">
        <v>61</v>
      </c>
      <c r="Y254" t="s">
        <v>2144</v>
      </c>
      <c r="Z254" t="s">
        <v>61</v>
      </c>
      <c r="AA254" t="s">
        <v>2145</v>
      </c>
      <c r="AB254">
        <v>22133584</v>
      </c>
      <c r="AC254" t="s">
        <v>67</v>
      </c>
      <c r="AD254" t="s">
        <v>61</v>
      </c>
      <c r="AE254" t="s">
        <v>61</v>
      </c>
      <c r="AF254" t="s">
        <v>61</v>
      </c>
      <c r="AG254" t="s">
        <v>2146</v>
      </c>
      <c r="AH254" t="s">
        <v>61</v>
      </c>
      <c r="AI254" t="s">
        <v>2147</v>
      </c>
      <c r="AJ254" t="s">
        <v>61</v>
      </c>
      <c r="AK254" t="s">
        <v>61</v>
      </c>
      <c r="AL254" t="s">
        <v>61</v>
      </c>
      <c r="AM254" t="s">
        <v>2148</v>
      </c>
      <c r="AN254" t="s">
        <v>61</v>
      </c>
      <c r="AO254" t="s">
        <v>61</v>
      </c>
      <c r="AP254" t="s">
        <v>61</v>
      </c>
      <c r="AQ254" t="s">
        <v>61</v>
      </c>
      <c r="AR254" t="s">
        <v>61</v>
      </c>
      <c r="AS254" t="s">
        <v>61</v>
      </c>
      <c r="AT254" t="s">
        <v>61</v>
      </c>
      <c r="AU254" t="s">
        <v>61</v>
      </c>
      <c r="AV254" t="s">
        <v>61</v>
      </c>
      <c r="AW254" t="s">
        <v>61</v>
      </c>
      <c r="AX254" t="s">
        <v>61</v>
      </c>
      <c r="AY254" t="s">
        <v>61</v>
      </c>
      <c r="AZ254" t="s">
        <v>61</v>
      </c>
      <c r="BA254" t="s">
        <v>61</v>
      </c>
      <c r="BB254" t="s">
        <v>61</v>
      </c>
      <c r="BC254" t="s">
        <v>61</v>
      </c>
      <c r="BD254" t="s">
        <v>61</v>
      </c>
      <c r="BE254" t="s">
        <v>61</v>
      </c>
      <c r="BF254" t="s">
        <v>61</v>
      </c>
    </row>
    <row r="255" spans="1:58">
      <c r="A255" t="s">
        <v>58</v>
      </c>
      <c r="B255" t="s">
        <v>2149</v>
      </c>
      <c r="C255" t="s">
        <v>2150</v>
      </c>
      <c r="D255" t="s">
        <v>876</v>
      </c>
      <c r="E255" t="s">
        <v>877</v>
      </c>
      <c r="F255">
        <v>1994</v>
      </c>
      <c r="G255" t="s">
        <v>1644</v>
      </c>
      <c r="H255">
        <v>58</v>
      </c>
      <c r="I255">
        <v>1</v>
      </c>
      <c r="J255">
        <v>55</v>
      </c>
      <c r="K255">
        <v>60</v>
      </c>
      <c r="L255" t="s">
        <v>2151</v>
      </c>
      <c r="M255" t="s">
        <v>2152</v>
      </c>
      <c r="N255" t="s">
        <v>2153</v>
      </c>
      <c r="O255" t="s">
        <v>61</v>
      </c>
      <c r="Q255" t="s">
        <v>61</v>
      </c>
      <c r="R255" t="s">
        <v>61</v>
      </c>
      <c r="S255" t="s">
        <v>61</v>
      </c>
      <c r="T255" t="s">
        <v>61</v>
      </c>
      <c r="X255" t="s">
        <v>61</v>
      </c>
      <c r="Y255" s="2">
        <v>2760901</v>
      </c>
      <c r="Z255" t="s">
        <v>61</v>
      </c>
      <c r="AA255" t="s">
        <v>61</v>
      </c>
      <c r="AB255" t="s">
        <v>2154</v>
      </c>
      <c r="AC255" t="s">
        <v>67</v>
      </c>
      <c r="AD255" t="s">
        <v>61</v>
      </c>
      <c r="AE255" t="s">
        <v>61</v>
      </c>
      <c r="AF255" t="s">
        <v>61</v>
      </c>
      <c r="AG255" t="s">
        <v>61</v>
      </c>
      <c r="AH255" t="s">
        <v>61</v>
      </c>
      <c r="AI255" t="s">
        <v>61</v>
      </c>
      <c r="AJ255" t="s">
        <v>61</v>
      </c>
      <c r="AK255" t="s">
        <v>61</v>
      </c>
      <c r="AL255" t="s">
        <v>61</v>
      </c>
      <c r="AM255" t="s">
        <v>2155</v>
      </c>
      <c r="AN255" t="s">
        <v>61</v>
      </c>
      <c r="AO255" t="s">
        <v>61</v>
      </c>
      <c r="AP255" t="s">
        <v>61</v>
      </c>
      <c r="AQ255" t="s">
        <v>61</v>
      </c>
      <c r="AR255" t="s">
        <v>61</v>
      </c>
      <c r="AS255" t="s">
        <v>61</v>
      </c>
      <c r="AT255" t="s">
        <v>61</v>
      </c>
      <c r="AU255" t="s">
        <v>61</v>
      </c>
      <c r="AV255" t="s">
        <v>61</v>
      </c>
      <c r="AW255" t="s">
        <v>61</v>
      </c>
      <c r="AX255" t="s">
        <v>61</v>
      </c>
      <c r="AY255" t="s">
        <v>61</v>
      </c>
      <c r="AZ255" t="s">
        <v>61</v>
      </c>
      <c r="BA255" t="s">
        <v>61</v>
      </c>
      <c r="BB255" t="s">
        <v>61</v>
      </c>
      <c r="BC255" t="s">
        <v>61</v>
      </c>
      <c r="BD255" t="s">
        <v>61</v>
      </c>
      <c r="BE255" t="s">
        <v>61</v>
      </c>
      <c r="BF255" t="s">
        <v>61</v>
      </c>
    </row>
    <row r="256" spans="1:58">
      <c r="A256" t="s">
        <v>58</v>
      </c>
      <c r="B256" t="s">
        <v>2156</v>
      </c>
      <c r="C256" t="s">
        <v>2157</v>
      </c>
      <c r="D256" t="s">
        <v>2158</v>
      </c>
      <c r="E256" t="s">
        <v>61</v>
      </c>
      <c r="F256">
        <v>2015</v>
      </c>
      <c r="G256">
        <v>1</v>
      </c>
      <c r="H256">
        <v>101</v>
      </c>
      <c r="I256" t="s">
        <v>61</v>
      </c>
      <c r="J256">
        <v>2</v>
      </c>
      <c r="K256">
        <v>8</v>
      </c>
      <c r="L256" t="s">
        <v>2159</v>
      </c>
      <c r="M256" t="s">
        <v>2160</v>
      </c>
      <c r="N256" t="s">
        <v>2161</v>
      </c>
      <c r="O256" t="s">
        <v>61</v>
      </c>
      <c r="Q256" t="s">
        <v>61</v>
      </c>
      <c r="R256" t="s">
        <v>61</v>
      </c>
      <c r="S256" t="s">
        <v>61</v>
      </c>
      <c r="T256" t="s">
        <v>61</v>
      </c>
      <c r="X256" t="s">
        <v>61</v>
      </c>
      <c r="Y256" t="s">
        <v>2162</v>
      </c>
      <c r="Z256" t="s">
        <v>61</v>
      </c>
      <c r="AA256" t="s">
        <v>61</v>
      </c>
      <c r="AB256" t="s">
        <v>2163</v>
      </c>
      <c r="AC256" t="s">
        <v>67</v>
      </c>
      <c r="AD256" t="s">
        <v>61</v>
      </c>
      <c r="AE256" t="s">
        <v>61</v>
      </c>
      <c r="AF256" t="s">
        <v>61</v>
      </c>
      <c r="AG256" t="s">
        <v>61</v>
      </c>
      <c r="AH256" t="s">
        <v>61</v>
      </c>
      <c r="AI256" t="s">
        <v>61</v>
      </c>
      <c r="AJ256" t="s">
        <v>61</v>
      </c>
      <c r="AK256" t="s">
        <v>61</v>
      </c>
      <c r="AL256" t="s">
        <v>61</v>
      </c>
      <c r="AM256" t="s">
        <v>2157</v>
      </c>
      <c r="AN256" t="s">
        <v>61</v>
      </c>
      <c r="AO256" t="s">
        <v>61</v>
      </c>
      <c r="AP256" t="s">
        <v>61</v>
      </c>
      <c r="AQ256" t="s">
        <v>61</v>
      </c>
      <c r="AR256" t="s">
        <v>61</v>
      </c>
      <c r="AS256" t="s">
        <v>61</v>
      </c>
      <c r="AT256" t="s">
        <v>61</v>
      </c>
      <c r="AU256" t="s">
        <v>61</v>
      </c>
      <c r="AV256" t="s">
        <v>61</v>
      </c>
      <c r="AW256" t="s">
        <v>61</v>
      </c>
      <c r="AX256" t="s">
        <v>61</v>
      </c>
      <c r="AY256" t="s">
        <v>61</v>
      </c>
      <c r="AZ256" t="s">
        <v>61</v>
      </c>
      <c r="BA256" t="s">
        <v>61</v>
      </c>
      <c r="BB256" t="s">
        <v>61</v>
      </c>
      <c r="BC256" t="s">
        <v>61</v>
      </c>
      <c r="BD256" t="s">
        <v>61</v>
      </c>
      <c r="BE256" t="s">
        <v>61</v>
      </c>
      <c r="BF256" t="s">
        <v>61</v>
      </c>
    </row>
    <row r="257" spans="1:58">
      <c r="A257" t="s">
        <v>58</v>
      </c>
      <c r="B257" t="s">
        <v>2164</v>
      </c>
      <c r="C257" t="s">
        <v>2165</v>
      </c>
      <c r="D257" t="s">
        <v>2166</v>
      </c>
      <c r="E257" t="s">
        <v>61</v>
      </c>
      <c r="F257">
        <v>2008</v>
      </c>
      <c r="G257" t="s">
        <v>1152</v>
      </c>
      <c r="H257">
        <v>27</v>
      </c>
      <c r="I257">
        <v>5</v>
      </c>
      <c r="J257">
        <v>548</v>
      </c>
      <c r="K257">
        <v>558</v>
      </c>
      <c r="L257" t="s">
        <v>2167</v>
      </c>
      <c r="M257" t="s">
        <v>2168</v>
      </c>
      <c r="N257" t="s">
        <v>2169</v>
      </c>
      <c r="O257" t="s">
        <v>61</v>
      </c>
      <c r="Q257" t="s">
        <v>61</v>
      </c>
      <c r="R257" t="s">
        <v>61</v>
      </c>
      <c r="S257" t="s">
        <v>61</v>
      </c>
      <c r="T257" t="s">
        <v>61</v>
      </c>
      <c r="X257" t="s">
        <v>61</v>
      </c>
      <c r="Y257" t="s">
        <v>2170</v>
      </c>
      <c r="Z257" t="s">
        <v>61</v>
      </c>
      <c r="AA257" t="s">
        <v>2171</v>
      </c>
      <c r="AB257">
        <v>18696301</v>
      </c>
      <c r="AC257" t="s">
        <v>67</v>
      </c>
      <c r="AD257" t="s">
        <v>61</v>
      </c>
      <c r="AE257" t="s">
        <v>61</v>
      </c>
      <c r="AF257" t="s">
        <v>61</v>
      </c>
      <c r="AG257" t="s">
        <v>2172</v>
      </c>
      <c r="AH257" t="s">
        <v>61</v>
      </c>
      <c r="AI257" t="s">
        <v>2173</v>
      </c>
      <c r="AJ257" t="s">
        <v>61</v>
      </c>
      <c r="AK257" t="s">
        <v>61</v>
      </c>
      <c r="AL257" t="s">
        <v>61</v>
      </c>
      <c r="AM257" t="s">
        <v>2174</v>
      </c>
      <c r="AN257" t="s">
        <v>61</v>
      </c>
      <c r="AO257" t="s">
        <v>61</v>
      </c>
      <c r="AP257" t="s">
        <v>61</v>
      </c>
      <c r="AQ257" t="s">
        <v>61</v>
      </c>
      <c r="AR257" t="s">
        <v>61</v>
      </c>
      <c r="AS257" t="s">
        <v>61</v>
      </c>
      <c r="AT257" t="s">
        <v>61</v>
      </c>
      <c r="AU257" t="s">
        <v>61</v>
      </c>
      <c r="AV257" t="s">
        <v>61</v>
      </c>
      <c r="AW257" t="s">
        <v>61</v>
      </c>
      <c r="AX257" t="s">
        <v>61</v>
      </c>
      <c r="AY257" t="s">
        <v>61</v>
      </c>
      <c r="AZ257" t="s">
        <v>61</v>
      </c>
      <c r="BA257" t="s">
        <v>61</v>
      </c>
      <c r="BB257" t="s">
        <v>61</v>
      </c>
      <c r="BC257" t="s">
        <v>61</v>
      </c>
      <c r="BD257" t="s">
        <v>61</v>
      </c>
      <c r="BE257" t="s">
        <v>61</v>
      </c>
      <c r="BF257" t="s">
        <v>61</v>
      </c>
    </row>
    <row r="258" spans="1:58">
      <c r="A258" t="s">
        <v>58</v>
      </c>
      <c r="B258" t="s">
        <v>2175</v>
      </c>
      <c r="C258" t="s">
        <v>2176</v>
      </c>
      <c r="D258" t="s">
        <v>2018</v>
      </c>
      <c r="E258" t="s">
        <v>61</v>
      </c>
      <c r="F258">
        <v>2011</v>
      </c>
      <c r="G258" t="s">
        <v>391</v>
      </c>
      <c r="H258">
        <v>6</v>
      </c>
      <c r="I258">
        <v>1</v>
      </c>
      <c r="J258">
        <v>57</v>
      </c>
      <c r="K258">
        <v>62</v>
      </c>
      <c r="L258" t="s">
        <v>2177</v>
      </c>
      <c r="M258" t="s">
        <v>2178</v>
      </c>
      <c r="N258" t="s">
        <v>2179</v>
      </c>
      <c r="O258" t="s">
        <v>61</v>
      </c>
      <c r="Q258" t="s">
        <v>61</v>
      </c>
      <c r="R258" t="s">
        <v>61</v>
      </c>
      <c r="S258" t="s">
        <v>61</v>
      </c>
      <c r="T258" t="s">
        <v>61</v>
      </c>
      <c r="X258" t="s">
        <v>61</v>
      </c>
      <c r="Y258" t="s">
        <v>2022</v>
      </c>
      <c r="Z258" t="s">
        <v>61</v>
      </c>
      <c r="AA258" t="s">
        <v>2180</v>
      </c>
      <c r="AB258">
        <v>20607430</v>
      </c>
      <c r="AC258" t="s">
        <v>67</v>
      </c>
      <c r="AD258" t="s">
        <v>61</v>
      </c>
      <c r="AE258" t="s">
        <v>61</v>
      </c>
      <c r="AF258" t="s">
        <v>61</v>
      </c>
      <c r="AG258" t="s">
        <v>2181</v>
      </c>
      <c r="AH258" t="s">
        <v>61</v>
      </c>
      <c r="AI258" t="s">
        <v>2182</v>
      </c>
      <c r="AJ258" t="s">
        <v>61</v>
      </c>
      <c r="AK258" t="s">
        <v>61</v>
      </c>
      <c r="AL258" t="s">
        <v>61</v>
      </c>
      <c r="AM258" t="s">
        <v>2183</v>
      </c>
      <c r="AN258" t="s">
        <v>61</v>
      </c>
      <c r="AO258" t="s">
        <v>61</v>
      </c>
      <c r="AP258" t="s">
        <v>61</v>
      </c>
      <c r="AQ258" t="s">
        <v>61</v>
      </c>
      <c r="AR258" t="s">
        <v>61</v>
      </c>
      <c r="AS258" t="s">
        <v>61</v>
      </c>
      <c r="AT258" t="s">
        <v>61</v>
      </c>
      <c r="AU258" t="s">
        <v>61</v>
      </c>
      <c r="AV258" t="s">
        <v>61</v>
      </c>
      <c r="AW258" t="s">
        <v>61</v>
      </c>
      <c r="AX258" t="s">
        <v>61</v>
      </c>
      <c r="AY258" t="s">
        <v>61</v>
      </c>
      <c r="AZ258" t="s">
        <v>61</v>
      </c>
      <c r="BA258" t="s">
        <v>61</v>
      </c>
      <c r="BB258" t="s">
        <v>61</v>
      </c>
      <c r="BC258" t="s">
        <v>61</v>
      </c>
      <c r="BD258" t="s">
        <v>61</v>
      </c>
      <c r="BE258" t="s">
        <v>61</v>
      </c>
      <c r="BF258" t="s">
        <v>61</v>
      </c>
    </row>
    <row r="259" spans="1:58">
      <c r="A259" t="s">
        <v>58</v>
      </c>
      <c r="B259" t="s">
        <v>2184</v>
      </c>
      <c r="C259" t="s">
        <v>2185</v>
      </c>
      <c r="D259" t="s">
        <v>2186</v>
      </c>
      <c r="E259" t="s">
        <v>2187</v>
      </c>
      <c r="F259">
        <v>2012</v>
      </c>
      <c r="G259" t="s">
        <v>85</v>
      </c>
      <c r="H259">
        <v>13</v>
      </c>
      <c r="I259">
        <v>5</v>
      </c>
      <c r="J259">
        <v>674</v>
      </c>
      <c r="K259">
        <v>725</v>
      </c>
      <c r="L259" t="s">
        <v>2188</v>
      </c>
      <c r="M259" t="s">
        <v>2189</v>
      </c>
      <c r="N259" t="s">
        <v>2190</v>
      </c>
      <c r="O259" t="s">
        <v>61</v>
      </c>
      <c r="Q259" t="s">
        <v>61</v>
      </c>
      <c r="R259" t="s">
        <v>61</v>
      </c>
      <c r="S259" t="s">
        <v>61</v>
      </c>
      <c r="T259" t="s">
        <v>61</v>
      </c>
      <c r="X259" t="s">
        <v>61</v>
      </c>
      <c r="Y259" t="s">
        <v>2191</v>
      </c>
      <c r="Z259" t="s">
        <v>61</v>
      </c>
      <c r="AA259" t="s">
        <v>2192</v>
      </c>
      <c r="AB259">
        <v>22122480</v>
      </c>
      <c r="AC259" t="s">
        <v>67</v>
      </c>
      <c r="AD259" t="s">
        <v>61</v>
      </c>
      <c r="AE259" t="s">
        <v>61</v>
      </c>
      <c r="AF259" t="s">
        <v>61</v>
      </c>
      <c r="AG259" t="s">
        <v>2193</v>
      </c>
      <c r="AH259" t="s">
        <v>61</v>
      </c>
      <c r="AI259" t="s">
        <v>61</v>
      </c>
      <c r="AJ259" t="s">
        <v>61</v>
      </c>
      <c r="AK259" t="s">
        <v>61</v>
      </c>
      <c r="AL259" t="s">
        <v>61</v>
      </c>
      <c r="AM259" t="s">
        <v>2194</v>
      </c>
      <c r="AN259" t="s">
        <v>61</v>
      </c>
      <c r="AO259" t="s">
        <v>61</v>
      </c>
      <c r="AP259" t="s">
        <v>61</v>
      </c>
      <c r="AQ259" t="s">
        <v>61</v>
      </c>
      <c r="AR259" t="s">
        <v>61</v>
      </c>
      <c r="AS259" t="s">
        <v>61</v>
      </c>
      <c r="AT259" t="s">
        <v>61</v>
      </c>
      <c r="AU259" t="s">
        <v>61</v>
      </c>
      <c r="AV259" t="s">
        <v>61</v>
      </c>
      <c r="AW259" t="s">
        <v>61</v>
      </c>
      <c r="AX259" t="s">
        <v>61</v>
      </c>
      <c r="AY259" t="s">
        <v>61</v>
      </c>
      <c r="AZ259" t="s">
        <v>61</v>
      </c>
      <c r="BA259" t="s">
        <v>61</v>
      </c>
      <c r="BB259" t="s">
        <v>61</v>
      </c>
      <c r="BC259" t="s">
        <v>61</v>
      </c>
      <c r="BD259" t="s">
        <v>61</v>
      </c>
      <c r="BE259" t="s">
        <v>61</v>
      </c>
      <c r="BF259" t="s">
        <v>61</v>
      </c>
    </row>
    <row r="260" spans="1:58">
      <c r="A260" t="s">
        <v>58</v>
      </c>
      <c r="B260" t="s">
        <v>2195</v>
      </c>
      <c r="C260" t="s">
        <v>2196</v>
      </c>
      <c r="D260" t="s">
        <v>2197</v>
      </c>
      <c r="E260" t="s">
        <v>2198</v>
      </c>
      <c r="F260">
        <v>1971</v>
      </c>
      <c r="G260" t="s">
        <v>851</v>
      </c>
      <c r="H260">
        <v>61</v>
      </c>
      <c r="I260">
        <v>11</v>
      </c>
      <c r="J260">
        <v>2223</v>
      </c>
      <c r="K260">
        <v>2228</v>
      </c>
      <c r="L260" t="s">
        <v>2199</v>
      </c>
      <c r="M260" t="s">
        <v>61</v>
      </c>
      <c r="N260" t="s">
        <v>2200</v>
      </c>
      <c r="O260" t="s">
        <v>61</v>
      </c>
      <c r="Q260" t="s">
        <v>61</v>
      </c>
      <c r="R260" t="s">
        <v>61</v>
      </c>
      <c r="S260" t="s">
        <v>61</v>
      </c>
      <c r="T260" t="s">
        <v>61</v>
      </c>
      <c r="X260" t="s">
        <v>61</v>
      </c>
      <c r="Y260" t="s">
        <v>2201</v>
      </c>
      <c r="Z260" t="s">
        <v>61</v>
      </c>
      <c r="AA260" t="s">
        <v>61</v>
      </c>
      <c r="AB260">
        <v>5112968</v>
      </c>
      <c r="AC260" t="s">
        <v>67</v>
      </c>
      <c r="AD260" t="s">
        <v>61</v>
      </c>
      <c r="AE260" t="s">
        <v>61</v>
      </c>
      <c r="AF260" t="s">
        <v>61</v>
      </c>
      <c r="AG260" t="s">
        <v>2202</v>
      </c>
      <c r="AH260" t="s">
        <v>61</v>
      </c>
      <c r="AI260" t="s">
        <v>61</v>
      </c>
      <c r="AJ260" t="s">
        <v>61</v>
      </c>
      <c r="AK260" t="s">
        <v>61</v>
      </c>
      <c r="AL260" t="s">
        <v>61</v>
      </c>
      <c r="AM260" t="s">
        <v>2203</v>
      </c>
      <c r="AN260" t="s">
        <v>61</v>
      </c>
      <c r="AO260" t="s">
        <v>61</v>
      </c>
      <c r="AP260" t="s">
        <v>61</v>
      </c>
      <c r="AQ260" t="s">
        <v>61</v>
      </c>
      <c r="AR260" t="s">
        <v>61</v>
      </c>
      <c r="AS260" t="s">
        <v>61</v>
      </c>
      <c r="AT260" t="s">
        <v>61</v>
      </c>
      <c r="AU260" t="s">
        <v>61</v>
      </c>
      <c r="AV260" t="s">
        <v>61</v>
      </c>
      <c r="AW260" t="s">
        <v>61</v>
      </c>
      <c r="AX260" t="s">
        <v>61</v>
      </c>
      <c r="AY260" t="s">
        <v>61</v>
      </c>
      <c r="AZ260" t="s">
        <v>61</v>
      </c>
      <c r="BA260" t="s">
        <v>61</v>
      </c>
      <c r="BB260" t="s">
        <v>61</v>
      </c>
      <c r="BC260" t="s">
        <v>61</v>
      </c>
      <c r="BD260" t="s">
        <v>61</v>
      </c>
      <c r="BE260" t="s">
        <v>61</v>
      </c>
      <c r="BF260" t="s">
        <v>61</v>
      </c>
    </row>
    <row r="261" spans="1:58">
      <c r="A261" t="s">
        <v>58</v>
      </c>
      <c r="B261" t="s">
        <v>2204</v>
      </c>
      <c r="C261" t="s">
        <v>2205</v>
      </c>
      <c r="D261" t="s">
        <v>1476</v>
      </c>
      <c r="E261" t="s">
        <v>61</v>
      </c>
      <c r="F261">
        <v>2008</v>
      </c>
      <c r="G261">
        <v>29</v>
      </c>
      <c r="H261">
        <v>281</v>
      </c>
      <c r="I261">
        <v>7530</v>
      </c>
      <c r="J261">
        <v>641</v>
      </c>
      <c r="K261" t="s">
        <v>61</v>
      </c>
      <c r="L261" t="s">
        <v>2206</v>
      </c>
      <c r="M261" t="s">
        <v>61</v>
      </c>
      <c r="N261" t="s">
        <v>2207</v>
      </c>
      <c r="O261" t="s">
        <v>61</v>
      </c>
      <c r="Q261" t="s">
        <v>61</v>
      </c>
      <c r="R261" t="s">
        <v>61</v>
      </c>
      <c r="S261" t="s">
        <v>61</v>
      </c>
      <c r="T261" t="s">
        <v>61</v>
      </c>
      <c r="X261" t="s">
        <v>61</v>
      </c>
      <c r="Y261" t="s">
        <v>293</v>
      </c>
      <c r="Z261" t="s">
        <v>61</v>
      </c>
      <c r="AA261" t="s">
        <v>61</v>
      </c>
      <c r="AB261">
        <v>2008593513</v>
      </c>
      <c r="AC261" t="s">
        <v>67</v>
      </c>
      <c r="AD261" t="s">
        <v>61</v>
      </c>
      <c r="AE261" t="s">
        <v>61</v>
      </c>
      <c r="AF261" t="s">
        <v>61</v>
      </c>
      <c r="AG261" t="s">
        <v>61</v>
      </c>
      <c r="AH261" t="s">
        <v>61</v>
      </c>
      <c r="AI261" t="s">
        <v>61</v>
      </c>
      <c r="AJ261" t="s">
        <v>61</v>
      </c>
      <c r="AK261" t="s">
        <v>61</v>
      </c>
      <c r="AL261" t="s">
        <v>61</v>
      </c>
      <c r="AM261" t="s">
        <v>2205</v>
      </c>
      <c r="AN261" t="s">
        <v>61</v>
      </c>
      <c r="AO261" t="s">
        <v>61</v>
      </c>
      <c r="AP261" t="s">
        <v>61</v>
      </c>
      <c r="AQ261" t="s">
        <v>61</v>
      </c>
      <c r="AR261" t="s">
        <v>61</v>
      </c>
      <c r="AS261" t="s">
        <v>61</v>
      </c>
      <c r="AT261" t="s">
        <v>61</v>
      </c>
      <c r="AU261" t="s">
        <v>61</v>
      </c>
      <c r="AV261" t="s">
        <v>61</v>
      </c>
      <c r="AW261" t="s">
        <v>61</v>
      </c>
      <c r="AX261" t="s">
        <v>61</v>
      </c>
      <c r="AY261" t="s">
        <v>61</v>
      </c>
      <c r="AZ261" t="s">
        <v>61</v>
      </c>
      <c r="BA261" t="s">
        <v>61</v>
      </c>
      <c r="BB261" t="s">
        <v>61</v>
      </c>
      <c r="BC261" t="s">
        <v>61</v>
      </c>
      <c r="BD261" t="s">
        <v>61</v>
      </c>
      <c r="BE261" t="s">
        <v>61</v>
      </c>
      <c r="BF261" t="s">
        <v>61</v>
      </c>
    </row>
    <row r="262" spans="1:58">
      <c r="A262" t="s">
        <v>58</v>
      </c>
      <c r="B262" t="s">
        <v>2208</v>
      </c>
      <c r="C262" t="s">
        <v>2209</v>
      </c>
      <c r="D262" t="s">
        <v>60</v>
      </c>
      <c r="E262" t="s">
        <v>61</v>
      </c>
      <c r="F262">
        <v>2003</v>
      </c>
      <c r="G262" s="1">
        <v>42505</v>
      </c>
      <c r="H262">
        <v>60</v>
      </c>
      <c r="I262">
        <v>10</v>
      </c>
      <c r="J262">
        <v>1012</v>
      </c>
      <c r="K262">
        <v>1018</v>
      </c>
      <c r="L262" t="s">
        <v>2210</v>
      </c>
      <c r="M262" t="s">
        <v>2211</v>
      </c>
      <c r="N262" t="s">
        <v>2212</v>
      </c>
      <c r="O262" t="s">
        <v>61</v>
      </c>
      <c r="Q262" t="s">
        <v>61</v>
      </c>
      <c r="R262" t="s">
        <v>61</v>
      </c>
      <c r="S262" t="s">
        <v>61</v>
      </c>
      <c r="T262" t="s">
        <v>61</v>
      </c>
      <c r="X262" t="s">
        <v>61</v>
      </c>
      <c r="Y262" t="s">
        <v>66</v>
      </c>
      <c r="Z262" t="s">
        <v>61</v>
      </c>
      <c r="AA262" t="s">
        <v>2213</v>
      </c>
      <c r="AB262">
        <v>12789872</v>
      </c>
      <c r="AC262" t="s">
        <v>67</v>
      </c>
      <c r="AD262" t="s">
        <v>61</v>
      </c>
      <c r="AE262" t="s">
        <v>61</v>
      </c>
      <c r="AF262" t="s">
        <v>61</v>
      </c>
      <c r="AG262" t="s">
        <v>2214</v>
      </c>
      <c r="AH262" t="s">
        <v>61</v>
      </c>
      <c r="AI262" t="s">
        <v>61</v>
      </c>
      <c r="AJ262" t="s">
        <v>61</v>
      </c>
      <c r="AK262" t="s">
        <v>61</v>
      </c>
      <c r="AL262" t="s">
        <v>61</v>
      </c>
      <c r="AM262" t="s">
        <v>2215</v>
      </c>
      <c r="AN262" t="s">
        <v>61</v>
      </c>
      <c r="AO262" t="s">
        <v>61</v>
      </c>
      <c r="AP262" t="s">
        <v>61</v>
      </c>
      <c r="AQ262" t="s">
        <v>61</v>
      </c>
      <c r="AR262" t="s">
        <v>61</v>
      </c>
      <c r="AS262" t="s">
        <v>61</v>
      </c>
      <c r="AT262" t="s">
        <v>61</v>
      </c>
      <c r="AU262" t="s">
        <v>61</v>
      </c>
      <c r="AV262" t="s">
        <v>61</v>
      </c>
      <c r="AW262" t="s">
        <v>61</v>
      </c>
      <c r="AX262" t="s">
        <v>61</v>
      </c>
      <c r="AY262" t="s">
        <v>61</v>
      </c>
      <c r="AZ262" t="s">
        <v>61</v>
      </c>
      <c r="BA262" t="s">
        <v>61</v>
      </c>
      <c r="BB262" t="s">
        <v>61</v>
      </c>
      <c r="BC262" t="s">
        <v>61</v>
      </c>
      <c r="BD262" t="s">
        <v>61</v>
      </c>
      <c r="BE262" t="s">
        <v>61</v>
      </c>
      <c r="BF262" t="s">
        <v>61</v>
      </c>
    </row>
    <row r="263" spans="1:58">
      <c r="A263" t="s">
        <v>58</v>
      </c>
      <c r="B263" t="s">
        <v>2216</v>
      </c>
      <c r="C263" t="s">
        <v>2217</v>
      </c>
      <c r="D263" t="s">
        <v>2218</v>
      </c>
      <c r="E263" t="s">
        <v>61</v>
      </c>
      <c r="F263">
        <v>2013</v>
      </c>
      <c r="G263" t="s">
        <v>280</v>
      </c>
      <c r="H263">
        <v>27</v>
      </c>
      <c r="I263">
        <v>4</v>
      </c>
      <c r="J263">
        <v>402</v>
      </c>
      <c r="K263">
        <v>405</v>
      </c>
      <c r="L263" t="s">
        <v>2219</v>
      </c>
      <c r="M263" t="s">
        <v>2220</v>
      </c>
      <c r="N263" t="s">
        <v>2221</v>
      </c>
      <c r="O263" t="s">
        <v>61</v>
      </c>
      <c r="Q263" t="s">
        <v>61</v>
      </c>
      <c r="R263" t="s">
        <v>61</v>
      </c>
      <c r="S263" t="s">
        <v>61</v>
      </c>
      <c r="T263" t="s">
        <v>61</v>
      </c>
      <c r="X263" t="s">
        <v>61</v>
      </c>
      <c r="Y263" t="s">
        <v>2222</v>
      </c>
      <c r="Z263" t="s">
        <v>61</v>
      </c>
      <c r="AA263" t="s">
        <v>61</v>
      </c>
      <c r="AB263">
        <v>24245573</v>
      </c>
      <c r="AC263" t="s">
        <v>67</v>
      </c>
      <c r="AD263" t="s">
        <v>61</v>
      </c>
      <c r="AE263" t="s">
        <v>61</v>
      </c>
      <c r="AF263" t="s">
        <v>61</v>
      </c>
      <c r="AG263" t="s">
        <v>2223</v>
      </c>
      <c r="AH263" t="s">
        <v>61</v>
      </c>
      <c r="AI263" t="s">
        <v>2224</v>
      </c>
      <c r="AJ263" t="s">
        <v>61</v>
      </c>
      <c r="AK263" t="s">
        <v>61</v>
      </c>
      <c r="AL263" t="s">
        <v>61</v>
      </c>
      <c r="AM263" t="s">
        <v>2225</v>
      </c>
      <c r="AN263" t="s">
        <v>61</v>
      </c>
      <c r="AO263" t="s">
        <v>61</v>
      </c>
      <c r="AP263" t="s">
        <v>61</v>
      </c>
      <c r="AQ263" t="s">
        <v>61</v>
      </c>
      <c r="AR263" t="s">
        <v>61</v>
      </c>
      <c r="AS263" t="s">
        <v>61</v>
      </c>
      <c r="AT263" t="s">
        <v>61</v>
      </c>
      <c r="AU263" t="s">
        <v>61</v>
      </c>
      <c r="AV263" t="s">
        <v>61</v>
      </c>
      <c r="AW263" t="s">
        <v>61</v>
      </c>
      <c r="AX263" t="s">
        <v>61</v>
      </c>
      <c r="AY263" t="s">
        <v>61</v>
      </c>
      <c r="AZ263" t="s">
        <v>61</v>
      </c>
      <c r="BA263" t="s">
        <v>61</v>
      </c>
      <c r="BB263" t="s">
        <v>61</v>
      </c>
      <c r="BC263" t="s">
        <v>61</v>
      </c>
      <c r="BD263" t="s">
        <v>61</v>
      </c>
      <c r="BE263" t="s">
        <v>61</v>
      </c>
      <c r="BF263" t="s">
        <v>61</v>
      </c>
    </row>
    <row r="264" spans="1:58">
      <c r="A264" t="s">
        <v>58</v>
      </c>
      <c r="B264" t="s">
        <v>2226</v>
      </c>
      <c r="C264" t="s">
        <v>2227</v>
      </c>
      <c r="D264" t="s">
        <v>408</v>
      </c>
      <c r="E264" t="s">
        <v>408</v>
      </c>
      <c r="F264">
        <v>2004</v>
      </c>
      <c r="G264">
        <v>4</v>
      </c>
      <c r="H264">
        <v>24</v>
      </c>
      <c r="I264">
        <v>9</v>
      </c>
      <c r="J264">
        <v>1241</v>
      </c>
      <c r="K264">
        <v>1294</v>
      </c>
      <c r="L264" t="s">
        <v>2228</v>
      </c>
      <c r="M264" t="s">
        <v>61</v>
      </c>
      <c r="N264" t="s">
        <v>2229</v>
      </c>
      <c r="O264" t="s">
        <v>61</v>
      </c>
      <c r="Q264" t="s">
        <v>61</v>
      </c>
      <c r="R264" t="s">
        <v>61</v>
      </c>
      <c r="S264" t="s">
        <v>61</v>
      </c>
      <c r="T264" t="s">
        <v>61</v>
      </c>
      <c r="X264" t="s">
        <v>61</v>
      </c>
      <c r="Y264" t="s">
        <v>414</v>
      </c>
      <c r="Z264" t="s">
        <v>61</v>
      </c>
      <c r="AA264" t="s">
        <v>61</v>
      </c>
      <c r="AB264">
        <v>2004365040</v>
      </c>
      <c r="AC264" t="s">
        <v>67</v>
      </c>
      <c r="AD264" t="s">
        <v>61</v>
      </c>
      <c r="AE264" t="s">
        <v>61</v>
      </c>
      <c r="AF264" t="s">
        <v>61</v>
      </c>
      <c r="AG264" t="s">
        <v>2230</v>
      </c>
      <c r="AH264" t="s">
        <v>61</v>
      </c>
      <c r="AI264" t="s">
        <v>61</v>
      </c>
      <c r="AJ264" t="s">
        <v>61</v>
      </c>
      <c r="AK264" t="s">
        <v>61</v>
      </c>
      <c r="AL264" t="s">
        <v>61</v>
      </c>
      <c r="AM264" t="s">
        <v>2231</v>
      </c>
      <c r="AN264" t="s">
        <v>61</v>
      </c>
      <c r="AO264" t="s">
        <v>61</v>
      </c>
      <c r="AP264" t="s">
        <v>61</v>
      </c>
      <c r="AQ264" t="s">
        <v>61</v>
      </c>
      <c r="AR264" t="s">
        <v>61</v>
      </c>
      <c r="AS264" t="s">
        <v>61</v>
      </c>
      <c r="AT264" t="s">
        <v>61</v>
      </c>
      <c r="AU264" t="s">
        <v>61</v>
      </c>
      <c r="AV264" t="s">
        <v>61</v>
      </c>
      <c r="AW264" t="s">
        <v>61</v>
      </c>
      <c r="AX264" t="s">
        <v>61</v>
      </c>
      <c r="AY264" t="s">
        <v>61</v>
      </c>
      <c r="AZ264" t="s">
        <v>61</v>
      </c>
      <c r="BA264" t="s">
        <v>61</v>
      </c>
      <c r="BB264" t="s">
        <v>61</v>
      </c>
      <c r="BC264" t="s">
        <v>61</v>
      </c>
      <c r="BD264" t="s">
        <v>61</v>
      </c>
      <c r="BE264" t="s">
        <v>61</v>
      </c>
      <c r="BF264" t="s">
        <v>61</v>
      </c>
    </row>
    <row r="265" spans="1:58">
      <c r="A265" t="s">
        <v>58</v>
      </c>
      <c r="B265" t="s">
        <v>2232</v>
      </c>
      <c r="C265" t="s">
        <v>2233</v>
      </c>
      <c r="D265" t="s">
        <v>2234</v>
      </c>
      <c r="E265" t="s">
        <v>61</v>
      </c>
      <c r="F265">
        <v>1985</v>
      </c>
      <c r="G265" t="s">
        <v>61</v>
      </c>
      <c r="H265">
        <v>11</v>
      </c>
      <c r="I265">
        <v>4</v>
      </c>
      <c r="J265">
        <v>285</v>
      </c>
      <c r="K265">
        <v>294</v>
      </c>
      <c r="L265" t="s">
        <v>2235</v>
      </c>
      <c r="M265" t="s">
        <v>2236</v>
      </c>
      <c r="N265" t="s">
        <v>2237</v>
      </c>
      <c r="O265" t="s">
        <v>61</v>
      </c>
      <c r="Q265" t="s">
        <v>61</v>
      </c>
      <c r="R265" t="s">
        <v>61</v>
      </c>
      <c r="S265" t="s">
        <v>61</v>
      </c>
      <c r="T265" t="s">
        <v>61</v>
      </c>
      <c r="X265" t="s">
        <v>61</v>
      </c>
      <c r="Y265" t="s">
        <v>2238</v>
      </c>
      <c r="Z265" t="s">
        <v>61</v>
      </c>
      <c r="AA265" t="s">
        <v>61</v>
      </c>
      <c r="AB265">
        <v>3869807</v>
      </c>
      <c r="AC265" t="s">
        <v>67</v>
      </c>
      <c r="AD265" t="s">
        <v>61</v>
      </c>
      <c r="AE265" t="s">
        <v>61</v>
      </c>
      <c r="AF265" t="s">
        <v>61</v>
      </c>
      <c r="AG265" t="s">
        <v>2239</v>
      </c>
      <c r="AH265" t="s">
        <v>61</v>
      </c>
      <c r="AI265" t="s">
        <v>61</v>
      </c>
      <c r="AJ265" t="s">
        <v>61</v>
      </c>
      <c r="AK265" t="s">
        <v>61</v>
      </c>
      <c r="AL265" t="s">
        <v>61</v>
      </c>
      <c r="AM265" t="s">
        <v>2240</v>
      </c>
      <c r="AN265" t="s">
        <v>61</v>
      </c>
      <c r="AO265" t="s">
        <v>61</v>
      </c>
      <c r="AP265" t="s">
        <v>61</v>
      </c>
      <c r="AQ265" t="s">
        <v>61</v>
      </c>
      <c r="AR265" t="s">
        <v>61</v>
      </c>
      <c r="AS265" t="s">
        <v>61</v>
      </c>
      <c r="AT265" t="s">
        <v>61</v>
      </c>
      <c r="AU265" t="s">
        <v>61</v>
      </c>
      <c r="AV265" t="s">
        <v>61</v>
      </c>
      <c r="AW265" t="s">
        <v>61</v>
      </c>
      <c r="AX265" t="s">
        <v>61</v>
      </c>
      <c r="AY265" t="s">
        <v>61</v>
      </c>
      <c r="AZ265" t="s">
        <v>61</v>
      </c>
      <c r="BA265" t="s">
        <v>61</v>
      </c>
      <c r="BB265" t="s">
        <v>61</v>
      </c>
      <c r="BC265" t="s">
        <v>61</v>
      </c>
      <c r="BD265" t="s">
        <v>61</v>
      </c>
      <c r="BE265" t="s">
        <v>61</v>
      </c>
      <c r="BF265" t="s">
        <v>61</v>
      </c>
    </row>
    <row r="266" spans="1:58">
      <c r="A266" t="s">
        <v>58</v>
      </c>
      <c r="B266" t="s">
        <v>2241</v>
      </c>
      <c r="C266" t="s">
        <v>2242</v>
      </c>
      <c r="D266" t="s">
        <v>1476</v>
      </c>
      <c r="E266" t="s">
        <v>61</v>
      </c>
      <c r="F266">
        <v>2006</v>
      </c>
      <c r="G266">
        <v>20</v>
      </c>
      <c r="H266">
        <v>276</v>
      </c>
      <c r="I266">
        <v>7401</v>
      </c>
      <c r="J266">
        <v>601</v>
      </c>
      <c r="K266">
        <v>603</v>
      </c>
      <c r="L266" t="s">
        <v>2243</v>
      </c>
      <c r="M266" t="s">
        <v>2244</v>
      </c>
      <c r="N266" t="s">
        <v>2245</v>
      </c>
      <c r="O266" t="s">
        <v>61</v>
      </c>
      <c r="Q266" t="s">
        <v>61</v>
      </c>
      <c r="R266" t="s">
        <v>61</v>
      </c>
      <c r="S266" t="s">
        <v>61</v>
      </c>
      <c r="T266" t="s">
        <v>61</v>
      </c>
      <c r="X266" t="s">
        <v>61</v>
      </c>
      <c r="Y266" t="s">
        <v>293</v>
      </c>
      <c r="Z266" t="s">
        <v>61</v>
      </c>
      <c r="AA266" t="s">
        <v>61</v>
      </c>
      <c r="AB266">
        <v>2006259399</v>
      </c>
      <c r="AC266" t="s">
        <v>67</v>
      </c>
      <c r="AD266" t="s">
        <v>61</v>
      </c>
      <c r="AE266" t="s">
        <v>61</v>
      </c>
      <c r="AF266" t="s">
        <v>61</v>
      </c>
      <c r="AG266" t="s">
        <v>61</v>
      </c>
      <c r="AH266" t="s">
        <v>61</v>
      </c>
      <c r="AI266" t="s">
        <v>61</v>
      </c>
      <c r="AJ266" t="s">
        <v>61</v>
      </c>
      <c r="AK266" t="s">
        <v>61</v>
      </c>
      <c r="AL266" t="s">
        <v>61</v>
      </c>
      <c r="AM266" t="s">
        <v>2242</v>
      </c>
      <c r="AN266" t="s">
        <v>61</v>
      </c>
      <c r="AO266" t="s">
        <v>61</v>
      </c>
      <c r="AP266" t="s">
        <v>61</v>
      </c>
      <c r="AQ266" t="s">
        <v>61</v>
      </c>
      <c r="AR266" t="s">
        <v>61</v>
      </c>
      <c r="AS266" t="s">
        <v>61</v>
      </c>
      <c r="AT266" t="s">
        <v>61</v>
      </c>
      <c r="AU266" t="s">
        <v>61</v>
      </c>
      <c r="AV266" t="s">
        <v>61</v>
      </c>
      <c r="AW266" t="s">
        <v>61</v>
      </c>
      <c r="AX266" t="s">
        <v>61</v>
      </c>
      <c r="AY266" t="s">
        <v>61</v>
      </c>
      <c r="AZ266" t="s">
        <v>61</v>
      </c>
      <c r="BA266" t="s">
        <v>61</v>
      </c>
      <c r="BB266" t="s">
        <v>61</v>
      </c>
      <c r="BC266" t="s">
        <v>61</v>
      </c>
      <c r="BD266" t="s">
        <v>61</v>
      </c>
      <c r="BE266" t="s">
        <v>61</v>
      </c>
      <c r="BF266" t="s">
        <v>61</v>
      </c>
    </row>
    <row r="267" spans="1:58">
      <c r="A267" t="s">
        <v>58</v>
      </c>
      <c r="B267" t="s">
        <v>2246</v>
      </c>
      <c r="C267" t="s">
        <v>2247</v>
      </c>
      <c r="D267" t="s">
        <v>428</v>
      </c>
      <c r="E267" t="s">
        <v>61</v>
      </c>
      <c r="F267">
        <v>2010</v>
      </c>
      <c r="G267" t="s">
        <v>429</v>
      </c>
      <c r="H267">
        <v>23</v>
      </c>
      <c r="I267">
        <v>2</v>
      </c>
      <c r="J267">
        <v>160</v>
      </c>
      <c r="K267" t="s">
        <v>61</v>
      </c>
      <c r="L267" t="s">
        <v>2248</v>
      </c>
      <c r="M267" t="s">
        <v>2249</v>
      </c>
      <c r="N267" t="s">
        <v>2250</v>
      </c>
      <c r="O267" t="s">
        <v>61</v>
      </c>
      <c r="Q267" t="s">
        <v>61</v>
      </c>
      <c r="R267" t="s">
        <v>61</v>
      </c>
      <c r="S267" t="s">
        <v>61</v>
      </c>
      <c r="T267" t="s">
        <v>61</v>
      </c>
      <c r="X267" t="s">
        <v>61</v>
      </c>
      <c r="Y267" t="s">
        <v>433</v>
      </c>
      <c r="Z267" t="s">
        <v>61</v>
      </c>
      <c r="AA267" t="s">
        <v>61</v>
      </c>
      <c r="AB267" t="s">
        <v>61</v>
      </c>
      <c r="AC267" t="s">
        <v>67</v>
      </c>
      <c r="AD267" t="s">
        <v>61</v>
      </c>
      <c r="AE267" t="s">
        <v>61</v>
      </c>
      <c r="AF267" t="s">
        <v>61</v>
      </c>
      <c r="AG267" t="s">
        <v>61</v>
      </c>
      <c r="AH267" t="s">
        <v>61</v>
      </c>
      <c r="AI267" t="s">
        <v>61</v>
      </c>
      <c r="AJ267" t="s">
        <v>61</v>
      </c>
      <c r="AK267" t="s">
        <v>61</v>
      </c>
      <c r="AL267" t="s">
        <v>61</v>
      </c>
      <c r="AM267" t="s">
        <v>2247</v>
      </c>
      <c r="AN267" t="s">
        <v>61</v>
      </c>
      <c r="AO267" t="s">
        <v>61</v>
      </c>
      <c r="AP267" t="s">
        <v>61</v>
      </c>
      <c r="AQ267" t="s">
        <v>61</v>
      </c>
      <c r="AR267" t="s">
        <v>61</v>
      </c>
      <c r="AS267" t="s">
        <v>61</v>
      </c>
      <c r="AT267" t="s">
        <v>61</v>
      </c>
      <c r="AU267" t="s">
        <v>61</v>
      </c>
      <c r="AV267" t="s">
        <v>61</v>
      </c>
      <c r="AW267" t="s">
        <v>61</v>
      </c>
      <c r="AX267" t="s">
        <v>61</v>
      </c>
      <c r="AY267" t="s">
        <v>61</v>
      </c>
      <c r="AZ267" t="s">
        <v>61</v>
      </c>
      <c r="BA267" t="s">
        <v>61</v>
      </c>
      <c r="BB267" t="s">
        <v>61</v>
      </c>
      <c r="BC267" t="s">
        <v>61</v>
      </c>
      <c r="BD267" t="s">
        <v>61</v>
      </c>
      <c r="BE267" t="s">
        <v>61</v>
      </c>
      <c r="BF267" t="s">
        <v>61</v>
      </c>
    </row>
    <row r="268" spans="1:58">
      <c r="A268" t="s">
        <v>58</v>
      </c>
      <c r="B268" t="s">
        <v>2251</v>
      </c>
      <c r="C268" t="s">
        <v>2252</v>
      </c>
      <c r="D268" t="s">
        <v>2253</v>
      </c>
      <c r="E268" t="s">
        <v>61</v>
      </c>
      <c r="F268">
        <v>2009</v>
      </c>
      <c r="G268" t="s">
        <v>61</v>
      </c>
      <c r="H268">
        <v>6</v>
      </c>
      <c r="I268">
        <v>1</v>
      </c>
      <c r="J268" t="s">
        <v>2254</v>
      </c>
      <c r="K268" t="s">
        <v>61</v>
      </c>
      <c r="L268" t="s">
        <v>2255</v>
      </c>
      <c r="M268" t="s">
        <v>2256</v>
      </c>
      <c r="N268" t="s">
        <v>2257</v>
      </c>
      <c r="O268" t="s">
        <v>61</v>
      </c>
      <c r="Q268" t="s">
        <v>61</v>
      </c>
      <c r="R268" t="s">
        <v>61</v>
      </c>
      <c r="S268" t="s">
        <v>61</v>
      </c>
      <c r="T268" t="s">
        <v>61</v>
      </c>
      <c r="X268" t="s">
        <v>61</v>
      </c>
      <c r="Y268" t="s">
        <v>2258</v>
      </c>
      <c r="Z268" t="s">
        <v>61</v>
      </c>
      <c r="AA268" t="s">
        <v>61</v>
      </c>
      <c r="AB268" t="s">
        <v>61</v>
      </c>
      <c r="AC268" t="s">
        <v>67</v>
      </c>
      <c r="AD268" t="s">
        <v>61</v>
      </c>
      <c r="AE268" t="s">
        <v>61</v>
      </c>
      <c r="AF268" t="s">
        <v>61</v>
      </c>
      <c r="AG268" t="s">
        <v>2259</v>
      </c>
      <c r="AH268" t="s">
        <v>61</v>
      </c>
      <c r="AI268" t="s">
        <v>61</v>
      </c>
      <c r="AJ268" t="s">
        <v>61</v>
      </c>
      <c r="AK268" t="s">
        <v>61</v>
      </c>
      <c r="AL268" t="s">
        <v>61</v>
      </c>
      <c r="AM268" t="s">
        <v>2260</v>
      </c>
      <c r="AN268" t="s">
        <v>61</v>
      </c>
      <c r="AO268" t="s">
        <v>61</v>
      </c>
      <c r="AP268" t="s">
        <v>61</v>
      </c>
      <c r="AQ268" t="s">
        <v>61</v>
      </c>
      <c r="AR268" t="s">
        <v>61</v>
      </c>
      <c r="AS268" t="s">
        <v>61</v>
      </c>
      <c r="AT268" t="s">
        <v>61</v>
      </c>
      <c r="AU268" t="s">
        <v>61</v>
      </c>
      <c r="AV268" t="s">
        <v>61</v>
      </c>
      <c r="AW268" t="s">
        <v>61</v>
      </c>
      <c r="AX268" t="s">
        <v>61</v>
      </c>
      <c r="AY268" t="s">
        <v>61</v>
      </c>
      <c r="AZ268" t="s">
        <v>61</v>
      </c>
      <c r="BA268" t="s">
        <v>61</v>
      </c>
      <c r="BB268" t="s">
        <v>61</v>
      </c>
      <c r="BC268" t="s">
        <v>61</v>
      </c>
      <c r="BD268" t="s">
        <v>61</v>
      </c>
      <c r="BE268" t="s">
        <v>61</v>
      </c>
      <c r="BF268" t="s">
        <v>61</v>
      </c>
    </row>
    <row r="269" spans="1:58">
      <c r="A269" t="s">
        <v>115</v>
      </c>
      <c r="B269" t="s">
        <v>2261</v>
      </c>
      <c r="C269" t="s">
        <v>2262</v>
      </c>
      <c r="D269" t="s">
        <v>475</v>
      </c>
      <c r="E269" t="s">
        <v>61</v>
      </c>
      <c r="F269">
        <v>2014</v>
      </c>
      <c r="G269" t="s">
        <v>61</v>
      </c>
      <c r="H269">
        <v>36</v>
      </c>
      <c r="I269">
        <v>5</v>
      </c>
      <c r="J269">
        <v>922</v>
      </c>
      <c r="K269" t="s">
        <v>2263</v>
      </c>
      <c r="L269" t="s">
        <v>61</v>
      </c>
      <c r="M269" t="s">
        <v>2264</v>
      </c>
      <c r="N269" t="s">
        <v>2265</v>
      </c>
      <c r="O269" t="s">
        <v>61</v>
      </c>
      <c r="Q269" t="s">
        <v>61</v>
      </c>
      <c r="R269" t="s">
        <v>61</v>
      </c>
      <c r="S269" t="s">
        <v>61</v>
      </c>
      <c r="T269" t="s">
        <v>61</v>
      </c>
      <c r="X269" t="s">
        <v>61</v>
      </c>
      <c r="Y269" t="s">
        <v>308</v>
      </c>
      <c r="Z269" t="s">
        <v>61</v>
      </c>
      <c r="AA269" t="s">
        <v>61</v>
      </c>
      <c r="AB269">
        <v>109680863</v>
      </c>
      <c r="AC269" t="s">
        <v>67</v>
      </c>
      <c r="AD269" t="s">
        <v>61</v>
      </c>
      <c r="AE269" t="s">
        <v>61</v>
      </c>
      <c r="AF269" t="s">
        <v>61</v>
      </c>
      <c r="AG269" t="s">
        <v>2266</v>
      </c>
      <c r="AH269" t="s">
        <v>61</v>
      </c>
      <c r="AI269" t="s">
        <v>2267</v>
      </c>
      <c r="AJ269" t="s">
        <v>61</v>
      </c>
      <c r="AK269" t="s">
        <v>61</v>
      </c>
      <c r="AL269" t="s">
        <v>61</v>
      </c>
      <c r="AM269" t="s">
        <v>2268</v>
      </c>
      <c r="AN269" t="s">
        <v>61</v>
      </c>
      <c r="AO269" t="s">
        <v>61</v>
      </c>
      <c r="AP269" t="s">
        <v>61</v>
      </c>
      <c r="AQ269" t="s">
        <v>61</v>
      </c>
      <c r="AR269" t="s">
        <v>61</v>
      </c>
      <c r="AS269" t="s">
        <v>61</v>
      </c>
      <c r="AT269" t="s">
        <v>61</v>
      </c>
      <c r="AU269" t="s">
        <v>61</v>
      </c>
      <c r="AV269" t="s">
        <v>61</v>
      </c>
      <c r="AW269" t="s">
        <v>61</v>
      </c>
      <c r="AX269" t="s">
        <v>61</v>
      </c>
      <c r="AY269" t="s">
        <v>61</v>
      </c>
      <c r="AZ269" t="s">
        <v>61</v>
      </c>
      <c r="BA269" t="s">
        <v>61</v>
      </c>
      <c r="BB269" t="s">
        <v>61</v>
      </c>
      <c r="BC269" t="s">
        <v>61</v>
      </c>
      <c r="BD269" t="s">
        <v>61</v>
      </c>
      <c r="BE269" t="s">
        <v>61</v>
      </c>
      <c r="BF269" t="s">
        <v>61</v>
      </c>
    </row>
    <row r="270" spans="1:58">
      <c r="A270" t="s">
        <v>58</v>
      </c>
      <c r="B270" t="s">
        <v>2269</v>
      </c>
      <c r="C270" t="s">
        <v>2270</v>
      </c>
      <c r="D270" t="s">
        <v>2271</v>
      </c>
      <c r="E270" t="s">
        <v>2272</v>
      </c>
      <c r="F270">
        <v>2015</v>
      </c>
      <c r="G270">
        <v>1</v>
      </c>
      <c r="H270">
        <v>45</v>
      </c>
      <c r="I270" t="s">
        <v>61</v>
      </c>
      <c r="J270">
        <v>79</v>
      </c>
      <c r="K270">
        <v>86</v>
      </c>
      <c r="L270" t="s">
        <v>2273</v>
      </c>
      <c r="M270" t="s">
        <v>2274</v>
      </c>
      <c r="N270" t="s">
        <v>2275</v>
      </c>
      <c r="O270" t="s">
        <v>61</v>
      </c>
      <c r="Q270" t="s">
        <v>61</v>
      </c>
      <c r="R270" t="s">
        <v>61</v>
      </c>
      <c r="S270" t="s">
        <v>61</v>
      </c>
      <c r="T270" t="s">
        <v>61</v>
      </c>
      <c r="X270" t="s">
        <v>61</v>
      </c>
      <c r="Y270" t="s">
        <v>2276</v>
      </c>
      <c r="Z270" t="s">
        <v>61</v>
      </c>
      <c r="AA270" t="s">
        <v>61</v>
      </c>
      <c r="AB270">
        <v>2015706592</v>
      </c>
      <c r="AC270" t="s">
        <v>67</v>
      </c>
      <c r="AD270" t="s">
        <v>61</v>
      </c>
      <c r="AE270" t="s">
        <v>61</v>
      </c>
      <c r="AF270" t="s">
        <v>61</v>
      </c>
      <c r="AG270" t="s">
        <v>2277</v>
      </c>
      <c r="AH270" t="s">
        <v>61</v>
      </c>
      <c r="AI270" t="s">
        <v>61</v>
      </c>
      <c r="AJ270" t="s">
        <v>61</v>
      </c>
      <c r="AK270" t="s">
        <v>61</v>
      </c>
      <c r="AL270" t="s">
        <v>61</v>
      </c>
      <c r="AM270" t="s">
        <v>2278</v>
      </c>
      <c r="AN270" t="s">
        <v>61</v>
      </c>
      <c r="AO270" t="s">
        <v>61</v>
      </c>
      <c r="AP270" t="s">
        <v>61</v>
      </c>
      <c r="AQ270" t="s">
        <v>61</v>
      </c>
      <c r="AR270" t="s">
        <v>61</v>
      </c>
      <c r="AS270" t="s">
        <v>61</v>
      </c>
      <c r="AT270" t="s">
        <v>61</v>
      </c>
      <c r="AU270" t="s">
        <v>61</v>
      </c>
      <c r="AV270" t="s">
        <v>61</v>
      </c>
      <c r="AW270" t="s">
        <v>61</v>
      </c>
      <c r="AX270" t="s">
        <v>61</v>
      </c>
      <c r="AY270" t="s">
        <v>61</v>
      </c>
      <c r="AZ270" t="s">
        <v>61</v>
      </c>
      <c r="BA270" t="s">
        <v>61</v>
      </c>
      <c r="BB270" t="s">
        <v>61</v>
      </c>
      <c r="BC270" t="s">
        <v>61</v>
      </c>
      <c r="BD270" t="s">
        <v>61</v>
      </c>
      <c r="BE270" t="s">
        <v>61</v>
      </c>
      <c r="BF270" t="s">
        <v>61</v>
      </c>
    </row>
    <row r="271" spans="1:58">
      <c r="A271" t="s">
        <v>58</v>
      </c>
      <c r="B271" t="s">
        <v>2279</v>
      </c>
      <c r="C271" t="s">
        <v>2280</v>
      </c>
      <c r="D271" t="s">
        <v>408</v>
      </c>
      <c r="E271" t="s">
        <v>408</v>
      </c>
      <c r="F271">
        <v>2011</v>
      </c>
      <c r="G271" t="s">
        <v>645</v>
      </c>
      <c r="H271">
        <v>31</v>
      </c>
      <c r="I271">
        <v>10</v>
      </c>
      <c r="J271" t="s">
        <v>2281</v>
      </c>
      <c r="K271" t="s">
        <v>61</v>
      </c>
      <c r="L271" t="s">
        <v>2282</v>
      </c>
      <c r="M271" t="s">
        <v>2283</v>
      </c>
      <c r="N271" t="s">
        <v>2284</v>
      </c>
      <c r="O271" t="s">
        <v>61</v>
      </c>
      <c r="Q271" t="s">
        <v>61</v>
      </c>
      <c r="R271" t="s">
        <v>61</v>
      </c>
      <c r="S271" t="s">
        <v>61</v>
      </c>
      <c r="T271" t="s">
        <v>61</v>
      </c>
      <c r="X271" t="s">
        <v>61</v>
      </c>
      <c r="Y271" t="s">
        <v>414</v>
      </c>
      <c r="Z271" t="s">
        <v>61</v>
      </c>
      <c r="AA271" t="s">
        <v>61</v>
      </c>
      <c r="AB271" t="s">
        <v>61</v>
      </c>
      <c r="AC271" t="s">
        <v>67</v>
      </c>
      <c r="AD271" t="s">
        <v>61</v>
      </c>
      <c r="AE271" t="s">
        <v>61</v>
      </c>
      <c r="AF271" t="s">
        <v>61</v>
      </c>
      <c r="AG271" t="s">
        <v>61</v>
      </c>
      <c r="AH271" t="s">
        <v>61</v>
      </c>
      <c r="AI271" t="s">
        <v>61</v>
      </c>
      <c r="AJ271" t="s">
        <v>61</v>
      </c>
      <c r="AK271" t="s">
        <v>61</v>
      </c>
      <c r="AL271" t="s">
        <v>61</v>
      </c>
      <c r="AM271" t="s">
        <v>2280</v>
      </c>
      <c r="AN271" t="s">
        <v>61</v>
      </c>
      <c r="AO271" t="s">
        <v>61</v>
      </c>
      <c r="AP271" t="s">
        <v>61</v>
      </c>
      <c r="AQ271" t="s">
        <v>61</v>
      </c>
      <c r="AR271" t="s">
        <v>61</v>
      </c>
      <c r="AS271" t="s">
        <v>61</v>
      </c>
      <c r="AT271" t="s">
        <v>61</v>
      </c>
      <c r="AU271" t="s">
        <v>61</v>
      </c>
      <c r="AV271" t="s">
        <v>61</v>
      </c>
      <c r="AW271" t="s">
        <v>61</v>
      </c>
      <c r="AX271" t="s">
        <v>61</v>
      </c>
      <c r="AY271" t="s">
        <v>61</v>
      </c>
      <c r="AZ271" t="s">
        <v>61</v>
      </c>
      <c r="BA271" t="s">
        <v>61</v>
      </c>
      <c r="BB271" t="s">
        <v>61</v>
      </c>
      <c r="BC271" t="s">
        <v>61</v>
      </c>
      <c r="BD271" t="s">
        <v>61</v>
      </c>
      <c r="BE271" t="s">
        <v>61</v>
      </c>
      <c r="BF271" t="s">
        <v>61</v>
      </c>
    </row>
    <row r="272" spans="1:58">
      <c r="A272" t="s">
        <v>58</v>
      </c>
      <c r="B272" t="s">
        <v>2285</v>
      </c>
      <c r="C272" t="s">
        <v>2286</v>
      </c>
      <c r="D272" t="s">
        <v>876</v>
      </c>
      <c r="E272" t="s">
        <v>877</v>
      </c>
      <c r="F272">
        <v>1979</v>
      </c>
      <c r="G272" t="s">
        <v>418</v>
      </c>
      <c r="H272">
        <v>43</v>
      </c>
      <c r="I272">
        <v>3</v>
      </c>
      <c r="J272">
        <v>231</v>
      </c>
      <c r="K272">
        <v>233</v>
      </c>
      <c r="L272" t="s">
        <v>2287</v>
      </c>
      <c r="M272" t="s">
        <v>2288</v>
      </c>
      <c r="N272" t="s">
        <v>2289</v>
      </c>
      <c r="O272" t="s">
        <v>61</v>
      </c>
      <c r="Q272" t="s">
        <v>61</v>
      </c>
      <c r="R272" t="s">
        <v>61</v>
      </c>
      <c r="S272" t="s">
        <v>61</v>
      </c>
      <c r="T272" t="s">
        <v>61</v>
      </c>
      <c r="X272" t="s">
        <v>61</v>
      </c>
      <c r="Y272" t="s">
        <v>61</v>
      </c>
      <c r="Z272" t="s">
        <v>61</v>
      </c>
      <c r="AA272" t="s">
        <v>61</v>
      </c>
      <c r="AB272" t="s">
        <v>2290</v>
      </c>
      <c r="AC272" t="s">
        <v>67</v>
      </c>
      <c r="AD272" t="s">
        <v>61</v>
      </c>
      <c r="AE272" t="s">
        <v>61</v>
      </c>
      <c r="AF272" t="s">
        <v>61</v>
      </c>
      <c r="AG272" t="s">
        <v>61</v>
      </c>
      <c r="AH272" t="s">
        <v>61</v>
      </c>
      <c r="AI272" t="s">
        <v>61</v>
      </c>
      <c r="AJ272" t="s">
        <v>61</v>
      </c>
      <c r="AK272" t="s">
        <v>61</v>
      </c>
      <c r="AL272" t="s">
        <v>61</v>
      </c>
      <c r="AM272" t="s">
        <v>2291</v>
      </c>
      <c r="AN272" t="s">
        <v>61</v>
      </c>
      <c r="AO272" t="s">
        <v>61</v>
      </c>
      <c r="AP272" t="s">
        <v>61</v>
      </c>
      <c r="AQ272" t="s">
        <v>61</v>
      </c>
      <c r="AR272" t="s">
        <v>61</v>
      </c>
      <c r="AS272" t="s">
        <v>61</v>
      </c>
      <c r="AT272" t="s">
        <v>61</v>
      </c>
      <c r="AU272" t="s">
        <v>61</v>
      </c>
      <c r="AV272" t="s">
        <v>61</v>
      </c>
      <c r="AW272" t="s">
        <v>61</v>
      </c>
      <c r="AX272" t="s">
        <v>61</v>
      </c>
      <c r="AY272" t="s">
        <v>61</v>
      </c>
      <c r="AZ272" t="s">
        <v>61</v>
      </c>
      <c r="BA272" t="s">
        <v>61</v>
      </c>
      <c r="BB272" t="s">
        <v>61</v>
      </c>
      <c r="BC272" t="s">
        <v>61</v>
      </c>
      <c r="BD272" t="s">
        <v>61</v>
      </c>
      <c r="BE272" t="s">
        <v>61</v>
      </c>
      <c r="BF272" t="s">
        <v>61</v>
      </c>
    </row>
    <row r="273" spans="1:58">
      <c r="A273" t="s">
        <v>58</v>
      </c>
      <c r="B273" t="s">
        <v>2292</v>
      </c>
      <c r="C273" t="s">
        <v>2293</v>
      </c>
      <c r="D273" t="s">
        <v>2294</v>
      </c>
      <c r="E273" t="s">
        <v>61</v>
      </c>
      <c r="F273">
        <v>2012</v>
      </c>
      <c r="G273" t="s">
        <v>119</v>
      </c>
      <c r="H273">
        <v>24</v>
      </c>
      <c r="I273">
        <v>2</v>
      </c>
      <c r="J273">
        <v>151</v>
      </c>
      <c r="K273">
        <v>156</v>
      </c>
      <c r="L273" t="s">
        <v>61</v>
      </c>
      <c r="M273" t="s">
        <v>2295</v>
      </c>
      <c r="N273" t="s">
        <v>2296</v>
      </c>
      <c r="O273" t="s">
        <v>61</v>
      </c>
      <c r="Q273" t="s">
        <v>61</v>
      </c>
      <c r="R273" t="s">
        <v>61</v>
      </c>
      <c r="S273" t="s">
        <v>61</v>
      </c>
      <c r="T273" t="s">
        <v>61</v>
      </c>
      <c r="X273" t="s">
        <v>61</v>
      </c>
      <c r="Y273" t="s">
        <v>2297</v>
      </c>
      <c r="Z273" t="s">
        <v>61</v>
      </c>
      <c r="AA273" t="s">
        <v>61</v>
      </c>
      <c r="AB273">
        <v>23917762</v>
      </c>
      <c r="AC273" t="s">
        <v>2298</v>
      </c>
      <c r="AD273" t="s">
        <v>61</v>
      </c>
      <c r="AE273" t="s">
        <v>61</v>
      </c>
      <c r="AF273" t="s">
        <v>61</v>
      </c>
      <c r="AG273" t="s">
        <v>2299</v>
      </c>
      <c r="AH273" t="s">
        <v>61</v>
      </c>
      <c r="AI273" t="s">
        <v>61</v>
      </c>
      <c r="AJ273" t="s">
        <v>61</v>
      </c>
      <c r="AK273" t="s">
        <v>61</v>
      </c>
      <c r="AL273" t="s">
        <v>61</v>
      </c>
      <c r="AM273" t="s">
        <v>2300</v>
      </c>
      <c r="AN273" t="s">
        <v>61</v>
      </c>
      <c r="AO273" t="s">
        <v>61</v>
      </c>
      <c r="AP273" t="s">
        <v>61</v>
      </c>
      <c r="AQ273" t="s">
        <v>61</v>
      </c>
      <c r="AR273" t="s">
        <v>61</v>
      </c>
      <c r="AS273" t="s">
        <v>61</v>
      </c>
      <c r="AT273" t="s">
        <v>61</v>
      </c>
      <c r="AU273" t="s">
        <v>61</v>
      </c>
      <c r="AV273" t="s">
        <v>61</v>
      </c>
      <c r="AW273" t="s">
        <v>61</v>
      </c>
      <c r="AX273" t="s">
        <v>61</v>
      </c>
      <c r="AY273" t="s">
        <v>61</v>
      </c>
      <c r="AZ273" t="s">
        <v>61</v>
      </c>
      <c r="BA273" t="s">
        <v>61</v>
      </c>
      <c r="BB273" t="s">
        <v>61</v>
      </c>
      <c r="BC273" t="s">
        <v>61</v>
      </c>
      <c r="BD273" t="s">
        <v>61</v>
      </c>
      <c r="BE273" t="s">
        <v>61</v>
      </c>
      <c r="BF273" t="s">
        <v>61</v>
      </c>
    </row>
    <row r="274" spans="1:58">
      <c r="A274" t="s">
        <v>58</v>
      </c>
      <c r="B274" t="s">
        <v>2301</v>
      </c>
      <c r="C274" t="s">
        <v>2302</v>
      </c>
      <c r="D274" t="s">
        <v>2303</v>
      </c>
      <c r="E274" t="s">
        <v>2304</v>
      </c>
      <c r="F274">
        <v>2011</v>
      </c>
      <c r="G274" t="s">
        <v>2305</v>
      </c>
      <c r="H274">
        <v>59</v>
      </c>
      <c r="I274">
        <v>1</v>
      </c>
      <c r="J274">
        <v>24</v>
      </c>
      <c r="K274">
        <v>28</v>
      </c>
      <c r="L274" t="s">
        <v>2306</v>
      </c>
      <c r="M274" t="s">
        <v>2307</v>
      </c>
      <c r="N274" t="s">
        <v>2308</v>
      </c>
      <c r="O274" t="s">
        <v>61</v>
      </c>
      <c r="Q274" t="s">
        <v>61</v>
      </c>
      <c r="R274" t="s">
        <v>61</v>
      </c>
      <c r="S274" t="s">
        <v>61</v>
      </c>
      <c r="T274" t="s">
        <v>61</v>
      </c>
      <c r="X274" t="s">
        <v>61</v>
      </c>
      <c r="Y274" t="s">
        <v>2309</v>
      </c>
      <c r="Z274" t="s">
        <v>61</v>
      </c>
      <c r="AA274" t="s">
        <v>61</v>
      </c>
      <c r="AB274" t="s">
        <v>61</v>
      </c>
      <c r="AC274" t="s">
        <v>67</v>
      </c>
      <c r="AD274" t="s">
        <v>61</v>
      </c>
      <c r="AE274" t="s">
        <v>61</v>
      </c>
      <c r="AF274" t="s">
        <v>61</v>
      </c>
      <c r="AG274" t="s">
        <v>2310</v>
      </c>
      <c r="AH274" t="s">
        <v>61</v>
      </c>
      <c r="AI274" t="s">
        <v>61</v>
      </c>
      <c r="AJ274" t="s">
        <v>61</v>
      </c>
      <c r="AK274" t="s">
        <v>61</v>
      </c>
      <c r="AL274" t="s">
        <v>61</v>
      </c>
      <c r="AM274" t="s">
        <v>2311</v>
      </c>
      <c r="AN274" t="s">
        <v>61</v>
      </c>
      <c r="AO274" t="s">
        <v>61</v>
      </c>
      <c r="AP274" t="s">
        <v>61</v>
      </c>
      <c r="AQ274" t="s">
        <v>61</v>
      </c>
      <c r="AR274" t="s">
        <v>61</v>
      </c>
      <c r="AS274" t="s">
        <v>61</v>
      </c>
      <c r="AT274" t="s">
        <v>61</v>
      </c>
      <c r="AU274" t="s">
        <v>61</v>
      </c>
      <c r="AV274" t="s">
        <v>61</v>
      </c>
      <c r="AW274" t="s">
        <v>61</v>
      </c>
      <c r="AX274" t="s">
        <v>61</v>
      </c>
      <c r="AY274" t="s">
        <v>61</v>
      </c>
      <c r="AZ274" t="s">
        <v>61</v>
      </c>
      <c r="BA274" t="s">
        <v>61</v>
      </c>
      <c r="BB274" t="s">
        <v>61</v>
      </c>
      <c r="BC274" t="s">
        <v>61</v>
      </c>
      <c r="BD274" t="s">
        <v>61</v>
      </c>
      <c r="BE274" t="s">
        <v>61</v>
      </c>
      <c r="BF274" t="s">
        <v>61</v>
      </c>
    </row>
    <row r="275" spans="1:58">
      <c r="A275" t="s">
        <v>58</v>
      </c>
      <c r="B275" t="s">
        <v>2312</v>
      </c>
      <c r="C275" t="s">
        <v>2313</v>
      </c>
      <c r="D275" t="s">
        <v>830</v>
      </c>
      <c r="E275" t="s">
        <v>61</v>
      </c>
      <c r="F275">
        <v>2011</v>
      </c>
      <c r="G275" t="s">
        <v>61</v>
      </c>
      <c r="H275">
        <v>18</v>
      </c>
      <c r="I275">
        <v>2</v>
      </c>
      <c r="J275" t="s">
        <v>2314</v>
      </c>
      <c r="K275" t="s">
        <v>2315</v>
      </c>
      <c r="L275" t="s">
        <v>2316</v>
      </c>
      <c r="M275" t="s">
        <v>2317</v>
      </c>
      <c r="N275" t="s">
        <v>2318</v>
      </c>
      <c r="O275" t="s">
        <v>61</v>
      </c>
      <c r="Q275" t="s">
        <v>61</v>
      </c>
      <c r="R275" t="s">
        <v>61</v>
      </c>
      <c r="S275" t="s">
        <v>61</v>
      </c>
      <c r="T275" t="s">
        <v>61</v>
      </c>
      <c r="X275" t="s">
        <v>61</v>
      </c>
      <c r="Y275" t="s">
        <v>836</v>
      </c>
      <c r="Z275" t="s">
        <v>61</v>
      </c>
      <c r="AA275" t="s">
        <v>61</v>
      </c>
      <c r="AB275" t="s">
        <v>61</v>
      </c>
      <c r="AC275" t="s">
        <v>837</v>
      </c>
      <c r="AD275" t="s">
        <v>61</v>
      </c>
      <c r="AE275" t="s">
        <v>61</v>
      </c>
      <c r="AF275" t="s">
        <v>61</v>
      </c>
      <c r="AG275" t="s">
        <v>61</v>
      </c>
      <c r="AH275" t="s">
        <v>61</v>
      </c>
      <c r="AI275" t="s">
        <v>61</v>
      </c>
      <c r="AJ275" t="s">
        <v>61</v>
      </c>
      <c r="AK275" t="s">
        <v>61</v>
      </c>
      <c r="AL275" t="s">
        <v>61</v>
      </c>
      <c r="AM275" t="s">
        <v>2319</v>
      </c>
      <c r="AN275" t="s">
        <v>61</v>
      </c>
      <c r="AO275" t="s">
        <v>61</v>
      </c>
      <c r="AP275" t="s">
        <v>61</v>
      </c>
      <c r="AQ275" t="s">
        <v>61</v>
      </c>
      <c r="AR275" t="s">
        <v>61</v>
      </c>
      <c r="AS275" t="s">
        <v>61</v>
      </c>
      <c r="AT275" t="s">
        <v>61</v>
      </c>
      <c r="AU275" t="s">
        <v>61</v>
      </c>
      <c r="AV275" t="s">
        <v>61</v>
      </c>
      <c r="AW275" t="s">
        <v>61</v>
      </c>
      <c r="AX275" t="s">
        <v>61</v>
      </c>
      <c r="AY275" t="s">
        <v>61</v>
      </c>
      <c r="AZ275" t="s">
        <v>61</v>
      </c>
      <c r="BA275" t="s">
        <v>61</v>
      </c>
      <c r="BB275" t="s">
        <v>61</v>
      </c>
      <c r="BC275" t="s">
        <v>61</v>
      </c>
      <c r="BD275" t="s">
        <v>61</v>
      </c>
      <c r="BE275" t="s">
        <v>61</v>
      </c>
      <c r="BF275" t="s">
        <v>61</v>
      </c>
    </row>
    <row r="276" spans="1:58">
      <c r="A276" t="s">
        <v>58</v>
      </c>
      <c r="B276" t="s">
        <v>2320</v>
      </c>
      <c r="C276" t="s">
        <v>2321</v>
      </c>
      <c r="D276" t="s">
        <v>482</v>
      </c>
      <c r="E276" t="s">
        <v>61</v>
      </c>
      <c r="F276">
        <v>2009</v>
      </c>
      <c r="G276" s="1">
        <v>42705</v>
      </c>
      <c r="H276" t="s">
        <v>2322</v>
      </c>
      <c r="I276" t="s">
        <v>61</v>
      </c>
      <c r="J276" t="s">
        <v>2323</v>
      </c>
      <c r="K276">
        <v>25</v>
      </c>
      <c r="L276" t="s">
        <v>2324</v>
      </c>
      <c r="M276" t="s">
        <v>2325</v>
      </c>
      <c r="N276" t="s">
        <v>2326</v>
      </c>
      <c r="O276" t="s">
        <v>61</v>
      </c>
      <c r="Q276" t="s">
        <v>61</v>
      </c>
      <c r="R276" t="s">
        <v>61</v>
      </c>
      <c r="S276" t="s">
        <v>61</v>
      </c>
      <c r="T276" t="s">
        <v>61</v>
      </c>
      <c r="X276" t="s">
        <v>61</v>
      </c>
      <c r="Y276" t="s">
        <v>2327</v>
      </c>
      <c r="Z276" t="s">
        <v>61</v>
      </c>
      <c r="AA276" t="s">
        <v>2328</v>
      </c>
      <c r="AB276">
        <v>19443137</v>
      </c>
      <c r="AC276" t="s">
        <v>67</v>
      </c>
      <c r="AD276" t="s">
        <v>61</v>
      </c>
      <c r="AE276" t="s">
        <v>61</v>
      </c>
      <c r="AF276" t="s">
        <v>61</v>
      </c>
      <c r="AG276" t="s">
        <v>2329</v>
      </c>
      <c r="AH276" t="s">
        <v>61</v>
      </c>
      <c r="AI276" t="s">
        <v>2330</v>
      </c>
      <c r="AJ276" t="s">
        <v>61</v>
      </c>
      <c r="AK276" t="s">
        <v>61</v>
      </c>
      <c r="AL276" t="s">
        <v>61</v>
      </c>
      <c r="AM276" t="s">
        <v>2331</v>
      </c>
      <c r="AN276" t="s">
        <v>61</v>
      </c>
      <c r="AO276" t="s">
        <v>61</v>
      </c>
      <c r="AP276" t="s">
        <v>61</v>
      </c>
      <c r="AQ276" t="s">
        <v>61</v>
      </c>
      <c r="AR276" t="s">
        <v>61</v>
      </c>
      <c r="AS276" t="s">
        <v>61</v>
      </c>
      <c r="AT276" t="s">
        <v>61</v>
      </c>
      <c r="AU276" t="s">
        <v>61</v>
      </c>
      <c r="AV276" t="s">
        <v>61</v>
      </c>
      <c r="AW276" t="s">
        <v>61</v>
      </c>
      <c r="AX276" t="s">
        <v>61</v>
      </c>
      <c r="AY276" t="s">
        <v>61</v>
      </c>
      <c r="AZ276" t="s">
        <v>61</v>
      </c>
      <c r="BA276" t="s">
        <v>61</v>
      </c>
      <c r="BB276" t="s">
        <v>61</v>
      </c>
      <c r="BC276" t="s">
        <v>61</v>
      </c>
      <c r="BD276" t="s">
        <v>61</v>
      </c>
      <c r="BE276" t="s">
        <v>61</v>
      </c>
      <c r="BF276" t="s">
        <v>61</v>
      </c>
    </row>
    <row r="277" spans="1:58">
      <c r="A277" t="s">
        <v>58</v>
      </c>
      <c r="B277" t="s">
        <v>2332</v>
      </c>
      <c r="C277" t="s">
        <v>2333</v>
      </c>
      <c r="D277" t="s">
        <v>2334</v>
      </c>
      <c r="E277" t="s">
        <v>61</v>
      </c>
      <c r="F277">
        <v>1998</v>
      </c>
      <c r="G277" t="s">
        <v>61</v>
      </c>
      <c r="H277" t="s">
        <v>2335</v>
      </c>
      <c r="I277" t="s">
        <v>61</v>
      </c>
      <c r="J277" t="s">
        <v>2336</v>
      </c>
      <c r="K277">
        <v>101</v>
      </c>
      <c r="L277" t="s">
        <v>2337</v>
      </c>
      <c r="M277" t="s">
        <v>2338</v>
      </c>
      <c r="N277" t="s">
        <v>2339</v>
      </c>
      <c r="O277" t="s">
        <v>61</v>
      </c>
      <c r="Q277" t="s">
        <v>61</v>
      </c>
      <c r="R277" t="s">
        <v>61</v>
      </c>
      <c r="S277" t="s">
        <v>61</v>
      </c>
      <c r="T277" t="s">
        <v>61</v>
      </c>
      <c r="X277" t="s">
        <v>61</v>
      </c>
      <c r="Y277" t="s">
        <v>2340</v>
      </c>
      <c r="Z277" t="s">
        <v>61</v>
      </c>
      <c r="AA277" t="s">
        <v>2341</v>
      </c>
      <c r="AB277">
        <v>9663631</v>
      </c>
      <c r="AC277" t="s">
        <v>67</v>
      </c>
      <c r="AD277" t="s">
        <v>61</v>
      </c>
      <c r="AE277" t="s">
        <v>61</v>
      </c>
      <c r="AF277" t="s">
        <v>61</v>
      </c>
      <c r="AG277" t="s">
        <v>2342</v>
      </c>
      <c r="AH277" t="s">
        <v>61</v>
      </c>
      <c r="AI277" t="s">
        <v>61</v>
      </c>
      <c r="AJ277" t="s">
        <v>61</v>
      </c>
      <c r="AK277" t="s">
        <v>61</v>
      </c>
      <c r="AL277" t="s">
        <v>61</v>
      </c>
      <c r="AM277" t="s">
        <v>2343</v>
      </c>
      <c r="AN277" t="s">
        <v>61</v>
      </c>
      <c r="AO277" t="s">
        <v>61</v>
      </c>
      <c r="AP277" t="s">
        <v>61</v>
      </c>
      <c r="AQ277" t="s">
        <v>61</v>
      </c>
      <c r="AR277" t="s">
        <v>61</v>
      </c>
      <c r="AS277" t="s">
        <v>61</v>
      </c>
      <c r="AT277" t="s">
        <v>61</v>
      </c>
      <c r="AU277" t="s">
        <v>61</v>
      </c>
      <c r="AV277" t="s">
        <v>61</v>
      </c>
      <c r="AW277" t="s">
        <v>61</v>
      </c>
      <c r="AX277" t="s">
        <v>61</v>
      </c>
      <c r="AY277" t="s">
        <v>61</v>
      </c>
      <c r="AZ277" t="s">
        <v>61</v>
      </c>
      <c r="BA277" t="s">
        <v>61</v>
      </c>
      <c r="BB277" t="s">
        <v>61</v>
      </c>
      <c r="BC277" t="s">
        <v>61</v>
      </c>
      <c r="BD277" t="s">
        <v>61</v>
      </c>
      <c r="BE277" t="s">
        <v>61</v>
      </c>
      <c r="BF277" t="s">
        <v>61</v>
      </c>
    </row>
    <row r="278" spans="1:58">
      <c r="A278" t="s">
        <v>58</v>
      </c>
      <c r="B278" t="s">
        <v>2344</v>
      </c>
      <c r="C278" t="s">
        <v>2345</v>
      </c>
      <c r="D278" t="s">
        <v>2346</v>
      </c>
      <c r="E278" t="s">
        <v>61</v>
      </c>
      <c r="F278">
        <v>2011</v>
      </c>
      <c r="G278" t="s">
        <v>61</v>
      </c>
      <c r="H278">
        <v>38</v>
      </c>
      <c r="I278">
        <v>3</v>
      </c>
      <c r="J278">
        <v>116</v>
      </c>
      <c r="K278">
        <v>121</v>
      </c>
      <c r="L278" t="s">
        <v>2347</v>
      </c>
      <c r="M278" t="s">
        <v>2348</v>
      </c>
      <c r="N278" t="s">
        <v>2349</v>
      </c>
      <c r="O278" t="s">
        <v>61</v>
      </c>
      <c r="Q278" t="s">
        <v>61</v>
      </c>
      <c r="R278" t="s">
        <v>61</v>
      </c>
      <c r="S278" t="s">
        <v>61</v>
      </c>
      <c r="T278" t="s">
        <v>61</v>
      </c>
      <c r="X278" t="s">
        <v>61</v>
      </c>
      <c r="Y278" t="s">
        <v>2350</v>
      </c>
      <c r="Z278" t="s">
        <v>61</v>
      </c>
      <c r="AA278" t="s">
        <v>61</v>
      </c>
      <c r="AB278" t="s">
        <v>2351</v>
      </c>
      <c r="AC278" t="s">
        <v>543</v>
      </c>
      <c r="AD278" t="s">
        <v>61</v>
      </c>
      <c r="AE278" t="s">
        <v>61</v>
      </c>
      <c r="AF278" t="s">
        <v>61</v>
      </c>
      <c r="AG278" t="s">
        <v>61</v>
      </c>
      <c r="AH278" t="s">
        <v>61</v>
      </c>
      <c r="AI278" t="s">
        <v>61</v>
      </c>
      <c r="AJ278" t="s">
        <v>61</v>
      </c>
      <c r="AK278" t="s">
        <v>61</v>
      </c>
      <c r="AL278" t="s">
        <v>61</v>
      </c>
      <c r="AM278" t="s">
        <v>2345</v>
      </c>
      <c r="AN278" t="s">
        <v>61</v>
      </c>
      <c r="AO278" t="s">
        <v>61</v>
      </c>
      <c r="AP278" t="s">
        <v>61</v>
      </c>
      <c r="AQ278" t="s">
        <v>61</v>
      </c>
      <c r="AR278" t="s">
        <v>61</v>
      </c>
      <c r="AS278" t="s">
        <v>61</v>
      </c>
      <c r="AT278" t="s">
        <v>61</v>
      </c>
      <c r="AU278" t="s">
        <v>61</v>
      </c>
      <c r="AV278" t="s">
        <v>61</v>
      </c>
      <c r="AW278" t="s">
        <v>61</v>
      </c>
      <c r="AX278" t="s">
        <v>61</v>
      </c>
      <c r="AY278" t="s">
        <v>61</v>
      </c>
      <c r="AZ278" t="s">
        <v>61</v>
      </c>
      <c r="BA278" t="s">
        <v>61</v>
      </c>
      <c r="BB278" t="s">
        <v>61</v>
      </c>
      <c r="BC278" t="s">
        <v>61</v>
      </c>
      <c r="BD278" t="s">
        <v>61</v>
      </c>
      <c r="BE278" t="s">
        <v>61</v>
      </c>
      <c r="BF278" t="s">
        <v>61</v>
      </c>
    </row>
    <row r="279" spans="1:58">
      <c r="A279" t="s">
        <v>58</v>
      </c>
      <c r="B279" t="s">
        <v>2352</v>
      </c>
      <c r="C279" t="s">
        <v>2353</v>
      </c>
      <c r="D279" t="s">
        <v>2354</v>
      </c>
      <c r="E279" t="s">
        <v>61</v>
      </c>
      <c r="F279">
        <v>2000</v>
      </c>
      <c r="G279" t="s">
        <v>391</v>
      </c>
      <c r="H279">
        <v>78</v>
      </c>
      <c r="I279">
        <v>3</v>
      </c>
      <c r="J279">
        <v>199</v>
      </c>
      <c r="K279">
        <v>207</v>
      </c>
      <c r="L279" t="s">
        <v>2355</v>
      </c>
      <c r="M279" t="s">
        <v>2356</v>
      </c>
      <c r="N279" t="s">
        <v>2357</v>
      </c>
      <c r="O279" t="s">
        <v>61</v>
      </c>
      <c r="Q279" t="s">
        <v>61</v>
      </c>
      <c r="R279" t="s">
        <v>61</v>
      </c>
      <c r="S279" t="s">
        <v>61</v>
      </c>
      <c r="T279" t="s">
        <v>61</v>
      </c>
      <c r="X279" t="s">
        <v>61</v>
      </c>
      <c r="Y279" s="2">
        <v>844655</v>
      </c>
      <c r="Z279" t="s">
        <v>61</v>
      </c>
      <c r="AA279" t="s">
        <v>2358</v>
      </c>
      <c r="AB279">
        <v>10721811</v>
      </c>
      <c r="AC279" t="s">
        <v>67</v>
      </c>
      <c r="AD279" t="s">
        <v>61</v>
      </c>
      <c r="AE279" t="s">
        <v>61</v>
      </c>
      <c r="AF279" t="s">
        <v>61</v>
      </c>
      <c r="AG279" t="s">
        <v>2359</v>
      </c>
      <c r="AH279" t="s">
        <v>61</v>
      </c>
      <c r="AI279" t="s">
        <v>61</v>
      </c>
      <c r="AJ279" t="s">
        <v>61</v>
      </c>
      <c r="AK279" t="s">
        <v>61</v>
      </c>
      <c r="AL279" t="s">
        <v>61</v>
      </c>
      <c r="AM279" t="s">
        <v>2360</v>
      </c>
      <c r="AN279" t="s">
        <v>61</v>
      </c>
      <c r="AO279" t="s">
        <v>61</v>
      </c>
      <c r="AP279" t="s">
        <v>61</v>
      </c>
      <c r="AQ279" t="s">
        <v>61</v>
      </c>
      <c r="AR279" t="s">
        <v>61</v>
      </c>
      <c r="AS279" t="s">
        <v>61</v>
      </c>
      <c r="AT279" t="s">
        <v>61</v>
      </c>
      <c r="AU279" t="s">
        <v>61</v>
      </c>
      <c r="AV279" t="s">
        <v>61</v>
      </c>
      <c r="AW279" t="s">
        <v>61</v>
      </c>
      <c r="AX279" t="s">
        <v>61</v>
      </c>
      <c r="AY279" t="s">
        <v>61</v>
      </c>
      <c r="AZ279" t="s">
        <v>61</v>
      </c>
      <c r="BA279" t="s">
        <v>61</v>
      </c>
      <c r="BB279" t="s">
        <v>61</v>
      </c>
      <c r="BC279" t="s">
        <v>61</v>
      </c>
      <c r="BD279" t="s">
        <v>61</v>
      </c>
      <c r="BE279" t="s">
        <v>61</v>
      </c>
      <c r="BF279" t="s">
        <v>61</v>
      </c>
    </row>
    <row r="280" spans="1:58">
      <c r="A280" t="s">
        <v>58</v>
      </c>
      <c r="B280" t="s">
        <v>2361</v>
      </c>
      <c r="C280" t="s">
        <v>2362</v>
      </c>
      <c r="D280" t="s">
        <v>862</v>
      </c>
      <c r="E280" t="s">
        <v>61</v>
      </c>
      <c r="F280">
        <v>2014</v>
      </c>
      <c r="G280">
        <v>1</v>
      </c>
      <c r="H280">
        <v>29</v>
      </c>
      <c r="I280">
        <v>8</v>
      </c>
      <c r="J280">
        <v>547</v>
      </c>
      <c r="K280">
        <v>554</v>
      </c>
      <c r="L280" t="s">
        <v>2363</v>
      </c>
      <c r="M280" t="s">
        <v>2364</v>
      </c>
      <c r="N280" t="s">
        <v>2365</v>
      </c>
      <c r="O280" t="s">
        <v>61</v>
      </c>
      <c r="Q280" t="s">
        <v>61</v>
      </c>
      <c r="R280" t="s">
        <v>61</v>
      </c>
      <c r="S280" t="s">
        <v>61</v>
      </c>
      <c r="T280" t="s">
        <v>61</v>
      </c>
      <c r="X280" t="s">
        <v>61</v>
      </c>
      <c r="Y280" t="s">
        <v>866</v>
      </c>
      <c r="Z280" t="s">
        <v>61</v>
      </c>
      <c r="AA280" t="s">
        <v>61</v>
      </c>
      <c r="AB280" t="s">
        <v>2366</v>
      </c>
      <c r="AC280" t="s">
        <v>67</v>
      </c>
      <c r="AD280" t="s">
        <v>61</v>
      </c>
      <c r="AE280" t="s">
        <v>61</v>
      </c>
      <c r="AF280" t="s">
        <v>61</v>
      </c>
      <c r="AG280" t="s">
        <v>61</v>
      </c>
      <c r="AH280" t="s">
        <v>61</v>
      </c>
      <c r="AI280" t="s">
        <v>61</v>
      </c>
      <c r="AJ280" t="s">
        <v>61</v>
      </c>
      <c r="AK280" t="s">
        <v>61</v>
      </c>
      <c r="AL280" t="s">
        <v>61</v>
      </c>
      <c r="AM280" t="s">
        <v>2362</v>
      </c>
      <c r="AN280" t="s">
        <v>61</v>
      </c>
      <c r="AO280" t="s">
        <v>61</v>
      </c>
      <c r="AP280" t="s">
        <v>61</v>
      </c>
      <c r="AQ280" t="s">
        <v>61</v>
      </c>
      <c r="AR280" t="s">
        <v>61</v>
      </c>
      <c r="AS280" t="s">
        <v>61</v>
      </c>
      <c r="AT280" t="s">
        <v>61</v>
      </c>
      <c r="AU280" t="s">
        <v>61</v>
      </c>
      <c r="AV280" t="s">
        <v>61</v>
      </c>
      <c r="AW280" t="s">
        <v>61</v>
      </c>
      <c r="AX280" t="s">
        <v>61</v>
      </c>
      <c r="AY280" t="s">
        <v>61</v>
      </c>
      <c r="AZ280" t="s">
        <v>61</v>
      </c>
      <c r="BA280" t="s">
        <v>61</v>
      </c>
      <c r="BB280" t="s">
        <v>61</v>
      </c>
      <c r="BC280" t="s">
        <v>61</v>
      </c>
      <c r="BD280" t="s">
        <v>61</v>
      </c>
      <c r="BE280" t="s">
        <v>61</v>
      </c>
      <c r="BF280" t="s">
        <v>61</v>
      </c>
    </row>
    <row r="281" spans="1:58">
      <c r="A281" t="s">
        <v>58</v>
      </c>
      <c r="B281" t="s">
        <v>2367</v>
      </c>
      <c r="C281" t="s">
        <v>2368</v>
      </c>
      <c r="D281" t="s">
        <v>2369</v>
      </c>
      <c r="E281" t="s">
        <v>61</v>
      </c>
      <c r="F281">
        <v>2013</v>
      </c>
      <c r="G281" t="s">
        <v>237</v>
      </c>
      <c r="H281">
        <v>33</v>
      </c>
      <c r="I281">
        <v>7</v>
      </c>
      <c r="J281">
        <v>459</v>
      </c>
      <c r="K281">
        <v>468</v>
      </c>
      <c r="L281" t="s">
        <v>2370</v>
      </c>
      <c r="M281" t="s">
        <v>2371</v>
      </c>
      <c r="N281" t="s">
        <v>2372</v>
      </c>
      <c r="O281" t="s">
        <v>61</v>
      </c>
      <c r="Q281" t="s">
        <v>61</v>
      </c>
      <c r="R281" t="s">
        <v>61</v>
      </c>
      <c r="S281" t="s">
        <v>61</v>
      </c>
      <c r="T281" t="s">
        <v>61</v>
      </c>
      <c r="X281" t="s">
        <v>61</v>
      </c>
      <c r="Y281" t="s">
        <v>2373</v>
      </c>
      <c r="Z281" t="s">
        <v>61</v>
      </c>
      <c r="AA281" t="s">
        <v>2374</v>
      </c>
      <c r="AB281">
        <v>23740336</v>
      </c>
      <c r="AC281" t="s">
        <v>67</v>
      </c>
      <c r="AD281" t="s">
        <v>61</v>
      </c>
      <c r="AE281" t="s">
        <v>61</v>
      </c>
      <c r="AF281" t="s">
        <v>61</v>
      </c>
      <c r="AG281" t="s">
        <v>2375</v>
      </c>
      <c r="AH281" t="s">
        <v>61</v>
      </c>
      <c r="AI281" t="s">
        <v>2376</v>
      </c>
      <c r="AJ281" t="s">
        <v>61</v>
      </c>
      <c r="AK281" t="s">
        <v>61</v>
      </c>
      <c r="AL281" t="s">
        <v>61</v>
      </c>
      <c r="AM281" t="s">
        <v>2377</v>
      </c>
      <c r="AN281" t="s">
        <v>61</v>
      </c>
      <c r="AO281" t="s">
        <v>61</v>
      </c>
      <c r="AP281" t="s">
        <v>61</v>
      </c>
      <c r="AQ281" t="s">
        <v>61</v>
      </c>
      <c r="AR281" t="s">
        <v>61</v>
      </c>
      <c r="AS281" t="s">
        <v>61</v>
      </c>
      <c r="AT281" t="s">
        <v>61</v>
      </c>
      <c r="AU281" t="s">
        <v>61</v>
      </c>
      <c r="AV281" t="s">
        <v>61</v>
      </c>
      <c r="AW281" t="s">
        <v>61</v>
      </c>
      <c r="AX281" t="s">
        <v>61</v>
      </c>
      <c r="AY281" t="s">
        <v>61</v>
      </c>
      <c r="AZ281" t="s">
        <v>61</v>
      </c>
      <c r="BA281" t="s">
        <v>61</v>
      </c>
      <c r="BB281" t="s">
        <v>61</v>
      </c>
      <c r="BC281" t="s">
        <v>61</v>
      </c>
      <c r="BD281" t="s">
        <v>61</v>
      </c>
      <c r="BE281" t="s">
        <v>61</v>
      </c>
      <c r="BF281" t="s">
        <v>61</v>
      </c>
    </row>
    <row r="282" spans="1:58">
      <c r="A282" t="s">
        <v>58</v>
      </c>
      <c r="B282" t="s">
        <v>2378</v>
      </c>
      <c r="C282" t="s">
        <v>2379</v>
      </c>
      <c r="D282" t="s">
        <v>408</v>
      </c>
      <c r="E282" t="s">
        <v>408</v>
      </c>
      <c r="F282">
        <v>2013</v>
      </c>
      <c r="G282" t="s">
        <v>645</v>
      </c>
      <c r="H282">
        <v>33</v>
      </c>
      <c r="I282">
        <v>10</v>
      </c>
      <c r="J282" t="s">
        <v>2380</v>
      </c>
      <c r="K282" t="s">
        <v>61</v>
      </c>
      <c r="L282" t="s">
        <v>2381</v>
      </c>
      <c r="M282" t="s">
        <v>2382</v>
      </c>
      <c r="N282" t="s">
        <v>2383</v>
      </c>
      <c r="O282" t="s">
        <v>61</v>
      </c>
      <c r="Q282" t="s">
        <v>61</v>
      </c>
      <c r="R282" t="s">
        <v>61</v>
      </c>
      <c r="S282" t="s">
        <v>61</v>
      </c>
      <c r="T282" t="s">
        <v>61</v>
      </c>
      <c r="X282" t="s">
        <v>61</v>
      </c>
      <c r="Y282" t="s">
        <v>414</v>
      </c>
      <c r="Z282" t="s">
        <v>61</v>
      </c>
      <c r="AA282" t="s">
        <v>61</v>
      </c>
      <c r="AB282" t="s">
        <v>61</v>
      </c>
      <c r="AC282" t="s">
        <v>67</v>
      </c>
      <c r="AD282" t="s">
        <v>61</v>
      </c>
      <c r="AE282" t="s">
        <v>61</v>
      </c>
      <c r="AF282" t="s">
        <v>61</v>
      </c>
      <c r="AG282" t="s">
        <v>61</v>
      </c>
      <c r="AH282" t="s">
        <v>61</v>
      </c>
      <c r="AI282" t="s">
        <v>61</v>
      </c>
      <c r="AJ282" t="s">
        <v>61</v>
      </c>
      <c r="AK282" t="s">
        <v>61</v>
      </c>
      <c r="AL282" t="s">
        <v>61</v>
      </c>
      <c r="AM282" t="s">
        <v>2379</v>
      </c>
      <c r="AN282" t="s">
        <v>61</v>
      </c>
      <c r="AO282" t="s">
        <v>61</v>
      </c>
      <c r="AP282" t="s">
        <v>61</v>
      </c>
      <c r="AQ282" t="s">
        <v>61</v>
      </c>
      <c r="AR282" t="s">
        <v>61</v>
      </c>
      <c r="AS282" t="s">
        <v>61</v>
      </c>
      <c r="AT282" t="s">
        <v>61</v>
      </c>
      <c r="AU282" t="s">
        <v>61</v>
      </c>
      <c r="AV282" t="s">
        <v>61</v>
      </c>
      <c r="AW282" t="s">
        <v>61</v>
      </c>
      <c r="AX282" t="s">
        <v>61</v>
      </c>
      <c r="AY282" t="s">
        <v>61</v>
      </c>
      <c r="AZ282" t="s">
        <v>61</v>
      </c>
      <c r="BA282" t="s">
        <v>61</v>
      </c>
      <c r="BB282" t="s">
        <v>61</v>
      </c>
      <c r="BC282" t="s">
        <v>61</v>
      </c>
      <c r="BD282" t="s">
        <v>61</v>
      </c>
      <c r="BE282" t="s">
        <v>61</v>
      </c>
      <c r="BF282" t="s">
        <v>61</v>
      </c>
    </row>
    <row r="283" spans="1:58">
      <c r="A283" t="s">
        <v>58</v>
      </c>
      <c r="B283" t="s">
        <v>2384</v>
      </c>
      <c r="C283" t="s">
        <v>2385</v>
      </c>
      <c r="D283" t="s">
        <v>2386</v>
      </c>
      <c r="E283" t="s">
        <v>61</v>
      </c>
      <c r="F283">
        <v>2012</v>
      </c>
      <c r="G283" t="s">
        <v>61</v>
      </c>
      <c r="H283">
        <v>60</v>
      </c>
      <c r="I283">
        <v>6</v>
      </c>
      <c r="J283">
        <v>476</v>
      </c>
      <c r="K283">
        <v>480</v>
      </c>
      <c r="L283" t="s">
        <v>2387</v>
      </c>
      <c r="M283" t="s">
        <v>2388</v>
      </c>
      <c r="N283" t="s">
        <v>2389</v>
      </c>
      <c r="O283" t="s">
        <v>61</v>
      </c>
      <c r="Q283" t="s">
        <v>61</v>
      </c>
      <c r="R283" t="s">
        <v>61</v>
      </c>
      <c r="S283" t="s">
        <v>61</v>
      </c>
      <c r="T283" t="s">
        <v>61</v>
      </c>
      <c r="X283" t="s">
        <v>61</v>
      </c>
      <c r="Y283" t="s">
        <v>2390</v>
      </c>
      <c r="Z283" t="s">
        <v>61</v>
      </c>
      <c r="AA283" t="s">
        <v>2391</v>
      </c>
      <c r="AB283">
        <v>22857140</v>
      </c>
      <c r="AC283" t="s">
        <v>67</v>
      </c>
      <c r="AD283" t="s">
        <v>61</v>
      </c>
      <c r="AE283" t="s">
        <v>61</v>
      </c>
      <c r="AF283" t="s">
        <v>61</v>
      </c>
      <c r="AG283" t="s">
        <v>2392</v>
      </c>
      <c r="AH283" t="s">
        <v>61</v>
      </c>
      <c r="AI283" t="s">
        <v>2393</v>
      </c>
      <c r="AJ283" t="s">
        <v>61</v>
      </c>
      <c r="AK283" t="s">
        <v>61</v>
      </c>
      <c r="AL283" t="s">
        <v>61</v>
      </c>
      <c r="AM283" t="s">
        <v>2394</v>
      </c>
      <c r="AN283" t="s">
        <v>61</v>
      </c>
      <c r="AO283" t="s">
        <v>61</v>
      </c>
      <c r="AP283" t="s">
        <v>61</v>
      </c>
      <c r="AQ283" t="s">
        <v>61</v>
      </c>
      <c r="AR283" t="s">
        <v>61</v>
      </c>
      <c r="AS283" t="s">
        <v>61</v>
      </c>
      <c r="AT283" t="s">
        <v>61</v>
      </c>
      <c r="AU283" t="s">
        <v>61</v>
      </c>
      <c r="AV283" t="s">
        <v>61</v>
      </c>
      <c r="AW283" t="s">
        <v>61</v>
      </c>
      <c r="AX283" t="s">
        <v>61</v>
      </c>
      <c r="AY283" t="s">
        <v>61</v>
      </c>
      <c r="AZ283" t="s">
        <v>61</v>
      </c>
      <c r="BA283" t="s">
        <v>61</v>
      </c>
      <c r="BB283" t="s">
        <v>61</v>
      </c>
      <c r="BC283" t="s">
        <v>61</v>
      </c>
      <c r="BD283" t="s">
        <v>61</v>
      </c>
      <c r="BE283" t="s">
        <v>61</v>
      </c>
      <c r="BF283" t="s">
        <v>61</v>
      </c>
    </row>
    <row r="284" spans="1:58">
      <c r="A284" t="s">
        <v>58</v>
      </c>
      <c r="B284" t="s">
        <v>2395</v>
      </c>
      <c r="C284" t="s">
        <v>2396</v>
      </c>
      <c r="D284" t="s">
        <v>1813</v>
      </c>
      <c r="E284" t="s">
        <v>61</v>
      </c>
      <c r="F284">
        <v>2015</v>
      </c>
      <c r="G284">
        <v>1</v>
      </c>
      <c r="H284">
        <v>7</v>
      </c>
      <c r="I284">
        <v>2</v>
      </c>
      <c r="J284">
        <v>224</v>
      </c>
      <c r="K284">
        <v>230</v>
      </c>
      <c r="L284" t="s">
        <v>2397</v>
      </c>
      <c r="M284" t="s">
        <v>2398</v>
      </c>
      <c r="N284" t="s">
        <v>2399</v>
      </c>
      <c r="O284" t="s">
        <v>61</v>
      </c>
      <c r="Q284" t="s">
        <v>61</v>
      </c>
      <c r="R284" t="s">
        <v>61</v>
      </c>
      <c r="S284" t="s">
        <v>61</v>
      </c>
      <c r="T284" t="s">
        <v>61</v>
      </c>
      <c r="X284" t="s">
        <v>61</v>
      </c>
      <c r="Y284" t="s">
        <v>1817</v>
      </c>
      <c r="Z284" t="s">
        <v>61</v>
      </c>
      <c r="AA284" t="s">
        <v>61</v>
      </c>
      <c r="AB284" t="s">
        <v>2400</v>
      </c>
      <c r="AC284" t="s">
        <v>67</v>
      </c>
      <c r="AD284" t="s">
        <v>61</v>
      </c>
      <c r="AE284" t="s">
        <v>61</v>
      </c>
      <c r="AF284" t="s">
        <v>61</v>
      </c>
      <c r="AG284" t="s">
        <v>61</v>
      </c>
      <c r="AH284" t="s">
        <v>61</v>
      </c>
      <c r="AI284" t="s">
        <v>61</v>
      </c>
      <c r="AJ284" t="s">
        <v>61</v>
      </c>
      <c r="AK284" t="s">
        <v>61</v>
      </c>
      <c r="AL284" t="s">
        <v>61</v>
      </c>
      <c r="AM284" t="s">
        <v>2396</v>
      </c>
      <c r="AN284" t="s">
        <v>61</v>
      </c>
      <c r="AO284" t="s">
        <v>61</v>
      </c>
      <c r="AP284" t="s">
        <v>61</v>
      </c>
      <c r="AQ284" t="s">
        <v>61</v>
      </c>
      <c r="AR284" t="s">
        <v>61</v>
      </c>
      <c r="AS284" t="s">
        <v>61</v>
      </c>
      <c r="AT284" t="s">
        <v>61</v>
      </c>
      <c r="AU284" t="s">
        <v>61</v>
      </c>
      <c r="AV284" t="s">
        <v>61</v>
      </c>
      <c r="AW284" t="s">
        <v>61</v>
      </c>
      <c r="AX284" t="s">
        <v>61</v>
      </c>
      <c r="AY284" t="s">
        <v>61</v>
      </c>
      <c r="AZ284" t="s">
        <v>61</v>
      </c>
      <c r="BA284" t="s">
        <v>61</v>
      </c>
      <c r="BB284" t="s">
        <v>61</v>
      </c>
      <c r="BC284" t="s">
        <v>61</v>
      </c>
      <c r="BD284" t="s">
        <v>61</v>
      </c>
      <c r="BE284" t="s">
        <v>61</v>
      </c>
      <c r="BF284" t="s">
        <v>61</v>
      </c>
    </row>
    <row r="285" spans="1:58">
      <c r="A285" t="s">
        <v>58</v>
      </c>
      <c r="B285" t="s">
        <v>2401</v>
      </c>
      <c r="C285" t="s">
        <v>2402</v>
      </c>
      <c r="D285" t="s">
        <v>627</v>
      </c>
      <c r="E285" t="s">
        <v>61</v>
      </c>
      <c r="F285">
        <v>2012</v>
      </c>
      <c r="G285" t="s">
        <v>628</v>
      </c>
      <c r="H285">
        <v>52</v>
      </c>
      <c r="I285">
        <v>2</v>
      </c>
      <c r="J285">
        <v>216</v>
      </c>
      <c r="K285" t="s">
        <v>61</v>
      </c>
      <c r="L285" t="s">
        <v>2403</v>
      </c>
      <c r="M285" t="s">
        <v>2404</v>
      </c>
      <c r="N285" t="s">
        <v>2405</v>
      </c>
      <c r="O285" t="s">
        <v>61</v>
      </c>
      <c r="Q285" t="s">
        <v>61</v>
      </c>
      <c r="R285" t="s">
        <v>61</v>
      </c>
      <c r="S285" t="s">
        <v>61</v>
      </c>
      <c r="T285" t="s">
        <v>61</v>
      </c>
      <c r="X285" t="s">
        <v>61</v>
      </c>
      <c r="Y285" t="s">
        <v>632</v>
      </c>
      <c r="Z285" t="s">
        <v>61</v>
      </c>
      <c r="AA285" t="s">
        <v>61</v>
      </c>
      <c r="AB285" t="s">
        <v>61</v>
      </c>
      <c r="AC285" t="s">
        <v>67</v>
      </c>
      <c r="AD285" t="s">
        <v>61</v>
      </c>
      <c r="AE285" t="s">
        <v>61</v>
      </c>
      <c r="AF285" t="s">
        <v>61</v>
      </c>
      <c r="AG285" t="s">
        <v>61</v>
      </c>
      <c r="AH285" t="s">
        <v>61</v>
      </c>
      <c r="AI285" t="s">
        <v>61</v>
      </c>
      <c r="AJ285" t="s">
        <v>61</v>
      </c>
      <c r="AK285" t="s">
        <v>61</v>
      </c>
      <c r="AL285" t="s">
        <v>61</v>
      </c>
      <c r="AM285" t="s">
        <v>2402</v>
      </c>
      <c r="AN285" t="s">
        <v>61</v>
      </c>
      <c r="AO285" t="s">
        <v>61</v>
      </c>
      <c r="AP285" t="s">
        <v>61</v>
      </c>
      <c r="AQ285" t="s">
        <v>61</v>
      </c>
      <c r="AR285" t="s">
        <v>61</v>
      </c>
      <c r="AS285" t="s">
        <v>61</v>
      </c>
      <c r="AT285" t="s">
        <v>61</v>
      </c>
      <c r="AU285" t="s">
        <v>61</v>
      </c>
      <c r="AV285" t="s">
        <v>61</v>
      </c>
      <c r="AW285" t="s">
        <v>61</v>
      </c>
      <c r="AX285" t="s">
        <v>61</v>
      </c>
      <c r="AY285" t="s">
        <v>61</v>
      </c>
      <c r="AZ285" t="s">
        <v>61</v>
      </c>
      <c r="BA285" t="s">
        <v>61</v>
      </c>
      <c r="BB285" t="s">
        <v>61</v>
      </c>
      <c r="BC285" t="s">
        <v>61</v>
      </c>
      <c r="BD285" t="s">
        <v>61</v>
      </c>
      <c r="BE285" t="s">
        <v>61</v>
      </c>
      <c r="BF285" t="s">
        <v>61</v>
      </c>
    </row>
    <row r="286" spans="1:58">
      <c r="A286" t="s">
        <v>58</v>
      </c>
      <c r="B286" t="s">
        <v>2406</v>
      </c>
      <c r="C286" t="s">
        <v>2407</v>
      </c>
      <c r="D286" t="s">
        <v>2408</v>
      </c>
      <c r="E286" t="s">
        <v>2409</v>
      </c>
      <c r="F286">
        <v>2010</v>
      </c>
      <c r="G286" t="s">
        <v>418</v>
      </c>
      <c r="H286">
        <v>382</v>
      </c>
      <c r="I286">
        <v>2</v>
      </c>
      <c r="J286">
        <v>171</v>
      </c>
      <c r="K286">
        <v>176</v>
      </c>
      <c r="L286" t="s">
        <v>2410</v>
      </c>
      <c r="M286" t="s">
        <v>2411</v>
      </c>
      <c r="N286" t="s">
        <v>2412</v>
      </c>
      <c r="O286" t="s">
        <v>61</v>
      </c>
      <c r="Q286" t="s">
        <v>61</v>
      </c>
      <c r="R286" t="s">
        <v>61</v>
      </c>
      <c r="S286" t="s">
        <v>61</v>
      </c>
      <c r="T286" t="s">
        <v>61</v>
      </c>
      <c r="X286" t="s">
        <v>61</v>
      </c>
      <c r="Y286" t="s">
        <v>2413</v>
      </c>
      <c r="Z286" t="s">
        <v>61</v>
      </c>
      <c r="AA286" t="s">
        <v>2414</v>
      </c>
      <c r="AB286">
        <v>20535451</v>
      </c>
      <c r="AC286" t="s">
        <v>67</v>
      </c>
      <c r="AD286" t="s">
        <v>61</v>
      </c>
      <c r="AE286" t="s">
        <v>61</v>
      </c>
      <c r="AF286" t="s">
        <v>61</v>
      </c>
      <c r="AG286" t="s">
        <v>2415</v>
      </c>
      <c r="AH286" t="s">
        <v>61</v>
      </c>
      <c r="AI286" t="s">
        <v>2416</v>
      </c>
      <c r="AJ286" t="s">
        <v>61</v>
      </c>
      <c r="AK286" t="s">
        <v>61</v>
      </c>
      <c r="AL286" t="s">
        <v>61</v>
      </c>
      <c r="AM286" t="s">
        <v>2417</v>
      </c>
      <c r="AN286" t="s">
        <v>61</v>
      </c>
      <c r="AO286" t="s">
        <v>61</v>
      </c>
      <c r="AP286" t="s">
        <v>61</v>
      </c>
      <c r="AQ286" t="s">
        <v>61</v>
      </c>
      <c r="AR286" t="s">
        <v>61</v>
      </c>
      <c r="AS286" t="s">
        <v>61</v>
      </c>
      <c r="AT286" t="s">
        <v>61</v>
      </c>
      <c r="AU286" t="s">
        <v>61</v>
      </c>
      <c r="AV286" t="s">
        <v>61</v>
      </c>
      <c r="AW286" t="s">
        <v>61</v>
      </c>
      <c r="AX286" t="s">
        <v>61</v>
      </c>
      <c r="AY286" t="s">
        <v>61</v>
      </c>
      <c r="AZ286" t="s">
        <v>61</v>
      </c>
      <c r="BA286" t="s">
        <v>61</v>
      </c>
      <c r="BB286" t="s">
        <v>61</v>
      </c>
      <c r="BC286" t="s">
        <v>61</v>
      </c>
      <c r="BD286" t="s">
        <v>61</v>
      </c>
      <c r="BE286" t="s">
        <v>61</v>
      </c>
      <c r="BF286" t="s">
        <v>61</v>
      </c>
    </row>
    <row r="287" spans="1:58">
      <c r="A287" t="s">
        <v>58</v>
      </c>
      <c r="B287" t="s">
        <v>2418</v>
      </c>
      <c r="C287" t="s">
        <v>2419</v>
      </c>
      <c r="D287" t="s">
        <v>2420</v>
      </c>
      <c r="E287" t="s">
        <v>61</v>
      </c>
      <c r="F287">
        <v>1999</v>
      </c>
      <c r="G287" t="s">
        <v>154</v>
      </c>
      <c r="H287">
        <v>23</v>
      </c>
      <c r="I287">
        <v>4</v>
      </c>
      <c r="J287">
        <v>218</v>
      </c>
      <c r="K287">
        <v>221</v>
      </c>
      <c r="L287" t="s">
        <v>2421</v>
      </c>
      <c r="M287" t="s">
        <v>2422</v>
      </c>
      <c r="N287" t="s">
        <v>2423</v>
      </c>
      <c r="O287" t="s">
        <v>61</v>
      </c>
      <c r="Q287" t="s">
        <v>61</v>
      </c>
      <c r="R287" t="s">
        <v>61</v>
      </c>
      <c r="S287" t="s">
        <v>61</v>
      </c>
      <c r="T287" t="s">
        <v>61</v>
      </c>
      <c r="X287" t="s">
        <v>61</v>
      </c>
      <c r="Y287" t="s">
        <v>2424</v>
      </c>
      <c r="Z287" t="s">
        <v>61</v>
      </c>
      <c r="AA287" t="s">
        <v>2425</v>
      </c>
      <c r="AB287">
        <v>10421391</v>
      </c>
      <c r="AC287" t="s">
        <v>67</v>
      </c>
      <c r="AD287" t="s">
        <v>61</v>
      </c>
      <c r="AE287" t="s">
        <v>61</v>
      </c>
      <c r="AF287" t="s">
        <v>61</v>
      </c>
      <c r="AG287" t="s">
        <v>2426</v>
      </c>
      <c r="AH287" t="s">
        <v>61</v>
      </c>
      <c r="AI287" t="s">
        <v>61</v>
      </c>
      <c r="AJ287" t="s">
        <v>61</v>
      </c>
      <c r="AK287" t="s">
        <v>61</v>
      </c>
      <c r="AL287" t="s">
        <v>61</v>
      </c>
      <c r="AM287" t="s">
        <v>2427</v>
      </c>
      <c r="AN287" t="s">
        <v>61</v>
      </c>
      <c r="AO287" t="s">
        <v>61</v>
      </c>
      <c r="AP287" t="s">
        <v>61</v>
      </c>
      <c r="AQ287" t="s">
        <v>61</v>
      </c>
      <c r="AR287" t="s">
        <v>61</v>
      </c>
      <c r="AS287" t="s">
        <v>61</v>
      </c>
      <c r="AT287" t="s">
        <v>61</v>
      </c>
      <c r="AU287" t="s">
        <v>61</v>
      </c>
      <c r="AV287" t="s">
        <v>61</v>
      </c>
      <c r="AW287" t="s">
        <v>61</v>
      </c>
      <c r="AX287" t="s">
        <v>61</v>
      </c>
      <c r="AY287" t="s">
        <v>61</v>
      </c>
      <c r="AZ287" t="s">
        <v>61</v>
      </c>
      <c r="BA287" t="s">
        <v>61</v>
      </c>
      <c r="BB287" t="s">
        <v>61</v>
      </c>
      <c r="BC287" t="s">
        <v>61</v>
      </c>
      <c r="BD287" t="s">
        <v>61</v>
      </c>
      <c r="BE287" t="s">
        <v>61</v>
      </c>
      <c r="BF287" t="s">
        <v>61</v>
      </c>
    </row>
    <row r="288" spans="1:58">
      <c r="A288" t="s">
        <v>58</v>
      </c>
      <c r="B288" t="s">
        <v>2428</v>
      </c>
      <c r="C288" t="s">
        <v>2429</v>
      </c>
      <c r="D288" t="s">
        <v>627</v>
      </c>
      <c r="E288" t="s">
        <v>61</v>
      </c>
      <c r="F288">
        <v>2015</v>
      </c>
      <c r="G288" t="s">
        <v>628</v>
      </c>
      <c r="H288">
        <v>55</v>
      </c>
      <c r="I288">
        <v>2</v>
      </c>
      <c r="J288" t="s">
        <v>2430</v>
      </c>
      <c r="K288" t="s">
        <v>61</v>
      </c>
      <c r="L288" t="s">
        <v>2431</v>
      </c>
      <c r="M288" t="s">
        <v>2432</v>
      </c>
      <c r="N288" t="s">
        <v>2433</v>
      </c>
      <c r="O288" t="s">
        <v>61</v>
      </c>
      <c r="Q288" t="s">
        <v>61</v>
      </c>
      <c r="R288" t="s">
        <v>61</v>
      </c>
      <c r="S288" t="s">
        <v>61</v>
      </c>
      <c r="T288" t="s">
        <v>61</v>
      </c>
      <c r="X288" t="s">
        <v>61</v>
      </c>
      <c r="Y288" t="s">
        <v>632</v>
      </c>
      <c r="Z288" t="s">
        <v>61</v>
      </c>
      <c r="AA288" t="s">
        <v>61</v>
      </c>
      <c r="AB288" t="s">
        <v>61</v>
      </c>
      <c r="AC288" t="s">
        <v>67</v>
      </c>
      <c r="AD288" t="s">
        <v>61</v>
      </c>
      <c r="AE288" t="s">
        <v>61</v>
      </c>
      <c r="AF288" t="s">
        <v>61</v>
      </c>
      <c r="AG288" t="s">
        <v>61</v>
      </c>
      <c r="AH288" t="s">
        <v>61</v>
      </c>
      <c r="AI288" t="s">
        <v>61</v>
      </c>
      <c r="AJ288" t="s">
        <v>61</v>
      </c>
      <c r="AK288" t="s">
        <v>61</v>
      </c>
      <c r="AL288" t="s">
        <v>61</v>
      </c>
      <c r="AM288" t="s">
        <v>2429</v>
      </c>
      <c r="AN288" t="s">
        <v>61</v>
      </c>
      <c r="AO288" t="s">
        <v>61</v>
      </c>
      <c r="AP288" t="s">
        <v>61</v>
      </c>
      <c r="AQ288" t="s">
        <v>61</v>
      </c>
      <c r="AR288" t="s">
        <v>61</v>
      </c>
      <c r="AS288" t="s">
        <v>61</v>
      </c>
      <c r="AT288" t="s">
        <v>61</v>
      </c>
      <c r="AU288" t="s">
        <v>61</v>
      </c>
      <c r="AV288" t="s">
        <v>61</v>
      </c>
      <c r="AW288" t="s">
        <v>61</v>
      </c>
      <c r="AX288" t="s">
        <v>61</v>
      </c>
      <c r="AY288" t="s">
        <v>61</v>
      </c>
      <c r="AZ288" t="s">
        <v>61</v>
      </c>
      <c r="BA288" t="s">
        <v>61</v>
      </c>
      <c r="BB288" t="s">
        <v>61</v>
      </c>
      <c r="BC288" t="s">
        <v>61</v>
      </c>
      <c r="BD288" t="s">
        <v>61</v>
      </c>
      <c r="BE288" t="s">
        <v>61</v>
      </c>
      <c r="BF288" t="s">
        <v>61</v>
      </c>
    </row>
    <row r="289" spans="1:58">
      <c r="A289" t="s">
        <v>58</v>
      </c>
      <c r="B289" t="s">
        <v>2434</v>
      </c>
      <c r="C289" t="s">
        <v>2435</v>
      </c>
      <c r="D289" t="s">
        <v>482</v>
      </c>
      <c r="E289" t="s">
        <v>61</v>
      </c>
      <c r="F289">
        <v>2013</v>
      </c>
      <c r="G289" s="1">
        <v>42522</v>
      </c>
      <c r="H289">
        <v>130</v>
      </c>
      <c r="I289" s="1">
        <v>42372</v>
      </c>
      <c r="J289">
        <v>1</v>
      </c>
      <c r="K289">
        <v>12</v>
      </c>
      <c r="L289" t="s">
        <v>2436</v>
      </c>
      <c r="M289" t="s">
        <v>2437</v>
      </c>
      <c r="N289" t="s">
        <v>2438</v>
      </c>
      <c r="O289" t="s">
        <v>61</v>
      </c>
      <c r="Q289" t="s">
        <v>61</v>
      </c>
      <c r="R289" t="s">
        <v>61</v>
      </c>
      <c r="S289" t="s">
        <v>61</v>
      </c>
      <c r="T289" t="s">
        <v>61</v>
      </c>
      <c r="X289" t="s">
        <v>61</v>
      </c>
      <c r="Y289" t="s">
        <v>2327</v>
      </c>
      <c r="Z289" t="s">
        <v>61</v>
      </c>
      <c r="AA289" t="s">
        <v>2439</v>
      </c>
      <c r="AB289">
        <v>23279925</v>
      </c>
      <c r="AC289" t="s">
        <v>67</v>
      </c>
      <c r="AD289" t="s">
        <v>61</v>
      </c>
      <c r="AE289" t="s">
        <v>61</v>
      </c>
      <c r="AF289" t="s">
        <v>61</v>
      </c>
      <c r="AG289" t="s">
        <v>2440</v>
      </c>
      <c r="AH289" t="s">
        <v>61</v>
      </c>
      <c r="AI289" t="s">
        <v>2441</v>
      </c>
      <c r="AJ289" t="s">
        <v>61</v>
      </c>
      <c r="AK289" t="s">
        <v>61</v>
      </c>
      <c r="AL289" t="s">
        <v>61</v>
      </c>
      <c r="AM289" t="s">
        <v>2442</v>
      </c>
      <c r="AN289" t="s">
        <v>61</v>
      </c>
      <c r="AO289" t="s">
        <v>61</v>
      </c>
      <c r="AP289" t="s">
        <v>61</v>
      </c>
      <c r="AQ289" t="s">
        <v>61</v>
      </c>
      <c r="AR289" t="s">
        <v>61</v>
      </c>
      <c r="AS289" t="s">
        <v>61</v>
      </c>
      <c r="AT289" t="s">
        <v>61</v>
      </c>
      <c r="AU289" t="s">
        <v>61</v>
      </c>
      <c r="AV289" t="s">
        <v>61</v>
      </c>
      <c r="AW289" t="s">
        <v>61</v>
      </c>
      <c r="AX289" t="s">
        <v>61</v>
      </c>
      <c r="AY289" t="s">
        <v>61</v>
      </c>
      <c r="AZ289" t="s">
        <v>61</v>
      </c>
      <c r="BA289" t="s">
        <v>61</v>
      </c>
      <c r="BB289" t="s">
        <v>61</v>
      </c>
      <c r="BC289" t="s">
        <v>61</v>
      </c>
      <c r="BD289" t="s">
        <v>61</v>
      </c>
      <c r="BE289" t="s">
        <v>61</v>
      </c>
      <c r="BF289" t="s">
        <v>61</v>
      </c>
    </row>
    <row r="290" spans="1:58">
      <c r="A290" t="s">
        <v>58</v>
      </c>
      <c r="B290" t="s">
        <v>2443</v>
      </c>
      <c r="C290" t="s">
        <v>2444</v>
      </c>
      <c r="D290" t="s">
        <v>408</v>
      </c>
      <c r="E290" t="s">
        <v>408</v>
      </c>
      <c r="F290">
        <v>2014</v>
      </c>
      <c r="G290" t="s">
        <v>645</v>
      </c>
      <c r="H290">
        <v>34</v>
      </c>
      <c r="I290">
        <v>10</v>
      </c>
      <c r="J290" t="s">
        <v>1769</v>
      </c>
      <c r="K290" t="s">
        <v>61</v>
      </c>
      <c r="L290" t="s">
        <v>2445</v>
      </c>
      <c r="M290" t="s">
        <v>2446</v>
      </c>
      <c r="N290" t="s">
        <v>2447</v>
      </c>
      <c r="O290" t="s">
        <v>61</v>
      </c>
      <c r="Q290" t="s">
        <v>61</v>
      </c>
      <c r="R290" t="s">
        <v>61</v>
      </c>
      <c r="S290" t="s">
        <v>61</v>
      </c>
      <c r="T290" t="s">
        <v>61</v>
      </c>
      <c r="X290" t="s">
        <v>61</v>
      </c>
      <c r="Y290" t="s">
        <v>414</v>
      </c>
      <c r="Z290" t="s">
        <v>61</v>
      </c>
      <c r="AA290" t="s">
        <v>61</v>
      </c>
      <c r="AB290" t="s">
        <v>61</v>
      </c>
      <c r="AC290" t="s">
        <v>67</v>
      </c>
      <c r="AD290" t="s">
        <v>61</v>
      </c>
      <c r="AE290" t="s">
        <v>61</v>
      </c>
      <c r="AF290" t="s">
        <v>61</v>
      </c>
      <c r="AG290" t="s">
        <v>61</v>
      </c>
      <c r="AH290" t="s">
        <v>61</v>
      </c>
      <c r="AI290" t="s">
        <v>61</v>
      </c>
      <c r="AJ290" t="s">
        <v>61</v>
      </c>
      <c r="AK290" t="s">
        <v>61</v>
      </c>
      <c r="AL290" t="s">
        <v>61</v>
      </c>
      <c r="AM290" t="s">
        <v>2444</v>
      </c>
      <c r="AN290" t="s">
        <v>61</v>
      </c>
      <c r="AO290" t="s">
        <v>61</v>
      </c>
      <c r="AP290" t="s">
        <v>61</v>
      </c>
      <c r="AQ290" t="s">
        <v>61</v>
      </c>
      <c r="AR290" t="s">
        <v>61</v>
      </c>
      <c r="AS290" t="s">
        <v>61</v>
      </c>
      <c r="AT290" t="s">
        <v>61</v>
      </c>
      <c r="AU290" t="s">
        <v>61</v>
      </c>
      <c r="AV290" t="s">
        <v>61</v>
      </c>
      <c r="AW290" t="s">
        <v>61</v>
      </c>
      <c r="AX290" t="s">
        <v>61</v>
      </c>
      <c r="AY290" t="s">
        <v>61</v>
      </c>
      <c r="AZ290" t="s">
        <v>61</v>
      </c>
      <c r="BA290" t="s">
        <v>61</v>
      </c>
      <c r="BB290" t="s">
        <v>61</v>
      </c>
      <c r="BC290" t="s">
        <v>61</v>
      </c>
      <c r="BD290" t="s">
        <v>61</v>
      </c>
      <c r="BE290" t="s">
        <v>61</v>
      </c>
      <c r="BF290" t="s">
        <v>61</v>
      </c>
    </row>
    <row r="291" spans="1:58">
      <c r="A291" t="s">
        <v>58</v>
      </c>
      <c r="B291" t="s">
        <v>2448</v>
      </c>
      <c r="C291" t="s">
        <v>2449</v>
      </c>
      <c r="D291" t="s">
        <v>2450</v>
      </c>
      <c r="E291" t="s">
        <v>2451</v>
      </c>
      <c r="F291">
        <v>2013</v>
      </c>
      <c r="G291" t="s">
        <v>645</v>
      </c>
      <c r="H291" t="s">
        <v>2452</v>
      </c>
      <c r="I291" t="s">
        <v>61</v>
      </c>
      <c r="J291">
        <v>400</v>
      </c>
      <c r="K291" t="s">
        <v>61</v>
      </c>
      <c r="L291" t="s">
        <v>2453</v>
      </c>
      <c r="M291" t="s">
        <v>2454</v>
      </c>
      <c r="N291" t="s">
        <v>2455</v>
      </c>
      <c r="O291" t="s">
        <v>61</v>
      </c>
      <c r="Q291" t="s">
        <v>61</v>
      </c>
      <c r="R291" t="s">
        <v>61</v>
      </c>
      <c r="S291" t="s">
        <v>61</v>
      </c>
      <c r="T291" t="s">
        <v>61</v>
      </c>
      <c r="X291" t="s">
        <v>61</v>
      </c>
      <c r="Y291" t="s">
        <v>2456</v>
      </c>
      <c r="Z291" t="s">
        <v>61</v>
      </c>
      <c r="AA291" t="s">
        <v>61</v>
      </c>
      <c r="AB291" t="s">
        <v>61</v>
      </c>
      <c r="AC291" t="s">
        <v>67</v>
      </c>
      <c r="AD291" t="s">
        <v>61</v>
      </c>
      <c r="AE291" t="s">
        <v>61</v>
      </c>
      <c r="AF291" t="s">
        <v>61</v>
      </c>
      <c r="AG291" t="s">
        <v>61</v>
      </c>
      <c r="AH291" t="s">
        <v>61</v>
      </c>
      <c r="AI291" t="s">
        <v>61</v>
      </c>
      <c r="AJ291" t="s">
        <v>61</v>
      </c>
      <c r="AK291" t="s">
        <v>61</v>
      </c>
      <c r="AL291" t="s">
        <v>61</v>
      </c>
      <c r="AM291" t="s">
        <v>2449</v>
      </c>
      <c r="AN291" t="s">
        <v>61</v>
      </c>
      <c r="AO291" t="s">
        <v>61</v>
      </c>
      <c r="AP291" t="s">
        <v>61</v>
      </c>
      <c r="AQ291" t="s">
        <v>61</v>
      </c>
      <c r="AR291" t="s">
        <v>61</v>
      </c>
      <c r="AS291" t="s">
        <v>61</v>
      </c>
      <c r="AT291" t="s">
        <v>61</v>
      </c>
      <c r="AU291" t="s">
        <v>61</v>
      </c>
      <c r="AV291" t="s">
        <v>61</v>
      </c>
      <c r="AW291" t="s">
        <v>61</v>
      </c>
      <c r="AX291" t="s">
        <v>61</v>
      </c>
      <c r="AY291" t="s">
        <v>61</v>
      </c>
      <c r="AZ291" t="s">
        <v>61</v>
      </c>
      <c r="BA291" t="s">
        <v>61</v>
      </c>
      <c r="BB291" t="s">
        <v>61</v>
      </c>
      <c r="BC291" t="s">
        <v>61</v>
      </c>
      <c r="BD291" t="s">
        <v>61</v>
      </c>
      <c r="BE291" t="s">
        <v>61</v>
      </c>
      <c r="BF291" t="s">
        <v>61</v>
      </c>
    </row>
    <row r="292" spans="1:58">
      <c r="A292" t="s">
        <v>58</v>
      </c>
      <c r="B292" t="s">
        <v>2457</v>
      </c>
      <c r="C292" t="s">
        <v>2458</v>
      </c>
      <c r="D292" t="s">
        <v>2459</v>
      </c>
      <c r="E292" t="s">
        <v>2460</v>
      </c>
      <c r="F292">
        <v>2008</v>
      </c>
      <c r="G292" t="s">
        <v>559</v>
      </c>
      <c r="H292">
        <v>45</v>
      </c>
      <c r="I292">
        <v>5</v>
      </c>
      <c r="J292">
        <v>706</v>
      </c>
      <c r="K292">
        <v>713</v>
      </c>
      <c r="L292" t="s">
        <v>2461</v>
      </c>
      <c r="M292" t="s">
        <v>2462</v>
      </c>
      <c r="N292" t="s">
        <v>2463</v>
      </c>
      <c r="O292" t="s">
        <v>61</v>
      </c>
      <c r="Q292" t="s">
        <v>61</v>
      </c>
      <c r="R292" t="s">
        <v>61</v>
      </c>
      <c r="S292" t="s">
        <v>61</v>
      </c>
      <c r="T292" t="s">
        <v>61</v>
      </c>
      <c r="X292" t="s">
        <v>61</v>
      </c>
      <c r="Y292" t="s">
        <v>2464</v>
      </c>
      <c r="Z292" t="s">
        <v>61</v>
      </c>
      <c r="AA292" t="s">
        <v>2465</v>
      </c>
      <c r="AB292">
        <v>17336307</v>
      </c>
      <c r="AC292" t="s">
        <v>67</v>
      </c>
      <c r="AD292" t="s">
        <v>61</v>
      </c>
      <c r="AE292" t="s">
        <v>61</v>
      </c>
      <c r="AF292" t="s">
        <v>61</v>
      </c>
      <c r="AG292" t="s">
        <v>2466</v>
      </c>
      <c r="AH292" t="s">
        <v>61</v>
      </c>
      <c r="AI292" t="s">
        <v>61</v>
      </c>
      <c r="AJ292" t="s">
        <v>61</v>
      </c>
      <c r="AK292" t="s">
        <v>61</v>
      </c>
      <c r="AL292" t="s">
        <v>61</v>
      </c>
      <c r="AM292" t="s">
        <v>2467</v>
      </c>
      <c r="AN292" t="s">
        <v>61</v>
      </c>
      <c r="AO292" t="s">
        <v>61</v>
      </c>
      <c r="AP292" t="s">
        <v>61</v>
      </c>
      <c r="AQ292" t="s">
        <v>61</v>
      </c>
      <c r="AR292" t="s">
        <v>61</v>
      </c>
      <c r="AS292" t="s">
        <v>61</v>
      </c>
      <c r="AT292" t="s">
        <v>61</v>
      </c>
      <c r="AU292" t="s">
        <v>61</v>
      </c>
      <c r="AV292" t="s">
        <v>61</v>
      </c>
      <c r="AW292" t="s">
        <v>61</v>
      </c>
      <c r="AX292" t="s">
        <v>61</v>
      </c>
      <c r="AY292" t="s">
        <v>61</v>
      </c>
      <c r="AZ292" t="s">
        <v>61</v>
      </c>
      <c r="BA292" t="s">
        <v>61</v>
      </c>
      <c r="BB292" t="s">
        <v>61</v>
      </c>
      <c r="BC292" t="s">
        <v>61</v>
      </c>
      <c r="BD292" t="s">
        <v>61</v>
      </c>
      <c r="BE292" t="s">
        <v>61</v>
      </c>
      <c r="BF292" t="s">
        <v>61</v>
      </c>
    </row>
    <row r="293" spans="1:58">
      <c r="A293" t="s">
        <v>58</v>
      </c>
      <c r="B293" t="s">
        <v>2468</v>
      </c>
      <c r="C293" t="s">
        <v>2469</v>
      </c>
      <c r="D293" t="s">
        <v>428</v>
      </c>
      <c r="E293" t="s">
        <v>61</v>
      </c>
      <c r="F293">
        <v>2010</v>
      </c>
      <c r="G293" t="s">
        <v>429</v>
      </c>
      <c r="H293">
        <v>23</v>
      </c>
      <c r="I293">
        <v>2</v>
      </c>
      <c r="J293">
        <v>179</v>
      </c>
      <c r="K293" t="s">
        <v>61</v>
      </c>
      <c r="L293" t="s">
        <v>2470</v>
      </c>
      <c r="M293" t="s">
        <v>2471</v>
      </c>
      <c r="N293" t="s">
        <v>2472</v>
      </c>
      <c r="O293" t="s">
        <v>61</v>
      </c>
      <c r="Q293" t="s">
        <v>61</v>
      </c>
      <c r="R293" t="s">
        <v>61</v>
      </c>
      <c r="S293" t="s">
        <v>61</v>
      </c>
      <c r="T293" t="s">
        <v>61</v>
      </c>
      <c r="X293" t="s">
        <v>61</v>
      </c>
      <c r="Y293" t="s">
        <v>433</v>
      </c>
      <c r="Z293" t="s">
        <v>61</v>
      </c>
      <c r="AA293" t="s">
        <v>61</v>
      </c>
      <c r="AB293" t="s">
        <v>61</v>
      </c>
      <c r="AC293" t="s">
        <v>67</v>
      </c>
      <c r="AD293" t="s">
        <v>61</v>
      </c>
      <c r="AE293" t="s">
        <v>61</v>
      </c>
      <c r="AF293" t="s">
        <v>61</v>
      </c>
      <c r="AG293" t="s">
        <v>61</v>
      </c>
      <c r="AH293" t="s">
        <v>61</v>
      </c>
      <c r="AI293" t="s">
        <v>61</v>
      </c>
      <c r="AJ293" t="s">
        <v>61</v>
      </c>
      <c r="AK293" t="s">
        <v>61</v>
      </c>
      <c r="AL293" t="s">
        <v>61</v>
      </c>
      <c r="AM293" t="s">
        <v>2469</v>
      </c>
      <c r="AN293" t="s">
        <v>61</v>
      </c>
      <c r="AO293" t="s">
        <v>61</v>
      </c>
      <c r="AP293" t="s">
        <v>61</v>
      </c>
      <c r="AQ293" t="s">
        <v>61</v>
      </c>
      <c r="AR293" t="s">
        <v>61</v>
      </c>
      <c r="AS293" t="s">
        <v>61</v>
      </c>
      <c r="AT293" t="s">
        <v>61</v>
      </c>
      <c r="AU293" t="s">
        <v>61</v>
      </c>
      <c r="AV293" t="s">
        <v>61</v>
      </c>
      <c r="AW293" t="s">
        <v>61</v>
      </c>
      <c r="AX293" t="s">
        <v>61</v>
      </c>
      <c r="AY293" t="s">
        <v>61</v>
      </c>
      <c r="AZ293" t="s">
        <v>61</v>
      </c>
      <c r="BA293" t="s">
        <v>61</v>
      </c>
      <c r="BB293" t="s">
        <v>61</v>
      </c>
      <c r="BC293" t="s">
        <v>61</v>
      </c>
      <c r="BD293" t="s">
        <v>61</v>
      </c>
      <c r="BE293" t="s">
        <v>61</v>
      </c>
      <c r="BF293" t="s">
        <v>61</v>
      </c>
    </row>
    <row r="294" spans="1:58">
      <c r="A294" t="s">
        <v>58</v>
      </c>
      <c r="B294" t="s">
        <v>2473</v>
      </c>
      <c r="C294" t="s">
        <v>2474</v>
      </c>
      <c r="D294" t="s">
        <v>60</v>
      </c>
      <c r="E294" t="s">
        <v>61</v>
      </c>
      <c r="F294">
        <v>1997</v>
      </c>
      <c r="G294" t="s">
        <v>61</v>
      </c>
      <c r="H294">
        <v>54</v>
      </c>
      <c r="I294">
        <v>11</v>
      </c>
      <c r="J294">
        <v>1280</v>
      </c>
      <c r="K294" t="s">
        <v>2475</v>
      </c>
      <c r="L294" t="s">
        <v>2476</v>
      </c>
      <c r="M294" t="s">
        <v>2477</v>
      </c>
      <c r="N294" t="s">
        <v>2478</v>
      </c>
      <c r="O294" t="s">
        <v>61</v>
      </c>
      <c r="Q294" t="s">
        <v>61</v>
      </c>
      <c r="R294" t="s">
        <v>61</v>
      </c>
      <c r="S294" t="s">
        <v>61</v>
      </c>
      <c r="T294" t="s">
        <v>61</v>
      </c>
      <c r="X294" t="s">
        <v>61</v>
      </c>
      <c r="Y294" t="s">
        <v>66</v>
      </c>
      <c r="Z294" t="s">
        <v>61</v>
      </c>
      <c r="AA294" t="s">
        <v>61</v>
      </c>
      <c r="AB294">
        <v>105819499</v>
      </c>
      <c r="AC294" t="s">
        <v>67</v>
      </c>
      <c r="AD294" t="s">
        <v>61</v>
      </c>
      <c r="AE294" t="s">
        <v>61</v>
      </c>
      <c r="AF294" t="s">
        <v>61</v>
      </c>
      <c r="AG294" t="s">
        <v>2479</v>
      </c>
      <c r="AH294" t="s">
        <v>61</v>
      </c>
      <c r="AI294" t="s">
        <v>61</v>
      </c>
      <c r="AJ294" t="s">
        <v>61</v>
      </c>
      <c r="AK294" t="s">
        <v>61</v>
      </c>
      <c r="AL294" t="s">
        <v>61</v>
      </c>
      <c r="AM294" t="s">
        <v>2480</v>
      </c>
      <c r="AN294" t="s">
        <v>61</v>
      </c>
      <c r="AO294" t="s">
        <v>61</v>
      </c>
      <c r="AP294" t="s">
        <v>61</v>
      </c>
      <c r="AQ294" t="s">
        <v>61</v>
      </c>
      <c r="AR294" t="s">
        <v>61</v>
      </c>
      <c r="AS294" t="s">
        <v>61</v>
      </c>
      <c r="AT294" t="s">
        <v>61</v>
      </c>
      <c r="AU294" t="s">
        <v>61</v>
      </c>
      <c r="AV294" t="s">
        <v>61</v>
      </c>
      <c r="AW294" t="s">
        <v>61</v>
      </c>
      <c r="AX294" t="s">
        <v>61</v>
      </c>
      <c r="AY294" t="s">
        <v>61</v>
      </c>
      <c r="AZ294" t="s">
        <v>61</v>
      </c>
      <c r="BA294" t="s">
        <v>61</v>
      </c>
      <c r="BB294" t="s">
        <v>61</v>
      </c>
      <c r="BC294" t="s">
        <v>61</v>
      </c>
      <c r="BD294" t="s">
        <v>61</v>
      </c>
      <c r="BE294" t="s">
        <v>61</v>
      </c>
      <c r="BF294" t="s">
        <v>61</v>
      </c>
    </row>
    <row r="295" spans="1:58">
      <c r="A295" t="s">
        <v>58</v>
      </c>
      <c r="B295" t="s">
        <v>2481</v>
      </c>
      <c r="C295" t="s">
        <v>2482</v>
      </c>
      <c r="D295" t="s">
        <v>428</v>
      </c>
      <c r="E295" t="s">
        <v>61</v>
      </c>
      <c r="F295">
        <v>2010</v>
      </c>
      <c r="G295" t="s">
        <v>429</v>
      </c>
      <c r="H295">
        <v>23</v>
      </c>
      <c r="I295">
        <v>2</v>
      </c>
      <c r="J295">
        <v>151</v>
      </c>
      <c r="K295" t="s">
        <v>61</v>
      </c>
      <c r="L295" t="s">
        <v>2483</v>
      </c>
      <c r="M295" t="s">
        <v>2484</v>
      </c>
      <c r="N295" t="s">
        <v>2485</v>
      </c>
      <c r="O295" t="s">
        <v>61</v>
      </c>
      <c r="Q295" t="s">
        <v>61</v>
      </c>
      <c r="R295" t="s">
        <v>61</v>
      </c>
      <c r="S295" t="s">
        <v>61</v>
      </c>
      <c r="T295" t="s">
        <v>61</v>
      </c>
      <c r="X295" t="s">
        <v>61</v>
      </c>
      <c r="Y295" t="s">
        <v>433</v>
      </c>
      <c r="Z295" t="s">
        <v>61</v>
      </c>
      <c r="AA295" t="s">
        <v>61</v>
      </c>
      <c r="AB295" t="s">
        <v>61</v>
      </c>
      <c r="AC295" t="s">
        <v>67</v>
      </c>
      <c r="AD295" t="s">
        <v>61</v>
      </c>
      <c r="AE295" t="s">
        <v>61</v>
      </c>
      <c r="AF295" t="s">
        <v>61</v>
      </c>
      <c r="AG295" t="s">
        <v>61</v>
      </c>
      <c r="AH295" t="s">
        <v>61</v>
      </c>
      <c r="AI295" t="s">
        <v>61</v>
      </c>
      <c r="AJ295" t="s">
        <v>61</v>
      </c>
      <c r="AK295" t="s">
        <v>61</v>
      </c>
      <c r="AL295" t="s">
        <v>61</v>
      </c>
      <c r="AM295" t="s">
        <v>2482</v>
      </c>
      <c r="AN295" t="s">
        <v>61</v>
      </c>
      <c r="AO295" t="s">
        <v>61</v>
      </c>
      <c r="AP295" t="s">
        <v>61</v>
      </c>
      <c r="AQ295" t="s">
        <v>61</v>
      </c>
      <c r="AR295" t="s">
        <v>61</v>
      </c>
      <c r="AS295" t="s">
        <v>61</v>
      </c>
      <c r="AT295" t="s">
        <v>61</v>
      </c>
      <c r="AU295" t="s">
        <v>61</v>
      </c>
      <c r="AV295" t="s">
        <v>61</v>
      </c>
      <c r="AW295" t="s">
        <v>61</v>
      </c>
      <c r="AX295" t="s">
        <v>61</v>
      </c>
      <c r="AY295" t="s">
        <v>61</v>
      </c>
      <c r="AZ295" t="s">
        <v>61</v>
      </c>
      <c r="BA295" t="s">
        <v>61</v>
      </c>
      <c r="BB295" t="s">
        <v>61</v>
      </c>
      <c r="BC295" t="s">
        <v>61</v>
      </c>
      <c r="BD295" t="s">
        <v>61</v>
      </c>
      <c r="BE295" t="s">
        <v>61</v>
      </c>
      <c r="BF295" t="s">
        <v>61</v>
      </c>
    </row>
    <row r="296" spans="1:58">
      <c r="A296" t="s">
        <v>58</v>
      </c>
      <c r="B296" t="s">
        <v>2486</v>
      </c>
      <c r="C296" t="s">
        <v>2487</v>
      </c>
      <c r="D296" t="s">
        <v>2488</v>
      </c>
      <c r="E296" t="s">
        <v>61</v>
      </c>
      <c r="F296">
        <v>2009</v>
      </c>
      <c r="G296" t="s">
        <v>409</v>
      </c>
      <c r="H296">
        <v>14</v>
      </c>
      <c r="I296">
        <v>4</v>
      </c>
      <c r="J296">
        <v>162</v>
      </c>
      <c r="K296">
        <v>167</v>
      </c>
      <c r="L296" t="s">
        <v>2489</v>
      </c>
      <c r="M296" t="s">
        <v>2490</v>
      </c>
      <c r="N296" t="s">
        <v>2491</v>
      </c>
      <c r="O296" t="s">
        <v>61</v>
      </c>
      <c r="Q296" t="s">
        <v>61</v>
      </c>
      <c r="R296" t="s">
        <v>61</v>
      </c>
      <c r="S296" t="s">
        <v>61</v>
      </c>
      <c r="T296" t="s">
        <v>61</v>
      </c>
      <c r="X296" t="s">
        <v>61</v>
      </c>
      <c r="Y296" t="s">
        <v>2492</v>
      </c>
      <c r="Z296" t="s">
        <v>61</v>
      </c>
      <c r="AA296" t="s">
        <v>61</v>
      </c>
      <c r="AB296" t="s">
        <v>2493</v>
      </c>
      <c r="AC296" t="s">
        <v>67</v>
      </c>
      <c r="AD296" t="s">
        <v>61</v>
      </c>
      <c r="AE296" t="s">
        <v>61</v>
      </c>
      <c r="AF296" t="s">
        <v>61</v>
      </c>
      <c r="AG296" t="s">
        <v>61</v>
      </c>
      <c r="AH296" t="s">
        <v>61</v>
      </c>
      <c r="AI296" t="s">
        <v>61</v>
      </c>
      <c r="AJ296" t="s">
        <v>61</v>
      </c>
      <c r="AK296" t="s">
        <v>61</v>
      </c>
      <c r="AL296" t="s">
        <v>61</v>
      </c>
      <c r="AM296" t="s">
        <v>2487</v>
      </c>
      <c r="AN296" t="s">
        <v>61</v>
      </c>
      <c r="AO296" t="s">
        <v>61</v>
      </c>
      <c r="AP296" t="s">
        <v>61</v>
      </c>
      <c r="AQ296" t="s">
        <v>61</v>
      </c>
      <c r="AR296" t="s">
        <v>61</v>
      </c>
      <c r="AS296" t="s">
        <v>61</v>
      </c>
      <c r="AT296" t="s">
        <v>61</v>
      </c>
      <c r="AU296" t="s">
        <v>61</v>
      </c>
      <c r="AV296" t="s">
        <v>61</v>
      </c>
      <c r="AW296" t="s">
        <v>61</v>
      </c>
      <c r="AX296" t="s">
        <v>61</v>
      </c>
      <c r="AY296" t="s">
        <v>61</v>
      </c>
      <c r="AZ296" t="s">
        <v>61</v>
      </c>
      <c r="BA296" t="s">
        <v>61</v>
      </c>
      <c r="BB296" t="s">
        <v>61</v>
      </c>
      <c r="BC296" t="s">
        <v>61</v>
      </c>
      <c r="BD296" t="s">
        <v>61</v>
      </c>
      <c r="BE296" t="s">
        <v>61</v>
      </c>
      <c r="BF296" t="s">
        <v>61</v>
      </c>
    </row>
    <row r="297" spans="1:58">
      <c r="A297" t="s">
        <v>58</v>
      </c>
      <c r="B297" t="s">
        <v>2494</v>
      </c>
      <c r="C297" t="s">
        <v>2495</v>
      </c>
      <c r="D297" t="s">
        <v>937</v>
      </c>
      <c r="E297" t="s">
        <v>61</v>
      </c>
      <c r="F297">
        <v>2009</v>
      </c>
      <c r="G297" t="s">
        <v>457</v>
      </c>
      <c r="H297" t="s">
        <v>938</v>
      </c>
      <c r="I297" t="s">
        <v>61</v>
      </c>
      <c r="J297" t="s">
        <v>2496</v>
      </c>
      <c r="K297" t="s">
        <v>61</v>
      </c>
      <c r="L297" t="s">
        <v>2497</v>
      </c>
      <c r="M297" t="s">
        <v>2498</v>
      </c>
      <c r="N297" t="s">
        <v>2499</v>
      </c>
      <c r="O297" t="s">
        <v>61</v>
      </c>
      <c r="Q297" t="s">
        <v>61</v>
      </c>
      <c r="R297" t="s">
        <v>61</v>
      </c>
      <c r="S297" t="s">
        <v>61</v>
      </c>
      <c r="T297" t="s">
        <v>61</v>
      </c>
      <c r="X297" t="s">
        <v>61</v>
      </c>
      <c r="Y297" t="s">
        <v>367</v>
      </c>
      <c r="Z297" t="s">
        <v>61</v>
      </c>
      <c r="AA297" t="s">
        <v>61</v>
      </c>
      <c r="AB297" t="s">
        <v>61</v>
      </c>
      <c r="AC297" t="s">
        <v>67</v>
      </c>
      <c r="AD297" t="s">
        <v>61</v>
      </c>
      <c r="AE297" t="s">
        <v>61</v>
      </c>
      <c r="AF297" t="s">
        <v>61</v>
      </c>
      <c r="AG297" t="s">
        <v>61</v>
      </c>
      <c r="AH297" t="s">
        <v>61</v>
      </c>
      <c r="AI297" t="s">
        <v>61</v>
      </c>
      <c r="AJ297" t="s">
        <v>61</v>
      </c>
      <c r="AK297" t="s">
        <v>61</v>
      </c>
      <c r="AL297" t="s">
        <v>61</v>
      </c>
      <c r="AM297" t="s">
        <v>2495</v>
      </c>
      <c r="AN297" t="s">
        <v>61</v>
      </c>
      <c r="AO297" t="s">
        <v>61</v>
      </c>
      <c r="AP297" t="s">
        <v>61</v>
      </c>
      <c r="AQ297" t="s">
        <v>61</v>
      </c>
      <c r="AR297" t="s">
        <v>61</v>
      </c>
      <c r="AS297" t="s">
        <v>61</v>
      </c>
      <c r="AT297" t="s">
        <v>61</v>
      </c>
      <c r="AU297" t="s">
        <v>61</v>
      </c>
      <c r="AV297" t="s">
        <v>61</v>
      </c>
      <c r="AW297" t="s">
        <v>61</v>
      </c>
      <c r="AX297" t="s">
        <v>61</v>
      </c>
      <c r="AY297" t="s">
        <v>61</v>
      </c>
      <c r="AZ297" t="s">
        <v>61</v>
      </c>
      <c r="BA297" t="s">
        <v>61</v>
      </c>
      <c r="BB297" t="s">
        <v>61</v>
      </c>
      <c r="BC297" t="s">
        <v>61</v>
      </c>
      <c r="BD297" t="s">
        <v>61</v>
      </c>
      <c r="BE297" t="s">
        <v>61</v>
      </c>
      <c r="BF297" t="s">
        <v>61</v>
      </c>
    </row>
    <row r="298" spans="1:58">
      <c r="A298" t="s">
        <v>58</v>
      </c>
      <c r="B298" t="s">
        <v>2500</v>
      </c>
      <c r="C298" t="s">
        <v>2501</v>
      </c>
      <c r="D298" t="s">
        <v>2502</v>
      </c>
      <c r="E298" t="s">
        <v>61</v>
      </c>
      <c r="F298">
        <v>2012</v>
      </c>
      <c r="G298" t="s">
        <v>637</v>
      </c>
      <c r="H298">
        <v>4</v>
      </c>
      <c r="I298">
        <v>4</v>
      </c>
      <c r="J298">
        <v>249</v>
      </c>
      <c r="K298">
        <v>254</v>
      </c>
      <c r="L298" t="s">
        <v>2503</v>
      </c>
      <c r="M298" t="s">
        <v>2504</v>
      </c>
      <c r="N298" t="s">
        <v>2505</v>
      </c>
      <c r="O298" t="s">
        <v>61</v>
      </c>
      <c r="Q298" t="s">
        <v>61</v>
      </c>
      <c r="R298" t="s">
        <v>61</v>
      </c>
      <c r="S298" t="s">
        <v>61</v>
      </c>
      <c r="T298" t="s">
        <v>61</v>
      </c>
      <c r="X298" t="s">
        <v>61</v>
      </c>
      <c r="Y298" t="s">
        <v>2506</v>
      </c>
      <c r="Z298" t="s">
        <v>61</v>
      </c>
      <c r="AA298" t="s">
        <v>61</v>
      </c>
      <c r="AB298" t="s">
        <v>2507</v>
      </c>
      <c r="AC298" t="s">
        <v>67</v>
      </c>
      <c r="AD298" t="s">
        <v>61</v>
      </c>
      <c r="AE298" t="s">
        <v>61</v>
      </c>
      <c r="AF298" t="s">
        <v>61</v>
      </c>
      <c r="AG298" t="s">
        <v>61</v>
      </c>
      <c r="AH298" t="s">
        <v>61</v>
      </c>
      <c r="AI298" t="s">
        <v>61</v>
      </c>
      <c r="AJ298" t="s">
        <v>61</v>
      </c>
      <c r="AK298" t="s">
        <v>61</v>
      </c>
      <c r="AL298" t="s">
        <v>61</v>
      </c>
      <c r="AM298" t="s">
        <v>2501</v>
      </c>
      <c r="AN298" t="s">
        <v>61</v>
      </c>
      <c r="AO298" t="s">
        <v>61</v>
      </c>
      <c r="AP298" t="s">
        <v>61</v>
      </c>
      <c r="AQ298" t="s">
        <v>61</v>
      </c>
      <c r="AR298" t="s">
        <v>61</v>
      </c>
      <c r="AS298" t="s">
        <v>61</v>
      </c>
      <c r="AT298" t="s">
        <v>61</v>
      </c>
      <c r="AU298" t="s">
        <v>61</v>
      </c>
      <c r="AV298" t="s">
        <v>61</v>
      </c>
      <c r="AW298" t="s">
        <v>61</v>
      </c>
      <c r="AX298" t="s">
        <v>61</v>
      </c>
      <c r="AY298" t="s">
        <v>61</v>
      </c>
      <c r="AZ298" t="s">
        <v>61</v>
      </c>
      <c r="BA298" t="s">
        <v>61</v>
      </c>
      <c r="BB298" t="s">
        <v>61</v>
      </c>
      <c r="BC298" t="s">
        <v>61</v>
      </c>
      <c r="BD298" t="s">
        <v>61</v>
      </c>
      <c r="BE298" t="s">
        <v>61</v>
      </c>
      <c r="BF298" t="s">
        <v>61</v>
      </c>
    </row>
    <row r="299" spans="1:58">
      <c r="A299" t="s">
        <v>58</v>
      </c>
      <c r="B299" t="s">
        <v>2508</v>
      </c>
      <c r="C299" t="s">
        <v>2509</v>
      </c>
      <c r="D299" t="s">
        <v>2510</v>
      </c>
      <c r="E299" t="s">
        <v>61</v>
      </c>
      <c r="F299">
        <v>1978</v>
      </c>
      <c r="G299" t="s">
        <v>61</v>
      </c>
      <c r="H299">
        <v>45</v>
      </c>
      <c r="I299">
        <v>4</v>
      </c>
      <c r="J299">
        <v>561</v>
      </c>
      <c r="K299">
        <v>580</v>
      </c>
      <c r="L299" t="s">
        <v>2511</v>
      </c>
      <c r="M299" t="s">
        <v>2512</v>
      </c>
      <c r="N299" t="s">
        <v>2513</v>
      </c>
      <c r="O299" t="s">
        <v>61</v>
      </c>
      <c r="Q299" t="s">
        <v>61</v>
      </c>
      <c r="R299" t="s">
        <v>61</v>
      </c>
      <c r="S299" t="s">
        <v>61</v>
      </c>
      <c r="T299" t="s">
        <v>61</v>
      </c>
      <c r="X299" t="s">
        <v>61</v>
      </c>
      <c r="Y299" t="s">
        <v>2514</v>
      </c>
      <c r="Z299" t="s">
        <v>61</v>
      </c>
      <c r="AA299" t="s">
        <v>61</v>
      </c>
      <c r="AB299">
        <v>1979039299</v>
      </c>
      <c r="AC299" t="s">
        <v>67</v>
      </c>
      <c r="AD299" t="s">
        <v>61</v>
      </c>
      <c r="AE299" t="s">
        <v>61</v>
      </c>
      <c r="AF299" t="s">
        <v>61</v>
      </c>
      <c r="AG299" t="s">
        <v>2515</v>
      </c>
      <c r="AH299" t="s">
        <v>61</v>
      </c>
      <c r="AI299" t="s">
        <v>61</v>
      </c>
      <c r="AJ299" t="s">
        <v>61</v>
      </c>
      <c r="AK299" t="s">
        <v>61</v>
      </c>
      <c r="AL299" t="s">
        <v>61</v>
      </c>
      <c r="AM299" t="s">
        <v>2516</v>
      </c>
      <c r="AN299" t="s">
        <v>61</v>
      </c>
      <c r="AO299" t="s">
        <v>61</v>
      </c>
      <c r="AP299" t="s">
        <v>61</v>
      </c>
      <c r="AQ299" t="s">
        <v>61</v>
      </c>
      <c r="AR299" t="s">
        <v>61</v>
      </c>
      <c r="AS299" t="s">
        <v>61</v>
      </c>
      <c r="AT299" t="s">
        <v>61</v>
      </c>
      <c r="AU299" t="s">
        <v>61</v>
      </c>
      <c r="AV299" t="s">
        <v>61</v>
      </c>
      <c r="AW299" t="s">
        <v>61</v>
      </c>
      <c r="AX299" t="s">
        <v>61</v>
      </c>
      <c r="AY299" t="s">
        <v>61</v>
      </c>
      <c r="AZ299" t="s">
        <v>61</v>
      </c>
      <c r="BA299" t="s">
        <v>61</v>
      </c>
      <c r="BB299" t="s">
        <v>61</v>
      </c>
      <c r="BC299" t="s">
        <v>61</v>
      </c>
      <c r="BD299" t="s">
        <v>61</v>
      </c>
      <c r="BE299" t="s">
        <v>61</v>
      </c>
      <c r="BF299" t="s">
        <v>61</v>
      </c>
    </row>
    <row r="300" spans="1:58">
      <c r="A300" t="s">
        <v>58</v>
      </c>
      <c r="B300" t="s">
        <v>2517</v>
      </c>
      <c r="C300" t="s">
        <v>2518</v>
      </c>
      <c r="D300" t="s">
        <v>598</v>
      </c>
      <c r="E300" t="s">
        <v>599</v>
      </c>
      <c r="F300">
        <v>2013</v>
      </c>
      <c r="G300" t="s">
        <v>851</v>
      </c>
      <c r="H300">
        <v>71</v>
      </c>
      <c r="I300">
        <v>6</v>
      </c>
      <c r="J300">
        <v>410</v>
      </c>
      <c r="K300">
        <v>417</v>
      </c>
      <c r="L300" t="s">
        <v>2519</v>
      </c>
      <c r="M300" t="s">
        <v>2520</v>
      </c>
      <c r="N300" t="s">
        <v>2521</v>
      </c>
      <c r="O300" t="s">
        <v>61</v>
      </c>
      <c r="Q300" t="s">
        <v>61</v>
      </c>
      <c r="R300" t="s">
        <v>61</v>
      </c>
      <c r="S300" t="s">
        <v>61</v>
      </c>
      <c r="T300" t="s">
        <v>61</v>
      </c>
      <c r="X300" t="s">
        <v>61</v>
      </c>
      <c r="Y300" s="2">
        <v>952979</v>
      </c>
      <c r="Z300" t="s">
        <v>61</v>
      </c>
      <c r="AA300" t="s">
        <v>2522</v>
      </c>
      <c r="AB300">
        <v>24206593</v>
      </c>
      <c r="AC300" t="s">
        <v>67</v>
      </c>
      <c r="AD300" t="s">
        <v>61</v>
      </c>
      <c r="AE300" t="s">
        <v>61</v>
      </c>
      <c r="AF300" t="s">
        <v>61</v>
      </c>
      <c r="AG300" t="s">
        <v>2523</v>
      </c>
      <c r="AH300" t="s">
        <v>61</v>
      </c>
      <c r="AI300" t="s">
        <v>2524</v>
      </c>
      <c r="AJ300" t="s">
        <v>61</v>
      </c>
      <c r="AK300" t="s">
        <v>61</v>
      </c>
      <c r="AL300" t="s">
        <v>61</v>
      </c>
      <c r="AM300" t="s">
        <v>2525</v>
      </c>
      <c r="AN300" t="s">
        <v>61</v>
      </c>
      <c r="AO300" t="s">
        <v>61</v>
      </c>
      <c r="AP300" t="s">
        <v>61</v>
      </c>
      <c r="AQ300" t="s">
        <v>61</v>
      </c>
      <c r="AR300" t="s">
        <v>61</v>
      </c>
      <c r="AS300" t="s">
        <v>61</v>
      </c>
      <c r="AT300" t="s">
        <v>61</v>
      </c>
      <c r="AU300" t="s">
        <v>61</v>
      </c>
      <c r="AV300" t="s">
        <v>61</v>
      </c>
      <c r="AW300" t="s">
        <v>61</v>
      </c>
      <c r="AX300" t="s">
        <v>61</v>
      </c>
      <c r="AY300" t="s">
        <v>61</v>
      </c>
      <c r="AZ300" t="s">
        <v>61</v>
      </c>
      <c r="BA300" t="s">
        <v>61</v>
      </c>
      <c r="BB300" t="s">
        <v>61</v>
      </c>
      <c r="BC300" t="s">
        <v>61</v>
      </c>
      <c r="BD300" t="s">
        <v>61</v>
      </c>
      <c r="BE300" t="s">
        <v>61</v>
      </c>
      <c r="BF300" t="s">
        <v>61</v>
      </c>
    </row>
    <row r="301" spans="1:58">
      <c r="A301" t="s">
        <v>58</v>
      </c>
      <c r="B301" t="s">
        <v>2526</v>
      </c>
      <c r="C301" t="s">
        <v>2527</v>
      </c>
      <c r="D301" t="s">
        <v>598</v>
      </c>
      <c r="E301" t="s">
        <v>599</v>
      </c>
      <c r="F301">
        <v>2012</v>
      </c>
      <c r="G301" t="s">
        <v>237</v>
      </c>
      <c r="H301">
        <v>70</v>
      </c>
      <c r="I301">
        <v>4</v>
      </c>
      <c r="J301">
        <v>213</v>
      </c>
      <c r="K301">
        <v>218</v>
      </c>
      <c r="L301" t="s">
        <v>2528</v>
      </c>
      <c r="M301" t="s">
        <v>2529</v>
      </c>
      <c r="N301" t="s">
        <v>2530</v>
      </c>
      <c r="O301" t="s">
        <v>61</v>
      </c>
      <c r="Q301" t="s">
        <v>61</v>
      </c>
      <c r="R301" t="s">
        <v>61</v>
      </c>
      <c r="S301" t="s">
        <v>61</v>
      </c>
      <c r="T301" t="s">
        <v>61</v>
      </c>
      <c r="X301" t="s">
        <v>61</v>
      </c>
      <c r="Y301" s="2">
        <v>952979</v>
      </c>
      <c r="Z301" t="s">
        <v>61</v>
      </c>
      <c r="AA301" t="s">
        <v>2531</v>
      </c>
      <c r="AB301">
        <v>22818263</v>
      </c>
      <c r="AC301" t="s">
        <v>67</v>
      </c>
      <c r="AD301" t="s">
        <v>61</v>
      </c>
      <c r="AE301" t="s">
        <v>61</v>
      </c>
      <c r="AF301" t="s">
        <v>61</v>
      </c>
      <c r="AG301" t="s">
        <v>2532</v>
      </c>
      <c r="AH301" t="s">
        <v>61</v>
      </c>
      <c r="AI301" t="s">
        <v>2533</v>
      </c>
      <c r="AJ301" t="s">
        <v>61</v>
      </c>
      <c r="AK301" t="s">
        <v>61</v>
      </c>
      <c r="AL301" t="s">
        <v>61</v>
      </c>
      <c r="AM301" t="s">
        <v>2534</v>
      </c>
      <c r="AN301" t="s">
        <v>61</v>
      </c>
      <c r="AO301" t="s">
        <v>61</v>
      </c>
      <c r="AP301" t="s">
        <v>61</v>
      </c>
      <c r="AQ301" t="s">
        <v>61</v>
      </c>
      <c r="AR301" t="s">
        <v>61</v>
      </c>
      <c r="AS301" t="s">
        <v>61</v>
      </c>
      <c r="AT301" t="s">
        <v>61</v>
      </c>
      <c r="AU301" t="s">
        <v>61</v>
      </c>
      <c r="AV301" t="s">
        <v>61</v>
      </c>
      <c r="AW301" t="s">
        <v>61</v>
      </c>
      <c r="AX301" t="s">
        <v>61</v>
      </c>
      <c r="AY301" t="s">
        <v>61</v>
      </c>
      <c r="AZ301" t="s">
        <v>61</v>
      </c>
      <c r="BA301" t="s">
        <v>61</v>
      </c>
      <c r="BB301" t="s">
        <v>61</v>
      </c>
      <c r="BC301" t="s">
        <v>61</v>
      </c>
      <c r="BD301" t="s">
        <v>61</v>
      </c>
      <c r="BE301" t="s">
        <v>61</v>
      </c>
      <c r="BF301" t="s">
        <v>61</v>
      </c>
    </row>
    <row r="302" spans="1:58">
      <c r="A302" t="s">
        <v>58</v>
      </c>
      <c r="B302" t="s">
        <v>2535</v>
      </c>
      <c r="C302" t="s">
        <v>2536</v>
      </c>
      <c r="D302" t="s">
        <v>408</v>
      </c>
      <c r="E302" t="s">
        <v>408</v>
      </c>
      <c r="F302">
        <v>2012</v>
      </c>
      <c r="G302" t="s">
        <v>645</v>
      </c>
      <c r="H302">
        <v>32</v>
      </c>
      <c r="I302">
        <v>10</v>
      </c>
      <c r="J302" t="s">
        <v>2537</v>
      </c>
      <c r="K302" t="s">
        <v>61</v>
      </c>
      <c r="L302" t="s">
        <v>2538</v>
      </c>
      <c r="M302" t="s">
        <v>2539</v>
      </c>
      <c r="N302" t="s">
        <v>2540</v>
      </c>
      <c r="O302" t="s">
        <v>61</v>
      </c>
      <c r="Q302" t="s">
        <v>61</v>
      </c>
      <c r="R302" t="s">
        <v>61</v>
      </c>
      <c r="S302" t="s">
        <v>61</v>
      </c>
      <c r="T302" t="s">
        <v>61</v>
      </c>
      <c r="X302" t="s">
        <v>61</v>
      </c>
      <c r="Y302" t="s">
        <v>414</v>
      </c>
      <c r="Z302" t="s">
        <v>61</v>
      </c>
      <c r="AA302" t="s">
        <v>61</v>
      </c>
      <c r="AB302" t="s">
        <v>61</v>
      </c>
      <c r="AC302" t="s">
        <v>67</v>
      </c>
      <c r="AD302" t="s">
        <v>61</v>
      </c>
      <c r="AE302" t="s">
        <v>61</v>
      </c>
      <c r="AF302" t="s">
        <v>61</v>
      </c>
      <c r="AG302" t="s">
        <v>61</v>
      </c>
      <c r="AH302" t="s">
        <v>61</v>
      </c>
      <c r="AI302" t="s">
        <v>61</v>
      </c>
      <c r="AJ302" t="s">
        <v>61</v>
      </c>
      <c r="AK302" t="s">
        <v>61</v>
      </c>
      <c r="AL302" t="s">
        <v>61</v>
      </c>
      <c r="AM302" t="s">
        <v>2536</v>
      </c>
      <c r="AN302" t="s">
        <v>61</v>
      </c>
      <c r="AO302" t="s">
        <v>61</v>
      </c>
      <c r="AP302" t="s">
        <v>61</v>
      </c>
      <c r="AQ302" t="s">
        <v>61</v>
      </c>
      <c r="AR302" t="s">
        <v>61</v>
      </c>
      <c r="AS302" t="s">
        <v>61</v>
      </c>
      <c r="AT302" t="s">
        <v>61</v>
      </c>
      <c r="AU302" t="s">
        <v>61</v>
      </c>
      <c r="AV302" t="s">
        <v>61</v>
      </c>
      <c r="AW302" t="s">
        <v>61</v>
      </c>
      <c r="AX302" t="s">
        <v>61</v>
      </c>
      <c r="AY302" t="s">
        <v>61</v>
      </c>
      <c r="AZ302" t="s">
        <v>61</v>
      </c>
      <c r="BA302" t="s">
        <v>61</v>
      </c>
      <c r="BB302" t="s">
        <v>61</v>
      </c>
      <c r="BC302" t="s">
        <v>61</v>
      </c>
      <c r="BD302" t="s">
        <v>61</v>
      </c>
      <c r="BE302" t="s">
        <v>61</v>
      </c>
      <c r="BF302" t="s">
        <v>61</v>
      </c>
    </row>
    <row r="303" spans="1:58">
      <c r="A303" t="s">
        <v>58</v>
      </c>
      <c r="B303" t="s">
        <v>2541</v>
      </c>
      <c r="C303" t="s">
        <v>2542</v>
      </c>
      <c r="D303" t="s">
        <v>408</v>
      </c>
      <c r="E303" t="s">
        <v>408</v>
      </c>
      <c r="F303">
        <v>2012</v>
      </c>
      <c r="G303" t="s">
        <v>645</v>
      </c>
      <c r="H303">
        <v>32</v>
      </c>
      <c r="I303">
        <v>10</v>
      </c>
      <c r="J303" t="s">
        <v>2543</v>
      </c>
      <c r="K303" t="s">
        <v>61</v>
      </c>
      <c r="L303" t="s">
        <v>2544</v>
      </c>
      <c r="M303" t="s">
        <v>2545</v>
      </c>
      <c r="N303" t="s">
        <v>2546</v>
      </c>
      <c r="O303" t="s">
        <v>61</v>
      </c>
      <c r="Q303" t="s">
        <v>61</v>
      </c>
      <c r="R303" t="s">
        <v>61</v>
      </c>
      <c r="S303" t="s">
        <v>61</v>
      </c>
      <c r="T303" t="s">
        <v>61</v>
      </c>
      <c r="X303" t="s">
        <v>61</v>
      </c>
      <c r="Y303" t="s">
        <v>414</v>
      </c>
      <c r="Z303" t="s">
        <v>61</v>
      </c>
      <c r="AA303" t="s">
        <v>61</v>
      </c>
      <c r="AB303" t="s">
        <v>61</v>
      </c>
      <c r="AC303" t="s">
        <v>67</v>
      </c>
      <c r="AD303" t="s">
        <v>61</v>
      </c>
      <c r="AE303" t="s">
        <v>61</v>
      </c>
      <c r="AF303" t="s">
        <v>61</v>
      </c>
      <c r="AG303" t="s">
        <v>61</v>
      </c>
      <c r="AH303" t="s">
        <v>61</v>
      </c>
      <c r="AI303" t="s">
        <v>61</v>
      </c>
      <c r="AJ303" t="s">
        <v>61</v>
      </c>
      <c r="AK303" t="s">
        <v>61</v>
      </c>
      <c r="AL303" t="s">
        <v>61</v>
      </c>
      <c r="AM303" t="s">
        <v>2542</v>
      </c>
      <c r="AN303" t="s">
        <v>61</v>
      </c>
      <c r="AO303" t="s">
        <v>61</v>
      </c>
      <c r="AP303" t="s">
        <v>61</v>
      </c>
      <c r="AQ303" t="s">
        <v>61</v>
      </c>
      <c r="AR303" t="s">
        <v>61</v>
      </c>
      <c r="AS303" t="s">
        <v>61</v>
      </c>
      <c r="AT303" t="s">
        <v>61</v>
      </c>
      <c r="AU303" t="s">
        <v>61</v>
      </c>
      <c r="AV303" t="s">
        <v>61</v>
      </c>
      <c r="AW303" t="s">
        <v>61</v>
      </c>
      <c r="AX303" t="s">
        <v>61</v>
      </c>
      <c r="AY303" t="s">
        <v>61</v>
      </c>
      <c r="AZ303" t="s">
        <v>61</v>
      </c>
      <c r="BA303" t="s">
        <v>61</v>
      </c>
      <c r="BB303" t="s">
        <v>61</v>
      </c>
      <c r="BC303" t="s">
        <v>61</v>
      </c>
      <c r="BD303" t="s">
        <v>61</v>
      </c>
      <c r="BE303" t="s">
        <v>61</v>
      </c>
      <c r="BF303" t="s">
        <v>61</v>
      </c>
    </row>
    <row r="304" spans="1:58">
      <c r="A304" t="s">
        <v>58</v>
      </c>
      <c r="B304" t="s">
        <v>2547</v>
      </c>
      <c r="C304" t="s">
        <v>2548</v>
      </c>
      <c r="D304" t="s">
        <v>1739</v>
      </c>
      <c r="E304" t="s">
        <v>1740</v>
      </c>
      <c r="F304">
        <v>1990</v>
      </c>
      <c r="G304" t="s">
        <v>851</v>
      </c>
      <c r="H304">
        <v>47</v>
      </c>
      <c r="I304">
        <v>11</v>
      </c>
      <c r="J304">
        <v>2520</v>
      </c>
      <c r="K304">
        <v>2522</v>
      </c>
      <c r="L304" t="s">
        <v>2549</v>
      </c>
      <c r="M304" t="s">
        <v>61</v>
      </c>
      <c r="N304" t="s">
        <v>2550</v>
      </c>
      <c r="O304" t="s">
        <v>61</v>
      </c>
      <c r="Q304" t="s">
        <v>61</v>
      </c>
      <c r="R304" t="s">
        <v>61</v>
      </c>
      <c r="S304" t="s">
        <v>61</v>
      </c>
      <c r="T304" t="s">
        <v>61</v>
      </c>
      <c r="X304" t="s">
        <v>61</v>
      </c>
      <c r="Y304" s="2">
        <v>2698811</v>
      </c>
      <c r="Z304" t="s">
        <v>61</v>
      </c>
      <c r="AA304" t="s">
        <v>2551</v>
      </c>
      <c r="AB304">
        <v>2278266</v>
      </c>
      <c r="AC304" t="s">
        <v>67</v>
      </c>
      <c r="AD304" t="s">
        <v>61</v>
      </c>
      <c r="AE304" t="s">
        <v>61</v>
      </c>
      <c r="AF304" t="s">
        <v>61</v>
      </c>
      <c r="AG304" t="s">
        <v>2552</v>
      </c>
      <c r="AH304" t="s">
        <v>61</v>
      </c>
      <c r="AI304" t="s">
        <v>61</v>
      </c>
      <c r="AJ304" t="s">
        <v>61</v>
      </c>
      <c r="AK304" t="s">
        <v>61</v>
      </c>
      <c r="AL304" t="s">
        <v>61</v>
      </c>
      <c r="AM304" t="s">
        <v>2553</v>
      </c>
      <c r="AN304" t="s">
        <v>61</v>
      </c>
      <c r="AO304" t="s">
        <v>61</v>
      </c>
      <c r="AP304" t="s">
        <v>61</v>
      </c>
      <c r="AQ304" t="s">
        <v>61</v>
      </c>
      <c r="AR304" t="s">
        <v>61</v>
      </c>
      <c r="AS304" t="s">
        <v>61</v>
      </c>
      <c r="AT304" t="s">
        <v>61</v>
      </c>
      <c r="AU304" t="s">
        <v>61</v>
      </c>
      <c r="AV304" t="s">
        <v>61</v>
      </c>
      <c r="AW304" t="s">
        <v>61</v>
      </c>
      <c r="AX304" t="s">
        <v>61</v>
      </c>
      <c r="AY304" t="s">
        <v>61</v>
      </c>
      <c r="AZ304" t="s">
        <v>61</v>
      </c>
      <c r="BA304" t="s">
        <v>61</v>
      </c>
      <c r="BB304" t="s">
        <v>61</v>
      </c>
      <c r="BC304" t="s">
        <v>61</v>
      </c>
      <c r="BD304" t="s">
        <v>61</v>
      </c>
      <c r="BE304" t="s">
        <v>61</v>
      </c>
      <c r="BF304" t="s">
        <v>61</v>
      </c>
    </row>
    <row r="305" spans="1:58">
      <c r="A305" t="s">
        <v>58</v>
      </c>
      <c r="B305" t="s">
        <v>2554</v>
      </c>
      <c r="C305" t="s">
        <v>2555</v>
      </c>
      <c r="D305" t="s">
        <v>2556</v>
      </c>
      <c r="E305" t="s">
        <v>61</v>
      </c>
      <c r="F305">
        <v>2014</v>
      </c>
      <c r="G305" t="s">
        <v>61</v>
      </c>
      <c r="H305">
        <v>50</v>
      </c>
      <c r="I305">
        <v>1</v>
      </c>
      <c r="J305">
        <v>185</v>
      </c>
      <c r="K305">
        <v>193</v>
      </c>
      <c r="L305" t="s">
        <v>2557</v>
      </c>
      <c r="M305" t="s">
        <v>2558</v>
      </c>
      <c r="N305" t="s">
        <v>2559</v>
      </c>
      <c r="O305" t="s">
        <v>61</v>
      </c>
      <c r="Q305" t="s">
        <v>61</v>
      </c>
      <c r="R305" t="s">
        <v>61</v>
      </c>
      <c r="S305" t="s">
        <v>61</v>
      </c>
      <c r="T305" t="s">
        <v>61</v>
      </c>
      <c r="X305" t="s">
        <v>61</v>
      </c>
      <c r="Y305" t="s">
        <v>2560</v>
      </c>
      <c r="Z305" t="s">
        <v>61</v>
      </c>
      <c r="AA305" t="s">
        <v>61</v>
      </c>
      <c r="AB305" t="s">
        <v>2561</v>
      </c>
      <c r="AC305" t="s">
        <v>67</v>
      </c>
      <c r="AD305" t="s">
        <v>61</v>
      </c>
      <c r="AE305" t="s">
        <v>61</v>
      </c>
      <c r="AF305" t="s">
        <v>61</v>
      </c>
      <c r="AG305" t="s">
        <v>61</v>
      </c>
      <c r="AH305" t="s">
        <v>61</v>
      </c>
      <c r="AI305" t="s">
        <v>61</v>
      </c>
      <c r="AJ305" t="s">
        <v>61</v>
      </c>
      <c r="AK305" t="s">
        <v>61</v>
      </c>
      <c r="AL305" t="s">
        <v>61</v>
      </c>
      <c r="AM305" t="s">
        <v>2555</v>
      </c>
      <c r="AN305" t="s">
        <v>61</v>
      </c>
      <c r="AO305" t="s">
        <v>61</v>
      </c>
      <c r="AP305" t="s">
        <v>61</v>
      </c>
      <c r="AQ305" t="s">
        <v>61</v>
      </c>
      <c r="AR305" t="s">
        <v>61</v>
      </c>
      <c r="AS305" t="s">
        <v>61</v>
      </c>
      <c r="AT305" t="s">
        <v>61</v>
      </c>
      <c r="AU305" t="s">
        <v>61</v>
      </c>
      <c r="AV305" t="s">
        <v>61</v>
      </c>
      <c r="AW305" t="s">
        <v>61</v>
      </c>
      <c r="AX305" t="s">
        <v>61</v>
      </c>
      <c r="AY305" t="s">
        <v>61</v>
      </c>
      <c r="AZ305" t="s">
        <v>61</v>
      </c>
      <c r="BA305" t="s">
        <v>61</v>
      </c>
      <c r="BB305" t="s">
        <v>61</v>
      </c>
      <c r="BC305" t="s">
        <v>61</v>
      </c>
      <c r="BD305" t="s">
        <v>61</v>
      </c>
      <c r="BE305" t="s">
        <v>61</v>
      </c>
      <c r="BF305" t="s">
        <v>61</v>
      </c>
    </row>
    <row r="306" spans="1:58">
      <c r="A306" t="s">
        <v>58</v>
      </c>
      <c r="B306" t="s">
        <v>2562</v>
      </c>
      <c r="C306" t="s">
        <v>2563</v>
      </c>
      <c r="D306" t="s">
        <v>2564</v>
      </c>
      <c r="E306" t="s">
        <v>61</v>
      </c>
      <c r="F306">
        <v>2014</v>
      </c>
      <c r="G306" t="s">
        <v>129</v>
      </c>
      <c r="H306">
        <v>48</v>
      </c>
      <c r="I306">
        <v>4</v>
      </c>
      <c r="J306">
        <v>500</v>
      </c>
      <c r="K306">
        <v>509</v>
      </c>
      <c r="L306" t="s">
        <v>2565</v>
      </c>
      <c r="M306" t="s">
        <v>2566</v>
      </c>
      <c r="N306" t="s">
        <v>2567</v>
      </c>
      <c r="O306" t="s">
        <v>61</v>
      </c>
      <c r="Q306" t="s">
        <v>61</v>
      </c>
      <c r="R306" t="s">
        <v>61</v>
      </c>
      <c r="S306" t="s">
        <v>61</v>
      </c>
      <c r="T306" t="s">
        <v>61</v>
      </c>
      <c r="X306" t="s">
        <v>61</v>
      </c>
      <c r="Y306" t="s">
        <v>2568</v>
      </c>
      <c r="Z306" t="s">
        <v>61</v>
      </c>
      <c r="AA306" t="s">
        <v>2569</v>
      </c>
      <c r="AB306">
        <v>24726204</v>
      </c>
      <c r="AC306" t="s">
        <v>67</v>
      </c>
      <c r="AD306" t="s">
        <v>61</v>
      </c>
      <c r="AE306" t="s">
        <v>61</v>
      </c>
      <c r="AF306" t="s">
        <v>61</v>
      </c>
      <c r="AG306" t="s">
        <v>2570</v>
      </c>
      <c r="AH306" t="s">
        <v>61</v>
      </c>
      <c r="AI306" t="s">
        <v>2571</v>
      </c>
      <c r="AJ306" t="s">
        <v>61</v>
      </c>
      <c r="AK306" t="s">
        <v>61</v>
      </c>
      <c r="AL306" t="s">
        <v>61</v>
      </c>
      <c r="AM306" t="s">
        <v>2572</v>
      </c>
      <c r="AN306" t="s">
        <v>61</v>
      </c>
      <c r="AO306" t="s">
        <v>61</v>
      </c>
      <c r="AP306" t="s">
        <v>61</v>
      </c>
      <c r="AQ306" t="s">
        <v>61</v>
      </c>
      <c r="AR306" t="s">
        <v>61</v>
      </c>
      <c r="AS306" t="s">
        <v>61</v>
      </c>
      <c r="AT306" t="s">
        <v>61</v>
      </c>
      <c r="AU306" t="s">
        <v>61</v>
      </c>
      <c r="AV306" t="s">
        <v>61</v>
      </c>
      <c r="AW306" t="s">
        <v>61</v>
      </c>
      <c r="AX306" t="s">
        <v>61</v>
      </c>
      <c r="AY306" t="s">
        <v>61</v>
      </c>
      <c r="AZ306" t="s">
        <v>61</v>
      </c>
      <c r="BA306" t="s">
        <v>61</v>
      </c>
      <c r="BB306" t="s">
        <v>61</v>
      </c>
      <c r="BC306" t="s">
        <v>61</v>
      </c>
      <c r="BD306" t="s">
        <v>61</v>
      </c>
      <c r="BE306" t="s">
        <v>61</v>
      </c>
      <c r="BF306" t="s">
        <v>61</v>
      </c>
    </row>
    <row r="307" spans="1:58">
      <c r="A307" t="s">
        <v>58</v>
      </c>
      <c r="B307" t="s">
        <v>2573</v>
      </c>
      <c r="C307" t="s">
        <v>2574</v>
      </c>
      <c r="D307" t="s">
        <v>475</v>
      </c>
      <c r="E307" t="s">
        <v>61</v>
      </c>
      <c r="F307">
        <v>2016</v>
      </c>
      <c r="G307">
        <v>1</v>
      </c>
      <c r="H307">
        <v>38</v>
      </c>
      <c r="I307">
        <v>1</v>
      </c>
      <c r="J307">
        <v>88</v>
      </c>
      <c r="K307">
        <v>95</v>
      </c>
      <c r="L307" t="s">
        <v>2575</v>
      </c>
      <c r="M307" t="s">
        <v>2576</v>
      </c>
      <c r="N307" t="s">
        <v>2577</v>
      </c>
      <c r="O307" t="s">
        <v>61</v>
      </c>
      <c r="Q307" t="s">
        <v>61</v>
      </c>
      <c r="R307" t="s">
        <v>61</v>
      </c>
      <c r="S307" t="s">
        <v>61</v>
      </c>
      <c r="T307" t="s">
        <v>61</v>
      </c>
      <c r="X307" t="s">
        <v>61</v>
      </c>
      <c r="Y307" t="s">
        <v>2578</v>
      </c>
      <c r="Z307" t="s">
        <v>61</v>
      </c>
      <c r="AA307" t="s">
        <v>61</v>
      </c>
      <c r="AB307" t="s">
        <v>2579</v>
      </c>
      <c r="AC307" t="s">
        <v>67</v>
      </c>
      <c r="AD307" t="s">
        <v>61</v>
      </c>
      <c r="AE307" t="s">
        <v>61</v>
      </c>
      <c r="AF307" t="s">
        <v>61</v>
      </c>
      <c r="AG307" t="s">
        <v>61</v>
      </c>
      <c r="AH307" t="s">
        <v>61</v>
      </c>
      <c r="AI307" t="s">
        <v>61</v>
      </c>
      <c r="AJ307" t="s">
        <v>61</v>
      </c>
      <c r="AK307" t="s">
        <v>61</v>
      </c>
      <c r="AL307" t="s">
        <v>61</v>
      </c>
      <c r="AM307" t="s">
        <v>2574</v>
      </c>
      <c r="AN307" t="s">
        <v>61</v>
      </c>
      <c r="AO307" t="s">
        <v>61</v>
      </c>
      <c r="AP307" t="s">
        <v>61</v>
      </c>
      <c r="AQ307" t="s">
        <v>61</v>
      </c>
      <c r="AR307" t="s">
        <v>61</v>
      </c>
      <c r="AS307" t="s">
        <v>61</v>
      </c>
      <c r="AT307" t="s">
        <v>61</v>
      </c>
      <c r="AU307" t="s">
        <v>61</v>
      </c>
      <c r="AV307" t="s">
        <v>61</v>
      </c>
      <c r="AW307" t="s">
        <v>61</v>
      </c>
      <c r="AX307" t="s">
        <v>61</v>
      </c>
      <c r="AY307" t="s">
        <v>61</v>
      </c>
      <c r="AZ307" t="s">
        <v>61</v>
      </c>
      <c r="BA307" t="s">
        <v>61</v>
      </c>
      <c r="BB307" t="s">
        <v>61</v>
      </c>
      <c r="BC307" t="s">
        <v>61</v>
      </c>
      <c r="BD307" t="s">
        <v>61</v>
      </c>
      <c r="BE307" t="s">
        <v>61</v>
      </c>
      <c r="BF307" t="s">
        <v>61</v>
      </c>
    </row>
    <row r="308" spans="1:58">
      <c r="A308" t="s">
        <v>58</v>
      </c>
      <c r="B308" t="s">
        <v>2580</v>
      </c>
      <c r="C308" t="s">
        <v>2581</v>
      </c>
      <c r="D308" t="s">
        <v>2582</v>
      </c>
      <c r="E308" t="s">
        <v>61</v>
      </c>
      <c r="F308">
        <v>2000</v>
      </c>
      <c r="G308" t="s">
        <v>61</v>
      </c>
      <c r="H308">
        <v>25</v>
      </c>
      <c r="I308">
        <v>6</v>
      </c>
      <c r="J308">
        <v>453</v>
      </c>
      <c r="K308" t="s">
        <v>2583</v>
      </c>
      <c r="L308" t="s">
        <v>2584</v>
      </c>
      <c r="M308" t="s">
        <v>2585</v>
      </c>
      <c r="N308" t="s">
        <v>2586</v>
      </c>
      <c r="O308" t="s">
        <v>61</v>
      </c>
      <c r="Q308" t="s">
        <v>61</v>
      </c>
      <c r="R308" t="s">
        <v>61</v>
      </c>
      <c r="S308" t="s">
        <v>61</v>
      </c>
      <c r="T308" t="s">
        <v>61</v>
      </c>
      <c r="X308" t="s">
        <v>61</v>
      </c>
      <c r="Y308" t="s">
        <v>2587</v>
      </c>
      <c r="Z308" t="s">
        <v>61</v>
      </c>
      <c r="AA308" t="s">
        <v>2588</v>
      </c>
      <c r="AB308">
        <v>106842001</v>
      </c>
      <c r="AC308" t="s">
        <v>67</v>
      </c>
      <c r="AD308" t="s">
        <v>61</v>
      </c>
      <c r="AE308" t="s">
        <v>61</v>
      </c>
      <c r="AF308" t="s">
        <v>61</v>
      </c>
      <c r="AG308" t="s">
        <v>2589</v>
      </c>
      <c r="AH308" t="s">
        <v>61</v>
      </c>
      <c r="AI308" t="s">
        <v>61</v>
      </c>
      <c r="AJ308" t="s">
        <v>61</v>
      </c>
      <c r="AK308" t="s">
        <v>61</v>
      </c>
      <c r="AL308" t="s">
        <v>61</v>
      </c>
      <c r="AM308" t="s">
        <v>2590</v>
      </c>
      <c r="AN308" t="s">
        <v>61</v>
      </c>
      <c r="AO308" t="s">
        <v>61</v>
      </c>
      <c r="AP308" t="s">
        <v>61</v>
      </c>
      <c r="AQ308" t="s">
        <v>61</v>
      </c>
      <c r="AR308" t="s">
        <v>61</v>
      </c>
      <c r="AS308" t="s">
        <v>61</v>
      </c>
      <c r="AT308" t="s">
        <v>61</v>
      </c>
      <c r="AU308" t="s">
        <v>61</v>
      </c>
      <c r="AV308" t="s">
        <v>61</v>
      </c>
      <c r="AW308" t="s">
        <v>61</v>
      </c>
      <c r="AX308" t="s">
        <v>61</v>
      </c>
      <c r="AY308" t="s">
        <v>61</v>
      </c>
      <c r="AZ308" t="s">
        <v>61</v>
      </c>
      <c r="BA308" t="s">
        <v>61</v>
      </c>
      <c r="BB308" t="s">
        <v>61</v>
      </c>
      <c r="BC308" t="s">
        <v>61</v>
      </c>
      <c r="BD308" t="s">
        <v>61</v>
      </c>
      <c r="BE308" t="s">
        <v>61</v>
      </c>
      <c r="BF308" t="s">
        <v>61</v>
      </c>
    </row>
    <row r="309" spans="1:58">
      <c r="A309" t="s">
        <v>58</v>
      </c>
      <c r="B309" t="s">
        <v>2591</v>
      </c>
      <c r="C309" t="s">
        <v>2592</v>
      </c>
      <c r="D309" t="s">
        <v>343</v>
      </c>
      <c r="E309" t="s">
        <v>61</v>
      </c>
      <c r="F309">
        <v>2014</v>
      </c>
      <c r="G309" t="s">
        <v>61</v>
      </c>
      <c r="H309">
        <v>12</v>
      </c>
      <c r="I309">
        <v>3</v>
      </c>
      <c r="J309">
        <v>194</v>
      </c>
      <c r="K309">
        <v>198</v>
      </c>
      <c r="L309" t="s">
        <v>2593</v>
      </c>
      <c r="M309" t="s">
        <v>2594</v>
      </c>
      <c r="N309" t="s">
        <v>2595</v>
      </c>
      <c r="O309" t="s">
        <v>61</v>
      </c>
      <c r="Q309" t="s">
        <v>61</v>
      </c>
      <c r="R309" t="s">
        <v>61</v>
      </c>
      <c r="S309" t="s">
        <v>61</v>
      </c>
      <c r="T309" t="s">
        <v>61</v>
      </c>
      <c r="X309" t="s">
        <v>61</v>
      </c>
      <c r="Y309" t="s">
        <v>2596</v>
      </c>
      <c r="Z309" t="s">
        <v>61</v>
      </c>
      <c r="AA309" t="s">
        <v>61</v>
      </c>
      <c r="AB309">
        <v>2014222039</v>
      </c>
      <c r="AC309" t="s">
        <v>67</v>
      </c>
      <c r="AD309" t="s">
        <v>61</v>
      </c>
      <c r="AE309" t="s">
        <v>61</v>
      </c>
      <c r="AF309" t="s">
        <v>61</v>
      </c>
      <c r="AG309" t="s">
        <v>2597</v>
      </c>
      <c r="AH309" t="s">
        <v>61</v>
      </c>
      <c r="AI309" t="s">
        <v>61</v>
      </c>
      <c r="AJ309" t="s">
        <v>61</v>
      </c>
      <c r="AK309" t="s">
        <v>61</v>
      </c>
      <c r="AL309" t="s">
        <v>61</v>
      </c>
      <c r="AM309" t="s">
        <v>2598</v>
      </c>
      <c r="AN309" t="s">
        <v>61</v>
      </c>
      <c r="AO309" t="s">
        <v>61</v>
      </c>
      <c r="AP309" t="s">
        <v>61</v>
      </c>
      <c r="AQ309" t="s">
        <v>61</v>
      </c>
      <c r="AR309" t="s">
        <v>61</v>
      </c>
      <c r="AS309" t="s">
        <v>61</v>
      </c>
      <c r="AT309" t="s">
        <v>61</v>
      </c>
      <c r="AU309" t="s">
        <v>61</v>
      </c>
      <c r="AV309" t="s">
        <v>61</v>
      </c>
      <c r="AW309" t="s">
        <v>61</v>
      </c>
      <c r="AX309" t="s">
        <v>61</v>
      </c>
      <c r="AY309" t="s">
        <v>61</v>
      </c>
      <c r="AZ309" t="s">
        <v>61</v>
      </c>
      <c r="BA309" t="s">
        <v>61</v>
      </c>
      <c r="BB309" t="s">
        <v>61</v>
      </c>
      <c r="BC309" t="s">
        <v>61</v>
      </c>
      <c r="BD309" t="s">
        <v>61</v>
      </c>
      <c r="BE309" t="s">
        <v>61</v>
      </c>
      <c r="BF309" t="s">
        <v>61</v>
      </c>
    </row>
    <row r="310" spans="1:58">
      <c r="A310" t="s">
        <v>58</v>
      </c>
      <c r="B310" t="s">
        <v>2599</v>
      </c>
      <c r="C310" t="s">
        <v>2600</v>
      </c>
      <c r="D310" t="s">
        <v>2601</v>
      </c>
      <c r="E310" t="s">
        <v>2602</v>
      </c>
      <c r="F310">
        <v>2016</v>
      </c>
      <c r="G310" t="s">
        <v>391</v>
      </c>
      <c r="H310">
        <v>33</v>
      </c>
      <c r="I310">
        <v>3</v>
      </c>
      <c r="J310">
        <v>199</v>
      </c>
      <c r="K310">
        <v>204</v>
      </c>
      <c r="L310" t="s">
        <v>61</v>
      </c>
      <c r="M310" t="s">
        <v>2603</v>
      </c>
      <c r="N310" t="s">
        <v>2604</v>
      </c>
      <c r="O310" t="s">
        <v>61</v>
      </c>
      <c r="Q310" t="s">
        <v>61</v>
      </c>
      <c r="R310" t="s">
        <v>61</v>
      </c>
      <c r="S310" t="s">
        <v>61</v>
      </c>
      <c r="T310" t="s">
        <v>61</v>
      </c>
      <c r="X310" t="s">
        <v>61</v>
      </c>
      <c r="Y310" t="s">
        <v>2605</v>
      </c>
      <c r="Z310" t="s">
        <v>61</v>
      </c>
      <c r="AA310" t="s">
        <v>2606</v>
      </c>
      <c r="AB310">
        <v>26961696</v>
      </c>
      <c r="AC310" t="s">
        <v>67</v>
      </c>
      <c r="AD310" t="s">
        <v>61</v>
      </c>
      <c r="AE310" t="s">
        <v>61</v>
      </c>
      <c r="AF310" t="s">
        <v>61</v>
      </c>
      <c r="AG310" t="s">
        <v>2607</v>
      </c>
      <c r="AH310" t="s">
        <v>61</v>
      </c>
      <c r="AI310" t="s">
        <v>2608</v>
      </c>
      <c r="AJ310" t="s">
        <v>61</v>
      </c>
      <c r="AK310" t="s">
        <v>61</v>
      </c>
      <c r="AL310" t="s">
        <v>61</v>
      </c>
      <c r="AM310" t="s">
        <v>2609</v>
      </c>
      <c r="AN310" t="s">
        <v>61</v>
      </c>
      <c r="AO310" t="s">
        <v>61</v>
      </c>
      <c r="AP310" t="s">
        <v>61</v>
      </c>
      <c r="AQ310" t="s">
        <v>61</v>
      </c>
      <c r="AR310" t="s">
        <v>61</v>
      </c>
      <c r="AS310" t="s">
        <v>61</v>
      </c>
      <c r="AT310" t="s">
        <v>61</v>
      </c>
      <c r="AU310" t="s">
        <v>61</v>
      </c>
      <c r="AV310" t="s">
        <v>61</v>
      </c>
      <c r="AW310" t="s">
        <v>61</v>
      </c>
      <c r="AX310" t="s">
        <v>61</v>
      </c>
      <c r="AY310" t="s">
        <v>61</v>
      </c>
      <c r="AZ310" t="s">
        <v>61</v>
      </c>
      <c r="BA310" t="s">
        <v>61</v>
      </c>
      <c r="BB310" t="s">
        <v>61</v>
      </c>
      <c r="BC310" t="s">
        <v>61</v>
      </c>
      <c r="BD310" t="s">
        <v>61</v>
      </c>
      <c r="BE310" t="s">
        <v>61</v>
      </c>
      <c r="BF310" t="s">
        <v>61</v>
      </c>
    </row>
    <row r="311" spans="1:58">
      <c r="A311" t="s">
        <v>58</v>
      </c>
      <c r="B311" t="s">
        <v>2610</v>
      </c>
      <c r="C311" t="s">
        <v>2611</v>
      </c>
      <c r="D311" t="s">
        <v>2018</v>
      </c>
      <c r="E311" t="s">
        <v>61</v>
      </c>
      <c r="F311">
        <v>2011</v>
      </c>
      <c r="G311" t="s">
        <v>391</v>
      </c>
      <c r="H311">
        <v>6</v>
      </c>
      <c r="I311">
        <v>1</v>
      </c>
      <c r="J311">
        <v>63</v>
      </c>
      <c r="K311">
        <v>67</v>
      </c>
      <c r="L311" t="s">
        <v>2612</v>
      </c>
      <c r="M311" t="s">
        <v>2613</v>
      </c>
      <c r="N311" t="s">
        <v>2614</v>
      </c>
      <c r="O311" t="s">
        <v>61</v>
      </c>
      <c r="Q311" t="s">
        <v>61</v>
      </c>
      <c r="R311" t="s">
        <v>61</v>
      </c>
      <c r="S311" t="s">
        <v>61</v>
      </c>
      <c r="T311" t="s">
        <v>61</v>
      </c>
      <c r="X311" t="s">
        <v>61</v>
      </c>
      <c r="Y311" t="s">
        <v>2022</v>
      </c>
      <c r="Z311" t="s">
        <v>61</v>
      </c>
      <c r="AA311" t="s">
        <v>2615</v>
      </c>
      <c r="AB311">
        <v>21107746</v>
      </c>
      <c r="AC311" t="s">
        <v>67</v>
      </c>
      <c r="AD311" t="s">
        <v>61</v>
      </c>
      <c r="AE311" t="s">
        <v>61</v>
      </c>
      <c r="AF311" t="s">
        <v>61</v>
      </c>
      <c r="AG311" t="s">
        <v>2616</v>
      </c>
      <c r="AH311" t="s">
        <v>61</v>
      </c>
      <c r="AI311" t="s">
        <v>2617</v>
      </c>
      <c r="AJ311" t="s">
        <v>61</v>
      </c>
      <c r="AK311" t="s">
        <v>61</v>
      </c>
      <c r="AL311" t="s">
        <v>61</v>
      </c>
      <c r="AM311" t="s">
        <v>2618</v>
      </c>
      <c r="AN311" t="s">
        <v>61</v>
      </c>
      <c r="AO311" t="s">
        <v>61</v>
      </c>
      <c r="AP311" t="s">
        <v>61</v>
      </c>
      <c r="AQ311" t="s">
        <v>61</v>
      </c>
      <c r="AR311" t="s">
        <v>61</v>
      </c>
      <c r="AS311" t="s">
        <v>61</v>
      </c>
      <c r="AT311" t="s">
        <v>61</v>
      </c>
      <c r="AU311" t="s">
        <v>61</v>
      </c>
      <c r="AV311" t="s">
        <v>61</v>
      </c>
      <c r="AW311" t="s">
        <v>61</v>
      </c>
      <c r="AX311" t="s">
        <v>61</v>
      </c>
      <c r="AY311" t="s">
        <v>61</v>
      </c>
      <c r="AZ311" t="s">
        <v>61</v>
      </c>
      <c r="BA311" t="s">
        <v>61</v>
      </c>
      <c r="BB311" t="s">
        <v>61</v>
      </c>
      <c r="BC311" t="s">
        <v>61</v>
      </c>
      <c r="BD311" t="s">
        <v>61</v>
      </c>
      <c r="BE311" t="s">
        <v>61</v>
      </c>
      <c r="BF311" t="s">
        <v>61</v>
      </c>
    </row>
    <row r="312" spans="1:58">
      <c r="A312" t="s">
        <v>58</v>
      </c>
      <c r="B312" t="s">
        <v>2619</v>
      </c>
      <c r="C312" t="s">
        <v>2620</v>
      </c>
      <c r="D312" t="s">
        <v>408</v>
      </c>
      <c r="E312" t="s">
        <v>408</v>
      </c>
      <c r="F312">
        <v>2015</v>
      </c>
      <c r="G312" t="s">
        <v>409</v>
      </c>
      <c r="H312">
        <v>35</v>
      </c>
      <c r="I312">
        <v>11</v>
      </c>
      <c r="J312" t="s">
        <v>2621</v>
      </c>
      <c r="K312" t="s">
        <v>2622</v>
      </c>
      <c r="L312" t="s">
        <v>2623</v>
      </c>
      <c r="M312" t="s">
        <v>2624</v>
      </c>
      <c r="N312" t="s">
        <v>2625</v>
      </c>
      <c r="O312" t="s">
        <v>61</v>
      </c>
      <c r="Q312" t="s">
        <v>61</v>
      </c>
      <c r="R312" t="s">
        <v>61</v>
      </c>
      <c r="S312" t="s">
        <v>61</v>
      </c>
      <c r="T312" t="s">
        <v>61</v>
      </c>
      <c r="X312" t="s">
        <v>61</v>
      </c>
      <c r="Y312" t="s">
        <v>414</v>
      </c>
      <c r="Z312" t="s">
        <v>61</v>
      </c>
      <c r="AA312" t="s">
        <v>61</v>
      </c>
      <c r="AB312" t="s">
        <v>61</v>
      </c>
      <c r="AC312" t="s">
        <v>67</v>
      </c>
      <c r="AD312" t="s">
        <v>61</v>
      </c>
      <c r="AE312" t="s">
        <v>61</v>
      </c>
      <c r="AF312" t="s">
        <v>61</v>
      </c>
      <c r="AG312" t="s">
        <v>61</v>
      </c>
      <c r="AH312" t="s">
        <v>61</v>
      </c>
      <c r="AI312" t="s">
        <v>61</v>
      </c>
      <c r="AJ312" t="s">
        <v>61</v>
      </c>
      <c r="AK312" t="s">
        <v>61</v>
      </c>
      <c r="AL312" t="s">
        <v>61</v>
      </c>
      <c r="AM312" t="s">
        <v>2620</v>
      </c>
      <c r="AN312" t="s">
        <v>61</v>
      </c>
      <c r="AO312" t="s">
        <v>61</v>
      </c>
      <c r="AP312" t="s">
        <v>61</v>
      </c>
      <c r="AQ312" t="s">
        <v>61</v>
      </c>
      <c r="AR312" t="s">
        <v>61</v>
      </c>
      <c r="AS312" t="s">
        <v>61</v>
      </c>
      <c r="AT312" t="s">
        <v>61</v>
      </c>
      <c r="AU312" t="s">
        <v>61</v>
      </c>
      <c r="AV312" t="s">
        <v>61</v>
      </c>
      <c r="AW312" t="s">
        <v>61</v>
      </c>
      <c r="AX312" t="s">
        <v>61</v>
      </c>
      <c r="AY312" t="s">
        <v>61</v>
      </c>
      <c r="AZ312" t="s">
        <v>61</v>
      </c>
      <c r="BA312" t="s">
        <v>61</v>
      </c>
      <c r="BB312" t="s">
        <v>61</v>
      </c>
      <c r="BC312" t="s">
        <v>61</v>
      </c>
      <c r="BD312" t="s">
        <v>61</v>
      </c>
      <c r="BE312" t="s">
        <v>61</v>
      </c>
      <c r="BF312" t="s">
        <v>61</v>
      </c>
    </row>
    <row r="313" spans="1:58">
      <c r="A313" t="s">
        <v>58</v>
      </c>
      <c r="B313" t="s">
        <v>2626</v>
      </c>
      <c r="C313" t="s">
        <v>2627</v>
      </c>
      <c r="D313" t="s">
        <v>1637</v>
      </c>
      <c r="E313" t="s">
        <v>1638</v>
      </c>
      <c r="F313">
        <v>2012</v>
      </c>
      <c r="G313" t="s">
        <v>61</v>
      </c>
      <c r="H313">
        <v>65</v>
      </c>
      <c r="I313">
        <v>4</v>
      </c>
      <c r="J313">
        <v>258</v>
      </c>
      <c r="K313" t="s">
        <v>2628</v>
      </c>
      <c r="L313" t="s">
        <v>2629</v>
      </c>
      <c r="M313" t="s">
        <v>2630</v>
      </c>
      <c r="N313" t="s">
        <v>2631</v>
      </c>
      <c r="O313" t="s">
        <v>61</v>
      </c>
      <c r="Q313" t="s">
        <v>61</v>
      </c>
      <c r="R313" t="s">
        <v>61</v>
      </c>
      <c r="S313" t="s">
        <v>61</v>
      </c>
      <c r="T313" t="s">
        <v>61</v>
      </c>
      <c r="X313" t="s">
        <v>61</v>
      </c>
      <c r="Y313" s="2">
        <v>812148</v>
      </c>
      <c r="Z313" t="s">
        <v>61</v>
      </c>
      <c r="AA313" t="s">
        <v>61</v>
      </c>
      <c r="AB313">
        <v>108105435</v>
      </c>
      <c r="AC313" t="s">
        <v>67</v>
      </c>
      <c r="AD313" t="s">
        <v>61</v>
      </c>
      <c r="AE313" t="s">
        <v>61</v>
      </c>
      <c r="AF313" t="s">
        <v>61</v>
      </c>
      <c r="AG313" t="s">
        <v>2632</v>
      </c>
      <c r="AH313" t="s">
        <v>61</v>
      </c>
      <c r="AI313" t="s">
        <v>61</v>
      </c>
      <c r="AJ313" t="s">
        <v>61</v>
      </c>
      <c r="AK313" t="s">
        <v>61</v>
      </c>
      <c r="AL313" t="s">
        <v>61</v>
      </c>
      <c r="AM313" t="s">
        <v>2633</v>
      </c>
      <c r="AN313" t="s">
        <v>61</v>
      </c>
      <c r="AO313" t="s">
        <v>61</v>
      </c>
      <c r="AP313" t="s">
        <v>61</v>
      </c>
      <c r="AQ313" t="s">
        <v>61</v>
      </c>
      <c r="AR313" t="s">
        <v>61</v>
      </c>
      <c r="AS313" t="s">
        <v>61</v>
      </c>
      <c r="AT313" t="s">
        <v>61</v>
      </c>
      <c r="AU313" t="s">
        <v>61</v>
      </c>
      <c r="AV313" t="s">
        <v>61</v>
      </c>
      <c r="AW313" t="s">
        <v>61</v>
      </c>
      <c r="AX313" t="s">
        <v>61</v>
      </c>
      <c r="AY313" t="s">
        <v>61</v>
      </c>
      <c r="AZ313" t="s">
        <v>61</v>
      </c>
      <c r="BA313" t="s">
        <v>61</v>
      </c>
      <c r="BB313" t="s">
        <v>61</v>
      </c>
      <c r="BC313" t="s">
        <v>61</v>
      </c>
      <c r="BD313" t="s">
        <v>61</v>
      </c>
      <c r="BE313" t="s">
        <v>61</v>
      </c>
      <c r="BF313" t="s">
        <v>61</v>
      </c>
    </row>
    <row r="314" spans="1:58">
      <c r="A314" t="s">
        <v>58</v>
      </c>
      <c r="B314" t="s">
        <v>2634</v>
      </c>
      <c r="C314" t="s">
        <v>2635</v>
      </c>
      <c r="D314" t="s">
        <v>408</v>
      </c>
      <c r="E314" t="s">
        <v>408</v>
      </c>
      <c r="F314">
        <v>2015</v>
      </c>
      <c r="G314" t="s">
        <v>409</v>
      </c>
      <c r="H314">
        <v>35</v>
      </c>
      <c r="I314">
        <v>11</v>
      </c>
      <c r="J314" t="s">
        <v>2636</v>
      </c>
      <c r="K314" t="s">
        <v>2637</v>
      </c>
      <c r="L314" t="s">
        <v>2638</v>
      </c>
      <c r="M314" t="s">
        <v>2639</v>
      </c>
      <c r="N314" t="s">
        <v>2640</v>
      </c>
      <c r="O314" t="s">
        <v>61</v>
      </c>
      <c r="Q314" t="s">
        <v>61</v>
      </c>
      <c r="R314" t="s">
        <v>61</v>
      </c>
      <c r="S314" t="s">
        <v>61</v>
      </c>
      <c r="T314" t="s">
        <v>61</v>
      </c>
      <c r="X314" t="s">
        <v>61</v>
      </c>
      <c r="Y314" t="s">
        <v>414</v>
      </c>
      <c r="Z314" t="s">
        <v>61</v>
      </c>
      <c r="AA314" t="s">
        <v>61</v>
      </c>
      <c r="AB314" t="s">
        <v>61</v>
      </c>
      <c r="AC314" t="s">
        <v>67</v>
      </c>
      <c r="AD314" t="s">
        <v>61</v>
      </c>
      <c r="AE314" t="s">
        <v>61</v>
      </c>
      <c r="AF314" t="s">
        <v>61</v>
      </c>
      <c r="AG314" t="s">
        <v>61</v>
      </c>
      <c r="AH314" t="s">
        <v>61</v>
      </c>
      <c r="AI314" t="s">
        <v>61</v>
      </c>
      <c r="AJ314" t="s">
        <v>61</v>
      </c>
      <c r="AK314" t="s">
        <v>61</v>
      </c>
      <c r="AL314" t="s">
        <v>61</v>
      </c>
      <c r="AM314" t="s">
        <v>2635</v>
      </c>
      <c r="AN314" t="s">
        <v>61</v>
      </c>
      <c r="AO314" t="s">
        <v>61</v>
      </c>
      <c r="AP314" t="s">
        <v>61</v>
      </c>
      <c r="AQ314" t="s">
        <v>61</v>
      </c>
      <c r="AR314" t="s">
        <v>61</v>
      </c>
      <c r="AS314" t="s">
        <v>61</v>
      </c>
      <c r="AT314" t="s">
        <v>61</v>
      </c>
      <c r="AU314" t="s">
        <v>61</v>
      </c>
      <c r="AV314" t="s">
        <v>61</v>
      </c>
      <c r="AW314" t="s">
        <v>61</v>
      </c>
      <c r="AX314" t="s">
        <v>61</v>
      </c>
      <c r="AY314" t="s">
        <v>61</v>
      </c>
      <c r="AZ314" t="s">
        <v>61</v>
      </c>
      <c r="BA314" t="s">
        <v>61</v>
      </c>
      <c r="BB314" t="s">
        <v>61</v>
      </c>
      <c r="BC314" t="s">
        <v>61</v>
      </c>
      <c r="BD314" t="s">
        <v>61</v>
      </c>
      <c r="BE314" t="s">
        <v>61</v>
      </c>
      <c r="BF314" t="s">
        <v>61</v>
      </c>
    </row>
    <row r="315" spans="1:58">
      <c r="A315" t="s">
        <v>58</v>
      </c>
      <c r="B315" t="s">
        <v>2641</v>
      </c>
      <c r="C315" t="s">
        <v>2642</v>
      </c>
      <c r="D315" t="s">
        <v>1370</v>
      </c>
      <c r="E315" t="s">
        <v>61</v>
      </c>
      <c r="F315">
        <v>2008</v>
      </c>
      <c r="G315" s="1">
        <v>42502</v>
      </c>
      <c r="H315" s="3">
        <v>6.3374999999999995</v>
      </c>
      <c r="I315" t="s">
        <v>61</v>
      </c>
      <c r="J315" t="s">
        <v>61</v>
      </c>
      <c r="K315" t="s">
        <v>61</v>
      </c>
      <c r="L315" t="s">
        <v>2643</v>
      </c>
      <c r="M315" t="s">
        <v>61</v>
      </c>
      <c r="N315" t="s">
        <v>2644</v>
      </c>
      <c r="O315" t="s">
        <v>61</v>
      </c>
      <c r="Q315" t="s">
        <v>61</v>
      </c>
      <c r="R315" t="s">
        <v>61</v>
      </c>
      <c r="S315" t="s">
        <v>61</v>
      </c>
      <c r="T315" t="s">
        <v>61</v>
      </c>
      <c r="X315" t="s">
        <v>61</v>
      </c>
      <c r="Y315" s="2">
        <v>1722820</v>
      </c>
      <c r="Z315" t="s">
        <v>61</v>
      </c>
      <c r="AA315" t="s">
        <v>61</v>
      </c>
      <c r="AB315">
        <v>2008350166</v>
      </c>
      <c r="AC315" t="s">
        <v>67</v>
      </c>
      <c r="AD315" t="s">
        <v>61</v>
      </c>
      <c r="AE315" t="s">
        <v>61</v>
      </c>
      <c r="AF315" t="s">
        <v>61</v>
      </c>
      <c r="AG315" t="s">
        <v>61</v>
      </c>
      <c r="AH315" t="s">
        <v>61</v>
      </c>
      <c r="AI315" t="s">
        <v>61</v>
      </c>
      <c r="AJ315" t="s">
        <v>61</v>
      </c>
      <c r="AK315" t="s">
        <v>61</v>
      </c>
      <c r="AL315" t="s">
        <v>61</v>
      </c>
      <c r="AM315" t="s">
        <v>2642</v>
      </c>
      <c r="AN315" t="s">
        <v>61</v>
      </c>
      <c r="AO315" t="s">
        <v>61</v>
      </c>
      <c r="AP315" t="s">
        <v>61</v>
      </c>
      <c r="AQ315" t="s">
        <v>61</v>
      </c>
      <c r="AR315" t="s">
        <v>61</v>
      </c>
      <c r="AS315" t="s">
        <v>61</v>
      </c>
      <c r="AT315" t="s">
        <v>61</v>
      </c>
      <c r="AU315" t="s">
        <v>61</v>
      </c>
      <c r="AV315" t="s">
        <v>61</v>
      </c>
      <c r="AW315" t="s">
        <v>61</v>
      </c>
      <c r="AX315" t="s">
        <v>61</v>
      </c>
      <c r="AY315" t="s">
        <v>61</v>
      </c>
      <c r="AZ315" t="s">
        <v>61</v>
      </c>
      <c r="BA315" t="s">
        <v>61</v>
      </c>
      <c r="BB315" t="s">
        <v>61</v>
      </c>
      <c r="BC315" t="s">
        <v>61</v>
      </c>
      <c r="BD315" t="s">
        <v>61</v>
      </c>
      <c r="BE315" t="s">
        <v>61</v>
      </c>
      <c r="BF315" t="s">
        <v>61</v>
      </c>
    </row>
    <row r="316" spans="1:58">
      <c r="A316" t="s">
        <v>58</v>
      </c>
      <c r="B316" t="s">
        <v>2645</v>
      </c>
      <c r="C316" t="s">
        <v>2646</v>
      </c>
      <c r="D316" t="s">
        <v>2647</v>
      </c>
      <c r="E316" t="s">
        <v>61</v>
      </c>
      <c r="F316">
        <v>2001</v>
      </c>
      <c r="G316" t="s">
        <v>61</v>
      </c>
      <c r="H316">
        <v>10</v>
      </c>
      <c r="I316">
        <v>1</v>
      </c>
      <c r="J316">
        <v>48</v>
      </c>
      <c r="K316" t="s">
        <v>2648</v>
      </c>
      <c r="L316" t="s">
        <v>2649</v>
      </c>
      <c r="M316" t="s">
        <v>2650</v>
      </c>
      <c r="N316" t="s">
        <v>2651</v>
      </c>
      <c r="O316" t="s">
        <v>61</v>
      </c>
      <c r="Q316" t="s">
        <v>61</v>
      </c>
      <c r="R316" t="s">
        <v>61</v>
      </c>
      <c r="S316" t="s">
        <v>61</v>
      </c>
      <c r="T316" t="s">
        <v>61</v>
      </c>
      <c r="X316" t="s">
        <v>61</v>
      </c>
      <c r="Y316" t="s">
        <v>2652</v>
      </c>
      <c r="Z316" t="s">
        <v>61</v>
      </c>
      <c r="AA316" t="s">
        <v>2653</v>
      </c>
      <c r="AB316">
        <v>107052771</v>
      </c>
      <c r="AC316" t="s">
        <v>67</v>
      </c>
      <c r="AD316" t="s">
        <v>61</v>
      </c>
      <c r="AE316" t="s">
        <v>61</v>
      </c>
      <c r="AF316" t="s">
        <v>61</v>
      </c>
      <c r="AG316" t="s">
        <v>2654</v>
      </c>
      <c r="AH316" t="s">
        <v>61</v>
      </c>
      <c r="AI316" t="s">
        <v>61</v>
      </c>
      <c r="AJ316" t="s">
        <v>61</v>
      </c>
      <c r="AK316" t="s">
        <v>61</v>
      </c>
      <c r="AL316" t="s">
        <v>61</v>
      </c>
      <c r="AM316" t="s">
        <v>2655</v>
      </c>
      <c r="AN316" t="s">
        <v>61</v>
      </c>
      <c r="AO316" t="s">
        <v>61</v>
      </c>
      <c r="AP316" t="s">
        <v>61</v>
      </c>
      <c r="AQ316" t="s">
        <v>61</v>
      </c>
      <c r="AR316" t="s">
        <v>61</v>
      </c>
      <c r="AS316" t="s">
        <v>61</v>
      </c>
      <c r="AT316" t="s">
        <v>61</v>
      </c>
      <c r="AU316" t="s">
        <v>61</v>
      </c>
      <c r="AV316" t="s">
        <v>61</v>
      </c>
      <c r="AW316" t="s">
        <v>61</v>
      </c>
      <c r="AX316" t="s">
        <v>61</v>
      </c>
      <c r="AY316" t="s">
        <v>61</v>
      </c>
      <c r="AZ316" t="s">
        <v>61</v>
      </c>
      <c r="BA316" t="s">
        <v>61</v>
      </c>
      <c r="BB316" t="s">
        <v>61</v>
      </c>
      <c r="BC316" t="s">
        <v>61</v>
      </c>
      <c r="BD316" t="s">
        <v>61</v>
      </c>
      <c r="BE316" t="s">
        <v>61</v>
      </c>
      <c r="BF316" t="s">
        <v>61</v>
      </c>
    </row>
    <row r="317" spans="1:58">
      <c r="A317" t="s">
        <v>58</v>
      </c>
      <c r="B317" t="s">
        <v>2645</v>
      </c>
      <c r="C317" t="s">
        <v>2656</v>
      </c>
      <c r="D317" t="s">
        <v>2647</v>
      </c>
      <c r="E317" t="s">
        <v>61</v>
      </c>
      <c r="F317">
        <v>2001</v>
      </c>
      <c r="G317" t="s">
        <v>2657</v>
      </c>
      <c r="H317">
        <v>10</v>
      </c>
      <c r="I317">
        <v>1</v>
      </c>
      <c r="J317">
        <v>48</v>
      </c>
      <c r="K317">
        <v>54</v>
      </c>
      <c r="L317" t="s">
        <v>2658</v>
      </c>
      <c r="M317" t="s">
        <v>2650</v>
      </c>
      <c r="N317" t="s">
        <v>2659</v>
      </c>
      <c r="O317" t="s">
        <v>61</v>
      </c>
      <c r="Q317" t="s">
        <v>61</v>
      </c>
      <c r="R317" t="s">
        <v>61</v>
      </c>
      <c r="S317" t="s">
        <v>61</v>
      </c>
      <c r="T317" t="s">
        <v>61</v>
      </c>
      <c r="X317" t="s">
        <v>61</v>
      </c>
      <c r="Y317" t="s">
        <v>2652</v>
      </c>
      <c r="Z317" t="s">
        <v>61</v>
      </c>
      <c r="AA317" t="s">
        <v>2660</v>
      </c>
      <c r="AB317">
        <v>12170485</v>
      </c>
      <c r="AC317" t="s">
        <v>67</v>
      </c>
      <c r="AD317" t="s">
        <v>61</v>
      </c>
      <c r="AE317" t="s">
        <v>61</v>
      </c>
      <c r="AF317" t="s">
        <v>61</v>
      </c>
      <c r="AG317" t="s">
        <v>2661</v>
      </c>
      <c r="AH317" t="s">
        <v>61</v>
      </c>
      <c r="AI317" t="s">
        <v>61</v>
      </c>
      <c r="AJ317" t="s">
        <v>61</v>
      </c>
      <c r="AK317" t="s">
        <v>61</v>
      </c>
      <c r="AL317" t="s">
        <v>61</v>
      </c>
      <c r="AM317" t="s">
        <v>2662</v>
      </c>
      <c r="AN317" t="s">
        <v>61</v>
      </c>
      <c r="AO317" t="s">
        <v>61</v>
      </c>
      <c r="AP317" t="s">
        <v>61</v>
      </c>
      <c r="AQ317" t="s">
        <v>61</v>
      </c>
      <c r="AR317" t="s">
        <v>61</v>
      </c>
      <c r="AS317" t="s">
        <v>61</v>
      </c>
      <c r="AT317" t="s">
        <v>61</v>
      </c>
      <c r="AU317" t="s">
        <v>61</v>
      </c>
      <c r="AV317" t="s">
        <v>61</v>
      </c>
      <c r="AW317" t="s">
        <v>61</v>
      </c>
      <c r="AX317" t="s">
        <v>61</v>
      </c>
      <c r="AY317" t="s">
        <v>61</v>
      </c>
      <c r="AZ317" t="s">
        <v>61</v>
      </c>
      <c r="BA317" t="s">
        <v>61</v>
      </c>
      <c r="BB317" t="s">
        <v>61</v>
      </c>
      <c r="BC317" t="s">
        <v>61</v>
      </c>
      <c r="BD317" t="s">
        <v>61</v>
      </c>
      <c r="BE317" t="s">
        <v>61</v>
      </c>
      <c r="BF317" t="s">
        <v>61</v>
      </c>
    </row>
    <row r="318" spans="1:58">
      <c r="A318" t="s">
        <v>58</v>
      </c>
      <c r="B318" t="s">
        <v>2663</v>
      </c>
      <c r="C318" t="s">
        <v>2664</v>
      </c>
      <c r="D318" t="s">
        <v>428</v>
      </c>
      <c r="E318" t="s">
        <v>61</v>
      </c>
      <c r="F318">
        <v>2012</v>
      </c>
      <c r="G318" t="s">
        <v>429</v>
      </c>
      <c r="H318">
        <v>25</v>
      </c>
      <c r="I318">
        <v>2</v>
      </c>
      <c r="J318">
        <v>280</v>
      </c>
      <c r="K318" t="s">
        <v>61</v>
      </c>
      <c r="L318" t="s">
        <v>2665</v>
      </c>
      <c r="M318" t="s">
        <v>2666</v>
      </c>
      <c r="N318" t="s">
        <v>2667</v>
      </c>
      <c r="O318" t="s">
        <v>61</v>
      </c>
      <c r="Q318" t="s">
        <v>61</v>
      </c>
      <c r="R318" t="s">
        <v>61</v>
      </c>
      <c r="S318" t="s">
        <v>61</v>
      </c>
      <c r="T318" t="s">
        <v>61</v>
      </c>
      <c r="X318" t="s">
        <v>61</v>
      </c>
      <c r="Y318" t="s">
        <v>433</v>
      </c>
      <c r="Z318" t="s">
        <v>61</v>
      </c>
      <c r="AA318" t="s">
        <v>61</v>
      </c>
      <c r="AB318" t="s">
        <v>61</v>
      </c>
      <c r="AC318" t="s">
        <v>67</v>
      </c>
      <c r="AD318" t="s">
        <v>61</v>
      </c>
      <c r="AE318" t="s">
        <v>61</v>
      </c>
      <c r="AF318" t="s">
        <v>61</v>
      </c>
      <c r="AG318" t="s">
        <v>61</v>
      </c>
      <c r="AH318" t="s">
        <v>61</v>
      </c>
      <c r="AI318" t="s">
        <v>61</v>
      </c>
      <c r="AJ318" t="s">
        <v>61</v>
      </c>
      <c r="AK318" t="s">
        <v>61</v>
      </c>
      <c r="AL318" t="s">
        <v>61</v>
      </c>
      <c r="AM318" t="s">
        <v>2664</v>
      </c>
      <c r="AN318" t="s">
        <v>61</v>
      </c>
      <c r="AO318" t="s">
        <v>61</v>
      </c>
      <c r="AP318" t="s">
        <v>61</v>
      </c>
      <c r="AQ318" t="s">
        <v>61</v>
      </c>
      <c r="AR318" t="s">
        <v>61</v>
      </c>
      <c r="AS318" t="s">
        <v>61</v>
      </c>
      <c r="AT318" t="s">
        <v>61</v>
      </c>
      <c r="AU318" t="s">
        <v>61</v>
      </c>
      <c r="AV318" t="s">
        <v>61</v>
      </c>
      <c r="AW318" t="s">
        <v>61</v>
      </c>
      <c r="AX318" t="s">
        <v>61</v>
      </c>
      <c r="AY318" t="s">
        <v>61</v>
      </c>
      <c r="AZ318" t="s">
        <v>61</v>
      </c>
      <c r="BA318" t="s">
        <v>61</v>
      </c>
      <c r="BB318" t="s">
        <v>61</v>
      </c>
      <c r="BC318" t="s">
        <v>61</v>
      </c>
      <c r="BD318" t="s">
        <v>61</v>
      </c>
      <c r="BE318" t="s">
        <v>61</v>
      </c>
      <c r="BF318" t="s">
        <v>61</v>
      </c>
    </row>
    <row r="319" spans="1:58">
      <c r="A319" t="s">
        <v>58</v>
      </c>
      <c r="B319" t="s">
        <v>2668</v>
      </c>
      <c r="C319" t="s">
        <v>2669</v>
      </c>
      <c r="D319" t="s">
        <v>271</v>
      </c>
      <c r="E319" t="s">
        <v>272</v>
      </c>
      <c r="F319">
        <v>1999</v>
      </c>
      <c r="G319" t="s">
        <v>739</v>
      </c>
      <c r="H319">
        <v>39</v>
      </c>
      <c r="I319">
        <v>5</v>
      </c>
      <c r="J319">
        <v>640</v>
      </c>
      <c r="K319">
        <v>649</v>
      </c>
      <c r="L319" t="s">
        <v>2670</v>
      </c>
      <c r="M319" t="s">
        <v>2671</v>
      </c>
      <c r="N319" t="s">
        <v>2672</v>
      </c>
      <c r="O319" t="s">
        <v>61</v>
      </c>
      <c r="Q319" t="s">
        <v>61</v>
      </c>
      <c r="R319" t="s">
        <v>61</v>
      </c>
      <c r="S319" t="s">
        <v>61</v>
      </c>
      <c r="T319" t="s">
        <v>61</v>
      </c>
      <c r="X319" t="s">
        <v>61</v>
      </c>
      <c r="Y319" t="s">
        <v>1661</v>
      </c>
      <c r="Z319" t="s">
        <v>61</v>
      </c>
      <c r="AA319" t="s">
        <v>2673</v>
      </c>
      <c r="AB319">
        <v>10533345</v>
      </c>
      <c r="AC319" t="s">
        <v>67</v>
      </c>
      <c r="AD319" t="s">
        <v>61</v>
      </c>
      <c r="AE319" t="s">
        <v>61</v>
      </c>
      <c r="AF319" t="s">
        <v>61</v>
      </c>
      <c r="AG319" t="s">
        <v>2674</v>
      </c>
      <c r="AH319" t="s">
        <v>61</v>
      </c>
      <c r="AI319" t="s">
        <v>61</v>
      </c>
      <c r="AJ319" t="s">
        <v>61</v>
      </c>
      <c r="AK319" t="s">
        <v>61</v>
      </c>
      <c r="AL319" t="s">
        <v>61</v>
      </c>
      <c r="AM319" t="s">
        <v>2675</v>
      </c>
      <c r="AN319" t="s">
        <v>61</v>
      </c>
      <c r="AO319" t="s">
        <v>61</v>
      </c>
      <c r="AP319" t="s">
        <v>61</v>
      </c>
      <c r="AQ319" t="s">
        <v>61</v>
      </c>
      <c r="AR319" t="s">
        <v>61</v>
      </c>
      <c r="AS319" t="s">
        <v>61</v>
      </c>
      <c r="AT319" t="s">
        <v>61</v>
      </c>
      <c r="AU319" t="s">
        <v>61</v>
      </c>
      <c r="AV319" t="s">
        <v>61</v>
      </c>
      <c r="AW319" t="s">
        <v>61</v>
      </c>
      <c r="AX319" t="s">
        <v>61</v>
      </c>
      <c r="AY319" t="s">
        <v>61</v>
      </c>
      <c r="AZ319" t="s">
        <v>61</v>
      </c>
      <c r="BA319" t="s">
        <v>61</v>
      </c>
      <c r="BB319" t="s">
        <v>61</v>
      </c>
      <c r="BC319" t="s">
        <v>61</v>
      </c>
      <c r="BD319" t="s">
        <v>61</v>
      </c>
      <c r="BE319" t="s">
        <v>61</v>
      </c>
      <c r="BF319" t="s">
        <v>61</v>
      </c>
    </row>
    <row r="320" spans="1:58">
      <c r="A320" t="s">
        <v>58</v>
      </c>
      <c r="B320" t="s">
        <v>2676</v>
      </c>
      <c r="C320" t="s">
        <v>2677</v>
      </c>
      <c r="D320" t="s">
        <v>271</v>
      </c>
      <c r="E320" t="s">
        <v>272</v>
      </c>
      <c r="F320">
        <v>1999</v>
      </c>
      <c r="G320" t="s">
        <v>739</v>
      </c>
      <c r="H320">
        <v>39</v>
      </c>
      <c r="I320">
        <v>5</v>
      </c>
      <c r="J320">
        <v>629</v>
      </c>
      <c r="K320">
        <v>639</v>
      </c>
      <c r="L320" t="s">
        <v>2678</v>
      </c>
      <c r="M320" t="s">
        <v>2679</v>
      </c>
      <c r="N320" t="s">
        <v>2680</v>
      </c>
      <c r="O320" t="s">
        <v>61</v>
      </c>
      <c r="Q320" t="s">
        <v>61</v>
      </c>
      <c r="R320" t="s">
        <v>61</v>
      </c>
      <c r="S320" t="s">
        <v>61</v>
      </c>
      <c r="T320" t="s">
        <v>61</v>
      </c>
      <c r="X320" t="s">
        <v>61</v>
      </c>
      <c r="Y320" t="s">
        <v>1661</v>
      </c>
      <c r="Z320" t="s">
        <v>61</v>
      </c>
      <c r="AA320" t="s">
        <v>2681</v>
      </c>
      <c r="AB320">
        <v>10533344</v>
      </c>
      <c r="AC320" t="s">
        <v>67</v>
      </c>
      <c r="AD320" t="s">
        <v>61</v>
      </c>
      <c r="AE320" t="s">
        <v>61</v>
      </c>
      <c r="AF320" t="s">
        <v>61</v>
      </c>
      <c r="AG320" t="s">
        <v>2682</v>
      </c>
      <c r="AH320" t="s">
        <v>61</v>
      </c>
      <c r="AI320" t="s">
        <v>61</v>
      </c>
      <c r="AJ320" t="s">
        <v>61</v>
      </c>
      <c r="AK320" t="s">
        <v>61</v>
      </c>
      <c r="AL320" t="s">
        <v>61</v>
      </c>
      <c r="AM320" t="s">
        <v>2683</v>
      </c>
      <c r="AN320" t="s">
        <v>61</v>
      </c>
      <c r="AO320" t="s">
        <v>61</v>
      </c>
      <c r="AP320" t="s">
        <v>61</v>
      </c>
      <c r="AQ320" t="s">
        <v>61</v>
      </c>
      <c r="AR320" t="s">
        <v>61</v>
      </c>
      <c r="AS320" t="s">
        <v>61</v>
      </c>
      <c r="AT320" t="s">
        <v>61</v>
      </c>
      <c r="AU320" t="s">
        <v>61</v>
      </c>
      <c r="AV320" t="s">
        <v>61</v>
      </c>
      <c r="AW320" t="s">
        <v>61</v>
      </c>
      <c r="AX320" t="s">
        <v>61</v>
      </c>
      <c r="AY320" t="s">
        <v>61</v>
      </c>
      <c r="AZ320" t="s">
        <v>61</v>
      </c>
      <c r="BA320" t="s">
        <v>61</v>
      </c>
      <c r="BB320" t="s">
        <v>61</v>
      </c>
      <c r="BC320" t="s">
        <v>61</v>
      </c>
      <c r="BD320" t="s">
        <v>61</v>
      </c>
      <c r="BE320" t="s">
        <v>61</v>
      </c>
      <c r="BF320" t="s">
        <v>61</v>
      </c>
    </row>
    <row r="321" spans="1:58">
      <c r="A321" t="s">
        <v>58</v>
      </c>
      <c r="B321" t="s">
        <v>2684</v>
      </c>
      <c r="C321" t="s">
        <v>2685</v>
      </c>
      <c r="D321" t="s">
        <v>153</v>
      </c>
      <c r="E321" t="s">
        <v>61</v>
      </c>
      <c r="F321">
        <v>2007</v>
      </c>
      <c r="G321" t="s">
        <v>154</v>
      </c>
      <c r="H321">
        <v>47</v>
      </c>
      <c r="I321">
        <v>4</v>
      </c>
      <c r="J321">
        <v>471</v>
      </c>
      <c r="K321">
        <v>483</v>
      </c>
      <c r="L321" t="s">
        <v>2686</v>
      </c>
      <c r="M321" t="s">
        <v>2687</v>
      </c>
      <c r="N321" t="s">
        <v>2688</v>
      </c>
      <c r="O321" t="s">
        <v>61</v>
      </c>
      <c r="Q321" t="s">
        <v>61</v>
      </c>
      <c r="R321" t="s">
        <v>61</v>
      </c>
      <c r="S321" t="s">
        <v>61</v>
      </c>
      <c r="T321" t="s">
        <v>61</v>
      </c>
      <c r="X321" t="s">
        <v>61</v>
      </c>
      <c r="Y321" t="s">
        <v>157</v>
      </c>
      <c r="Z321" t="s">
        <v>61</v>
      </c>
      <c r="AA321" t="s">
        <v>2689</v>
      </c>
      <c r="AB321">
        <v>17616493</v>
      </c>
      <c r="AC321" t="s">
        <v>67</v>
      </c>
      <c r="AD321" t="s">
        <v>61</v>
      </c>
      <c r="AE321" t="s">
        <v>61</v>
      </c>
      <c r="AF321" t="s">
        <v>61</v>
      </c>
      <c r="AG321" t="s">
        <v>2690</v>
      </c>
      <c r="AH321" t="s">
        <v>61</v>
      </c>
      <c r="AI321" t="s">
        <v>61</v>
      </c>
      <c r="AJ321" t="s">
        <v>61</v>
      </c>
      <c r="AK321" t="s">
        <v>61</v>
      </c>
      <c r="AL321" t="s">
        <v>61</v>
      </c>
      <c r="AM321" t="s">
        <v>2691</v>
      </c>
      <c r="AN321" t="s">
        <v>61</v>
      </c>
      <c r="AO321" t="s">
        <v>61</v>
      </c>
      <c r="AP321" t="s">
        <v>61</v>
      </c>
      <c r="AQ321" t="s">
        <v>61</v>
      </c>
      <c r="AR321" t="s">
        <v>61</v>
      </c>
      <c r="AS321" t="s">
        <v>61</v>
      </c>
      <c r="AT321" t="s">
        <v>61</v>
      </c>
      <c r="AU321" t="s">
        <v>61</v>
      </c>
      <c r="AV321" t="s">
        <v>61</v>
      </c>
      <c r="AW321" t="s">
        <v>61</v>
      </c>
      <c r="AX321" t="s">
        <v>61</v>
      </c>
      <c r="AY321" t="s">
        <v>61</v>
      </c>
      <c r="AZ321" t="s">
        <v>61</v>
      </c>
      <c r="BA321" t="s">
        <v>61</v>
      </c>
      <c r="BB321" t="s">
        <v>61</v>
      </c>
      <c r="BC321" t="s">
        <v>61</v>
      </c>
      <c r="BD321" t="s">
        <v>61</v>
      </c>
      <c r="BE321" t="s">
        <v>61</v>
      </c>
      <c r="BF321" t="s">
        <v>61</v>
      </c>
    </row>
    <row r="322" spans="1:58">
      <c r="A322" t="s">
        <v>58</v>
      </c>
      <c r="B322" t="s">
        <v>2692</v>
      </c>
      <c r="C322" t="s">
        <v>2693</v>
      </c>
      <c r="D322" t="s">
        <v>2694</v>
      </c>
      <c r="E322" t="s">
        <v>61</v>
      </c>
      <c r="F322">
        <v>1996</v>
      </c>
      <c r="G322" t="s">
        <v>280</v>
      </c>
      <c r="H322">
        <v>19</v>
      </c>
      <c r="I322">
        <v>6</v>
      </c>
      <c r="J322">
        <v>431</v>
      </c>
      <c r="K322">
        <v>438</v>
      </c>
      <c r="L322" t="s">
        <v>2695</v>
      </c>
      <c r="M322" t="s">
        <v>2696</v>
      </c>
      <c r="N322" t="s">
        <v>2697</v>
      </c>
      <c r="O322" t="s">
        <v>61</v>
      </c>
      <c r="Q322" t="s">
        <v>61</v>
      </c>
      <c r="R322" t="s">
        <v>61</v>
      </c>
      <c r="S322" t="s">
        <v>61</v>
      </c>
      <c r="T322" t="s">
        <v>61</v>
      </c>
      <c r="X322" t="s">
        <v>61</v>
      </c>
      <c r="Y322" t="s">
        <v>2698</v>
      </c>
      <c r="Z322" t="s">
        <v>61</v>
      </c>
      <c r="AA322" t="s">
        <v>2699</v>
      </c>
      <c r="AB322">
        <v>8971671</v>
      </c>
      <c r="AC322" t="s">
        <v>67</v>
      </c>
      <c r="AD322" t="s">
        <v>61</v>
      </c>
      <c r="AE322" t="s">
        <v>61</v>
      </c>
      <c r="AF322" t="s">
        <v>61</v>
      </c>
      <c r="AG322" t="s">
        <v>2700</v>
      </c>
      <c r="AH322" t="s">
        <v>61</v>
      </c>
      <c r="AI322" t="s">
        <v>61</v>
      </c>
      <c r="AJ322" t="s">
        <v>61</v>
      </c>
      <c r="AK322" t="s">
        <v>61</v>
      </c>
      <c r="AL322" t="s">
        <v>61</v>
      </c>
      <c r="AM322" t="s">
        <v>2701</v>
      </c>
      <c r="AN322" t="s">
        <v>61</v>
      </c>
      <c r="AO322" t="s">
        <v>61</v>
      </c>
      <c r="AP322" t="s">
        <v>61</v>
      </c>
      <c r="AQ322" t="s">
        <v>61</v>
      </c>
      <c r="AR322" t="s">
        <v>61</v>
      </c>
      <c r="AS322" t="s">
        <v>61</v>
      </c>
      <c r="AT322" t="s">
        <v>61</v>
      </c>
      <c r="AU322" t="s">
        <v>61</v>
      </c>
      <c r="AV322" t="s">
        <v>61</v>
      </c>
      <c r="AW322" t="s">
        <v>61</v>
      </c>
      <c r="AX322" t="s">
        <v>61</v>
      </c>
      <c r="AY322" t="s">
        <v>61</v>
      </c>
      <c r="AZ322" t="s">
        <v>61</v>
      </c>
      <c r="BA322" t="s">
        <v>61</v>
      </c>
      <c r="BB322" t="s">
        <v>61</v>
      </c>
      <c r="BC322" t="s">
        <v>61</v>
      </c>
      <c r="BD322" t="s">
        <v>61</v>
      </c>
      <c r="BE322" t="s">
        <v>61</v>
      </c>
      <c r="BF322" t="s">
        <v>61</v>
      </c>
    </row>
    <row r="323" spans="1:58">
      <c r="A323" t="s">
        <v>58</v>
      </c>
      <c r="B323" t="s">
        <v>2702</v>
      </c>
      <c r="C323" t="s">
        <v>2703</v>
      </c>
      <c r="D323" t="s">
        <v>2704</v>
      </c>
      <c r="E323" t="s">
        <v>61</v>
      </c>
      <c r="F323">
        <v>2010</v>
      </c>
      <c r="G323" t="s">
        <v>61</v>
      </c>
      <c r="H323">
        <v>33</v>
      </c>
      <c r="I323">
        <v>10</v>
      </c>
      <c r="J323">
        <v>928</v>
      </c>
      <c r="K323" t="s">
        <v>61</v>
      </c>
      <c r="L323" t="s">
        <v>2705</v>
      </c>
      <c r="M323" t="s">
        <v>2706</v>
      </c>
      <c r="N323" t="s">
        <v>2707</v>
      </c>
      <c r="O323" t="s">
        <v>61</v>
      </c>
      <c r="Q323" t="s">
        <v>61</v>
      </c>
      <c r="R323" t="s">
        <v>61</v>
      </c>
      <c r="S323" t="s">
        <v>61</v>
      </c>
      <c r="T323" t="s">
        <v>61</v>
      </c>
      <c r="X323" t="s">
        <v>61</v>
      </c>
      <c r="Y323" t="s">
        <v>313</v>
      </c>
      <c r="Z323" t="s">
        <v>61</v>
      </c>
      <c r="AA323" t="s">
        <v>61</v>
      </c>
      <c r="AB323" t="s">
        <v>61</v>
      </c>
      <c r="AC323" t="s">
        <v>67</v>
      </c>
      <c r="AD323" t="s">
        <v>61</v>
      </c>
      <c r="AE323" t="s">
        <v>61</v>
      </c>
      <c r="AF323" t="s">
        <v>61</v>
      </c>
      <c r="AG323" t="s">
        <v>61</v>
      </c>
      <c r="AH323" t="s">
        <v>61</v>
      </c>
      <c r="AI323" t="s">
        <v>61</v>
      </c>
      <c r="AJ323" t="s">
        <v>61</v>
      </c>
      <c r="AK323" t="s">
        <v>61</v>
      </c>
      <c r="AL323" t="s">
        <v>61</v>
      </c>
      <c r="AM323" t="s">
        <v>2703</v>
      </c>
      <c r="AN323" t="s">
        <v>61</v>
      </c>
      <c r="AO323" t="s">
        <v>61</v>
      </c>
      <c r="AP323" t="s">
        <v>61</v>
      </c>
      <c r="AQ323" t="s">
        <v>61</v>
      </c>
      <c r="AR323" t="s">
        <v>61</v>
      </c>
      <c r="AS323" t="s">
        <v>61</v>
      </c>
      <c r="AT323" t="s">
        <v>61</v>
      </c>
      <c r="AU323" t="s">
        <v>61</v>
      </c>
      <c r="AV323" t="s">
        <v>61</v>
      </c>
      <c r="AW323" t="s">
        <v>61</v>
      </c>
      <c r="AX323" t="s">
        <v>61</v>
      </c>
      <c r="AY323" t="s">
        <v>61</v>
      </c>
      <c r="AZ323" t="s">
        <v>61</v>
      </c>
      <c r="BA323" t="s">
        <v>61</v>
      </c>
      <c r="BB323" t="s">
        <v>61</v>
      </c>
      <c r="BC323" t="s">
        <v>61</v>
      </c>
      <c r="BD323" t="s">
        <v>61</v>
      </c>
      <c r="BE323" t="s">
        <v>61</v>
      </c>
      <c r="BF323" t="s">
        <v>61</v>
      </c>
    </row>
    <row r="324" spans="1:58">
      <c r="A324" t="s">
        <v>58</v>
      </c>
      <c r="B324" t="s">
        <v>2708</v>
      </c>
      <c r="C324" t="s">
        <v>2709</v>
      </c>
      <c r="D324" t="s">
        <v>408</v>
      </c>
      <c r="E324" t="s">
        <v>408</v>
      </c>
      <c r="F324">
        <v>2014</v>
      </c>
      <c r="G324" t="s">
        <v>645</v>
      </c>
      <c r="H324">
        <v>34</v>
      </c>
      <c r="I324">
        <v>10</v>
      </c>
      <c r="J324" t="s">
        <v>2710</v>
      </c>
      <c r="K324" t="s">
        <v>61</v>
      </c>
      <c r="L324" t="s">
        <v>2711</v>
      </c>
      <c r="M324" t="s">
        <v>2712</v>
      </c>
      <c r="N324" t="s">
        <v>2713</v>
      </c>
      <c r="O324" t="s">
        <v>61</v>
      </c>
      <c r="Q324" t="s">
        <v>61</v>
      </c>
      <c r="R324" t="s">
        <v>61</v>
      </c>
      <c r="S324" t="s">
        <v>61</v>
      </c>
      <c r="T324" t="s">
        <v>61</v>
      </c>
      <c r="X324" t="s">
        <v>61</v>
      </c>
      <c r="Y324" t="s">
        <v>414</v>
      </c>
      <c r="Z324" t="s">
        <v>61</v>
      </c>
      <c r="AA324" t="s">
        <v>61</v>
      </c>
      <c r="AB324" t="s">
        <v>61</v>
      </c>
      <c r="AC324" t="s">
        <v>67</v>
      </c>
      <c r="AD324" t="s">
        <v>61</v>
      </c>
      <c r="AE324" t="s">
        <v>61</v>
      </c>
      <c r="AF324" t="s">
        <v>61</v>
      </c>
      <c r="AG324" t="s">
        <v>61</v>
      </c>
      <c r="AH324" t="s">
        <v>61</v>
      </c>
      <c r="AI324" t="s">
        <v>61</v>
      </c>
      <c r="AJ324" t="s">
        <v>61</v>
      </c>
      <c r="AK324" t="s">
        <v>61</v>
      </c>
      <c r="AL324" t="s">
        <v>61</v>
      </c>
      <c r="AM324" t="s">
        <v>2709</v>
      </c>
      <c r="AN324" t="s">
        <v>61</v>
      </c>
      <c r="AO324" t="s">
        <v>61</v>
      </c>
      <c r="AP324" t="s">
        <v>61</v>
      </c>
      <c r="AQ324" t="s">
        <v>61</v>
      </c>
      <c r="AR324" t="s">
        <v>61</v>
      </c>
      <c r="AS324" t="s">
        <v>61</v>
      </c>
      <c r="AT324" t="s">
        <v>61</v>
      </c>
      <c r="AU324" t="s">
        <v>61</v>
      </c>
      <c r="AV324" t="s">
        <v>61</v>
      </c>
      <c r="AW324" t="s">
        <v>61</v>
      </c>
      <c r="AX324" t="s">
        <v>61</v>
      </c>
      <c r="AY324" t="s">
        <v>61</v>
      </c>
      <c r="AZ324" t="s">
        <v>61</v>
      </c>
      <c r="BA324" t="s">
        <v>61</v>
      </c>
      <c r="BB324" t="s">
        <v>61</v>
      </c>
      <c r="BC324" t="s">
        <v>61</v>
      </c>
      <c r="BD324" t="s">
        <v>61</v>
      </c>
      <c r="BE324" t="s">
        <v>61</v>
      </c>
      <c r="BF324" t="s">
        <v>61</v>
      </c>
    </row>
    <row r="325" spans="1:58">
      <c r="A325" t="s">
        <v>58</v>
      </c>
      <c r="B325" t="s">
        <v>2714</v>
      </c>
      <c r="C325" t="s">
        <v>2715</v>
      </c>
      <c r="D325" t="s">
        <v>2716</v>
      </c>
      <c r="E325" t="s">
        <v>61</v>
      </c>
      <c r="F325">
        <v>2010</v>
      </c>
      <c r="G325" t="s">
        <v>409</v>
      </c>
      <c r="H325">
        <v>13</v>
      </c>
      <c r="I325">
        <v>7</v>
      </c>
      <c r="J325" t="s">
        <v>2717</v>
      </c>
      <c r="K325" t="s">
        <v>61</v>
      </c>
      <c r="L325" t="s">
        <v>2718</v>
      </c>
      <c r="M325" t="s">
        <v>2719</v>
      </c>
      <c r="N325" t="s">
        <v>2720</v>
      </c>
      <c r="O325" t="s">
        <v>61</v>
      </c>
      <c r="Q325" t="s">
        <v>61</v>
      </c>
      <c r="R325" t="s">
        <v>61</v>
      </c>
      <c r="S325" t="s">
        <v>61</v>
      </c>
      <c r="T325" t="s">
        <v>61</v>
      </c>
      <c r="X325" t="s">
        <v>61</v>
      </c>
      <c r="Y325" t="s">
        <v>2721</v>
      </c>
      <c r="Z325" t="s">
        <v>61</v>
      </c>
      <c r="AA325" t="s">
        <v>61</v>
      </c>
      <c r="AB325" t="s">
        <v>61</v>
      </c>
      <c r="AC325" t="s">
        <v>67</v>
      </c>
      <c r="AD325" t="s">
        <v>61</v>
      </c>
      <c r="AE325" t="s">
        <v>61</v>
      </c>
      <c r="AF325" t="s">
        <v>61</v>
      </c>
      <c r="AG325" t="s">
        <v>61</v>
      </c>
      <c r="AH325" t="s">
        <v>61</v>
      </c>
      <c r="AI325" t="s">
        <v>61</v>
      </c>
      <c r="AJ325" t="s">
        <v>61</v>
      </c>
      <c r="AK325" t="s">
        <v>61</v>
      </c>
      <c r="AL325" t="s">
        <v>61</v>
      </c>
      <c r="AM325" t="s">
        <v>2715</v>
      </c>
      <c r="AN325" t="s">
        <v>61</v>
      </c>
      <c r="AO325" t="s">
        <v>61</v>
      </c>
      <c r="AP325" t="s">
        <v>61</v>
      </c>
      <c r="AQ325" t="s">
        <v>61</v>
      </c>
      <c r="AR325" t="s">
        <v>61</v>
      </c>
      <c r="AS325" t="s">
        <v>61</v>
      </c>
      <c r="AT325" t="s">
        <v>61</v>
      </c>
      <c r="AU325" t="s">
        <v>61</v>
      </c>
      <c r="AV325" t="s">
        <v>61</v>
      </c>
      <c r="AW325" t="s">
        <v>61</v>
      </c>
      <c r="AX325" t="s">
        <v>61</v>
      </c>
      <c r="AY325" t="s">
        <v>61</v>
      </c>
      <c r="AZ325" t="s">
        <v>61</v>
      </c>
      <c r="BA325" t="s">
        <v>61</v>
      </c>
      <c r="BB325" t="s">
        <v>61</v>
      </c>
      <c r="BC325" t="s">
        <v>61</v>
      </c>
      <c r="BD325" t="s">
        <v>61</v>
      </c>
      <c r="BE325" t="s">
        <v>61</v>
      </c>
      <c r="BF325" t="s">
        <v>61</v>
      </c>
    </row>
    <row r="326" spans="1:58">
      <c r="A326" t="s">
        <v>58</v>
      </c>
      <c r="B326" t="s">
        <v>2722</v>
      </c>
      <c r="C326" t="s">
        <v>2723</v>
      </c>
      <c r="D326" t="s">
        <v>162</v>
      </c>
      <c r="E326" t="s">
        <v>163</v>
      </c>
      <c r="F326">
        <v>2006</v>
      </c>
      <c r="G326" t="s">
        <v>381</v>
      </c>
      <c r="H326">
        <v>46</v>
      </c>
      <c r="I326">
        <v>2</v>
      </c>
      <c r="J326">
        <v>179</v>
      </c>
      <c r="K326">
        <v>192</v>
      </c>
      <c r="L326" t="s">
        <v>2724</v>
      </c>
      <c r="M326" t="s">
        <v>2725</v>
      </c>
      <c r="N326" t="s">
        <v>2726</v>
      </c>
      <c r="O326" t="s">
        <v>61</v>
      </c>
      <c r="Q326" t="s">
        <v>61</v>
      </c>
      <c r="R326" t="s">
        <v>61</v>
      </c>
      <c r="S326" t="s">
        <v>61</v>
      </c>
      <c r="T326" t="s">
        <v>61</v>
      </c>
      <c r="X326" t="s">
        <v>61</v>
      </c>
      <c r="Y326" t="s">
        <v>902</v>
      </c>
      <c r="Z326" t="s">
        <v>61</v>
      </c>
      <c r="AA326" t="s">
        <v>61</v>
      </c>
      <c r="AB326">
        <v>2006050159</v>
      </c>
      <c r="AC326" t="s">
        <v>67</v>
      </c>
      <c r="AD326" t="s">
        <v>61</v>
      </c>
      <c r="AE326" t="s">
        <v>61</v>
      </c>
      <c r="AF326" t="s">
        <v>61</v>
      </c>
      <c r="AG326" t="s">
        <v>2727</v>
      </c>
      <c r="AH326" t="s">
        <v>61</v>
      </c>
      <c r="AI326" t="s">
        <v>61</v>
      </c>
      <c r="AJ326" t="s">
        <v>61</v>
      </c>
      <c r="AK326" t="s">
        <v>61</v>
      </c>
      <c r="AL326" t="s">
        <v>61</v>
      </c>
      <c r="AM326" t="s">
        <v>2728</v>
      </c>
      <c r="AN326" t="s">
        <v>61</v>
      </c>
      <c r="AO326" t="s">
        <v>61</v>
      </c>
      <c r="AP326" t="s">
        <v>61</v>
      </c>
      <c r="AQ326" t="s">
        <v>61</v>
      </c>
      <c r="AR326" t="s">
        <v>61</v>
      </c>
      <c r="AS326" t="s">
        <v>61</v>
      </c>
      <c r="AT326" t="s">
        <v>61</v>
      </c>
      <c r="AU326" t="s">
        <v>61</v>
      </c>
      <c r="AV326" t="s">
        <v>61</v>
      </c>
      <c r="AW326" t="s">
        <v>61</v>
      </c>
      <c r="AX326" t="s">
        <v>61</v>
      </c>
      <c r="AY326" t="s">
        <v>61</v>
      </c>
      <c r="AZ326" t="s">
        <v>61</v>
      </c>
      <c r="BA326" t="s">
        <v>61</v>
      </c>
      <c r="BB326" t="s">
        <v>61</v>
      </c>
      <c r="BC326" t="s">
        <v>61</v>
      </c>
      <c r="BD326" t="s">
        <v>61</v>
      </c>
      <c r="BE326" t="s">
        <v>61</v>
      </c>
      <c r="BF326" t="s">
        <v>61</v>
      </c>
    </row>
    <row r="327" spans="1:58">
      <c r="A327" t="s">
        <v>58</v>
      </c>
      <c r="B327" t="s">
        <v>2729</v>
      </c>
      <c r="C327" t="s">
        <v>2730</v>
      </c>
      <c r="D327" t="s">
        <v>2731</v>
      </c>
      <c r="E327" t="s">
        <v>61</v>
      </c>
      <c r="F327">
        <v>2012</v>
      </c>
      <c r="G327" s="1">
        <v>42552</v>
      </c>
      <c r="H327">
        <v>26</v>
      </c>
      <c r="I327">
        <v>7</v>
      </c>
      <c r="J327">
        <v>559</v>
      </c>
      <c r="K327">
        <v>569</v>
      </c>
      <c r="L327" t="s">
        <v>2732</v>
      </c>
      <c r="M327" t="s">
        <v>2733</v>
      </c>
      <c r="N327" t="s">
        <v>2734</v>
      </c>
      <c r="O327" t="s">
        <v>61</v>
      </c>
      <c r="Q327" t="s">
        <v>61</v>
      </c>
      <c r="R327" t="s">
        <v>61</v>
      </c>
      <c r="S327" t="s">
        <v>61</v>
      </c>
      <c r="T327" t="s">
        <v>61</v>
      </c>
      <c r="X327" t="s">
        <v>61</v>
      </c>
      <c r="Y327" t="s">
        <v>2735</v>
      </c>
      <c r="Z327" t="s">
        <v>61</v>
      </c>
      <c r="AA327" t="s">
        <v>2736</v>
      </c>
      <c r="AB327">
        <v>22676261</v>
      </c>
      <c r="AC327" t="s">
        <v>67</v>
      </c>
      <c r="AD327" t="s">
        <v>61</v>
      </c>
      <c r="AE327" t="s">
        <v>61</v>
      </c>
      <c r="AF327" t="s">
        <v>61</v>
      </c>
      <c r="AG327" t="s">
        <v>2737</v>
      </c>
      <c r="AH327" t="s">
        <v>61</v>
      </c>
      <c r="AI327" t="s">
        <v>2738</v>
      </c>
      <c r="AJ327" t="s">
        <v>61</v>
      </c>
      <c r="AK327" t="s">
        <v>61</v>
      </c>
      <c r="AL327" t="s">
        <v>61</v>
      </c>
      <c r="AM327" t="s">
        <v>2739</v>
      </c>
      <c r="AN327" t="s">
        <v>61</v>
      </c>
      <c r="AO327" t="s">
        <v>61</v>
      </c>
      <c r="AP327" t="s">
        <v>61</v>
      </c>
      <c r="AQ327" t="s">
        <v>61</v>
      </c>
      <c r="AR327" t="s">
        <v>61</v>
      </c>
      <c r="AS327" t="s">
        <v>61</v>
      </c>
      <c r="AT327" t="s">
        <v>61</v>
      </c>
      <c r="AU327" t="s">
        <v>61</v>
      </c>
      <c r="AV327" t="s">
        <v>61</v>
      </c>
      <c r="AW327" t="s">
        <v>61</v>
      </c>
      <c r="AX327" t="s">
        <v>61</v>
      </c>
      <c r="AY327" t="s">
        <v>61</v>
      </c>
      <c r="AZ327" t="s">
        <v>61</v>
      </c>
      <c r="BA327" t="s">
        <v>61</v>
      </c>
      <c r="BB327" t="s">
        <v>61</v>
      </c>
      <c r="BC327" t="s">
        <v>61</v>
      </c>
      <c r="BD327" t="s">
        <v>61</v>
      </c>
      <c r="BE327" t="s">
        <v>61</v>
      </c>
      <c r="BF327" t="s">
        <v>61</v>
      </c>
    </row>
    <row r="328" spans="1:58">
      <c r="A328" t="s">
        <v>58</v>
      </c>
      <c r="B328" t="s">
        <v>2740</v>
      </c>
      <c r="C328" t="s">
        <v>2741</v>
      </c>
      <c r="D328" t="s">
        <v>428</v>
      </c>
      <c r="E328" t="s">
        <v>61</v>
      </c>
      <c r="F328">
        <v>2010</v>
      </c>
      <c r="G328" t="s">
        <v>429</v>
      </c>
      <c r="H328">
        <v>23</v>
      </c>
      <c r="I328">
        <v>2</v>
      </c>
      <c r="J328">
        <v>164</v>
      </c>
      <c r="K328" t="s">
        <v>61</v>
      </c>
      <c r="L328" t="s">
        <v>2742</v>
      </c>
      <c r="M328" t="s">
        <v>2743</v>
      </c>
      <c r="N328" t="s">
        <v>2744</v>
      </c>
      <c r="O328" t="s">
        <v>61</v>
      </c>
      <c r="Q328" t="s">
        <v>61</v>
      </c>
      <c r="R328" t="s">
        <v>61</v>
      </c>
      <c r="S328" t="s">
        <v>61</v>
      </c>
      <c r="T328" t="s">
        <v>61</v>
      </c>
      <c r="X328" t="s">
        <v>61</v>
      </c>
      <c r="Y328" t="s">
        <v>433</v>
      </c>
      <c r="Z328" t="s">
        <v>61</v>
      </c>
      <c r="AA328" t="s">
        <v>61</v>
      </c>
      <c r="AB328" t="s">
        <v>61</v>
      </c>
      <c r="AC328" t="s">
        <v>67</v>
      </c>
      <c r="AD328" t="s">
        <v>61</v>
      </c>
      <c r="AE328" t="s">
        <v>61</v>
      </c>
      <c r="AF328" t="s">
        <v>61</v>
      </c>
      <c r="AG328" t="s">
        <v>61</v>
      </c>
      <c r="AH328" t="s">
        <v>61</v>
      </c>
      <c r="AI328" t="s">
        <v>61</v>
      </c>
      <c r="AJ328" t="s">
        <v>61</v>
      </c>
      <c r="AK328" t="s">
        <v>61</v>
      </c>
      <c r="AL328" t="s">
        <v>61</v>
      </c>
      <c r="AM328" t="s">
        <v>2741</v>
      </c>
      <c r="AN328" t="s">
        <v>61</v>
      </c>
      <c r="AO328" t="s">
        <v>61</v>
      </c>
      <c r="AP328" t="s">
        <v>61</v>
      </c>
      <c r="AQ328" t="s">
        <v>61</v>
      </c>
      <c r="AR328" t="s">
        <v>61</v>
      </c>
      <c r="AS328" t="s">
        <v>61</v>
      </c>
      <c r="AT328" t="s">
        <v>61</v>
      </c>
      <c r="AU328" t="s">
        <v>61</v>
      </c>
      <c r="AV328" t="s">
        <v>61</v>
      </c>
      <c r="AW328" t="s">
        <v>61</v>
      </c>
      <c r="AX328" t="s">
        <v>61</v>
      </c>
      <c r="AY328" t="s">
        <v>61</v>
      </c>
      <c r="AZ328" t="s">
        <v>61</v>
      </c>
      <c r="BA328" t="s">
        <v>61</v>
      </c>
      <c r="BB328" t="s">
        <v>61</v>
      </c>
      <c r="BC328" t="s">
        <v>61</v>
      </c>
      <c r="BD328" t="s">
        <v>61</v>
      </c>
      <c r="BE328" t="s">
        <v>61</v>
      </c>
      <c r="BF328" t="s">
        <v>61</v>
      </c>
    </row>
    <row r="329" spans="1:58">
      <c r="A329" t="s">
        <v>58</v>
      </c>
      <c r="B329" t="s">
        <v>2745</v>
      </c>
      <c r="C329" t="s">
        <v>2746</v>
      </c>
      <c r="D329" t="s">
        <v>2747</v>
      </c>
      <c r="E329" t="s">
        <v>61</v>
      </c>
      <c r="F329">
        <v>2010</v>
      </c>
      <c r="G329" t="s">
        <v>280</v>
      </c>
      <c r="H329">
        <v>8</v>
      </c>
      <c r="I329">
        <v>4</v>
      </c>
      <c r="J329">
        <v>394</v>
      </c>
      <c r="K329">
        <v>408</v>
      </c>
      <c r="L329" t="s">
        <v>61</v>
      </c>
      <c r="M329" t="s">
        <v>2748</v>
      </c>
      <c r="N329" t="s">
        <v>2749</v>
      </c>
      <c r="O329" t="s">
        <v>61</v>
      </c>
      <c r="Q329" t="s">
        <v>61</v>
      </c>
      <c r="R329" t="s">
        <v>61</v>
      </c>
      <c r="S329" t="s">
        <v>61</v>
      </c>
      <c r="T329" t="s">
        <v>61</v>
      </c>
      <c r="X329" t="s">
        <v>61</v>
      </c>
      <c r="Y329" t="s">
        <v>2750</v>
      </c>
      <c r="Z329" t="s">
        <v>61</v>
      </c>
      <c r="AA329" t="s">
        <v>2751</v>
      </c>
      <c r="AB329">
        <v>21629446</v>
      </c>
      <c r="AC329" t="s">
        <v>67</v>
      </c>
      <c r="AD329" t="s">
        <v>61</v>
      </c>
      <c r="AE329" t="s">
        <v>61</v>
      </c>
      <c r="AF329" t="s">
        <v>61</v>
      </c>
      <c r="AG329" t="s">
        <v>2752</v>
      </c>
      <c r="AH329" t="s">
        <v>61</v>
      </c>
      <c r="AI329" t="s">
        <v>2753</v>
      </c>
      <c r="AJ329" t="s">
        <v>61</v>
      </c>
      <c r="AK329" t="s">
        <v>61</v>
      </c>
      <c r="AL329" t="s">
        <v>61</v>
      </c>
      <c r="AM329" t="s">
        <v>2754</v>
      </c>
      <c r="AN329" t="s">
        <v>61</v>
      </c>
      <c r="AO329" t="s">
        <v>61</v>
      </c>
      <c r="AP329" t="s">
        <v>61</v>
      </c>
      <c r="AQ329" t="s">
        <v>61</v>
      </c>
      <c r="AR329" t="s">
        <v>61</v>
      </c>
      <c r="AS329" t="s">
        <v>61</v>
      </c>
      <c r="AT329" t="s">
        <v>61</v>
      </c>
      <c r="AU329" t="s">
        <v>61</v>
      </c>
      <c r="AV329" t="s">
        <v>61</v>
      </c>
      <c r="AW329" t="s">
        <v>61</v>
      </c>
      <c r="AX329" t="s">
        <v>61</v>
      </c>
      <c r="AY329" t="s">
        <v>61</v>
      </c>
      <c r="AZ329" t="s">
        <v>61</v>
      </c>
      <c r="BA329" t="s">
        <v>61</v>
      </c>
      <c r="BB329" t="s">
        <v>61</v>
      </c>
      <c r="BC329" t="s">
        <v>61</v>
      </c>
      <c r="BD329" t="s">
        <v>61</v>
      </c>
      <c r="BE329" t="s">
        <v>61</v>
      </c>
      <c r="BF329" t="s">
        <v>61</v>
      </c>
    </row>
    <row r="330" spans="1:58">
      <c r="A330" t="s">
        <v>58</v>
      </c>
      <c r="B330" t="s">
        <v>2755</v>
      </c>
      <c r="C330" t="s">
        <v>2756</v>
      </c>
      <c r="D330" t="s">
        <v>2757</v>
      </c>
      <c r="E330" t="s">
        <v>2758</v>
      </c>
      <c r="F330">
        <v>2011</v>
      </c>
      <c r="G330" t="s">
        <v>273</v>
      </c>
      <c r="H330">
        <v>125</v>
      </c>
      <c r="I330">
        <v>1</v>
      </c>
      <c r="J330">
        <v>10</v>
      </c>
      <c r="K330">
        <v>19</v>
      </c>
      <c r="L330" t="s">
        <v>2759</v>
      </c>
      <c r="M330" t="s">
        <v>2760</v>
      </c>
      <c r="N330" t="s">
        <v>2761</v>
      </c>
      <c r="O330" t="s">
        <v>61</v>
      </c>
      <c r="Q330" t="s">
        <v>61</v>
      </c>
      <c r="R330" t="s">
        <v>61</v>
      </c>
      <c r="S330" t="s">
        <v>61</v>
      </c>
      <c r="T330" t="s">
        <v>61</v>
      </c>
      <c r="X330" t="s">
        <v>61</v>
      </c>
      <c r="Y330" t="s">
        <v>2762</v>
      </c>
      <c r="Z330" t="s">
        <v>61</v>
      </c>
      <c r="AA330" t="s">
        <v>2763</v>
      </c>
      <c r="AB330">
        <v>21319882</v>
      </c>
      <c r="AC330" t="s">
        <v>67</v>
      </c>
      <c r="AD330" t="s">
        <v>61</v>
      </c>
      <c r="AE330" t="s">
        <v>61</v>
      </c>
      <c r="AF330" t="s">
        <v>61</v>
      </c>
      <c r="AG330" t="s">
        <v>2764</v>
      </c>
      <c r="AH330" t="s">
        <v>61</v>
      </c>
      <c r="AI330" t="s">
        <v>2765</v>
      </c>
      <c r="AJ330" t="s">
        <v>61</v>
      </c>
      <c r="AK330" t="s">
        <v>61</v>
      </c>
      <c r="AL330" t="s">
        <v>61</v>
      </c>
      <c r="AM330" t="s">
        <v>2766</v>
      </c>
      <c r="AN330" t="s">
        <v>61</v>
      </c>
      <c r="AO330" t="s">
        <v>61</v>
      </c>
      <c r="AP330" t="s">
        <v>61</v>
      </c>
      <c r="AQ330" t="s">
        <v>61</v>
      </c>
      <c r="AR330" t="s">
        <v>61</v>
      </c>
      <c r="AS330" t="s">
        <v>61</v>
      </c>
      <c r="AT330" t="s">
        <v>61</v>
      </c>
      <c r="AU330" t="s">
        <v>61</v>
      </c>
      <c r="AV330" t="s">
        <v>61</v>
      </c>
      <c r="AW330" t="s">
        <v>61</v>
      </c>
      <c r="AX330" t="s">
        <v>61</v>
      </c>
      <c r="AY330" t="s">
        <v>61</v>
      </c>
      <c r="AZ330" t="s">
        <v>61</v>
      </c>
      <c r="BA330" t="s">
        <v>61</v>
      </c>
      <c r="BB330" t="s">
        <v>61</v>
      </c>
      <c r="BC330" t="s">
        <v>61</v>
      </c>
      <c r="BD330" t="s">
        <v>61</v>
      </c>
      <c r="BE330" t="s">
        <v>61</v>
      </c>
      <c r="BF330" t="s">
        <v>61</v>
      </c>
    </row>
    <row r="331" spans="1:58">
      <c r="A331" t="s">
        <v>58</v>
      </c>
      <c r="B331" t="s">
        <v>2767</v>
      </c>
      <c r="C331" t="s">
        <v>2768</v>
      </c>
      <c r="D331" t="s">
        <v>60</v>
      </c>
      <c r="E331" t="s">
        <v>61</v>
      </c>
      <c r="F331">
        <v>2014</v>
      </c>
      <c r="G331" s="1">
        <v>42628</v>
      </c>
      <c r="H331">
        <v>71</v>
      </c>
      <c r="I331">
        <v>18</v>
      </c>
      <c r="J331">
        <v>1539</v>
      </c>
      <c r="K331">
        <v>1554</v>
      </c>
      <c r="L331" t="s">
        <v>2769</v>
      </c>
      <c r="M331" t="s">
        <v>2770</v>
      </c>
      <c r="N331" t="s">
        <v>2771</v>
      </c>
      <c r="O331" t="s">
        <v>61</v>
      </c>
      <c r="Q331" t="s">
        <v>61</v>
      </c>
      <c r="R331" t="s">
        <v>61</v>
      </c>
      <c r="S331" t="s">
        <v>61</v>
      </c>
      <c r="T331" t="s">
        <v>61</v>
      </c>
      <c r="X331" t="s">
        <v>61</v>
      </c>
      <c r="Y331" t="s">
        <v>97</v>
      </c>
      <c r="Z331" t="s">
        <v>61</v>
      </c>
      <c r="AA331" t="s">
        <v>2772</v>
      </c>
      <c r="AB331">
        <v>25174015</v>
      </c>
      <c r="AC331" t="s">
        <v>67</v>
      </c>
      <c r="AD331" t="s">
        <v>61</v>
      </c>
      <c r="AE331" t="s">
        <v>61</v>
      </c>
      <c r="AF331" t="s">
        <v>61</v>
      </c>
      <c r="AG331" t="s">
        <v>2773</v>
      </c>
      <c r="AH331" t="s">
        <v>61</v>
      </c>
      <c r="AI331" t="s">
        <v>2774</v>
      </c>
      <c r="AJ331" t="s">
        <v>61</v>
      </c>
      <c r="AK331" t="s">
        <v>61</v>
      </c>
      <c r="AL331" t="s">
        <v>61</v>
      </c>
      <c r="AM331" t="s">
        <v>2775</v>
      </c>
      <c r="AN331" t="s">
        <v>61</v>
      </c>
      <c r="AO331" t="s">
        <v>61</v>
      </c>
      <c r="AP331" t="s">
        <v>61</v>
      </c>
      <c r="AQ331" t="s">
        <v>61</v>
      </c>
      <c r="AR331" t="s">
        <v>61</v>
      </c>
      <c r="AS331" t="s">
        <v>61</v>
      </c>
      <c r="AT331" t="s">
        <v>61</v>
      </c>
      <c r="AU331" t="s">
        <v>61</v>
      </c>
      <c r="AV331" t="s">
        <v>61</v>
      </c>
      <c r="AW331" t="s">
        <v>61</v>
      </c>
      <c r="AX331" t="s">
        <v>61</v>
      </c>
      <c r="AY331" t="s">
        <v>61</v>
      </c>
      <c r="AZ331" t="s">
        <v>61</v>
      </c>
      <c r="BA331" t="s">
        <v>61</v>
      </c>
      <c r="BB331" t="s">
        <v>61</v>
      </c>
      <c r="BC331" t="s">
        <v>61</v>
      </c>
      <c r="BD331" t="s">
        <v>61</v>
      </c>
      <c r="BE331" t="s">
        <v>61</v>
      </c>
      <c r="BF331" t="s">
        <v>61</v>
      </c>
    </row>
    <row r="332" spans="1:58">
      <c r="A332" t="s">
        <v>58</v>
      </c>
      <c r="B332" t="s">
        <v>2776</v>
      </c>
      <c r="C332" t="s">
        <v>2777</v>
      </c>
      <c r="D332" t="s">
        <v>2778</v>
      </c>
      <c r="E332" t="s">
        <v>61</v>
      </c>
      <c r="F332">
        <v>1991</v>
      </c>
      <c r="G332" t="s">
        <v>61</v>
      </c>
      <c r="H332">
        <v>72</v>
      </c>
      <c r="I332" t="s">
        <v>2779</v>
      </c>
      <c r="J332" t="s">
        <v>2780</v>
      </c>
      <c r="K332" t="s">
        <v>2781</v>
      </c>
      <c r="L332" t="s">
        <v>2782</v>
      </c>
      <c r="M332" t="s">
        <v>2783</v>
      </c>
      <c r="N332" t="s">
        <v>2784</v>
      </c>
      <c r="O332" t="s">
        <v>61</v>
      </c>
      <c r="Q332" t="s">
        <v>61</v>
      </c>
      <c r="R332" t="s">
        <v>61</v>
      </c>
      <c r="S332" t="s">
        <v>61</v>
      </c>
      <c r="T332" t="s">
        <v>61</v>
      </c>
      <c r="X332" t="s">
        <v>61</v>
      </c>
      <c r="Y332" s="2">
        <v>2955969</v>
      </c>
      <c r="Z332" t="s">
        <v>61</v>
      </c>
      <c r="AA332" t="s">
        <v>61</v>
      </c>
      <c r="AB332">
        <v>107503292</v>
      </c>
      <c r="AC332" t="s">
        <v>67</v>
      </c>
      <c r="AD332" t="s">
        <v>61</v>
      </c>
      <c r="AE332" t="s">
        <v>61</v>
      </c>
      <c r="AF332" t="s">
        <v>61</v>
      </c>
      <c r="AG332" t="s">
        <v>2785</v>
      </c>
      <c r="AH332" t="s">
        <v>61</v>
      </c>
      <c r="AI332" t="s">
        <v>61</v>
      </c>
      <c r="AJ332" t="s">
        <v>61</v>
      </c>
      <c r="AK332" t="s">
        <v>61</v>
      </c>
      <c r="AL332" t="s">
        <v>61</v>
      </c>
      <c r="AM332" t="s">
        <v>2786</v>
      </c>
      <c r="AN332" t="s">
        <v>61</v>
      </c>
      <c r="AO332" t="s">
        <v>61</v>
      </c>
      <c r="AP332" t="s">
        <v>61</v>
      </c>
      <c r="AQ332" t="s">
        <v>61</v>
      </c>
      <c r="AR332" t="s">
        <v>61</v>
      </c>
      <c r="AS332" t="s">
        <v>61</v>
      </c>
      <c r="AT332" t="s">
        <v>61</v>
      </c>
      <c r="AU332" t="s">
        <v>61</v>
      </c>
      <c r="AV332" t="s">
        <v>61</v>
      </c>
      <c r="AW332" t="s">
        <v>61</v>
      </c>
      <c r="AX332" t="s">
        <v>61</v>
      </c>
      <c r="AY332" t="s">
        <v>61</v>
      </c>
      <c r="AZ332" t="s">
        <v>61</v>
      </c>
      <c r="BA332" t="s">
        <v>61</v>
      </c>
      <c r="BB332" t="s">
        <v>61</v>
      </c>
      <c r="BC332" t="s">
        <v>61</v>
      </c>
      <c r="BD332" t="s">
        <v>61</v>
      </c>
      <c r="BE332" t="s">
        <v>61</v>
      </c>
      <c r="BF332" t="s">
        <v>61</v>
      </c>
    </row>
    <row r="333" spans="1:58">
      <c r="A333" t="s">
        <v>58</v>
      </c>
      <c r="B333" t="s">
        <v>2787</v>
      </c>
      <c r="C333" t="s">
        <v>2788</v>
      </c>
      <c r="D333" t="s">
        <v>1465</v>
      </c>
      <c r="E333" t="s">
        <v>61</v>
      </c>
      <c r="F333">
        <v>2000</v>
      </c>
      <c r="G333" t="s">
        <v>61</v>
      </c>
      <c r="H333">
        <v>77</v>
      </c>
      <c r="I333">
        <v>4</v>
      </c>
      <c r="J333">
        <v>781</v>
      </c>
      <c r="K333">
        <v>793</v>
      </c>
      <c r="L333" t="s">
        <v>2789</v>
      </c>
      <c r="M333" t="s">
        <v>2790</v>
      </c>
      <c r="N333" t="s">
        <v>2791</v>
      </c>
      <c r="O333" t="s">
        <v>61</v>
      </c>
      <c r="Q333" t="s">
        <v>61</v>
      </c>
      <c r="R333" t="s">
        <v>61</v>
      </c>
      <c r="S333" t="s">
        <v>61</v>
      </c>
      <c r="T333" t="s">
        <v>61</v>
      </c>
      <c r="X333" t="s">
        <v>61</v>
      </c>
      <c r="Y333" t="s">
        <v>2792</v>
      </c>
      <c r="Z333" t="s">
        <v>61</v>
      </c>
      <c r="AA333" t="s">
        <v>61</v>
      </c>
      <c r="AB333">
        <v>2001028847</v>
      </c>
      <c r="AC333" t="s">
        <v>67</v>
      </c>
      <c r="AD333" t="s">
        <v>61</v>
      </c>
      <c r="AE333" t="s">
        <v>61</v>
      </c>
      <c r="AF333" t="s">
        <v>61</v>
      </c>
      <c r="AG333" t="s">
        <v>2793</v>
      </c>
      <c r="AH333" t="s">
        <v>61</v>
      </c>
      <c r="AI333" t="s">
        <v>61</v>
      </c>
      <c r="AJ333" t="s">
        <v>61</v>
      </c>
      <c r="AK333" t="s">
        <v>61</v>
      </c>
      <c r="AL333" t="s">
        <v>61</v>
      </c>
      <c r="AM333" t="s">
        <v>2794</v>
      </c>
      <c r="AN333" t="s">
        <v>61</v>
      </c>
      <c r="AO333" t="s">
        <v>61</v>
      </c>
      <c r="AP333" t="s">
        <v>61</v>
      </c>
      <c r="AQ333" t="s">
        <v>61</v>
      </c>
      <c r="AR333" t="s">
        <v>61</v>
      </c>
      <c r="AS333" t="s">
        <v>61</v>
      </c>
      <c r="AT333" t="s">
        <v>61</v>
      </c>
      <c r="AU333" t="s">
        <v>61</v>
      </c>
      <c r="AV333" t="s">
        <v>61</v>
      </c>
      <c r="AW333" t="s">
        <v>61</v>
      </c>
      <c r="AX333" t="s">
        <v>61</v>
      </c>
      <c r="AY333" t="s">
        <v>61</v>
      </c>
      <c r="AZ333" t="s">
        <v>61</v>
      </c>
      <c r="BA333" t="s">
        <v>61</v>
      </c>
      <c r="BB333" t="s">
        <v>61</v>
      </c>
      <c r="BC333" t="s">
        <v>61</v>
      </c>
      <c r="BD333" t="s">
        <v>61</v>
      </c>
      <c r="BE333" t="s">
        <v>61</v>
      </c>
      <c r="BF333" t="s">
        <v>61</v>
      </c>
    </row>
    <row r="334" spans="1:58">
      <c r="A334" t="s">
        <v>58</v>
      </c>
      <c r="B334" t="s">
        <v>2795</v>
      </c>
      <c r="C334" t="s">
        <v>2796</v>
      </c>
      <c r="D334" t="s">
        <v>2797</v>
      </c>
      <c r="E334" t="s">
        <v>61</v>
      </c>
      <c r="F334">
        <v>1997</v>
      </c>
      <c r="G334" t="s">
        <v>2798</v>
      </c>
      <c r="H334">
        <v>13</v>
      </c>
      <c r="I334">
        <v>1</v>
      </c>
      <c r="J334">
        <v>28</v>
      </c>
      <c r="K334">
        <v>37</v>
      </c>
      <c r="L334" t="s">
        <v>2799</v>
      </c>
      <c r="M334" t="s">
        <v>2800</v>
      </c>
      <c r="N334" t="s">
        <v>2801</v>
      </c>
      <c r="O334" t="s">
        <v>61</v>
      </c>
      <c r="Q334" t="s">
        <v>61</v>
      </c>
      <c r="R334" t="s">
        <v>61</v>
      </c>
      <c r="S334" t="s">
        <v>61</v>
      </c>
      <c r="T334" t="s">
        <v>61</v>
      </c>
      <c r="X334" t="s">
        <v>61</v>
      </c>
      <c r="Y334" t="s">
        <v>2802</v>
      </c>
      <c r="Z334" t="s">
        <v>61</v>
      </c>
      <c r="AA334" t="s">
        <v>2803</v>
      </c>
      <c r="AB334">
        <v>9183110</v>
      </c>
      <c r="AC334" t="s">
        <v>67</v>
      </c>
      <c r="AD334" t="s">
        <v>61</v>
      </c>
      <c r="AE334" t="s">
        <v>61</v>
      </c>
      <c r="AF334" t="s">
        <v>61</v>
      </c>
      <c r="AG334" t="s">
        <v>2804</v>
      </c>
      <c r="AH334" t="s">
        <v>61</v>
      </c>
      <c r="AI334" t="s">
        <v>61</v>
      </c>
      <c r="AJ334" t="s">
        <v>61</v>
      </c>
      <c r="AK334" t="s">
        <v>61</v>
      </c>
      <c r="AL334" t="s">
        <v>61</v>
      </c>
      <c r="AM334" t="s">
        <v>2805</v>
      </c>
      <c r="AN334" t="s">
        <v>61</v>
      </c>
      <c r="AO334" t="s">
        <v>61</v>
      </c>
      <c r="AP334" t="s">
        <v>61</v>
      </c>
      <c r="AQ334" t="s">
        <v>61</v>
      </c>
      <c r="AR334" t="s">
        <v>61</v>
      </c>
      <c r="AS334" t="s">
        <v>61</v>
      </c>
      <c r="AT334" t="s">
        <v>61</v>
      </c>
      <c r="AU334" t="s">
        <v>61</v>
      </c>
      <c r="AV334" t="s">
        <v>61</v>
      </c>
      <c r="AW334" t="s">
        <v>61</v>
      </c>
      <c r="AX334" t="s">
        <v>61</v>
      </c>
      <c r="AY334" t="s">
        <v>61</v>
      </c>
      <c r="AZ334" t="s">
        <v>61</v>
      </c>
      <c r="BA334" t="s">
        <v>61</v>
      </c>
      <c r="BB334" t="s">
        <v>61</v>
      </c>
      <c r="BC334" t="s">
        <v>61</v>
      </c>
      <c r="BD334" t="s">
        <v>61</v>
      </c>
      <c r="BE334" t="s">
        <v>61</v>
      </c>
      <c r="BF334" t="s">
        <v>61</v>
      </c>
    </row>
    <row r="335" spans="1:58">
      <c r="A335" t="s">
        <v>58</v>
      </c>
      <c r="B335" t="s">
        <v>2806</v>
      </c>
      <c r="C335" t="s">
        <v>2807</v>
      </c>
      <c r="D335" t="s">
        <v>2808</v>
      </c>
      <c r="E335" t="s">
        <v>61</v>
      </c>
      <c r="F335">
        <v>2009</v>
      </c>
      <c r="G335" t="s">
        <v>119</v>
      </c>
      <c r="H335">
        <v>18</v>
      </c>
      <c r="I335">
        <v>3</v>
      </c>
      <c r="J335">
        <v>232</v>
      </c>
      <c r="K335">
        <v>235</v>
      </c>
      <c r="L335" t="s">
        <v>2809</v>
      </c>
      <c r="M335" t="s">
        <v>2810</v>
      </c>
      <c r="N335" t="s">
        <v>2811</v>
      </c>
      <c r="O335" t="s">
        <v>61</v>
      </c>
      <c r="Q335" t="s">
        <v>61</v>
      </c>
      <c r="R335" t="s">
        <v>61</v>
      </c>
      <c r="S335" t="s">
        <v>61</v>
      </c>
      <c r="T335" t="s">
        <v>61</v>
      </c>
      <c r="X335" t="s">
        <v>61</v>
      </c>
      <c r="Y335" t="s">
        <v>2812</v>
      </c>
      <c r="Z335" t="s">
        <v>61</v>
      </c>
      <c r="AA335" t="s">
        <v>2813</v>
      </c>
      <c r="AB335">
        <v>19468008</v>
      </c>
      <c r="AC335" t="s">
        <v>67</v>
      </c>
      <c r="AD335" t="s">
        <v>61</v>
      </c>
      <c r="AE335" t="s">
        <v>61</v>
      </c>
      <c r="AF335" t="s">
        <v>61</v>
      </c>
      <c r="AG335" t="s">
        <v>2814</v>
      </c>
      <c r="AH335" t="s">
        <v>61</v>
      </c>
      <c r="AI335" t="s">
        <v>2815</v>
      </c>
      <c r="AJ335" t="s">
        <v>61</v>
      </c>
      <c r="AK335" t="s">
        <v>61</v>
      </c>
      <c r="AL335" t="s">
        <v>61</v>
      </c>
      <c r="AM335" t="s">
        <v>2816</v>
      </c>
      <c r="AN335" t="s">
        <v>61</v>
      </c>
      <c r="AO335" t="s">
        <v>61</v>
      </c>
      <c r="AP335" t="s">
        <v>61</v>
      </c>
      <c r="AQ335" t="s">
        <v>61</v>
      </c>
      <c r="AR335" t="s">
        <v>61</v>
      </c>
      <c r="AS335" t="s">
        <v>61</v>
      </c>
      <c r="AT335" t="s">
        <v>61</v>
      </c>
      <c r="AU335" t="s">
        <v>61</v>
      </c>
      <c r="AV335" t="s">
        <v>61</v>
      </c>
      <c r="AW335" t="s">
        <v>61</v>
      </c>
      <c r="AX335" t="s">
        <v>61</v>
      </c>
      <c r="AY335" t="s">
        <v>61</v>
      </c>
      <c r="AZ335" t="s">
        <v>61</v>
      </c>
      <c r="BA335" t="s">
        <v>61</v>
      </c>
      <c r="BB335" t="s">
        <v>61</v>
      </c>
      <c r="BC335" t="s">
        <v>61</v>
      </c>
      <c r="BD335" t="s">
        <v>61</v>
      </c>
      <c r="BE335" t="s">
        <v>61</v>
      </c>
      <c r="BF335" t="s">
        <v>61</v>
      </c>
    </row>
    <row r="336" spans="1:58">
      <c r="A336" t="s">
        <v>58</v>
      </c>
      <c r="B336" t="s">
        <v>2817</v>
      </c>
      <c r="C336" t="s">
        <v>2818</v>
      </c>
      <c r="D336" t="s">
        <v>271</v>
      </c>
      <c r="E336" t="s">
        <v>272</v>
      </c>
      <c r="F336">
        <v>1997</v>
      </c>
      <c r="G336" t="s">
        <v>739</v>
      </c>
      <c r="H336" t="s">
        <v>2819</v>
      </c>
      <c r="I336">
        <v>5</v>
      </c>
      <c r="J336">
        <v>581</v>
      </c>
      <c r="K336" t="s">
        <v>2820</v>
      </c>
      <c r="L336" t="s">
        <v>2821</v>
      </c>
      <c r="M336" t="s">
        <v>2822</v>
      </c>
      <c r="N336" t="s">
        <v>2823</v>
      </c>
      <c r="O336" t="s">
        <v>61</v>
      </c>
      <c r="Q336" t="s">
        <v>61</v>
      </c>
      <c r="R336" t="s">
        <v>61</v>
      </c>
      <c r="S336" t="s">
        <v>61</v>
      </c>
      <c r="T336" t="s">
        <v>61</v>
      </c>
      <c r="X336" t="s">
        <v>61</v>
      </c>
      <c r="Y336" t="s">
        <v>1661</v>
      </c>
      <c r="Z336" t="s">
        <v>61</v>
      </c>
      <c r="AA336" t="s">
        <v>2824</v>
      </c>
      <c r="AB336">
        <v>9479411</v>
      </c>
      <c r="AC336" t="s">
        <v>67</v>
      </c>
      <c r="AD336" t="s">
        <v>61</v>
      </c>
      <c r="AE336" t="s">
        <v>61</v>
      </c>
      <c r="AF336" t="s">
        <v>61</v>
      </c>
      <c r="AG336" t="s">
        <v>2825</v>
      </c>
      <c r="AH336" t="s">
        <v>61</v>
      </c>
      <c r="AI336" t="s">
        <v>61</v>
      </c>
      <c r="AJ336" t="s">
        <v>61</v>
      </c>
      <c r="AK336" t="s">
        <v>61</v>
      </c>
      <c r="AL336" t="s">
        <v>61</v>
      </c>
      <c r="AM336" t="s">
        <v>2826</v>
      </c>
      <c r="AN336" t="s">
        <v>61</v>
      </c>
      <c r="AO336" t="s">
        <v>61</v>
      </c>
      <c r="AP336" t="s">
        <v>61</v>
      </c>
      <c r="AQ336" t="s">
        <v>61</v>
      </c>
      <c r="AR336" t="s">
        <v>61</v>
      </c>
      <c r="AS336" t="s">
        <v>61</v>
      </c>
      <c r="AT336" t="s">
        <v>61</v>
      </c>
      <c r="AU336" t="s">
        <v>61</v>
      </c>
      <c r="AV336" t="s">
        <v>61</v>
      </c>
      <c r="AW336" t="s">
        <v>61</v>
      </c>
      <c r="AX336" t="s">
        <v>61</v>
      </c>
      <c r="AY336" t="s">
        <v>61</v>
      </c>
      <c r="AZ336" t="s">
        <v>61</v>
      </c>
      <c r="BA336" t="s">
        <v>61</v>
      </c>
      <c r="BB336" t="s">
        <v>61</v>
      </c>
      <c r="BC336" t="s">
        <v>61</v>
      </c>
      <c r="BD336" t="s">
        <v>61</v>
      </c>
      <c r="BE336" t="s">
        <v>61</v>
      </c>
      <c r="BF336" t="s">
        <v>61</v>
      </c>
    </row>
    <row r="337" spans="1:58">
      <c r="A337" t="s">
        <v>58</v>
      </c>
      <c r="B337" t="s">
        <v>2827</v>
      </c>
      <c r="C337" t="s">
        <v>2828</v>
      </c>
      <c r="D337" t="s">
        <v>2829</v>
      </c>
      <c r="E337" t="s">
        <v>2830</v>
      </c>
      <c r="F337">
        <v>2007</v>
      </c>
      <c r="G337" t="s">
        <v>85</v>
      </c>
      <c r="H337">
        <v>18</v>
      </c>
      <c r="I337">
        <v>4</v>
      </c>
      <c r="J337">
        <v>553</v>
      </c>
      <c r="K337">
        <v>559</v>
      </c>
      <c r="L337" t="s">
        <v>2831</v>
      </c>
      <c r="M337" t="s">
        <v>2832</v>
      </c>
      <c r="N337" t="s">
        <v>2833</v>
      </c>
      <c r="O337" t="s">
        <v>61</v>
      </c>
      <c r="Q337" t="s">
        <v>61</v>
      </c>
      <c r="R337" t="s">
        <v>61</v>
      </c>
      <c r="S337" t="s">
        <v>61</v>
      </c>
      <c r="T337" t="s">
        <v>61</v>
      </c>
      <c r="X337" t="s">
        <v>61</v>
      </c>
      <c r="Y337" t="s">
        <v>2834</v>
      </c>
      <c r="Z337" t="s">
        <v>61</v>
      </c>
      <c r="AA337" t="s">
        <v>2835</v>
      </c>
      <c r="AB337">
        <v>17120179</v>
      </c>
      <c r="AC337" t="s">
        <v>67</v>
      </c>
      <c r="AD337" t="s">
        <v>61</v>
      </c>
      <c r="AE337" t="s">
        <v>61</v>
      </c>
      <c r="AF337" t="s">
        <v>61</v>
      </c>
      <c r="AG337" t="s">
        <v>2836</v>
      </c>
      <c r="AH337" t="s">
        <v>61</v>
      </c>
      <c r="AI337" t="s">
        <v>61</v>
      </c>
      <c r="AJ337" t="s">
        <v>61</v>
      </c>
      <c r="AK337" t="s">
        <v>61</v>
      </c>
      <c r="AL337" t="s">
        <v>61</v>
      </c>
      <c r="AM337" t="s">
        <v>2837</v>
      </c>
      <c r="AN337" t="s">
        <v>61</v>
      </c>
      <c r="AO337" t="s">
        <v>61</v>
      </c>
      <c r="AP337" t="s">
        <v>61</v>
      </c>
      <c r="AQ337" t="s">
        <v>61</v>
      </c>
      <c r="AR337" t="s">
        <v>61</v>
      </c>
      <c r="AS337" t="s">
        <v>61</v>
      </c>
      <c r="AT337" t="s">
        <v>61</v>
      </c>
      <c r="AU337" t="s">
        <v>61</v>
      </c>
      <c r="AV337" t="s">
        <v>61</v>
      </c>
      <c r="AW337" t="s">
        <v>61</v>
      </c>
      <c r="AX337" t="s">
        <v>61</v>
      </c>
      <c r="AY337" t="s">
        <v>61</v>
      </c>
      <c r="AZ337" t="s">
        <v>61</v>
      </c>
      <c r="BA337" t="s">
        <v>61</v>
      </c>
      <c r="BB337" t="s">
        <v>61</v>
      </c>
      <c r="BC337" t="s">
        <v>61</v>
      </c>
      <c r="BD337" t="s">
        <v>61</v>
      </c>
      <c r="BE337" t="s">
        <v>61</v>
      </c>
      <c r="BF337" t="s">
        <v>61</v>
      </c>
    </row>
    <row r="338" spans="1:58">
      <c r="A338" t="s">
        <v>58</v>
      </c>
      <c r="B338" t="s">
        <v>2838</v>
      </c>
      <c r="C338" t="s">
        <v>2839</v>
      </c>
      <c r="D338" t="s">
        <v>1845</v>
      </c>
      <c r="E338" t="s">
        <v>61</v>
      </c>
      <c r="F338">
        <v>2010</v>
      </c>
      <c r="G338" t="s">
        <v>457</v>
      </c>
      <c r="H338">
        <v>16</v>
      </c>
      <c r="I338">
        <v>2</v>
      </c>
      <c r="J338">
        <v>11</v>
      </c>
      <c r="K338">
        <v>12</v>
      </c>
      <c r="L338" t="s">
        <v>2840</v>
      </c>
      <c r="M338" t="s">
        <v>2841</v>
      </c>
      <c r="N338" t="s">
        <v>2842</v>
      </c>
      <c r="O338" t="s">
        <v>61</v>
      </c>
      <c r="Q338" t="s">
        <v>61</v>
      </c>
      <c r="R338" t="s">
        <v>61</v>
      </c>
      <c r="S338" t="s">
        <v>61</v>
      </c>
      <c r="T338" t="s">
        <v>61</v>
      </c>
      <c r="X338" t="s">
        <v>61</v>
      </c>
      <c r="Y338" t="s">
        <v>1849</v>
      </c>
      <c r="Z338" t="s">
        <v>61</v>
      </c>
      <c r="AA338" t="s">
        <v>61</v>
      </c>
      <c r="AB338" t="s">
        <v>61</v>
      </c>
      <c r="AC338" t="s">
        <v>67</v>
      </c>
      <c r="AD338" t="s">
        <v>61</v>
      </c>
      <c r="AE338" t="s">
        <v>61</v>
      </c>
      <c r="AF338" t="s">
        <v>61</v>
      </c>
      <c r="AG338" t="s">
        <v>61</v>
      </c>
      <c r="AH338" t="s">
        <v>61</v>
      </c>
      <c r="AI338" t="s">
        <v>61</v>
      </c>
      <c r="AJ338" t="s">
        <v>61</v>
      </c>
      <c r="AK338" t="s">
        <v>61</v>
      </c>
      <c r="AL338" t="s">
        <v>61</v>
      </c>
      <c r="AM338" t="s">
        <v>2839</v>
      </c>
      <c r="AN338" t="s">
        <v>61</v>
      </c>
      <c r="AO338" t="s">
        <v>61</v>
      </c>
      <c r="AP338" t="s">
        <v>61</v>
      </c>
      <c r="AQ338" t="s">
        <v>61</v>
      </c>
      <c r="AR338" t="s">
        <v>61</v>
      </c>
      <c r="AS338" t="s">
        <v>61</v>
      </c>
      <c r="AT338" t="s">
        <v>61</v>
      </c>
      <c r="AU338" t="s">
        <v>61</v>
      </c>
      <c r="AV338" t="s">
        <v>61</v>
      </c>
      <c r="AW338" t="s">
        <v>61</v>
      </c>
      <c r="AX338" t="s">
        <v>61</v>
      </c>
      <c r="AY338" t="s">
        <v>61</v>
      </c>
      <c r="AZ338" t="s">
        <v>61</v>
      </c>
      <c r="BA338" t="s">
        <v>61</v>
      </c>
      <c r="BB338" t="s">
        <v>61</v>
      </c>
      <c r="BC338" t="s">
        <v>61</v>
      </c>
      <c r="BD338" t="s">
        <v>61</v>
      </c>
      <c r="BE338" t="s">
        <v>61</v>
      </c>
      <c r="BF338" t="s">
        <v>61</v>
      </c>
    </row>
    <row r="339" spans="1:58">
      <c r="A339" t="s">
        <v>58</v>
      </c>
      <c r="B339" t="s">
        <v>2843</v>
      </c>
      <c r="C339" t="s">
        <v>2844</v>
      </c>
      <c r="D339" t="s">
        <v>428</v>
      </c>
      <c r="E339" t="s">
        <v>61</v>
      </c>
      <c r="F339">
        <v>2012</v>
      </c>
      <c r="G339" t="s">
        <v>429</v>
      </c>
      <c r="H339">
        <v>25</v>
      </c>
      <c r="I339">
        <v>2</v>
      </c>
      <c r="J339">
        <v>290</v>
      </c>
      <c r="K339" t="s">
        <v>61</v>
      </c>
      <c r="L339" t="s">
        <v>2845</v>
      </c>
      <c r="M339" t="s">
        <v>2846</v>
      </c>
      <c r="N339" t="s">
        <v>2847</v>
      </c>
      <c r="O339" t="s">
        <v>61</v>
      </c>
      <c r="Q339" t="s">
        <v>61</v>
      </c>
      <c r="R339" t="s">
        <v>61</v>
      </c>
      <c r="S339" t="s">
        <v>61</v>
      </c>
      <c r="T339" t="s">
        <v>61</v>
      </c>
      <c r="X339" t="s">
        <v>61</v>
      </c>
      <c r="Y339" t="s">
        <v>433</v>
      </c>
      <c r="Z339" t="s">
        <v>61</v>
      </c>
      <c r="AA339" t="s">
        <v>61</v>
      </c>
      <c r="AB339" t="s">
        <v>61</v>
      </c>
      <c r="AC339" t="s">
        <v>67</v>
      </c>
      <c r="AD339" t="s">
        <v>61</v>
      </c>
      <c r="AE339" t="s">
        <v>61</v>
      </c>
      <c r="AF339" t="s">
        <v>61</v>
      </c>
      <c r="AG339" t="s">
        <v>61</v>
      </c>
      <c r="AH339" t="s">
        <v>61</v>
      </c>
      <c r="AI339" t="s">
        <v>61</v>
      </c>
      <c r="AJ339" t="s">
        <v>61</v>
      </c>
      <c r="AK339" t="s">
        <v>61</v>
      </c>
      <c r="AL339" t="s">
        <v>61</v>
      </c>
      <c r="AM339" t="s">
        <v>2844</v>
      </c>
      <c r="AN339" t="s">
        <v>61</v>
      </c>
      <c r="AO339" t="s">
        <v>61</v>
      </c>
      <c r="AP339" t="s">
        <v>61</v>
      </c>
      <c r="AQ339" t="s">
        <v>61</v>
      </c>
      <c r="AR339" t="s">
        <v>61</v>
      </c>
      <c r="AS339" t="s">
        <v>61</v>
      </c>
      <c r="AT339" t="s">
        <v>61</v>
      </c>
      <c r="AU339" t="s">
        <v>61</v>
      </c>
      <c r="AV339" t="s">
        <v>61</v>
      </c>
      <c r="AW339" t="s">
        <v>61</v>
      </c>
      <c r="AX339" t="s">
        <v>61</v>
      </c>
      <c r="AY339" t="s">
        <v>61</v>
      </c>
      <c r="AZ339" t="s">
        <v>61</v>
      </c>
      <c r="BA339" t="s">
        <v>61</v>
      </c>
      <c r="BB339" t="s">
        <v>61</v>
      </c>
      <c r="BC339" t="s">
        <v>61</v>
      </c>
      <c r="BD339" t="s">
        <v>61</v>
      </c>
      <c r="BE339" t="s">
        <v>61</v>
      </c>
      <c r="BF339" t="s">
        <v>61</v>
      </c>
    </row>
    <row r="340" spans="1:58">
      <c r="A340" t="s">
        <v>58</v>
      </c>
      <c r="B340" t="s">
        <v>2848</v>
      </c>
      <c r="C340" t="s">
        <v>2849</v>
      </c>
      <c r="D340" t="s">
        <v>627</v>
      </c>
      <c r="E340" t="s">
        <v>61</v>
      </c>
      <c r="F340">
        <v>2014</v>
      </c>
      <c r="G340" t="s">
        <v>628</v>
      </c>
      <c r="H340">
        <v>54</v>
      </c>
      <c r="I340">
        <v>2</v>
      </c>
      <c r="J340" t="s">
        <v>2850</v>
      </c>
      <c r="K340" t="s">
        <v>61</v>
      </c>
      <c r="L340" t="s">
        <v>2851</v>
      </c>
      <c r="M340" t="s">
        <v>2852</v>
      </c>
      <c r="N340" t="s">
        <v>2853</v>
      </c>
      <c r="O340" t="s">
        <v>61</v>
      </c>
      <c r="Q340" t="s">
        <v>61</v>
      </c>
      <c r="R340" t="s">
        <v>61</v>
      </c>
      <c r="S340" t="s">
        <v>61</v>
      </c>
      <c r="T340" t="s">
        <v>61</v>
      </c>
      <c r="X340" t="s">
        <v>61</v>
      </c>
      <c r="Y340" t="s">
        <v>632</v>
      </c>
      <c r="Z340" t="s">
        <v>61</v>
      </c>
      <c r="AA340" t="s">
        <v>61</v>
      </c>
      <c r="AB340" t="s">
        <v>61</v>
      </c>
      <c r="AC340" t="s">
        <v>67</v>
      </c>
      <c r="AD340" t="s">
        <v>61</v>
      </c>
      <c r="AE340" t="s">
        <v>61</v>
      </c>
      <c r="AF340" t="s">
        <v>61</v>
      </c>
      <c r="AG340" t="s">
        <v>61</v>
      </c>
      <c r="AH340" t="s">
        <v>61</v>
      </c>
      <c r="AI340" t="s">
        <v>61</v>
      </c>
      <c r="AJ340" t="s">
        <v>61</v>
      </c>
      <c r="AK340" t="s">
        <v>61</v>
      </c>
      <c r="AL340" t="s">
        <v>61</v>
      </c>
      <c r="AM340" t="s">
        <v>2849</v>
      </c>
      <c r="AN340" t="s">
        <v>61</v>
      </c>
      <c r="AO340" t="s">
        <v>61</v>
      </c>
      <c r="AP340" t="s">
        <v>61</v>
      </c>
      <c r="AQ340" t="s">
        <v>61</v>
      </c>
      <c r="AR340" t="s">
        <v>61</v>
      </c>
      <c r="AS340" t="s">
        <v>61</v>
      </c>
      <c r="AT340" t="s">
        <v>61</v>
      </c>
      <c r="AU340" t="s">
        <v>61</v>
      </c>
      <c r="AV340" t="s">
        <v>61</v>
      </c>
      <c r="AW340" t="s">
        <v>61</v>
      </c>
      <c r="AX340" t="s">
        <v>61</v>
      </c>
      <c r="AY340" t="s">
        <v>61</v>
      </c>
      <c r="AZ340" t="s">
        <v>61</v>
      </c>
      <c r="BA340" t="s">
        <v>61</v>
      </c>
      <c r="BB340" t="s">
        <v>61</v>
      </c>
      <c r="BC340" t="s">
        <v>61</v>
      </c>
      <c r="BD340" t="s">
        <v>61</v>
      </c>
      <c r="BE340" t="s">
        <v>61</v>
      </c>
      <c r="BF340" t="s">
        <v>61</v>
      </c>
    </row>
    <row r="341" spans="1:58">
      <c r="A341" t="s">
        <v>58</v>
      </c>
      <c r="B341" t="s">
        <v>2854</v>
      </c>
      <c r="C341" t="s">
        <v>2855</v>
      </c>
      <c r="D341" t="s">
        <v>888</v>
      </c>
      <c r="E341" t="s">
        <v>889</v>
      </c>
      <c r="F341">
        <v>2014</v>
      </c>
      <c r="G341" t="s">
        <v>1152</v>
      </c>
      <c r="H341">
        <v>78</v>
      </c>
      <c r="I341">
        <v>9</v>
      </c>
      <c r="J341">
        <v>1313</v>
      </c>
      <c r="K341">
        <v>1318</v>
      </c>
      <c r="L341" t="s">
        <v>2856</v>
      </c>
      <c r="M341" t="s">
        <v>2857</v>
      </c>
      <c r="N341" t="s">
        <v>2858</v>
      </c>
      <c r="O341" t="s">
        <v>61</v>
      </c>
      <c r="Q341" t="s">
        <v>61</v>
      </c>
      <c r="R341" t="s">
        <v>61</v>
      </c>
      <c r="S341" t="s">
        <v>61</v>
      </c>
      <c r="T341" t="s">
        <v>61</v>
      </c>
      <c r="X341" t="s">
        <v>61</v>
      </c>
      <c r="Y341" t="s">
        <v>2859</v>
      </c>
      <c r="Z341" t="s">
        <v>61</v>
      </c>
      <c r="AA341" t="s">
        <v>61</v>
      </c>
      <c r="AB341" t="s">
        <v>61</v>
      </c>
      <c r="AC341" t="s">
        <v>67</v>
      </c>
      <c r="AD341" t="s">
        <v>61</v>
      </c>
      <c r="AE341" t="s">
        <v>61</v>
      </c>
      <c r="AF341" t="s">
        <v>61</v>
      </c>
      <c r="AG341" t="s">
        <v>2860</v>
      </c>
      <c r="AH341" t="s">
        <v>61</v>
      </c>
      <c r="AI341" t="s">
        <v>61</v>
      </c>
      <c r="AJ341" t="s">
        <v>61</v>
      </c>
      <c r="AK341" t="s">
        <v>61</v>
      </c>
      <c r="AL341" t="s">
        <v>61</v>
      </c>
      <c r="AM341" t="s">
        <v>2861</v>
      </c>
      <c r="AN341" t="s">
        <v>61</v>
      </c>
      <c r="AO341" t="s">
        <v>61</v>
      </c>
      <c r="AP341" t="s">
        <v>61</v>
      </c>
      <c r="AQ341" t="s">
        <v>61</v>
      </c>
      <c r="AR341" t="s">
        <v>61</v>
      </c>
      <c r="AS341" t="s">
        <v>61</v>
      </c>
      <c r="AT341" t="s">
        <v>61</v>
      </c>
      <c r="AU341" t="s">
        <v>61</v>
      </c>
      <c r="AV341" t="s">
        <v>61</v>
      </c>
      <c r="AW341" t="s">
        <v>61</v>
      </c>
      <c r="AX341" t="s">
        <v>61</v>
      </c>
      <c r="AY341" t="s">
        <v>61</v>
      </c>
      <c r="AZ341" t="s">
        <v>61</v>
      </c>
      <c r="BA341" t="s">
        <v>61</v>
      </c>
      <c r="BB341" t="s">
        <v>61</v>
      </c>
      <c r="BC341" t="s">
        <v>61</v>
      </c>
      <c r="BD341" t="s">
        <v>61</v>
      </c>
      <c r="BE341" t="s">
        <v>61</v>
      </c>
      <c r="BF341" t="s">
        <v>61</v>
      </c>
    </row>
    <row r="342" spans="1:58">
      <c r="A342" t="s">
        <v>58</v>
      </c>
      <c r="B342" t="s">
        <v>2862</v>
      </c>
      <c r="C342" t="s">
        <v>2863</v>
      </c>
      <c r="D342" t="s">
        <v>1465</v>
      </c>
      <c r="E342" t="s">
        <v>61</v>
      </c>
      <c r="F342">
        <v>2010</v>
      </c>
      <c r="G342" t="s">
        <v>237</v>
      </c>
      <c r="H342">
        <v>87</v>
      </c>
      <c r="I342">
        <v>4</v>
      </c>
      <c r="J342">
        <v>543</v>
      </c>
      <c r="K342">
        <v>552</v>
      </c>
      <c r="L342" t="s">
        <v>2864</v>
      </c>
      <c r="M342" t="s">
        <v>2865</v>
      </c>
      <c r="N342" t="s">
        <v>2866</v>
      </c>
      <c r="O342" t="s">
        <v>61</v>
      </c>
      <c r="Q342" t="s">
        <v>61</v>
      </c>
      <c r="R342" t="s">
        <v>61</v>
      </c>
      <c r="S342" t="s">
        <v>61</v>
      </c>
      <c r="T342" t="s">
        <v>61</v>
      </c>
      <c r="X342" t="s">
        <v>61</v>
      </c>
      <c r="Y342" t="s">
        <v>1469</v>
      </c>
      <c r="Z342" t="s">
        <v>61</v>
      </c>
      <c r="AA342" t="s">
        <v>2867</v>
      </c>
      <c r="AB342">
        <v>20549568</v>
      </c>
      <c r="AC342" t="s">
        <v>67</v>
      </c>
      <c r="AD342" t="s">
        <v>61</v>
      </c>
      <c r="AE342" t="s">
        <v>61</v>
      </c>
      <c r="AF342" t="s">
        <v>61</v>
      </c>
      <c r="AG342" t="s">
        <v>2868</v>
      </c>
      <c r="AH342" t="s">
        <v>61</v>
      </c>
      <c r="AI342" t="s">
        <v>2869</v>
      </c>
      <c r="AJ342" t="s">
        <v>61</v>
      </c>
      <c r="AK342" t="s">
        <v>61</v>
      </c>
      <c r="AL342" t="s">
        <v>61</v>
      </c>
      <c r="AM342" t="s">
        <v>2870</v>
      </c>
      <c r="AN342" t="s">
        <v>61</v>
      </c>
      <c r="AO342" t="s">
        <v>61</v>
      </c>
      <c r="AP342" t="s">
        <v>61</v>
      </c>
      <c r="AQ342" t="s">
        <v>61</v>
      </c>
      <c r="AR342" t="s">
        <v>61</v>
      </c>
      <c r="AS342" t="s">
        <v>61</v>
      </c>
      <c r="AT342" t="s">
        <v>61</v>
      </c>
      <c r="AU342" t="s">
        <v>61</v>
      </c>
      <c r="AV342" t="s">
        <v>61</v>
      </c>
      <c r="AW342" t="s">
        <v>61</v>
      </c>
      <c r="AX342" t="s">
        <v>61</v>
      </c>
      <c r="AY342" t="s">
        <v>61</v>
      </c>
      <c r="AZ342" t="s">
        <v>61</v>
      </c>
      <c r="BA342" t="s">
        <v>61</v>
      </c>
      <c r="BB342" t="s">
        <v>61</v>
      </c>
      <c r="BC342" t="s">
        <v>61</v>
      </c>
      <c r="BD342" t="s">
        <v>61</v>
      </c>
      <c r="BE342" t="s">
        <v>61</v>
      </c>
      <c r="BF342" t="s">
        <v>61</v>
      </c>
    </row>
    <row r="343" spans="1:58">
      <c r="A343" t="s">
        <v>58</v>
      </c>
      <c r="B343" t="s">
        <v>2871</v>
      </c>
      <c r="C343" t="s">
        <v>2872</v>
      </c>
      <c r="D343" t="s">
        <v>1465</v>
      </c>
      <c r="E343" t="s">
        <v>61</v>
      </c>
      <c r="F343">
        <v>2009</v>
      </c>
      <c r="G343" t="s">
        <v>851</v>
      </c>
      <c r="H343">
        <v>86</v>
      </c>
      <c r="I343">
        <v>6</v>
      </c>
      <c r="J343">
        <v>929</v>
      </c>
      <c r="K343">
        <v>945</v>
      </c>
      <c r="L343" t="s">
        <v>2873</v>
      </c>
      <c r="M343" t="s">
        <v>2874</v>
      </c>
      <c r="N343" t="s">
        <v>2875</v>
      </c>
      <c r="O343" t="s">
        <v>61</v>
      </c>
      <c r="Q343" t="s">
        <v>61</v>
      </c>
      <c r="R343" t="s">
        <v>61</v>
      </c>
      <c r="S343" t="s">
        <v>61</v>
      </c>
      <c r="T343" t="s">
        <v>61</v>
      </c>
      <c r="X343" t="s">
        <v>61</v>
      </c>
      <c r="Y343" t="s">
        <v>1469</v>
      </c>
      <c r="Z343" t="s">
        <v>61</v>
      </c>
      <c r="AA343" t="s">
        <v>2876</v>
      </c>
      <c r="AB343">
        <v>19911283</v>
      </c>
      <c r="AC343" t="s">
        <v>67</v>
      </c>
      <c r="AD343" t="s">
        <v>61</v>
      </c>
      <c r="AE343" t="s">
        <v>61</v>
      </c>
      <c r="AF343" t="s">
        <v>61</v>
      </c>
      <c r="AG343" t="s">
        <v>2877</v>
      </c>
      <c r="AH343" t="s">
        <v>61</v>
      </c>
      <c r="AI343" t="s">
        <v>2878</v>
      </c>
      <c r="AJ343" t="s">
        <v>61</v>
      </c>
      <c r="AK343" t="s">
        <v>61</v>
      </c>
      <c r="AL343" t="s">
        <v>61</v>
      </c>
      <c r="AM343" t="s">
        <v>2879</v>
      </c>
      <c r="AN343" t="s">
        <v>61</v>
      </c>
      <c r="AO343" t="s">
        <v>61</v>
      </c>
      <c r="AP343" t="s">
        <v>61</v>
      </c>
      <c r="AQ343" t="s">
        <v>61</v>
      </c>
      <c r="AR343" t="s">
        <v>61</v>
      </c>
      <c r="AS343" t="s">
        <v>61</v>
      </c>
      <c r="AT343" t="s">
        <v>61</v>
      </c>
      <c r="AU343" t="s">
        <v>61</v>
      </c>
      <c r="AV343" t="s">
        <v>61</v>
      </c>
      <c r="AW343" t="s">
        <v>61</v>
      </c>
      <c r="AX343" t="s">
        <v>61</v>
      </c>
      <c r="AY343" t="s">
        <v>61</v>
      </c>
      <c r="AZ343" t="s">
        <v>61</v>
      </c>
      <c r="BA343" t="s">
        <v>61</v>
      </c>
      <c r="BB343" t="s">
        <v>61</v>
      </c>
      <c r="BC343" t="s">
        <v>61</v>
      </c>
      <c r="BD343" t="s">
        <v>61</v>
      </c>
      <c r="BE343" t="s">
        <v>61</v>
      </c>
      <c r="BF343" t="s">
        <v>61</v>
      </c>
    </row>
    <row r="344" spans="1:58">
      <c r="A344" t="s">
        <v>58</v>
      </c>
      <c r="B344" t="s">
        <v>2880</v>
      </c>
      <c r="C344" t="s">
        <v>2881</v>
      </c>
      <c r="D344" t="s">
        <v>2882</v>
      </c>
      <c r="E344" t="s">
        <v>2883</v>
      </c>
      <c r="F344">
        <v>1991</v>
      </c>
      <c r="G344" t="s">
        <v>61</v>
      </c>
      <c r="H344">
        <v>5</v>
      </c>
      <c r="I344">
        <v>4</v>
      </c>
      <c r="J344">
        <v>21</v>
      </c>
      <c r="K344">
        <v>37</v>
      </c>
      <c r="L344" t="s">
        <v>2884</v>
      </c>
      <c r="M344" t="s">
        <v>2885</v>
      </c>
      <c r="N344" t="s">
        <v>2886</v>
      </c>
      <c r="O344" t="s">
        <v>61</v>
      </c>
      <c r="Q344" t="s">
        <v>61</v>
      </c>
      <c r="R344" t="s">
        <v>61</v>
      </c>
      <c r="S344" t="s">
        <v>61</v>
      </c>
      <c r="T344" t="s">
        <v>61</v>
      </c>
      <c r="X344" t="s">
        <v>61</v>
      </c>
      <c r="Y344" t="s">
        <v>2887</v>
      </c>
      <c r="Z344" t="s">
        <v>61</v>
      </c>
      <c r="AA344" t="s">
        <v>61</v>
      </c>
      <c r="AB344">
        <v>1991232553</v>
      </c>
      <c r="AC344" t="s">
        <v>67</v>
      </c>
      <c r="AD344" t="s">
        <v>61</v>
      </c>
      <c r="AE344" t="s">
        <v>61</v>
      </c>
      <c r="AF344" t="s">
        <v>61</v>
      </c>
      <c r="AG344" t="s">
        <v>61</v>
      </c>
      <c r="AH344" t="s">
        <v>61</v>
      </c>
      <c r="AI344" t="s">
        <v>61</v>
      </c>
      <c r="AJ344" t="s">
        <v>61</v>
      </c>
      <c r="AK344" t="s">
        <v>61</v>
      </c>
      <c r="AL344" t="s">
        <v>61</v>
      </c>
      <c r="AM344" t="s">
        <v>2881</v>
      </c>
      <c r="AN344" t="s">
        <v>61</v>
      </c>
      <c r="AO344" t="s">
        <v>61</v>
      </c>
      <c r="AP344" t="s">
        <v>61</v>
      </c>
      <c r="AQ344" t="s">
        <v>61</v>
      </c>
      <c r="AR344" t="s">
        <v>61</v>
      </c>
      <c r="AS344" t="s">
        <v>61</v>
      </c>
      <c r="AT344" t="s">
        <v>61</v>
      </c>
      <c r="AU344" t="s">
        <v>61</v>
      </c>
      <c r="AV344" t="s">
        <v>61</v>
      </c>
      <c r="AW344" t="s">
        <v>61</v>
      </c>
      <c r="AX344" t="s">
        <v>61</v>
      </c>
      <c r="AY344" t="s">
        <v>61</v>
      </c>
      <c r="AZ344" t="s">
        <v>61</v>
      </c>
      <c r="BA344" t="s">
        <v>61</v>
      </c>
      <c r="BB344" t="s">
        <v>61</v>
      </c>
      <c r="BC344" t="s">
        <v>61</v>
      </c>
      <c r="BD344" t="s">
        <v>61</v>
      </c>
      <c r="BE344" t="s">
        <v>61</v>
      </c>
      <c r="BF344" t="s">
        <v>61</v>
      </c>
    </row>
    <row r="345" spans="1:58">
      <c r="A345" t="s">
        <v>58</v>
      </c>
      <c r="B345" t="s">
        <v>2888</v>
      </c>
      <c r="C345" t="s">
        <v>2889</v>
      </c>
      <c r="D345" t="s">
        <v>876</v>
      </c>
      <c r="E345" t="s">
        <v>877</v>
      </c>
      <c r="F345">
        <v>2007</v>
      </c>
      <c r="G345" s="1">
        <v>42719</v>
      </c>
      <c r="H345">
        <v>71</v>
      </c>
      <c r="I345">
        <v>6</v>
      </c>
      <c r="J345">
        <v>109</v>
      </c>
      <c r="K345" t="s">
        <v>61</v>
      </c>
      <c r="L345" t="s">
        <v>2890</v>
      </c>
      <c r="M345" t="s">
        <v>2891</v>
      </c>
      <c r="N345" t="s">
        <v>2892</v>
      </c>
      <c r="O345" t="s">
        <v>61</v>
      </c>
      <c r="Q345" t="s">
        <v>61</v>
      </c>
      <c r="R345" t="s">
        <v>61</v>
      </c>
      <c r="S345" t="s">
        <v>61</v>
      </c>
      <c r="T345" t="s">
        <v>61</v>
      </c>
      <c r="X345" t="s">
        <v>61</v>
      </c>
      <c r="Y345" t="s">
        <v>881</v>
      </c>
      <c r="Z345" t="s">
        <v>61</v>
      </c>
      <c r="AA345" t="s">
        <v>2893</v>
      </c>
      <c r="AB345">
        <v>19503693</v>
      </c>
      <c r="AC345" t="s">
        <v>67</v>
      </c>
      <c r="AD345" t="s">
        <v>61</v>
      </c>
      <c r="AE345" t="s">
        <v>61</v>
      </c>
      <c r="AF345" t="s">
        <v>61</v>
      </c>
      <c r="AG345" t="s">
        <v>2894</v>
      </c>
      <c r="AH345" t="s">
        <v>61</v>
      </c>
      <c r="AI345" t="s">
        <v>61</v>
      </c>
      <c r="AJ345" t="s">
        <v>61</v>
      </c>
      <c r="AK345" t="s">
        <v>61</v>
      </c>
      <c r="AL345" t="s">
        <v>61</v>
      </c>
      <c r="AM345" t="s">
        <v>2895</v>
      </c>
      <c r="AN345" t="s">
        <v>61</v>
      </c>
      <c r="AO345" t="s">
        <v>61</v>
      </c>
      <c r="AP345" t="s">
        <v>61</v>
      </c>
      <c r="AQ345" t="s">
        <v>61</v>
      </c>
      <c r="AR345" t="s">
        <v>61</v>
      </c>
      <c r="AS345" t="s">
        <v>61</v>
      </c>
      <c r="AT345" t="s">
        <v>61</v>
      </c>
      <c r="AU345" t="s">
        <v>61</v>
      </c>
      <c r="AV345" t="s">
        <v>61</v>
      </c>
      <c r="AW345" t="s">
        <v>61</v>
      </c>
      <c r="AX345" t="s">
        <v>61</v>
      </c>
      <c r="AY345" t="s">
        <v>61</v>
      </c>
      <c r="AZ345" t="s">
        <v>61</v>
      </c>
      <c r="BA345" t="s">
        <v>61</v>
      </c>
      <c r="BB345" t="s">
        <v>61</v>
      </c>
      <c r="BC345" t="s">
        <v>61</v>
      </c>
      <c r="BD345" t="s">
        <v>61</v>
      </c>
      <c r="BE345" t="s">
        <v>61</v>
      </c>
      <c r="BF345" t="s">
        <v>61</v>
      </c>
    </row>
    <row r="346" spans="1:58">
      <c r="A346" t="s">
        <v>58</v>
      </c>
      <c r="B346" t="s">
        <v>2896</v>
      </c>
      <c r="C346" t="s">
        <v>2897</v>
      </c>
      <c r="D346" t="s">
        <v>2898</v>
      </c>
      <c r="E346" t="s">
        <v>2899</v>
      </c>
      <c r="F346">
        <v>2005</v>
      </c>
      <c r="G346" t="s">
        <v>119</v>
      </c>
      <c r="H346">
        <v>40</v>
      </c>
      <c r="I346">
        <v>6</v>
      </c>
      <c r="J346">
        <v>888</v>
      </c>
      <c r="K346">
        <v>895</v>
      </c>
      <c r="L346" t="s">
        <v>2900</v>
      </c>
      <c r="M346" t="s">
        <v>2901</v>
      </c>
      <c r="N346" t="s">
        <v>2902</v>
      </c>
      <c r="O346" t="s">
        <v>61</v>
      </c>
      <c r="Q346" t="s">
        <v>61</v>
      </c>
      <c r="R346" t="s">
        <v>61</v>
      </c>
      <c r="S346" t="s">
        <v>61</v>
      </c>
      <c r="T346" t="s">
        <v>61</v>
      </c>
      <c r="X346" t="s">
        <v>61</v>
      </c>
      <c r="Y346" t="s">
        <v>2903</v>
      </c>
      <c r="Z346" t="s">
        <v>61</v>
      </c>
      <c r="AA346" t="s">
        <v>2904</v>
      </c>
      <c r="AB346">
        <v>15850892</v>
      </c>
      <c r="AC346" t="s">
        <v>67</v>
      </c>
      <c r="AD346" t="s">
        <v>61</v>
      </c>
      <c r="AE346" t="s">
        <v>61</v>
      </c>
      <c r="AF346" t="s">
        <v>61</v>
      </c>
      <c r="AG346" t="s">
        <v>2905</v>
      </c>
      <c r="AH346" t="s">
        <v>61</v>
      </c>
      <c r="AI346" t="s">
        <v>61</v>
      </c>
      <c r="AJ346" t="s">
        <v>61</v>
      </c>
      <c r="AK346" t="s">
        <v>61</v>
      </c>
      <c r="AL346" t="s">
        <v>61</v>
      </c>
      <c r="AM346" t="s">
        <v>2906</v>
      </c>
      <c r="AN346" t="s">
        <v>61</v>
      </c>
      <c r="AO346" t="s">
        <v>61</v>
      </c>
      <c r="AP346" t="s">
        <v>61</v>
      </c>
      <c r="AQ346" t="s">
        <v>61</v>
      </c>
      <c r="AR346" t="s">
        <v>61</v>
      </c>
      <c r="AS346" t="s">
        <v>61</v>
      </c>
      <c r="AT346" t="s">
        <v>61</v>
      </c>
      <c r="AU346" t="s">
        <v>61</v>
      </c>
      <c r="AV346" t="s">
        <v>61</v>
      </c>
      <c r="AW346" t="s">
        <v>61</v>
      </c>
      <c r="AX346" t="s">
        <v>61</v>
      </c>
      <c r="AY346" t="s">
        <v>61</v>
      </c>
      <c r="AZ346" t="s">
        <v>61</v>
      </c>
      <c r="BA346" t="s">
        <v>61</v>
      </c>
      <c r="BB346" t="s">
        <v>61</v>
      </c>
      <c r="BC346" t="s">
        <v>61</v>
      </c>
      <c r="BD346" t="s">
        <v>61</v>
      </c>
      <c r="BE346" t="s">
        <v>61</v>
      </c>
      <c r="BF346" t="s">
        <v>61</v>
      </c>
    </row>
    <row r="347" spans="1:58">
      <c r="A347" t="s">
        <v>58</v>
      </c>
      <c r="B347" t="s">
        <v>2907</v>
      </c>
      <c r="C347" t="s">
        <v>2908</v>
      </c>
      <c r="D347" t="s">
        <v>2909</v>
      </c>
      <c r="E347" t="s">
        <v>2910</v>
      </c>
      <c r="F347">
        <v>2006</v>
      </c>
      <c r="G347" t="s">
        <v>119</v>
      </c>
      <c r="H347">
        <v>63</v>
      </c>
      <c r="I347">
        <v>6</v>
      </c>
      <c r="J347">
        <v>611</v>
      </c>
      <c r="K347">
        <v>621</v>
      </c>
      <c r="L347" t="s">
        <v>2911</v>
      </c>
      <c r="M347" t="s">
        <v>2912</v>
      </c>
      <c r="N347" t="s">
        <v>2913</v>
      </c>
      <c r="O347" t="s">
        <v>61</v>
      </c>
      <c r="Q347" t="s">
        <v>61</v>
      </c>
      <c r="R347" t="s">
        <v>61</v>
      </c>
      <c r="S347" t="s">
        <v>61</v>
      </c>
      <c r="T347" t="s">
        <v>61</v>
      </c>
      <c r="X347" t="s">
        <v>61</v>
      </c>
      <c r="Y347" t="s">
        <v>2914</v>
      </c>
      <c r="Z347" t="s">
        <v>61</v>
      </c>
      <c r="AA347" t="s">
        <v>2915</v>
      </c>
      <c r="AB347">
        <v>16754834</v>
      </c>
      <c r="AC347" t="s">
        <v>67</v>
      </c>
      <c r="AD347" t="s">
        <v>61</v>
      </c>
      <c r="AE347" t="s">
        <v>61</v>
      </c>
      <c r="AF347" t="s">
        <v>61</v>
      </c>
      <c r="AG347" t="s">
        <v>2916</v>
      </c>
      <c r="AH347" t="s">
        <v>61</v>
      </c>
      <c r="AI347" t="s">
        <v>61</v>
      </c>
      <c r="AJ347" t="s">
        <v>61</v>
      </c>
      <c r="AK347" t="s">
        <v>61</v>
      </c>
      <c r="AL347" t="s">
        <v>61</v>
      </c>
      <c r="AM347" t="s">
        <v>2917</v>
      </c>
      <c r="AN347" t="s">
        <v>61</v>
      </c>
      <c r="AO347" t="s">
        <v>61</v>
      </c>
      <c r="AP347" t="s">
        <v>61</v>
      </c>
      <c r="AQ347" t="s">
        <v>61</v>
      </c>
      <c r="AR347" t="s">
        <v>61</v>
      </c>
      <c r="AS347" t="s">
        <v>61</v>
      </c>
      <c r="AT347" t="s">
        <v>61</v>
      </c>
      <c r="AU347" t="s">
        <v>61</v>
      </c>
      <c r="AV347" t="s">
        <v>61</v>
      </c>
      <c r="AW347" t="s">
        <v>61</v>
      </c>
      <c r="AX347" t="s">
        <v>61</v>
      </c>
      <c r="AY347" t="s">
        <v>61</v>
      </c>
      <c r="AZ347" t="s">
        <v>61</v>
      </c>
      <c r="BA347" t="s">
        <v>61</v>
      </c>
      <c r="BB347" t="s">
        <v>61</v>
      </c>
      <c r="BC347" t="s">
        <v>61</v>
      </c>
      <c r="BD347" t="s">
        <v>61</v>
      </c>
      <c r="BE347" t="s">
        <v>61</v>
      </c>
      <c r="BF347" t="s">
        <v>61</v>
      </c>
    </row>
    <row r="348" spans="1:58">
      <c r="A348" t="s">
        <v>58</v>
      </c>
      <c r="B348" t="s">
        <v>2918</v>
      </c>
      <c r="C348" t="s">
        <v>2919</v>
      </c>
      <c r="D348" t="s">
        <v>1085</v>
      </c>
      <c r="E348" t="s">
        <v>1086</v>
      </c>
      <c r="F348">
        <v>2012</v>
      </c>
      <c r="G348" t="s">
        <v>85</v>
      </c>
      <c r="H348">
        <v>46</v>
      </c>
      <c r="I348">
        <v>4</v>
      </c>
      <c r="J348">
        <v>484</v>
      </c>
      <c r="K348">
        <v>494</v>
      </c>
      <c r="L348" t="s">
        <v>2920</v>
      </c>
      <c r="M348" t="s">
        <v>2921</v>
      </c>
      <c r="N348" t="s">
        <v>2922</v>
      </c>
      <c r="O348" t="s">
        <v>61</v>
      </c>
      <c r="Q348" t="s">
        <v>61</v>
      </c>
      <c r="R348" t="s">
        <v>61</v>
      </c>
      <c r="S348" t="s">
        <v>61</v>
      </c>
      <c r="T348" t="s">
        <v>61</v>
      </c>
      <c r="X348" t="s">
        <v>61</v>
      </c>
      <c r="Y348" t="s">
        <v>1090</v>
      </c>
      <c r="Z348" t="s">
        <v>61</v>
      </c>
      <c r="AA348" t="s">
        <v>2923</v>
      </c>
      <c r="AB348">
        <v>22414793</v>
      </c>
      <c r="AC348" t="s">
        <v>67</v>
      </c>
      <c r="AD348" t="s">
        <v>61</v>
      </c>
      <c r="AE348" t="s">
        <v>61</v>
      </c>
      <c r="AF348" t="s">
        <v>61</v>
      </c>
      <c r="AG348" t="s">
        <v>2924</v>
      </c>
      <c r="AH348" t="s">
        <v>61</v>
      </c>
      <c r="AI348" t="s">
        <v>2925</v>
      </c>
      <c r="AJ348" t="s">
        <v>61</v>
      </c>
      <c r="AK348" t="s">
        <v>61</v>
      </c>
      <c r="AL348" t="s">
        <v>61</v>
      </c>
      <c r="AM348" t="s">
        <v>2926</v>
      </c>
      <c r="AN348" t="s">
        <v>61</v>
      </c>
      <c r="AO348" t="s">
        <v>61</v>
      </c>
      <c r="AP348" t="s">
        <v>61</v>
      </c>
      <c r="AQ348" t="s">
        <v>61</v>
      </c>
      <c r="AR348" t="s">
        <v>61</v>
      </c>
      <c r="AS348" t="s">
        <v>61</v>
      </c>
      <c r="AT348" t="s">
        <v>61</v>
      </c>
      <c r="AU348" t="s">
        <v>61</v>
      </c>
      <c r="AV348" t="s">
        <v>61</v>
      </c>
      <c r="AW348" t="s">
        <v>61</v>
      </c>
      <c r="AX348" t="s">
        <v>61</v>
      </c>
      <c r="AY348" t="s">
        <v>61</v>
      </c>
      <c r="AZ348" t="s">
        <v>61</v>
      </c>
      <c r="BA348" t="s">
        <v>61</v>
      </c>
      <c r="BB348" t="s">
        <v>61</v>
      </c>
      <c r="BC348" t="s">
        <v>61</v>
      </c>
      <c r="BD348" t="s">
        <v>61</v>
      </c>
      <c r="BE348" t="s">
        <v>61</v>
      </c>
      <c r="BF348" t="s">
        <v>61</v>
      </c>
    </row>
    <row r="349" spans="1:58">
      <c r="A349" t="s">
        <v>58</v>
      </c>
      <c r="B349" t="s">
        <v>2927</v>
      </c>
      <c r="C349" t="s">
        <v>2928</v>
      </c>
      <c r="D349" t="s">
        <v>661</v>
      </c>
      <c r="E349" t="s">
        <v>61</v>
      </c>
      <c r="F349">
        <v>2010</v>
      </c>
      <c r="G349" t="s">
        <v>391</v>
      </c>
      <c r="H349">
        <v>10</v>
      </c>
      <c r="I349">
        <v>1</v>
      </c>
      <c r="J349">
        <v>20</v>
      </c>
      <c r="K349">
        <v>21</v>
      </c>
      <c r="L349" t="s">
        <v>2929</v>
      </c>
      <c r="M349" t="s">
        <v>2930</v>
      </c>
      <c r="N349" t="s">
        <v>2931</v>
      </c>
      <c r="O349" t="s">
        <v>61</v>
      </c>
      <c r="Q349" t="s">
        <v>61</v>
      </c>
      <c r="R349" t="s">
        <v>61</v>
      </c>
      <c r="S349" t="s">
        <v>61</v>
      </c>
      <c r="T349" t="s">
        <v>61</v>
      </c>
      <c r="X349" t="s">
        <v>61</v>
      </c>
      <c r="Y349" t="s">
        <v>2932</v>
      </c>
      <c r="Z349" t="s">
        <v>61</v>
      </c>
      <c r="AA349" t="s">
        <v>61</v>
      </c>
      <c r="AB349" t="s">
        <v>61</v>
      </c>
      <c r="AC349" t="s">
        <v>67</v>
      </c>
      <c r="AD349" t="s">
        <v>61</v>
      </c>
      <c r="AE349" t="s">
        <v>61</v>
      </c>
      <c r="AF349" t="s">
        <v>61</v>
      </c>
      <c r="AG349" t="s">
        <v>61</v>
      </c>
      <c r="AH349" t="s">
        <v>61</v>
      </c>
      <c r="AI349" t="s">
        <v>61</v>
      </c>
      <c r="AJ349" t="s">
        <v>61</v>
      </c>
      <c r="AK349" t="s">
        <v>61</v>
      </c>
      <c r="AL349" t="s">
        <v>61</v>
      </c>
      <c r="AM349" t="s">
        <v>2928</v>
      </c>
      <c r="AN349" t="s">
        <v>61</v>
      </c>
      <c r="AO349" t="s">
        <v>61</v>
      </c>
      <c r="AP349" t="s">
        <v>61</v>
      </c>
      <c r="AQ349" t="s">
        <v>61</v>
      </c>
      <c r="AR349" t="s">
        <v>61</v>
      </c>
      <c r="AS349" t="s">
        <v>61</v>
      </c>
      <c r="AT349" t="s">
        <v>61</v>
      </c>
      <c r="AU349" t="s">
        <v>61</v>
      </c>
      <c r="AV349" t="s">
        <v>61</v>
      </c>
      <c r="AW349" t="s">
        <v>61</v>
      </c>
      <c r="AX349" t="s">
        <v>61</v>
      </c>
      <c r="AY349" t="s">
        <v>61</v>
      </c>
      <c r="AZ349" t="s">
        <v>61</v>
      </c>
      <c r="BA349" t="s">
        <v>61</v>
      </c>
      <c r="BB349" t="s">
        <v>61</v>
      </c>
      <c r="BC349" t="s">
        <v>61</v>
      </c>
      <c r="BD349" t="s">
        <v>61</v>
      </c>
      <c r="BE349" t="s">
        <v>61</v>
      </c>
      <c r="BF349" t="s">
        <v>61</v>
      </c>
    </row>
    <row r="350" spans="1:58">
      <c r="A350" t="s">
        <v>58</v>
      </c>
      <c r="B350" t="s">
        <v>2933</v>
      </c>
      <c r="C350" t="s">
        <v>2934</v>
      </c>
      <c r="D350" t="s">
        <v>2935</v>
      </c>
      <c r="E350" t="s">
        <v>61</v>
      </c>
      <c r="F350">
        <v>2012</v>
      </c>
      <c r="G350" t="s">
        <v>61</v>
      </c>
      <c r="H350">
        <v>13</v>
      </c>
      <c r="I350" t="s">
        <v>61</v>
      </c>
      <c r="J350">
        <v>16</v>
      </c>
      <c r="K350" t="s">
        <v>61</v>
      </c>
      <c r="L350" t="s">
        <v>2936</v>
      </c>
      <c r="M350" t="s">
        <v>2937</v>
      </c>
      <c r="N350" t="s">
        <v>2938</v>
      </c>
      <c r="O350" t="s">
        <v>61</v>
      </c>
      <c r="Q350" t="s">
        <v>61</v>
      </c>
      <c r="R350" t="s">
        <v>61</v>
      </c>
      <c r="S350" t="s">
        <v>61</v>
      </c>
      <c r="T350" t="s">
        <v>61</v>
      </c>
      <c r="X350" t="s">
        <v>61</v>
      </c>
      <c r="Y350" t="s">
        <v>2939</v>
      </c>
      <c r="Z350" t="s">
        <v>61</v>
      </c>
      <c r="AA350" t="s">
        <v>2940</v>
      </c>
      <c r="AB350">
        <v>23153341</v>
      </c>
      <c r="AC350" t="s">
        <v>67</v>
      </c>
      <c r="AD350" t="s">
        <v>61</v>
      </c>
      <c r="AE350" t="s">
        <v>61</v>
      </c>
      <c r="AF350" t="s">
        <v>61</v>
      </c>
      <c r="AG350" t="s">
        <v>2941</v>
      </c>
      <c r="AH350" t="s">
        <v>61</v>
      </c>
      <c r="AI350" t="s">
        <v>2942</v>
      </c>
      <c r="AJ350" t="s">
        <v>61</v>
      </c>
      <c r="AK350" t="s">
        <v>61</v>
      </c>
      <c r="AL350" t="s">
        <v>61</v>
      </c>
      <c r="AM350" t="s">
        <v>2943</v>
      </c>
      <c r="AN350" t="s">
        <v>61</v>
      </c>
      <c r="AO350" t="s">
        <v>61</v>
      </c>
      <c r="AP350" t="s">
        <v>61</v>
      </c>
      <c r="AQ350" t="s">
        <v>61</v>
      </c>
      <c r="AR350" t="s">
        <v>61</v>
      </c>
      <c r="AS350" t="s">
        <v>61</v>
      </c>
      <c r="AT350" t="s">
        <v>61</v>
      </c>
      <c r="AU350" t="s">
        <v>61</v>
      </c>
      <c r="AV350" t="s">
        <v>61</v>
      </c>
      <c r="AW350" t="s">
        <v>61</v>
      </c>
      <c r="AX350" t="s">
        <v>61</v>
      </c>
      <c r="AY350" t="s">
        <v>61</v>
      </c>
      <c r="AZ350" t="s">
        <v>61</v>
      </c>
      <c r="BA350" t="s">
        <v>61</v>
      </c>
      <c r="BB350" t="s">
        <v>61</v>
      </c>
      <c r="BC350" t="s">
        <v>61</v>
      </c>
      <c r="BD350" t="s">
        <v>61</v>
      </c>
      <c r="BE350" t="s">
        <v>61</v>
      </c>
      <c r="BF350" t="s">
        <v>61</v>
      </c>
    </row>
    <row r="351" spans="1:58">
      <c r="A351" t="s">
        <v>58</v>
      </c>
      <c r="B351" t="s">
        <v>2944</v>
      </c>
      <c r="C351" t="s">
        <v>2945</v>
      </c>
      <c r="D351" t="s">
        <v>235</v>
      </c>
      <c r="E351" t="s">
        <v>236</v>
      </c>
      <c r="F351">
        <v>1981</v>
      </c>
      <c r="G351" t="s">
        <v>1152</v>
      </c>
      <c r="H351" t="s">
        <v>2946</v>
      </c>
      <c r="I351">
        <v>9</v>
      </c>
      <c r="J351">
        <v>54</v>
      </c>
      <c r="K351">
        <v>55</v>
      </c>
      <c r="L351" t="s">
        <v>2947</v>
      </c>
      <c r="M351" t="s">
        <v>61</v>
      </c>
      <c r="N351" t="s">
        <v>2948</v>
      </c>
      <c r="O351" t="s">
        <v>61</v>
      </c>
      <c r="Q351" t="s">
        <v>61</v>
      </c>
      <c r="R351" t="s">
        <v>61</v>
      </c>
      <c r="S351" t="s">
        <v>61</v>
      </c>
      <c r="T351" t="s">
        <v>61</v>
      </c>
      <c r="X351" t="s">
        <v>61</v>
      </c>
      <c r="Y351" t="s">
        <v>241</v>
      </c>
      <c r="Z351" t="s">
        <v>61</v>
      </c>
      <c r="AA351" t="s">
        <v>61</v>
      </c>
      <c r="AB351">
        <v>7282540</v>
      </c>
      <c r="AC351" t="s">
        <v>67</v>
      </c>
      <c r="AD351" t="s">
        <v>61</v>
      </c>
      <c r="AE351" t="s">
        <v>61</v>
      </c>
      <c r="AF351" t="s">
        <v>61</v>
      </c>
      <c r="AG351" t="s">
        <v>2949</v>
      </c>
      <c r="AH351" t="s">
        <v>61</v>
      </c>
      <c r="AI351" t="s">
        <v>61</v>
      </c>
      <c r="AJ351" t="s">
        <v>61</v>
      </c>
      <c r="AK351" t="s">
        <v>61</v>
      </c>
      <c r="AL351" t="s">
        <v>61</v>
      </c>
      <c r="AM351" t="s">
        <v>2950</v>
      </c>
      <c r="AN351" t="s">
        <v>61</v>
      </c>
      <c r="AO351" t="s">
        <v>61</v>
      </c>
      <c r="AP351" t="s">
        <v>61</v>
      </c>
      <c r="AQ351" t="s">
        <v>61</v>
      </c>
      <c r="AR351" t="s">
        <v>61</v>
      </c>
      <c r="AS351" t="s">
        <v>61</v>
      </c>
      <c r="AT351" t="s">
        <v>61</v>
      </c>
      <c r="AU351" t="s">
        <v>61</v>
      </c>
      <c r="AV351" t="s">
        <v>61</v>
      </c>
      <c r="AW351" t="s">
        <v>61</v>
      </c>
      <c r="AX351" t="s">
        <v>61</v>
      </c>
      <c r="AY351" t="s">
        <v>61</v>
      </c>
      <c r="AZ351" t="s">
        <v>61</v>
      </c>
      <c r="BA351" t="s">
        <v>61</v>
      </c>
      <c r="BB351" t="s">
        <v>61</v>
      </c>
      <c r="BC351" t="s">
        <v>61</v>
      </c>
      <c r="BD351" t="s">
        <v>61</v>
      </c>
      <c r="BE351" t="s">
        <v>61</v>
      </c>
      <c r="BF351" t="s">
        <v>61</v>
      </c>
    </row>
    <row r="352" spans="1:58">
      <c r="A352" t="s">
        <v>58</v>
      </c>
      <c r="B352" t="s">
        <v>2951</v>
      </c>
      <c r="C352" t="s">
        <v>2952</v>
      </c>
      <c r="D352" t="s">
        <v>2953</v>
      </c>
      <c r="E352" t="s">
        <v>2954</v>
      </c>
      <c r="F352">
        <v>2007</v>
      </c>
      <c r="G352" t="s">
        <v>476</v>
      </c>
      <c r="H352">
        <v>68</v>
      </c>
      <c r="I352">
        <v>7</v>
      </c>
      <c r="J352">
        <v>449</v>
      </c>
      <c r="K352">
        <v>460</v>
      </c>
      <c r="L352" t="s">
        <v>2955</v>
      </c>
      <c r="M352" t="s">
        <v>2956</v>
      </c>
      <c r="N352" t="s">
        <v>2957</v>
      </c>
      <c r="O352" t="s">
        <v>61</v>
      </c>
      <c r="Q352" t="s">
        <v>61</v>
      </c>
      <c r="R352" t="s">
        <v>61</v>
      </c>
      <c r="S352" t="s">
        <v>61</v>
      </c>
      <c r="T352" t="s">
        <v>61</v>
      </c>
      <c r="X352" t="s">
        <v>61</v>
      </c>
      <c r="Y352" t="s">
        <v>2958</v>
      </c>
      <c r="Z352" t="s">
        <v>61</v>
      </c>
      <c r="AA352" t="s">
        <v>61</v>
      </c>
      <c r="AB352" t="s">
        <v>2959</v>
      </c>
      <c r="AC352" t="s">
        <v>67</v>
      </c>
      <c r="AD352" t="s">
        <v>61</v>
      </c>
      <c r="AE352" t="s">
        <v>61</v>
      </c>
      <c r="AF352" t="s">
        <v>61</v>
      </c>
      <c r="AG352" t="s">
        <v>61</v>
      </c>
      <c r="AH352" t="s">
        <v>61</v>
      </c>
      <c r="AI352" t="s">
        <v>61</v>
      </c>
      <c r="AJ352" t="s">
        <v>61</v>
      </c>
      <c r="AK352" t="s">
        <v>61</v>
      </c>
      <c r="AL352" t="s">
        <v>61</v>
      </c>
      <c r="AM352" t="s">
        <v>2952</v>
      </c>
      <c r="AN352" t="s">
        <v>61</v>
      </c>
      <c r="AO352" t="s">
        <v>61</v>
      </c>
      <c r="AP352" t="s">
        <v>61</v>
      </c>
      <c r="AQ352" t="s">
        <v>61</v>
      </c>
      <c r="AR352" t="s">
        <v>61</v>
      </c>
      <c r="AS352" t="s">
        <v>61</v>
      </c>
      <c r="AT352" t="s">
        <v>61</v>
      </c>
      <c r="AU352" t="s">
        <v>61</v>
      </c>
      <c r="AV352" t="s">
        <v>61</v>
      </c>
      <c r="AW352" t="s">
        <v>61</v>
      </c>
      <c r="AX352" t="s">
        <v>61</v>
      </c>
      <c r="AY352" t="s">
        <v>61</v>
      </c>
      <c r="AZ352" t="s">
        <v>61</v>
      </c>
      <c r="BA352" t="s">
        <v>61</v>
      </c>
      <c r="BB352" t="s">
        <v>61</v>
      </c>
      <c r="BC352" t="s">
        <v>61</v>
      </c>
      <c r="BD352" t="s">
        <v>61</v>
      </c>
      <c r="BE352" t="s">
        <v>61</v>
      </c>
      <c r="BF352" t="s">
        <v>61</v>
      </c>
    </row>
    <row r="353" spans="1:58">
      <c r="A353" t="s">
        <v>58</v>
      </c>
      <c r="B353" t="s">
        <v>2960</v>
      </c>
      <c r="C353" t="s">
        <v>2961</v>
      </c>
      <c r="D353" t="s">
        <v>1000</v>
      </c>
      <c r="E353" t="s">
        <v>1000</v>
      </c>
      <c r="F353">
        <v>2014</v>
      </c>
      <c r="G353" t="s">
        <v>61</v>
      </c>
      <c r="H353">
        <v>109</v>
      </c>
      <c r="I353">
        <v>10</v>
      </c>
      <c r="J353">
        <v>1602</v>
      </c>
      <c r="K353" t="s">
        <v>2962</v>
      </c>
      <c r="L353" t="s">
        <v>2963</v>
      </c>
      <c r="M353" t="s">
        <v>2964</v>
      </c>
      <c r="N353" t="s">
        <v>2965</v>
      </c>
      <c r="O353" t="s">
        <v>61</v>
      </c>
      <c r="Q353" t="s">
        <v>61</v>
      </c>
      <c r="R353" t="s">
        <v>61</v>
      </c>
      <c r="S353" t="s">
        <v>61</v>
      </c>
      <c r="T353" t="s">
        <v>61</v>
      </c>
      <c r="X353" t="s">
        <v>61</v>
      </c>
      <c r="Y353" t="s">
        <v>1004</v>
      </c>
      <c r="Z353" t="s">
        <v>61</v>
      </c>
      <c r="AA353" t="s">
        <v>2966</v>
      </c>
      <c r="AB353">
        <v>103993789</v>
      </c>
      <c r="AC353" t="s">
        <v>67</v>
      </c>
      <c r="AD353" t="s">
        <v>61</v>
      </c>
      <c r="AE353" t="s">
        <v>61</v>
      </c>
      <c r="AF353" t="s">
        <v>61</v>
      </c>
      <c r="AG353" t="s">
        <v>2967</v>
      </c>
      <c r="AH353" t="s">
        <v>61</v>
      </c>
      <c r="AI353" t="s">
        <v>2968</v>
      </c>
      <c r="AJ353" t="s">
        <v>61</v>
      </c>
      <c r="AK353" t="s">
        <v>61</v>
      </c>
      <c r="AL353" t="s">
        <v>61</v>
      </c>
      <c r="AM353" t="s">
        <v>2969</v>
      </c>
      <c r="AN353" t="s">
        <v>61</v>
      </c>
      <c r="AO353" t="s">
        <v>61</v>
      </c>
      <c r="AP353" t="s">
        <v>61</v>
      </c>
      <c r="AQ353" t="s">
        <v>61</v>
      </c>
      <c r="AR353" t="s">
        <v>61</v>
      </c>
      <c r="AS353" t="s">
        <v>61</v>
      </c>
      <c r="AT353" t="s">
        <v>61</v>
      </c>
      <c r="AU353" t="s">
        <v>61</v>
      </c>
      <c r="AV353" t="s">
        <v>61</v>
      </c>
      <c r="AW353" t="s">
        <v>61</v>
      </c>
      <c r="AX353" t="s">
        <v>61</v>
      </c>
      <c r="AY353" t="s">
        <v>61</v>
      </c>
      <c r="AZ353" t="s">
        <v>61</v>
      </c>
      <c r="BA353" t="s">
        <v>61</v>
      </c>
      <c r="BB353" t="s">
        <v>61</v>
      </c>
      <c r="BC353" t="s">
        <v>61</v>
      </c>
      <c r="BD353" t="s">
        <v>61</v>
      </c>
      <c r="BE353" t="s">
        <v>61</v>
      </c>
      <c r="BF353" t="s">
        <v>61</v>
      </c>
    </row>
    <row r="354" spans="1:58">
      <c r="A354" t="s">
        <v>58</v>
      </c>
      <c r="B354" t="s">
        <v>2970</v>
      </c>
      <c r="C354" t="s">
        <v>2971</v>
      </c>
      <c r="D354" t="s">
        <v>162</v>
      </c>
      <c r="E354" t="s">
        <v>163</v>
      </c>
      <c r="F354">
        <v>2014</v>
      </c>
      <c r="G354" t="s">
        <v>381</v>
      </c>
      <c r="H354">
        <v>54</v>
      </c>
      <c r="I354">
        <v>2</v>
      </c>
      <c r="J354">
        <v>133</v>
      </c>
      <c r="K354">
        <v>140</v>
      </c>
      <c r="L354" t="s">
        <v>2972</v>
      </c>
      <c r="M354" t="s">
        <v>2973</v>
      </c>
      <c r="N354" t="s">
        <v>2974</v>
      </c>
      <c r="O354" t="s">
        <v>61</v>
      </c>
      <c r="Q354" t="s">
        <v>61</v>
      </c>
      <c r="R354" t="s">
        <v>61</v>
      </c>
      <c r="S354" t="s">
        <v>61</v>
      </c>
      <c r="T354" t="s">
        <v>61</v>
      </c>
      <c r="X354" t="s">
        <v>61</v>
      </c>
      <c r="Y354" t="s">
        <v>902</v>
      </c>
      <c r="Z354" t="s">
        <v>61</v>
      </c>
      <c r="AA354" t="s">
        <v>61</v>
      </c>
      <c r="AB354">
        <v>2014166379</v>
      </c>
      <c r="AC354" t="s">
        <v>67</v>
      </c>
      <c r="AD354" t="s">
        <v>61</v>
      </c>
      <c r="AE354" t="s">
        <v>61</v>
      </c>
      <c r="AF354" t="s">
        <v>61</v>
      </c>
      <c r="AG354" t="s">
        <v>2975</v>
      </c>
      <c r="AH354" t="s">
        <v>61</v>
      </c>
      <c r="AI354" t="s">
        <v>61</v>
      </c>
      <c r="AJ354" t="s">
        <v>61</v>
      </c>
      <c r="AK354" t="s">
        <v>61</v>
      </c>
      <c r="AL354" t="s">
        <v>61</v>
      </c>
      <c r="AM354" t="s">
        <v>2976</v>
      </c>
      <c r="AN354" t="s">
        <v>61</v>
      </c>
      <c r="AO354" t="s">
        <v>61</v>
      </c>
      <c r="AP354" t="s">
        <v>61</v>
      </c>
      <c r="AQ354" t="s">
        <v>61</v>
      </c>
      <c r="AR354" t="s">
        <v>61</v>
      </c>
      <c r="AS354" t="s">
        <v>61</v>
      </c>
      <c r="AT354" t="s">
        <v>61</v>
      </c>
      <c r="AU354" t="s">
        <v>61</v>
      </c>
      <c r="AV354" t="s">
        <v>61</v>
      </c>
      <c r="AW354" t="s">
        <v>61</v>
      </c>
      <c r="AX354" t="s">
        <v>61</v>
      </c>
      <c r="AY354" t="s">
        <v>61</v>
      </c>
      <c r="AZ354" t="s">
        <v>61</v>
      </c>
      <c r="BA354" t="s">
        <v>61</v>
      </c>
      <c r="BB354" t="s">
        <v>61</v>
      </c>
      <c r="BC354" t="s">
        <v>61</v>
      </c>
      <c r="BD354" t="s">
        <v>61</v>
      </c>
      <c r="BE354" t="s">
        <v>61</v>
      </c>
      <c r="BF354" t="s">
        <v>61</v>
      </c>
    </row>
    <row r="355" spans="1:58">
      <c r="A355" t="s">
        <v>58</v>
      </c>
      <c r="B355" t="s">
        <v>2977</v>
      </c>
      <c r="C355" t="s">
        <v>2978</v>
      </c>
      <c r="D355" t="s">
        <v>2979</v>
      </c>
      <c r="E355" t="s">
        <v>61</v>
      </c>
      <c r="F355">
        <v>2011</v>
      </c>
      <c r="G355" t="s">
        <v>61</v>
      </c>
      <c r="H355">
        <v>14</v>
      </c>
      <c r="I355">
        <v>3</v>
      </c>
      <c r="J355" t="s">
        <v>2980</v>
      </c>
      <c r="K355" t="s">
        <v>2981</v>
      </c>
      <c r="L355" t="s">
        <v>2982</v>
      </c>
      <c r="M355" t="s">
        <v>2983</v>
      </c>
      <c r="N355" t="s">
        <v>2984</v>
      </c>
      <c r="O355" t="s">
        <v>61</v>
      </c>
      <c r="Q355" t="s">
        <v>61</v>
      </c>
      <c r="R355" t="s">
        <v>61</v>
      </c>
      <c r="S355" t="s">
        <v>61</v>
      </c>
      <c r="T355" t="s">
        <v>61</v>
      </c>
      <c r="X355" t="s">
        <v>61</v>
      </c>
      <c r="Y355" t="s">
        <v>2985</v>
      </c>
      <c r="Z355" t="s">
        <v>61</v>
      </c>
      <c r="AA355" t="s">
        <v>61</v>
      </c>
      <c r="AB355" t="s">
        <v>61</v>
      </c>
      <c r="AC355" t="s">
        <v>67</v>
      </c>
      <c r="AD355" t="s">
        <v>61</v>
      </c>
      <c r="AE355" t="s">
        <v>61</v>
      </c>
      <c r="AF355" t="s">
        <v>61</v>
      </c>
      <c r="AG355" t="s">
        <v>61</v>
      </c>
      <c r="AH355" t="s">
        <v>61</v>
      </c>
      <c r="AI355" t="s">
        <v>61</v>
      </c>
      <c r="AJ355" t="s">
        <v>61</v>
      </c>
      <c r="AK355" t="s">
        <v>61</v>
      </c>
      <c r="AL355" t="s">
        <v>61</v>
      </c>
      <c r="AM355" t="s">
        <v>2978</v>
      </c>
      <c r="AN355" t="s">
        <v>61</v>
      </c>
      <c r="AO355" t="s">
        <v>61</v>
      </c>
      <c r="AP355" t="s">
        <v>61</v>
      </c>
      <c r="AQ355" t="s">
        <v>61</v>
      </c>
      <c r="AR355" t="s">
        <v>61</v>
      </c>
      <c r="AS355" t="s">
        <v>61</v>
      </c>
      <c r="AT355" t="s">
        <v>61</v>
      </c>
      <c r="AU355" t="s">
        <v>61</v>
      </c>
      <c r="AV355" t="s">
        <v>61</v>
      </c>
      <c r="AW355" t="s">
        <v>61</v>
      </c>
      <c r="AX355" t="s">
        <v>61</v>
      </c>
      <c r="AY355" t="s">
        <v>61</v>
      </c>
      <c r="AZ355" t="s">
        <v>61</v>
      </c>
      <c r="BA355" t="s">
        <v>61</v>
      </c>
      <c r="BB355" t="s">
        <v>61</v>
      </c>
      <c r="BC355" t="s">
        <v>61</v>
      </c>
      <c r="BD355" t="s">
        <v>61</v>
      </c>
      <c r="BE355" t="s">
        <v>61</v>
      </c>
      <c r="BF355" t="s">
        <v>61</v>
      </c>
    </row>
    <row r="356" spans="1:58">
      <c r="A356" t="s">
        <v>58</v>
      </c>
      <c r="B356" t="s">
        <v>2986</v>
      </c>
      <c r="C356" t="s">
        <v>2987</v>
      </c>
      <c r="D356" t="s">
        <v>2988</v>
      </c>
      <c r="E356" t="s">
        <v>61</v>
      </c>
      <c r="F356">
        <v>2014</v>
      </c>
      <c r="G356" t="s">
        <v>61</v>
      </c>
      <c r="H356">
        <v>8</v>
      </c>
      <c r="I356" t="s">
        <v>61</v>
      </c>
      <c r="J356">
        <v>8</v>
      </c>
      <c r="K356" t="s">
        <v>61</v>
      </c>
      <c r="L356" t="s">
        <v>61</v>
      </c>
      <c r="M356" t="s">
        <v>2989</v>
      </c>
      <c r="N356" t="s">
        <v>2990</v>
      </c>
      <c r="O356" t="s">
        <v>61</v>
      </c>
      <c r="Q356" t="s">
        <v>61</v>
      </c>
      <c r="R356" t="s">
        <v>61</v>
      </c>
      <c r="S356" t="s">
        <v>61</v>
      </c>
      <c r="T356" t="s">
        <v>61</v>
      </c>
      <c r="X356" t="s">
        <v>61</v>
      </c>
      <c r="Y356" t="s">
        <v>2991</v>
      </c>
      <c r="Z356" t="s">
        <v>61</v>
      </c>
      <c r="AA356" t="s">
        <v>2992</v>
      </c>
      <c r="AB356">
        <v>24478655</v>
      </c>
      <c r="AC356" t="s">
        <v>67</v>
      </c>
      <c r="AD356" t="s">
        <v>61</v>
      </c>
      <c r="AE356" t="s">
        <v>61</v>
      </c>
      <c r="AF356" t="s">
        <v>61</v>
      </c>
      <c r="AG356" t="s">
        <v>2993</v>
      </c>
      <c r="AH356" t="s">
        <v>61</v>
      </c>
      <c r="AI356" t="s">
        <v>2994</v>
      </c>
      <c r="AJ356" t="s">
        <v>61</v>
      </c>
      <c r="AK356" t="s">
        <v>61</v>
      </c>
      <c r="AL356" t="s">
        <v>61</v>
      </c>
      <c r="AM356" t="s">
        <v>2995</v>
      </c>
      <c r="AN356" t="s">
        <v>61</v>
      </c>
      <c r="AO356" t="s">
        <v>61</v>
      </c>
      <c r="AP356" t="s">
        <v>61</v>
      </c>
      <c r="AQ356" t="s">
        <v>61</v>
      </c>
      <c r="AR356" t="s">
        <v>61</v>
      </c>
      <c r="AS356" t="s">
        <v>61</v>
      </c>
      <c r="AT356" t="s">
        <v>61</v>
      </c>
      <c r="AU356" t="s">
        <v>61</v>
      </c>
      <c r="AV356" t="s">
        <v>61</v>
      </c>
      <c r="AW356" t="s">
        <v>61</v>
      </c>
      <c r="AX356" t="s">
        <v>61</v>
      </c>
      <c r="AY356" t="s">
        <v>61</v>
      </c>
      <c r="AZ356" t="s">
        <v>61</v>
      </c>
      <c r="BA356" t="s">
        <v>61</v>
      </c>
      <c r="BB356" t="s">
        <v>61</v>
      </c>
      <c r="BC356" t="s">
        <v>61</v>
      </c>
      <c r="BD356" t="s">
        <v>61</v>
      </c>
      <c r="BE356" t="s">
        <v>61</v>
      </c>
      <c r="BF356" t="s">
        <v>61</v>
      </c>
    </row>
    <row r="357" spans="1:58">
      <c r="A357" t="s">
        <v>58</v>
      </c>
      <c r="B357" t="s">
        <v>2996</v>
      </c>
      <c r="C357" t="s">
        <v>2997</v>
      </c>
      <c r="D357" t="s">
        <v>60</v>
      </c>
      <c r="E357" t="s">
        <v>61</v>
      </c>
      <c r="F357">
        <v>2004</v>
      </c>
      <c r="G357" s="1">
        <v>42536</v>
      </c>
      <c r="H357">
        <v>61</v>
      </c>
      <c r="I357">
        <v>12</v>
      </c>
      <c r="J357">
        <v>1252</v>
      </c>
      <c r="K357">
        <v>1257</v>
      </c>
      <c r="L357" t="s">
        <v>2998</v>
      </c>
      <c r="M357" t="s">
        <v>2999</v>
      </c>
      <c r="N357" t="s">
        <v>3000</v>
      </c>
      <c r="O357" t="s">
        <v>61</v>
      </c>
      <c r="Q357" t="s">
        <v>61</v>
      </c>
      <c r="R357" t="s">
        <v>61</v>
      </c>
      <c r="S357" t="s">
        <v>61</v>
      </c>
      <c r="T357" t="s">
        <v>61</v>
      </c>
      <c r="X357" t="s">
        <v>61</v>
      </c>
      <c r="Y357" t="s">
        <v>66</v>
      </c>
      <c r="Z357" t="s">
        <v>61</v>
      </c>
      <c r="AA357" t="s">
        <v>3001</v>
      </c>
      <c r="AB357">
        <v>15259755</v>
      </c>
      <c r="AC357" t="s">
        <v>67</v>
      </c>
      <c r="AD357" t="s">
        <v>61</v>
      </c>
      <c r="AE357" t="s">
        <v>61</v>
      </c>
      <c r="AF357" t="s">
        <v>61</v>
      </c>
      <c r="AG357" t="s">
        <v>3002</v>
      </c>
      <c r="AH357" t="s">
        <v>61</v>
      </c>
      <c r="AI357" t="s">
        <v>61</v>
      </c>
      <c r="AJ357" t="s">
        <v>61</v>
      </c>
      <c r="AK357" t="s">
        <v>61</v>
      </c>
      <c r="AL357" t="s">
        <v>61</v>
      </c>
      <c r="AM357" t="s">
        <v>3003</v>
      </c>
      <c r="AN357" t="s">
        <v>61</v>
      </c>
      <c r="AO357" t="s">
        <v>61</v>
      </c>
      <c r="AP357" t="s">
        <v>61</v>
      </c>
      <c r="AQ357" t="s">
        <v>61</v>
      </c>
      <c r="AR357" t="s">
        <v>61</v>
      </c>
      <c r="AS357" t="s">
        <v>61</v>
      </c>
      <c r="AT357" t="s">
        <v>61</v>
      </c>
      <c r="AU357" t="s">
        <v>61</v>
      </c>
      <c r="AV357" t="s">
        <v>61</v>
      </c>
      <c r="AW357" t="s">
        <v>61</v>
      </c>
      <c r="AX357" t="s">
        <v>61</v>
      </c>
      <c r="AY357" t="s">
        <v>61</v>
      </c>
      <c r="AZ357" t="s">
        <v>61</v>
      </c>
      <c r="BA357" t="s">
        <v>61</v>
      </c>
      <c r="BB357" t="s">
        <v>61</v>
      </c>
      <c r="BC357" t="s">
        <v>61</v>
      </c>
      <c r="BD357" t="s">
        <v>61</v>
      </c>
      <c r="BE357" t="s">
        <v>61</v>
      </c>
      <c r="BF357" t="s">
        <v>61</v>
      </c>
    </row>
    <row r="358" spans="1:58">
      <c r="A358" t="s">
        <v>58</v>
      </c>
      <c r="B358" t="s">
        <v>3004</v>
      </c>
      <c r="C358" t="s">
        <v>3005</v>
      </c>
      <c r="D358" t="s">
        <v>3006</v>
      </c>
      <c r="E358" t="s">
        <v>61</v>
      </c>
      <c r="F358">
        <v>2013</v>
      </c>
      <c r="G358" t="s">
        <v>61</v>
      </c>
      <c r="H358">
        <v>14</v>
      </c>
      <c r="I358">
        <v>11</v>
      </c>
      <c r="J358">
        <v>743</v>
      </c>
      <c r="K358" t="s">
        <v>3007</v>
      </c>
      <c r="L358" t="s">
        <v>3008</v>
      </c>
      <c r="M358" t="s">
        <v>3009</v>
      </c>
      <c r="N358" t="s">
        <v>3010</v>
      </c>
      <c r="O358" t="s">
        <v>61</v>
      </c>
      <c r="Q358" t="s">
        <v>61</v>
      </c>
      <c r="R358" t="s">
        <v>61</v>
      </c>
      <c r="S358" t="s">
        <v>61</v>
      </c>
      <c r="T358" t="s">
        <v>61</v>
      </c>
      <c r="X358" t="s">
        <v>61</v>
      </c>
      <c r="Y358" t="s">
        <v>3011</v>
      </c>
      <c r="Z358" t="s">
        <v>61</v>
      </c>
      <c r="AA358" t="s">
        <v>3012</v>
      </c>
      <c r="AB358">
        <v>104105315</v>
      </c>
      <c r="AC358" t="s">
        <v>67</v>
      </c>
      <c r="AD358" t="s">
        <v>61</v>
      </c>
      <c r="AE358" t="s">
        <v>61</v>
      </c>
      <c r="AF358" t="s">
        <v>61</v>
      </c>
      <c r="AG358" t="s">
        <v>3013</v>
      </c>
      <c r="AH358" t="s">
        <v>61</v>
      </c>
      <c r="AI358" t="s">
        <v>3014</v>
      </c>
      <c r="AJ358" t="s">
        <v>61</v>
      </c>
      <c r="AK358" t="s">
        <v>61</v>
      </c>
      <c r="AL358" t="s">
        <v>61</v>
      </c>
      <c r="AM358" t="s">
        <v>3015</v>
      </c>
      <c r="AN358" t="s">
        <v>61</v>
      </c>
      <c r="AO358" t="s">
        <v>61</v>
      </c>
      <c r="AP358" t="s">
        <v>61</v>
      </c>
      <c r="AQ358" t="s">
        <v>61</v>
      </c>
      <c r="AR358" t="s">
        <v>61</v>
      </c>
      <c r="AS358" t="s">
        <v>61</v>
      </c>
      <c r="AT358" t="s">
        <v>61</v>
      </c>
      <c r="AU358" t="s">
        <v>61</v>
      </c>
      <c r="AV358" t="s">
        <v>61</v>
      </c>
      <c r="AW358" t="s">
        <v>61</v>
      </c>
      <c r="AX358" t="s">
        <v>61</v>
      </c>
      <c r="AY358" t="s">
        <v>61</v>
      </c>
      <c r="AZ358" t="s">
        <v>61</v>
      </c>
      <c r="BA358" t="s">
        <v>61</v>
      </c>
      <c r="BB358" t="s">
        <v>61</v>
      </c>
      <c r="BC358" t="s">
        <v>61</v>
      </c>
      <c r="BD358" t="s">
        <v>61</v>
      </c>
      <c r="BE358" t="s">
        <v>61</v>
      </c>
      <c r="BF358" t="s">
        <v>61</v>
      </c>
    </row>
    <row r="359" spans="1:58">
      <c r="A359" t="s">
        <v>58</v>
      </c>
      <c r="B359" t="s">
        <v>3016</v>
      </c>
      <c r="C359" t="s">
        <v>3017</v>
      </c>
      <c r="D359" t="s">
        <v>876</v>
      </c>
      <c r="E359" t="s">
        <v>877</v>
      </c>
      <c r="F359">
        <v>1997</v>
      </c>
      <c r="G359" t="s">
        <v>1644</v>
      </c>
      <c r="H359">
        <v>61</v>
      </c>
      <c r="I359">
        <v>1</v>
      </c>
      <c r="J359">
        <v>12</v>
      </c>
      <c r="K359">
        <v>18</v>
      </c>
      <c r="L359" t="s">
        <v>3018</v>
      </c>
      <c r="M359" t="s">
        <v>3019</v>
      </c>
      <c r="N359" t="s">
        <v>3020</v>
      </c>
      <c r="O359" t="s">
        <v>61</v>
      </c>
      <c r="Q359" t="s">
        <v>61</v>
      </c>
      <c r="R359" t="s">
        <v>61</v>
      </c>
      <c r="S359" t="s">
        <v>61</v>
      </c>
      <c r="T359" t="s">
        <v>61</v>
      </c>
      <c r="X359" t="s">
        <v>61</v>
      </c>
      <c r="Y359" s="2">
        <v>2760901</v>
      </c>
      <c r="Z359" t="s">
        <v>61</v>
      </c>
      <c r="AA359" t="s">
        <v>61</v>
      </c>
      <c r="AB359" t="s">
        <v>3021</v>
      </c>
      <c r="AC359" t="s">
        <v>67</v>
      </c>
      <c r="AD359" t="s">
        <v>61</v>
      </c>
      <c r="AE359" t="s">
        <v>61</v>
      </c>
      <c r="AF359" t="s">
        <v>61</v>
      </c>
      <c r="AG359" t="s">
        <v>61</v>
      </c>
      <c r="AH359" t="s">
        <v>61</v>
      </c>
      <c r="AI359" t="s">
        <v>61</v>
      </c>
      <c r="AJ359" t="s">
        <v>61</v>
      </c>
      <c r="AK359" t="s">
        <v>61</v>
      </c>
      <c r="AL359" t="s">
        <v>61</v>
      </c>
      <c r="AM359" t="s">
        <v>3022</v>
      </c>
      <c r="AN359" t="s">
        <v>61</v>
      </c>
      <c r="AO359" t="s">
        <v>61</v>
      </c>
      <c r="AP359" t="s">
        <v>61</v>
      </c>
      <c r="AQ359" t="s">
        <v>61</v>
      </c>
      <c r="AR359" t="s">
        <v>61</v>
      </c>
      <c r="AS359" t="s">
        <v>61</v>
      </c>
      <c r="AT359" t="s">
        <v>61</v>
      </c>
      <c r="AU359" t="s">
        <v>61</v>
      </c>
      <c r="AV359" t="s">
        <v>61</v>
      </c>
      <c r="AW359" t="s">
        <v>61</v>
      </c>
      <c r="AX359" t="s">
        <v>61</v>
      </c>
      <c r="AY359" t="s">
        <v>61</v>
      </c>
      <c r="AZ359" t="s">
        <v>61</v>
      </c>
      <c r="BA359" t="s">
        <v>61</v>
      </c>
      <c r="BB359" t="s">
        <v>61</v>
      </c>
      <c r="BC359" t="s">
        <v>61</v>
      </c>
      <c r="BD359" t="s">
        <v>61</v>
      </c>
      <c r="BE359" t="s">
        <v>61</v>
      </c>
      <c r="BF359" t="s">
        <v>61</v>
      </c>
    </row>
    <row r="360" spans="1:58">
      <c r="A360" t="s">
        <v>58</v>
      </c>
      <c r="B360" t="s">
        <v>3023</v>
      </c>
      <c r="C360" t="s">
        <v>3024</v>
      </c>
      <c r="D360" t="s">
        <v>1739</v>
      </c>
      <c r="E360" t="s">
        <v>1740</v>
      </c>
      <c r="F360">
        <v>1987</v>
      </c>
      <c r="G360" t="s">
        <v>273</v>
      </c>
      <c r="H360">
        <v>44</v>
      </c>
      <c r="I360">
        <v>2</v>
      </c>
      <c r="J360">
        <v>324</v>
      </c>
      <c r="K360">
        <v>332</v>
      </c>
      <c r="L360" t="s">
        <v>3025</v>
      </c>
      <c r="M360" t="s">
        <v>3026</v>
      </c>
      <c r="N360" t="s">
        <v>3027</v>
      </c>
      <c r="O360" t="s">
        <v>61</v>
      </c>
      <c r="Q360" t="s">
        <v>61</v>
      </c>
      <c r="R360" t="s">
        <v>61</v>
      </c>
      <c r="S360" t="s">
        <v>61</v>
      </c>
      <c r="T360" t="s">
        <v>61</v>
      </c>
      <c r="X360" t="s">
        <v>61</v>
      </c>
      <c r="Y360" s="2">
        <v>2698811</v>
      </c>
      <c r="Z360" t="s">
        <v>61</v>
      </c>
      <c r="AA360" t="s">
        <v>61</v>
      </c>
      <c r="AB360">
        <v>3565391</v>
      </c>
      <c r="AC360" t="s">
        <v>67</v>
      </c>
      <c r="AD360" t="s">
        <v>61</v>
      </c>
      <c r="AE360" t="s">
        <v>61</v>
      </c>
      <c r="AF360" t="s">
        <v>61</v>
      </c>
      <c r="AG360" t="s">
        <v>3028</v>
      </c>
      <c r="AH360" t="s">
        <v>61</v>
      </c>
      <c r="AI360" t="s">
        <v>61</v>
      </c>
      <c r="AJ360" t="s">
        <v>61</v>
      </c>
      <c r="AK360" t="s">
        <v>61</v>
      </c>
      <c r="AL360" t="s">
        <v>61</v>
      </c>
      <c r="AM360" t="s">
        <v>3029</v>
      </c>
      <c r="AN360" t="s">
        <v>61</v>
      </c>
      <c r="AO360" t="s">
        <v>61</v>
      </c>
      <c r="AP360" t="s">
        <v>61</v>
      </c>
      <c r="AQ360" t="s">
        <v>61</v>
      </c>
      <c r="AR360" t="s">
        <v>61</v>
      </c>
      <c r="AS360" t="s">
        <v>61</v>
      </c>
      <c r="AT360" t="s">
        <v>61</v>
      </c>
      <c r="AU360" t="s">
        <v>61</v>
      </c>
      <c r="AV360" t="s">
        <v>61</v>
      </c>
      <c r="AW360" t="s">
        <v>61</v>
      </c>
      <c r="AX360" t="s">
        <v>61</v>
      </c>
      <c r="AY360" t="s">
        <v>61</v>
      </c>
      <c r="AZ360" t="s">
        <v>61</v>
      </c>
      <c r="BA360" t="s">
        <v>61</v>
      </c>
      <c r="BB360" t="s">
        <v>61</v>
      </c>
      <c r="BC360" t="s">
        <v>61</v>
      </c>
      <c r="BD360" t="s">
        <v>61</v>
      </c>
      <c r="BE360" t="s">
        <v>61</v>
      </c>
      <c r="BF360" t="s">
        <v>61</v>
      </c>
    </row>
    <row r="361" spans="1:58">
      <c r="A361" t="s">
        <v>58</v>
      </c>
      <c r="B361" t="s">
        <v>3030</v>
      </c>
      <c r="C361" t="s">
        <v>3031</v>
      </c>
      <c r="D361" t="s">
        <v>428</v>
      </c>
      <c r="E361" t="s">
        <v>61</v>
      </c>
      <c r="F361">
        <v>2010</v>
      </c>
      <c r="G361" t="s">
        <v>429</v>
      </c>
      <c r="H361">
        <v>23</v>
      </c>
      <c r="I361">
        <v>2</v>
      </c>
      <c r="J361">
        <v>182</v>
      </c>
      <c r="K361">
        <v>183</v>
      </c>
      <c r="L361" t="s">
        <v>3032</v>
      </c>
      <c r="M361" t="s">
        <v>3033</v>
      </c>
      <c r="N361" t="s">
        <v>3034</v>
      </c>
      <c r="O361" t="s">
        <v>61</v>
      </c>
      <c r="Q361" t="s">
        <v>61</v>
      </c>
      <c r="R361" t="s">
        <v>61</v>
      </c>
      <c r="S361" t="s">
        <v>61</v>
      </c>
      <c r="T361" t="s">
        <v>61</v>
      </c>
      <c r="X361" t="s">
        <v>61</v>
      </c>
      <c r="Y361" t="s">
        <v>433</v>
      </c>
      <c r="Z361" t="s">
        <v>61</v>
      </c>
      <c r="AA361" t="s">
        <v>61</v>
      </c>
      <c r="AB361" t="s">
        <v>61</v>
      </c>
      <c r="AC361" t="s">
        <v>67</v>
      </c>
      <c r="AD361" t="s">
        <v>61</v>
      </c>
      <c r="AE361" t="s">
        <v>61</v>
      </c>
      <c r="AF361" t="s">
        <v>61</v>
      </c>
      <c r="AG361" t="s">
        <v>61</v>
      </c>
      <c r="AH361" t="s">
        <v>61</v>
      </c>
      <c r="AI361" t="s">
        <v>61</v>
      </c>
      <c r="AJ361" t="s">
        <v>61</v>
      </c>
      <c r="AK361" t="s">
        <v>61</v>
      </c>
      <c r="AL361" t="s">
        <v>61</v>
      </c>
      <c r="AM361" t="s">
        <v>3031</v>
      </c>
      <c r="AN361" t="s">
        <v>61</v>
      </c>
      <c r="AO361" t="s">
        <v>61</v>
      </c>
      <c r="AP361" t="s">
        <v>61</v>
      </c>
      <c r="AQ361" t="s">
        <v>61</v>
      </c>
      <c r="AR361" t="s">
        <v>61</v>
      </c>
      <c r="AS361" t="s">
        <v>61</v>
      </c>
      <c r="AT361" t="s">
        <v>61</v>
      </c>
      <c r="AU361" t="s">
        <v>61</v>
      </c>
      <c r="AV361" t="s">
        <v>61</v>
      </c>
      <c r="AW361" t="s">
        <v>61</v>
      </c>
      <c r="AX361" t="s">
        <v>61</v>
      </c>
      <c r="AY361" t="s">
        <v>61</v>
      </c>
      <c r="AZ361" t="s">
        <v>61</v>
      </c>
      <c r="BA361" t="s">
        <v>61</v>
      </c>
      <c r="BB361" t="s">
        <v>61</v>
      </c>
      <c r="BC361" t="s">
        <v>61</v>
      </c>
      <c r="BD361" t="s">
        <v>61</v>
      </c>
      <c r="BE361" t="s">
        <v>61</v>
      </c>
      <c r="BF361" t="s">
        <v>61</v>
      </c>
    </row>
    <row r="362" spans="1:58">
      <c r="A362" t="s">
        <v>58</v>
      </c>
      <c r="B362" t="s">
        <v>3035</v>
      </c>
      <c r="C362" t="s">
        <v>3036</v>
      </c>
      <c r="D362" t="s">
        <v>271</v>
      </c>
      <c r="E362" t="s">
        <v>272</v>
      </c>
      <c r="F362">
        <v>1997</v>
      </c>
      <c r="G362" t="s">
        <v>3037</v>
      </c>
      <c r="H362" t="s">
        <v>2819</v>
      </c>
      <c r="I362">
        <v>2</v>
      </c>
      <c r="J362">
        <v>182</v>
      </c>
      <c r="K362">
        <v>191</v>
      </c>
      <c r="L362" t="s">
        <v>3038</v>
      </c>
      <c r="M362" t="s">
        <v>3039</v>
      </c>
      <c r="N362" t="s">
        <v>3040</v>
      </c>
      <c r="O362" t="s">
        <v>61</v>
      </c>
      <c r="Q362" t="s">
        <v>61</v>
      </c>
      <c r="R362" t="s">
        <v>61</v>
      </c>
      <c r="S362" t="s">
        <v>61</v>
      </c>
      <c r="T362" t="s">
        <v>61</v>
      </c>
      <c r="X362" t="s">
        <v>61</v>
      </c>
      <c r="Y362" t="s">
        <v>1661</v>
      </c>
      <c r="Z362" t="s">
        <v>61</v>
      </c>
      <c r="AA362" t="s">
        <v>3041</v>
      </c>
      <c r="AB362">
        <v>9069692</v>
      </c>
      <c r="AC362" t="s">
        <v>67</v>
      </c>
      <c r="AD362" t="s">
        <v>61</v>
      </c>
      <c r="AE362" t="s">
        <v>61</v>
      </c>
      <c r="AF362" t="s">
        <v>61</v>
      </c>
      <c r="AG362" t="s">
        <v>3042</v>
      </c>
      <c r="AH362" t="s">
        <v>61</v>
      </c>
      <c r="AI362" t="s">
        <v>61</v>
      </c>
      <c r="AJ362" t="s">
        <v>61</v>
      </c>
      <c r="AK362" t="s">
        <v>61</v>
      </c>
      <c r="AL362" t="s">
        <v>61</v>
      </c>
      <c r="AM362" t="s">
        <v>3043</v>
      </c>
      <c r="AN362" t="s">
        <v>61</v>
      </c>
      <c r="AO362" t="s">
        <v>61</v>
      </c>
      <c r="AP362" t="s">
        <v>61</v>
      </c>
      <c r="AQ362" t="s">
        <v>61</v>
      </c>
      <c r="AR362" t="s">
        <v>61</v>
      </c>
      <c r="AS362" t="s">
        <v>61</v>
      </c>
      <c r="AT362" t="s">
        <v>61</v>
      </c>
      <c r="AU362" t="s">
        <v>61</v>
      </c>
      <c r="AV362" t="s">
        <v>61</v>
      </c>
      <c r="AW362" t="s">
        <v>61</v>
      </c>
      <c r="AX362" t="s">
        <v>61</v>
      </c>
      <c r="AY362" t="s">
        <v>61</v>
      </c>
      <c r="AZ362" t="s">
        <v>61</v>
      </c>
      <c r="BA362" t="s">
        <v>61</v>
      </c>
      <c r="BB362" t="s">
        <v>61</v>
      </c>
      <c r="BC362" t="s">
        <v>61</v>
      </c>
      <c r="BD362" t="s">
        <v>61</v>
      </c>
      <c r="BE362" t="s">
        <v>61</v>
      </c>
      <c r="BF362" t="s">
        <v>61</v>
      </c>
    </row>
    <row r="363" spans="1:58">
      <c r="A363" t="s">
        <v>58</v>
      </c>
      <c r="B363" t="s">
        <v>3044</v>
      </c>
      <c r="C363" t="s">
        <v>3045</v>
      </c>
      <c r="D363" t="s">
        <v>362</v>
      </c>
      <c r="E363" t="s">
        <v>61</v>
      </c>
      <c r="F363">
        <v>2011</v>
      </c>
      <c r="G363" t="s">
        <v>61</v>
      </c>
      <c r="H363">
        <v>35</v>
      </c>
      <c r="I363">
        <v>11</v>
      </c>
      <c r="J363">
        <v>1948</v>
      </c>
      <c r="K363" t="s">
        <v>3046</v>
      </c>
      <c r="L363" t="s">
        <v>3047</v>
      </c>
      <c r="M363" t="s">
        <v>61</v>
      </c>
      <c r="N363" t="s">
        <v>3048</v>
      </c>
      <c r="O363" t="s">
        <v>61</v>
      </c>
      <c r="Q363" t="s">
        <v>61</v>
      </c>
      <c r="R363" t="s">
        <v>61</v>
      </c>
      <c r="S363" t="s">
        <v>61</v>
      </c>
      <c r="T363" t="s">
        <v>61</v>
      </c>
      <c r="X363" t="s">
        <v>61</v>
      </c>
      <c r="Y363" t="s">
        <v>367</v>
      </c>
      <c r="Z363" t="s">
        <v>61</v>
      </c>
      <c r="AA363" t="s">
        <v>3049</v>
      </c>
      <c r="AB363">
        <v>104593929</v>
      </c>
      <c r="AC363" t="s">
        <v>67</v>
      </c>
      <c r="AD363" t="s">
        <v>61</v>
      </c>
      <c r="AE363" t="s">
        <v>61</v>
      </c>
      <c r="AF363" t="s">
        <v>61</v>
      </c>
      <c r="AG363" t="s">
        <v>3050</v>
      </c>
      <c r="AH363" t="s">
        <v>61</v>
      </c>
      <c r="AI363" t="s">
        <v>3051</v>
      </c>
      <c r="AJ363" t="s">
        <v>61</v>
      </c>
      <c r="AK363" t="s">
        <v>61</v>
      </c>
      <c r="AL363" t="s">
        <v>61</v>
      </c>
      <c r="AM363" t="s">
        <v>3052</v>
      </c>
      <c r="AN363" t="s">
        <v>61</v>
      </c>
      <c r="AO363" t="s">
        <v>61</v>
      </c>
      <c r="AP363" t="s">
        <v>61</v>
      </c>
      <c r="AQ363" t="s">
        <v>61</v>
      </c>
      <c r="AR363" t="s">
        <v>61</v>
      </c>
      <c r="AS363" t="s">
        <v>61</v>
      </c>
      <c r="AT363" t="s">
        <v>61</v>
      </c>
      <c r="AU363" t="s">
        <v>61</v>
      </c>
      <c r="AV363" t="s">
        <v>61</v>
      </c>
      <c r="AW363" t="s">
        <v>61</v>
      </c>
      <c r="AX363" t="s">
        <v>61</v>
      </c>
      <c r="AY363" t="s">
        <v>61</v>
      </c>
      <c r="AZ363" t="s">
        <v>61</v>
      </c>
      <c r="BA363" t="s">
        <v>61</v>
      </c>
      <c r="BB363" t="s">
        <v>61</v>
      </c>
      <c r="BC363" t="s">
        <v>61</v>
      </c>
      <c r="BD363" t="s">
        <v>61</v>
      </c>
      <c r="BE363" t="s">
        <v>61</v>
      </c>
      <c r="BF363" t="s">
        <v>61</v>
      </c>
    </row>
    <row r="364" spans="1:58">
      <c r="A364" t="s">
        <v>58</v>
      </c>
      <c r="B364" t="s">
        <v>3053</v>
      </c>
      <c r="C364" t="s">
        <v>3054</v>
      </c>
      <c r="D364" t="s">
        <v>428</v>
      </c>
      <c r="E364" t="s">
        <v>61</v>
      </c>
      <c r="F364">
        <v>2012</v>
      </c>
      <c r="G364" t="s">
        <v>429</v>
      </c>
      <c r="H364">
        <v>25</v>
      </c>
      <c r="I364">
        <v>2</v>
      </c>
      <c r="J364">
        <v>259</v>
      </c>
      <c r="K364">
        <v>260</v>
      </c>
      <c r="L364" t="s">
        <v>3055</v>
      </c>
      <c r="M364" t="s">
        <v>3056</v>
      </c>
      <c r="N364" t="s">
        <v>3057</v>
      </c>
      <c r="O364" t="s">
        <v>61</v>
      </c>
      <c r="Q364" t="s">
        <v>61</v>
      </c>
      <c r="R364" t="s">
        <v>61</v>
      </c>
      <c r="S364" t="s">
        <v>61</v>
      </c>
      <c r="T364" t="s">
        <v>61</v>
      </c>
      <c r="X364" t="s">
        <v>61</v>
      </c>
      <c r="Y364" t="s">
        <v>433</v>
      </c>
      <c r="Z364" t="s">
        <v>61</v>
      </c>
      <c r="AA364" t="s">
        <v>61</v>
      </c>
      <c r="AB364" t="s">
        <v>61</v>
      </c>
      <c r="AC364" t="s">
        <v>67</v>
      </c>
      <c r="AD364" t="s">
        <v>61</v>
      </c>
      <c r="AE364" t="s">
        <v>61</v>
      </c>
      <c r="AF364" t="s">
        <v>61</v>
      </c>
      <c r="AG364" t="s">
        <v>61</v>
      </c>
      <c r="AH364" t="s">
        <v>61</v>
      </c>
      <c r="AI364" t="s">
        <v>61</v>
      </c>
      <c r="AJ364" t="s">
        <v>61</v>
      </c>
      <c r="AK364" t="s">
        <v>61</v>
      </c>
      <c r="AL364" t="s">
        <v>61</v>
      </c>
      <c r="AM364" t="s">
        <v>3054</v>
      </c>
      <c r="AN364" t="s">
        <v>61</v>
      </c>
      <c r="AO364" t="s">
        <v>61</v>
      </c>
      <c r="AP364" t="s">
        <v>61</v>
      </c>
      <c r="AQ364" t="s">
        <v>61</v>
      </c>
      <c r="AR364" t="s">
        <v>61</v>
      </c>
      <c r="AS364" t="s">
        <v>61</v>
      </c>
      <c r="AT364" t="s">
        <v>61</v>
      </c>
      <c r="AU364" t="s">
        <v>61</v>
      </c>
      <c r="AV364" t="s">
        <v>61</v>
      </c>
      <c r="AW364" t="s">
        <v>61</v>
      </c>
      <c r="AX364" t="s">
        <v>61</v>
      </c>
      <c r="AY364" t="s">
        <v>61</v>
      </c>
      <c r="AZ364" t="s">
        <v>61</v>
      </c>
      <c r="BA364" t="s">
        <v>61</v>
      </c>
      <c r="BB364" t="s">
        <v>61</v>
      </c>
      <c r="BC364" t="s">
        <v>61</v>
      </c>
      <c r="BD364" t="s">
        <v>61</v>
      </c>
      <c r="BE364" t="s">
        <v>61</v>
      </c>
      <c r="BF364" t="s">
        <v>61</v>
      </c>
    </row>
    <row r="365" spans="1:58">
      <c r="A365" t="s">
        <v>58</v>
      </c>
      <c r="B365" t="s">
        <v>3058</v>
      </c>
      <c r="C365" t="s">
        <v>3059</v>
      </c>
      <c r="D365" t="s">
        <v>3060</v>
      </c>
      <c r="E365" t="s">
        <v>61</v>
      </c>
      <c r="F365">
        <v>2013</v>
      </c>
      <c r="G365" t="s">
        <v>129</v>
      </c>
      <c r="H365">
        <v>37</v>
      </c>
      <c r="I365">
        <v>5</v>
      </c>
      <c r="J365">
        <v>450</v>
      </c>
      <c r="K365">
        <v>456</v>
      </c>
      <c r="L365" t="s">
        <v>3061</v>
      </c>
      <c r="M365" t="s">
        <v>3062</v>
      </c>
      <c r="N365" t="s">
        <v>3063</v>
      </c>
      <c r="O365" t="s">
        <v>61</v>
      </c>
      <c r="Q365" t="s">
        <v>61</v>
      </c>
      <c r="R365" t="s">
        <v>61</v>
      </c>
      <c r="S365" t="s">
        <v>61</v>
      </c>
      <c r="T365" t="s">
        <v>61</v>
      </c>
      <c r="X365" t="s">
        <v>61</v>
      </c>
      <c r="Y365" t="s">
        <v>3064</v>
      </c>
      <c r="Z365" t="s">
        <v>61</v>
      </c>
      <c r="AA365" t="s">
        <v>3065</v>
      </c>
      <c r="AB365">
        <v>24090328</v>
      </c>
      <c r="AC365" t="s">
        <v>67</v>
      </c>
      <c r="AD365" t="s">
        <v>61</v>
      </c>
      <c r="AE365" t="s">
        <v>61</v>
      </c>
      <c r="AF365" t="s">
        <v>61</v>
      </c>
      <c r="AG365" t="s">
        <v>3066</v>
      </c>
      <c r="AH365" t="s">
        <v>61</v>
      </c>
      <c r="AI365" t="s">
        <v>3067</v>
      </c>
      <c r="AJ365" t="s">
        <v>61</v>
      </c>
      <c r="AK365" t="s">
        <v>61</v>
      </c>
      <c r="AL365" t="s">
        <v>61</v>
      </c>
      <c r="AM365" t="s">
        <v>3068</v>
      </c>
      <c r="AN365" t="s">
        <v>61</v>
      </c>
      <c r="AO365" t="s">
        <v>61</v>
      </c>
      <c r="AP365" t="s">
        <v>61</v>
      </c>
      <c r="AQ365" t="s">
        <v>61</v>
      </c>
      <c r="AR365" t="s">
        <v>61</v>
      </c>
      <c r="AS365" t="s">
        <v>61</v>
      </c>
      <c r="AT365" t="s">
        <v>61</v>
      </c>
      <c r="AU365" t="s">
        <v>61</v>
      </c>
      <c r="AV365" t="s">
        <v>61</v>
      </c>
      <c r="AW365" t="s">
        <v>61</v>
      </c>
      <c r="AX365" t="s">
        <v>61</v>
      </c>
      <c r="AY365" t="s">
        <v>61</v>
      </c>
      <c r="AZ365" t="s">
        <v>61</v>
      </c>
      <c r="BA365" t="s">
        <v>61</v>
      </c>
      <c r="BB365" t="s">
        <v>61</v>
      </c>
      <c r="BC365" t="s">
        <v>61</v>
      </c>
      <c r="BD365" t="s">
        <v>61</v>
      </c>
      <c r="BE365" t="s">
        <v>61</v>
      </c>
      <c r="BF365" t="s">
        <v>61</v>
      </c>
    </row>
    <row r="366" spans="1:58">
      <c r="A366" t="s">
        <v>58</v>
      </c>
      <c r="B366" t="s">
        <v>3069</v>
      </c>
      <c r="C366" t="s">
        <v>3070</v>
      </c>
      <c r="D366" t="s">
        <v>271</v>
      </c>
      <c r="E366" t="s">
        <v>272</v>
      </c>
      <c r="F366">
        <v>2001</v>
      </c>
      <c r="G366" t="s">
        <v>1667</v>
      </c>
      <c r="H366">
        <v>41</v>
      </c>
      <c r="I366">
        <v>3</v>
      </c>
      <c r="J366">
        <v>392</v>
      </c>
      <c r="K366">
        <v>400</v>
      </c>
      <c r="L366" t="s">
        <v>3071</v>
      </c>
      <c r="M366" t="s">
        <v>3072</v>
      </c>
      <c r="N366" t="s">
        <v>3073</v>
      </c>
      <c r="O366" t="s">
        <v>61</v>
      </c>
      <c r="Q366" t="s">
        <v>61</v>
      </c>
      <c r="R366" t="s">
        <v>61</v>
      </c>
      <c r="S366" t="s">
        <v>61</v>
      </c>
      <c r="T366" t="s">
        <v>61</v>
      </c>
      <c r="X366" t="s">
        <v>61</v>
      </c>
      <c r="Y366" t="s">
        <v>1661</v>
      </c>
      <c r="Z366" t="s">
        <v>61</v>
      </c>
      <c r="AA366" t="s">
        <v>3074</v>
      </c>
      <c r="AB366">
        <v>11372904</v>
      </c>
      <c r="AC366" t="s">
        <v>67</v>
      </c>
      <c r="AD366" t="s">
        <v>61</v>
      </c>
      <c r="AE366" t="s">
        <v>61</v>
      </c>
      <c r="AF366" t="s">
        <v>61</v>
      </c>
      <c r="AG366" t="s">
        <v>3075</v>
      </c>
      <c r="AH366" t="s">
        <v>61</v>
      </c>
      <c r="AI366" t="s">
        <v>61</v>
      </c>
      <c r="AJ366" t="s">
        <v>61</v>
      </c>
      <c r="AK366" t="s">
        <v>61</v>
      </c>
      <c r="AL366" t="s">
        <v>61</v>
      </c>
      <c r="AM366" t="s">
        <v>3076</v>
      </c>
      <c r="AN366" t="s">
        <v>61</v>
      </c>
      <c r="AO366" t="s">
        <v>61</v>
      </c>
      <c r="AP366" t="s">
        <v>61</v>
      </c>
      <c r="AQ366" t="s">
        <v>61</v>
      </c>
      <c r="AR366" t="s">
        <v>61</v>
      </c>
      <c r="AS366" t="s">
        <v>61</v>
      </c>
      <c r="AT366" t="s">
        <v>61</v>
      </c>
      <c r="AU366" t="s">
        <v>61</v>
      </c>
      <c r="AV366" t="s">
        <v>61</v>
      </c>
      <c r="AW366" t="s">
        <v>61</v>
      </c>
      <c r="AX366" t="s">
        <v>61</v>
      </c>
      <c r="AY366" t="s">
        <v>61</v>
      </c>
      <c r="AZ366" t="s">
        <v>61</v>
      </c>
      <c r="BA366" t="s">
        <v>61</v>
      </c>
      <c r="BB366" t="s">
        <v>61</v>
      </c>
      <c r="BC366" t="s">
        <v>61</v>
      </c>
      <c r="BD366" t="s">
        <v>61</v>
      </c>
      <c r="BE366" t="s">
        <v>61</v>
      </c>
      <c r="BF366" t="s">
        <v>61</v>
      </c>
    </row>
    <row r="367" spans="1:58">
      <c r="A367" t="s">
        <v>58</v>
      </c>
      <c r="B367" t="s">
        <v>3077</v>
      </c>
      <c r="C367" t="s">
        <v>3078</v>
      </c>
      <c r="D367" t="s">
        <v>3079</v>
      </c>
      <c r="E367" t="s">
        <v>61</v>
      </c>
      <c r="F367">
        <v>2010</v>
      </c>
      <c r="G367" t="s">
        <v>61</v>
      </c>
      <c r="H367">
        <v>7</v>
      </c>
      <c r="I367" t="s">
        <v>61</v>
      </c>
      <c r="J367" t="s">
        <v>3080</v>
      </c>
      <c r="K367" t="s">
        <v>61</v>
      </c>
      <c r="L367" t="s">
        <v>61</v>
      </c>
      <c r="M367" t="s">
        <v>3081</v>
      </c>
      <c r="N367" t="s">
        <v>3082</v>
      </c>
      <c r="O367" t="s">
        <v>61</v>
      </c>
      <c r="Q367" t="s">
        <v>61</v>
      </c>
      <c r="R367" t="s">
        <v>61</v>
      </c>
      <c r="S367" t="s">
        <v>61</v>
      </c>
      <c r="T367" t="s">
        <v>61</v>
      </c>
      <c r="X367" t="s">
        <v>61</v>
      </c>
      <c r="Y367" t="s">
        <v>3083</v>
      </c>
      <c r="Z367" t="s">
        <v>61</v>
      </c>
      <c r="AA367" t="s">
        <v>3084</v>
      </c>
      <c r="AB367">
        <v>21160546</v>
      </c>
      <c r="AC367" t="s">
        <v>67</v>
      </c>
      <c r="AD367" t="s">
        <v>61</v>
      </c>
      <c r="AE367" t="s">
        <v>61</v>
      </c>
      <c r="AF367" t="s">
        <v>61</v>
      </c>
      <c r="AG367" t="s">
        <v>3085</v>
      </c>
      <c r="AH367" t="s">
        <v>61</v>
      </c>
      <c r="AI367" t="s">
        <v>3086</v>
      </c>
      <c r="AJ367" t="s">
        <v>61</v>
      </c>
      <c r="AK367" t="s">
        <v>61</v>
      </c>
      <c r="AL367" t="s">
        <v>61</v>
      </c>
      <c r="AM367" t="s">
        <v>3087</v>
      </c>
      <c r="AN367" t="s">
        <v>61</v>
      </c>
      <c r="AO367" t="s">
        <v>61</v>
      </c>
      <c r="AP367" t="s">
        <v>61</v>
      </c>
      <c r="AQ367" t="s">
        <v>61</v>
      </c>
      <c r="AR367" t="s">
        <v>61</v>
      </c>
      <c r="AS367" t="s">
        <v>61</v>
      </c>
      <c r="AT367" t="s">
        <v>61</v>
      </c>
      <c r="AU367" t="s">
        <v>61</v>
      </c>
      <c r="AV367" t="s">
        <v>61</v>
      </c>
      <c r="AW367" t="s">
        <v>61</v>
      </c>
      <c r="AX367" t="s">
        <v>61</v>
      </c>
      <c r="AY367" t="s">
        <v>61</v>
      </c>
      <c r="AZ367" t="s">
        <v>61</v>
      </c>
      <c r="BA367" t="s">
        <v>61</v>
      </c>
      <c r="BB367" t="s">
        <v>61</v>
      </c>
      <c r="BC367" t="s">
        <v>61</v>
      </c>
      <c r="BD367" t="s">
        <v>61</v>
      </c>
      <c r="BE367" t="s">
        <v>61</v>
      </c>
      <c r="BF367" t="s">
        <v>61</v>
      </c>
    </row>
    <row r="368" spans="1:58">
      <c r="A368" t="s">
        <v>58</v>
      </c>
      <c r="B368" t="s">
        <v>3088</v>
      </c>
      <c r="C368" t="s">
        <v>3089</v>
      </c>
      <c r="D368" t="s">
        <v>1894</v>
      </c>
      <c r="E368" t="s">
        <v>1895</v>
      </c>
      <c r="F368">
        <v>1996</v>
      </c>
      <c r="G368" t="s">
        <v>119</v>
      </c>
      <c r="H368">
        <v>129</v>
      </c>
      <c r="I368">
        <v>5</v>
      </c>
      <c r="J368">
        <v>32</v>
      </c>
      <c r="K368">
        <v>34</v>
      </c>
      <c r="L368" t="s">
        <v>3090</v>
      </c>
      <c r="M368" t="s">
        <v>3091</v>
      </c>
      <c r="N368" t="s">
        <v>3092</v>
      </c>
      <c r="O368" t="s">
        <v>61</v>
      </c>
      <c r="Q368" t="s">
        <v>61</v>
      </c>
      <c r="R368" t="s">
        <v>61</v>
      </c>
      <c r="S368" t="s">
        <v>61</v>
      </c>
      <c r="T368" t="s">
        <v>61</v>
      </c>
      <c r="X368" t="s">
        <v>61</v>
      </c>
      <c r="Y368" t="s">
        <v>1899</v>
      </c>
      <c r="Z368" t="s">
        <v>61</v>
      </c>
      <c r="AA368" t="s">
        <v>61</v>
      </c>
      <c r="AB368">
        <v>1996220490</v>
      </c>
      <c r="AC368" t="s">
        <v>67</v>
      </c>
      <c r="AD368" t="s">
        <v>61</v>
      </c>
      <c r="AE368" t="s">
        <v>61</v>
      </c>
      <c r="AF368" t="s">
        <v>61</v>
      </c>
      <c r="AG368" t="s">
        <v>61</v>
      </c>
      <c r="AH368" t="s">
        <v>61</v>
      </c>
      <c r="AI368" t="s">
        <v>61</v>
      </c>
      <c r="AJ368" t="s">
        <v>61</v>
      </c>
      <c r="AK368" t="s">
        <v>61</v>
      </c>
      <c r="AL368" t="s">
        <v>61</v>
      </c>
      <c r="AM368" t="s">
        <v>3089</v>
      </c>
      <c r="AN368" t="s">
        <v>61</v>
      </c>
      <c r="AO368" t="s">
        <v>61</v>
      </c>
      <c r="AP368" t="s">
        <v>61</v>
      </c>
      <c r="AQ368" t="s">
        <v>61</v>
      </c>
      <c r="AR368" t="s">
        <v>61</v>
      </c>
      <c r="AS368" t="s">
        <v>61</v>
      </c>
      <c r="AT368" t="s">
        <v>61</v>
      </c>
      <c r="AU368" t="s">
        <v>61</v>
      </c>
      <c r="AV368" t="s">
        <v>61</v>
      </c>
      <c r="AW368" t="s">
        <v>61</v>
      </c>
      <c r="AX368" t="s">
        <v>61</v>
      </c>
      <c r="AY368" t="s">
        <v>61</v>
      </c>
      <c r="AZ368" t="s">
        <v>61</v>
      </c>
      <c r="BA368" t="s">
        <v>61</v>
      </c>
      <c r="BB368" t="s">
        <v>61</v>
      </c>
      <c r="BC368" t="s">
        <v>61</v>
      </c>
      <c r="BD368" t="s">
        <v>61</v>
      </c>
      <c r="BE368" t="s">
        <v>61</v>
      </c>
      <c r="BF368" t="s">
        <v>61</v>
      </c>
    </row>
    <row r="369" spans="1:58">
      <c r="A369" t="s">
        <v>58</v>
      </c>
      <c r="B369" t="s">
        <v>3093</v>
      </c>
      <c r="C369" t="s">
        <v>3094</v>
      </c>
      <c r="D369" t="s">
        <v>3095</v>
      </c>
      <c r="E369" t="s">
        <v>61</v>
      </c>
      <c r="F369">
        <v>2012</v>
      </c>
      <c r="G369" t="s">
        <v>61</v>
      </c>
      <c r="H369">
        <v>4</v>
      </c>
      <c r="I369">
        <v>2</v>
      </c>
      <c r="J369">
        <v>131</v>
      </c>
      <c r="K369" t="s">
        <v>3096</v>
      </c>
      <c r="L369" t="s">
        <v>3097</v>
      </c>
      <c r="M369" t="s">
        <v>3098</v>
      </c>
      <c r="N369" t="s">
        <v>3099</v>
      </c>
      <c r="O369" t="s">
        <v>61</v>
      </c>
      <c r="Q369" t="s">
        <v>61</v>
      </c>
      <c r="R369" t="s">
        <v>61</v>
      </c>
      <c r="S369" t="s">
        <v>61</v>
      </c>
      <c r="T369" t="s">
        <v>61</v>
      </c>
      <c r="X369" t="s">
        <v>61</v>
      </c>
      <c r="Y369" t="s">
        <v>3100</v>
      </c>
      <c r="Z369" t="s">
        <v>61</v>
      </c>
      <c r="AA369" t="s">
        <v>3101</v>
      </c>
      <c r="AB369">
        <v>104468462</v>
      </c>
      <c r="AC369" t="s">
        <v>67</v>
      </c>
      <c r="AD369" t="s">
        <v>61</v>
      </c>
      <c r="AE369" t="s">
        <v>61</v>
      </c>
      <c r="AF369" t="s">
        <v>61</v>
      </c>
      <c r="AG369" t="s">
        <v>3102</v>
      </c>
      <c r="AH369" t="s">
        <v>61</v>
      </c>
      <c r="AI369" t="s">
        <v>61</v>
      </c>
      <c r="AJ369" t="s">
        <v>61</v>
      </c>
      <c r="AK369" t="s">
        <v>61</v>
      </c>
      <c r="AL369" t="s">
        <v>61</v>
      </c>
      <c r="AM369" t="s">
        <v>3103</v>
      </c>
      <c r="AN369" t="s">
        <v>61</v>
      </c>
      <c r="AO369" t="s">
        <v>61</v>
      </c>
      <c r="AP369" t="s">
        <v>61</v>
      </c>
      <c r="AQ369" t="s">
        <v>61</v>
      </c>
      <c r="AR369" t="s">
        <v>61</v>
      </c>
      <c r="AS369" t="s">
        <v>61</v>
      </c>
      <c r="AT369" t="s">
        <v>61</v>
      </c>
      <c r="AU369" t="s">
        <v>61</v>
      </c>
      <c r="AV369" t="s">
        <v>61</v>
      </c>
      <c r="AW369" t="s">
        <v>61</v>
      </c>
      <c r="AX369" t="s">
        <v>61</v>
      </c>
      <c r="AY369" t="s">
        <v>61</v>
      </c>
      <c r="AZ369" t="s">
        <v>61</v>
      </c>
      <c r="BA369" t="s">
        <v>61</v>
      </c>
      <c r="BB369" t="s">
        <v>61</v>
      </c>
      <c r="BC369" t="s">
        <v>61</v>
      </c>
      <c r="BD369" t="s">
        <v>61</v>
      </c>
      <c r="BE369" t="s">
        <v>61</v>
      </c>
      <c r="BF369" t="s">
        <v>61</v>
      </c>
    </row>
    <row r="370" spans="1:58">
      <c r="A370" t="s">
        <v>58</v>
      </c>
      <c r="B370" t="s">
        <v>3104</v>
      </c>
      <c r="C370" t="s">
        <v>3105</v>
      </c>
      <c r="D370" t="s">
        <v>3106</v>
      </c>
      <c r="E370" t="s">
        <v>3107</v>
      </c>
      <c r="F370">
        <v>1977</v>
      </c>
      <c r="G370" t="s">
        <v>119</v>
      </c>
      <c r="H370">
        <v>12</v>
      </c>
      <c r="I370">
        <v>2</v>
      </c>
      <c r="J370">
        <v>345</v>
      </c>
      <c r="K370">
        <v>356</v>
      </c>
      <c r="L370" t="s">
        <v>3108</v>
      </c>
      <c r="M370" t="s">
        <v>3109</v>
      </c>
      <c r="N370" t="s">
        <v>3110</v>
      </c>
      <c r="O370" t="s">
        <v>61</v>
      </c>
      <c r="Q370" t="s">
        <v>61</v>
      </c>
      <c r="R370" t="s">
        <v>61</v>
      </c>
      <c r="S370" t="s">
        <v>61</v>
      </c>
      <c r="T370" t="s">
        <v>61</v>
      </c>
      <c r="X370" t="s">
        <v>61</v>
      </c>
      <c r="Y370" t="s">
        <v>3111</v>
      </c>
      <c r="Z370" t="s">
        <v>61</v>
      </c>
      <c r="AA370" t="s">
        <v>61</v>
      </c>
      <c r="AB370">
        <v>585857</v>
      </c>
      <c r="AC370" t="s">
        <v>67</v>
      </c>
      <c r="AD370" t="s">
        <v>61</v>
      </c>
      <c r="AE370" t="s">
        <v>61</v>
      </c>
      <c r="AF370" t="s">
        <v>61</v>
      </c>
      <c r="AG370" t="s">
        <v>3112</v>
      </c>
      <c r="AH370" t="s">
        <v>61</v>
      </c>
      <c r="AI370" t="s">
        <v>61</v>
      </c>
      <c r="AJ370" t="s">
        <v>61</v>
      </c>
      <c r="AK370" t="s">
        <v>61</v>
      </c>
      <c r="AL370" t="s">
        <v>61</v>
      </c>
      <c r="AM370" t="s">
        <v>3113</v>
      </c>
      <c r="AN370" t="s">
        <v>61</v>
      </c>
      <c r="AO370" t="s">
        <v>61</v>
      </c>
      <c r="AP370" t="s">
        <v>61</v>
      </c>
      <c r="AQ370" t="s">
        <v>61</v>
      </c>
      <c r="AR370" t="s">
        <v>61</v>
      </c>
      <c r="AS370" t="s">
        <v>61</v>
      </c>
      <c r="AT370" t="s">
        <v>61</v>
      </c>
      <c r="AU370" t="s">
        <v>61</v>
      </c>
      <c r="AV370" t="s">
        <v>61</v>
      </c>
      <c r="AW370" t="s">
        <v>61</v>
      </c>
      <c r="AX370" t="s">
        <v>61</v>
      </c>
      <c r="AY370" t="s">
        <v>61</v>
      </c>
      <c r="AZ370" t="s">
        <v>61</v>
      </c>
      <c r="BA370" t="s">
        <v>61</v>
      </c>
      <c r="BB370" t="s">
        <v>61</v>
      </c>
      <c r="BC370" t="s">
        <v>61</v>
      </c>
      <c r="BD370" t="s">
        <v>61</v>
      </c>
      <c r="BE370" t="s">
        <v>61</v>
      </c>
      <c r="BF370" t="s">
        <v>61</v>
      </c>
    </row>
    <row r="371" spans="1:58">
      <c r="A371" t="s">
        <v>58</v>
      </c>
      <c r="B371" t="s">
        <v>3114</v>
      </c>
      <c r="C371" t="s">
        <v>3115</v>
      </c>
      <c r="D371" t="s">
        <v>3116</v>
      </c>
      <c r="E371" t="s">
        <v>61</v>
      </c>
      <c r="F371">
        <v>2015</v>
      </c>
      <c r="G371" t="s">
        <v>2305</v>
      </c>
      <c r="H371">
        <v>81</v>
      </c>
      <c r="I371">
        <v>1</v>
      </c>
      <c r="J371">
        <v>143</v>
      </c>
      <c r="K371">
        <v>144</v>
      </c>
      <c r="L371" t="s">
        <v>3117</v>
      </c>
      <c r="M371" t="s">
        <v>3118</v>
      </c>
      <c r="N371" t="s">
        <v>3119</v>
      </c>
      <c r="O371" t="s">
        <v>61</v>
      </c>
      <c r="Q371" t="s">
        <v>61</v>
      </c>
      <c r="R371" t="s">
        <v>61</v>
      </c>
      <c r="S371" t="s">
        <v>61</v>
      </c>
      <c r="T371" t="s">
        <v>61</v>
      </c>
      <c r="X371" t="s">
        <v>61</v>
      </c>
      <c r="Y371" t="s">
        <v>3120</v>
      </c>
      <c r="Z371" t="s">
        <v>61</v>
      </c>
      <c r="AA371" t="s">
        <v>61</v>
      </c>
      <c r="AB371" t="s">
        <v>61</v>
      </c>
      <c r="AC371" t="s">
        <v>67</v>
      </c>
      <c r="AD371" t="s">
        <v>61</v>
      </c>
      <c r="AE371" t="s">
        <v>61</v>
      </c>
      <c r="AF371" t="s">
        <v>61</v>
      </c>
      <c r="AG371" t="s">
        <v>61</v>
      </c>
      <c r="AH371" t="s">
        <v>61</v>
      </c>
      <c r="AI371" t="s">
        <v>61</v>
      </c>
      <c r="AJ371" t="s">
        <v>61</v>
      </c>
      <c r="AK371" t="s">
        <v>61</v>
      </c>
      <c r="AL371" t="s">
        <v>61</v>
      </c>
      <c r="AM371" t="s">
        <v>3115</v>
      </c>
      <c r="AN371" t="s">
        <v>61</v>
      </c>
      <c r="AO371" t="s">
        <v>61</v>
      </c>
      <c r="AP371" t="s">
        <v>61</v>
      </c>
      <c r="AQ371" t="s">
        <v>61</v>
      </c>
      <c r="AR371" t="s">
        <v>61</v>
      </c>
      <c r="AS371" t="s">
        <v>61</v>
      </c>
      <c r="AT371" t="s">
        <v>61</v>
      </c>
      <c r="AU371" t="s">
        <v>61</v>
      </c>
      <c r="AV371" t="s">
        <v>61</v>
      </c>
      <c r="AW371" t="s">
        <v>61</v>
      </c>
      <c r="AX371" t="s">
        <v>61</v>
      </c>
      <c r="AY371" t="s">
        <v>61</v>
      </c>
      <c r="AZ371" t="s">
        <v>61</v>
      </c>
      <c r="BA371" t="s">
        <v>61</v>
      </c>
      <c r="BB371" t="s">
        <v>61</v>
      </c>
      <c r="BC371" t="s">
        <v>61</v>
      </c>
      <c r="BD371" t="s">
        <v>61</v>
      </c>
      <c r="BE371" t="s">
        <v>61</v>
      </c>
      <c r="BF371" t="s">
        <v>61</v>
      </c>
    </row>
    <row r="372" spans="1:58">
      <c r="A372" t="s">
        <v>58</v>
      </c>
      <c r="B372" t="s">
        <v>3121</v>
      </c>
      <c r="C372" t="s">
        <v>3122</v>
      </c>
      <c r="D372" t="s">
        <v>3123</v>
      </c>
      <c r="E372" t="s">
        <v>3124</v>
      </c>
      <c r="F372">
        <v>2008</v>
      </c>
      <c r="G372" t="s">
        <v>61</v>
      </c>
      <c r="H372">
        <v>101</v>
      </c>
      <c r="I372">
        <v>12</v>
      </c>
      <c r="J372">
        <v>979</v>
      </c>
      <c r="K372">
        <v>982</v>
      </c>
      <c r="L372" t="s">
        <v>3125</v>
      </c>
      <c r="M372" t="s">
        <v>3126</v>
      </c>
      <c r="N372" t="s">
        <v>3127</v>
      </c>
      <c r="O372" t="s">
        <v>61</v>
      </c>
      <c r="Q372" t="s">
        <v>61</v>
      </c>
      <c r="R372" t="s">
        <v>61</v>
      </c>
      <c r="S372" t="s">
        <v>61</v>
      </c>
      <c r="T372" t="s">
        <v>61</v>
      </c>
      <c r="X372" t="s">
        <v>61</v>
      </c>
      <c r="Y372" t="s">
        <v>3128</v>
      </c>
      <c r="Z372" t="s">
        <v>61</v>
      </c>
      <c r="AA372" t="s">
        <v>61</v>
      </c>
      <c r="AB372">
        <v>2008570542</v>
      </c>
      <c r="AC372" t="s">
        <v>67</v>
      </c>
      <c r="AD372" t="s">
        <v>61</v>
      </c>
      <c r="AE372" t="s">
        <v>61</v>
      </c>
      <c r="AF372" t="s">
        <v>61</v>
      </c>
      <c r="AG372" t="s">
        <v>3129</v>
      </c>
      <c r="AH372" t="s">
        <v>61</v>
      </c>
      <c r="AI372" t="s">
        <v>61</v>
      </c>
      <c r="AJ372" t="s">
        <v>61</v>
      </c>
      <c r="AK372" t="s">
        <v>61</v>
      </c>
      <c r="AL372" t="s">
        <v>61</v>
      </c>
      <c r="AM372" t="s">
        <v>3130</v>
      </c>
      <c r="AN372" t="s">
        <v>61</v>
      </c>
      <c r="AO372" t="s">
        <v>61</v>
      </c>
      <c r="AP372" t="s">
        <v>61</v>
      </c>
      <c r="AQ372" t="s">
        <v>61</v>
      </c>
      <c r="AR372" t="s">
        <v>61</v>
      </c>
      <c r="AS372" t="s">
        <v>61</v>
      </c>
      <c r="AT372" t="s">
        <v>61</v>
      </c>
      <c r="AU372" t="s">
        <v>61</v>
      </c>
      <c r="AV372" t="s">
        <v>61</v>
      </c>
      <c r="AW372" t="s">
        <v>61</v>
      </c>
      <c r="AX372" t="s">
        <v>61</v>
      </c>
      <c r="AY372" t="s">
        <v>61</v>
      </c>
      <c r="AZ372" t="s">
        <v>61</v>
      </c>
      <c r="BA372" t="s">
        <v>61</v>
      </c>
      <c r="BB372" t="s">
        <v>61</v>
      </c>
      <c r="BC372" t="s">
        <v>61</v>
      </c>
      <c r="BD372" t="s">
        <v>61</v>
      </c>
      <c r="BE372" t="s">
        <v>61</v>
      </c>
      <c r="BF372" t="s">
        <v>61</v>
      </c>
    </row>
    <row r="373" spans="1:58">
      <c r="A373" t="s">
        <v>58</v>
      </c>
      <c r="B373" t="s">
        <v>3131</v>
      </c>
      <c r="C373" t="s">
        <v>3132</v>
      </c>
      <c r="D373" t="s">
        <v>3133</v>
      </c>
      <c r="E373" t="s">
        <v>3133</v>
      </c>
      <c r="F373">
        <v>2005</v>
      </c>
      <c r="G373" s="1">
        <v>42423</v>
      </c>
      <c r="H373">
        <v>293</v>
      </c>
      <c r="I373">
        <v>8</v>
      </c>
      <c r="J373">
        <v>956</v>
      </c>
      <c r="K373">
        <v>963</v>
      </c>
      <c r="L373" t="s">
        <v>3134</v>
      </c>
      <c r="M373" t="s">
        <v>3135</v>
      </c>
      <c r="N373" t="s">
        <v>3136</v>
      </c>
      <c r="O373" t="s">
        <v>61</v>
      </c>
      <c r="Q373" t="s">
        <v>61</v>
      </c>
      <c r="R373" t="s">
        <v>61</v>
      </c>
      <c r="S373" t="s">
        <v>61</v>
      </c>
      <c r="T373" t="s">
        <v>61</v>
      </c>
      <c r="X373" t="s">
        <v>61</v>
      </c>
      <c r="Y373" t="s">
        <v>3137</v>
      </c>
      <c r="Z373" t="s">
        <v>61</v>
      </c>
      <c r="AA373" t="s">
        <v>3138</v>
      </c>
      <c r="AB373">
        <v>15728166</v>
      </c>
      <c r="AC373" t="s">
        <v>67</v>
      </c>
      <c r="AD373" t="s">
        <v>61</v>
      </c>
      <c r="AE373" t="s">
        <v>61</v>
      </c>
      <c r="AF373" t="s">
        <v>61</v>
      </c>
      <c r="AG373" t="s">
        <v>3139</v>
      </c>
      <c r="AH373" t="s">
        <v>61</v>
      </c>
      <c r="AI373" t="s">
        <v>61</v>
      </c>
      <c r="AJ373" t="s">
        <v>61</v>
      </c>
      <c r="AK373" t="s">
        <v>61</v>
      </c>
      <c r="AL373" t="s">
        <v>61</v>
      </c>
      <c r="AM373" t="s">
        <v>3140</v>
      </c>
      <c r="AN373" t="s">
        <v>61</v>
      </c>
      <c r="AO373" t="s">
        <v>61</v>
      </c>
      <c r="AP373" t="s">
        <v>61</v>
      </c>
      <c r="AQ373" t="s">
        <v>61</v>
      </c>
      <c r="AR373" t="s">
        <v>61</v>
      </c>
      <c r="AS373" t="s">
        <v>61</v>
      </c>
      <c r="AT373" t="s">
        <v>61</v>
      </c>
      <c r="AU373" t="s">
        <v>61</v>
      </c>
      <c r="AV373" t="s">
        <v>61</v>
      </c>
      <c r="AW373" t="s">
        <v>61</v>
      </c>
      <c r="AX373" t="s">
        <v>61</v>
      </c>
      <c r="AY373" t="s">
        <v>61</v>
      </c>
      <c r="AZ373" t="s">
        <v>61</v>
      </c>
      <c r="BA373" t="s">
        <v>61</v>
      </c>
      <c r="BB373" t="s">
        <v>61</v>
      </c>
      <c r="BC373" t="s">
        <v>61</v>
      </c>
      <c r="BD373" t="s">
        <v>61</v>
      </c>
      <c r="BE373" t="s">
        <v>61</v>
      </c>
      <c r="BF373" t="s">
        <v>61</v>
      </c>
    </row>
    <row r="374" spans="1:58">
      <c r="A374" t="s">
        <v>58</v>
      </c>
      <c r="B374" t="s">
        <v>3141</v>
      </c>
      <c r="C374" t="s">
        <v>3142</v>
      </c>
      <c r="D374" t="s">
        <v>3143</v>
      </c>
      <c r="E374" t="s">
        <v>61</v>
      </c>
      <c r="F374">
        <v>2006</v>
      </c>
      <c r="G374" t="s">
        <v>3144</v>
      </c>
      <c r="H374">
        <v>45</v>
      </c>
      <c r="I374">
        <v>162</v>
      </c>
      <c r="J374">
        <v>273</v>
      </c>
      <c r="K374">
        <v>278</v>
      </c>
      <c r="L374" t="s">
        <v>3145</v>
      </c>
      <c r="M374" t="s">
        <v>3146</v>
      </c>
      <c r="N374" t="s">
        <v>3147</v>
      </c>
      <c r="O374" t="s">
        <v>61</v>
      </c>
      <c r="Q374" t="s">
        <v>61</v>
      </c>
      <c r="R374" t="s">
        <v>61</v>
      </c>
      <c r="S374" t="s">
        <v>61</v>
      </c>
      <c r="T374" t="s">
        <v>61</v>
      </c>
      <c r="X374" t="s">
        <v>61</v>
      </c>
      <c r="Y374" t="s">
        <v>3148</v>
      </c>
      <c r="Z374" t="s">
        <v>61</v>
      </c>
      <c r="AA374" t="s">
        <v>3149</v>
      </c>
      <c r="AB374">
        <v>18365356</v>
      </c>
      <c r="AC374" t="s">
        <v>67</v>
      </c>
      <c r="AD374" t="s">
        <v>61</v>
      </c>
      <c r="AE374" t="s">
        <v>61</v>
      </c>
      <c r="AF374" t="s">
        <v>61</v>
      </c>
      <c r="AG374" t="s">
        <v>3150</v>
      </c>
      <c r="AH374" t="s">
        <v>61</v>
      </c>
      <c r="AI374" t="s">
        <v>61</v>
      </c>
      <c r="AJ374" t="s">
        <v>61</v>
      </c>
      <c r="AK374" t="s">
        <v>61</v>
      </c>
      <c r="AL374" t="s">
        <v>61</v>
      </c>
      <c r="AM374" t="s">
        <v>3151</v>
      </c>
      <c r="AN374" t="s">
        <v>61</v>
      </c>
      <c r="AO374" t="s">
        <v>61</v>
      </c>
      <c r="AP374" t="s">
        <v>61</v>
      </c>
      <c r="AQ374" t="s">
        <v>61</v>
      </c>
      <c r="AR374" t="s">
        <v>61</v>
      </c>
      <c r="AS374" t="s">
        <v>61</v>
      </c>
      <c r="AT374" t="s">
        <v>61</v>
      </c>
      <c r="AU374" t="s">
        <v>61</v>
      </c>
      <c r="AV374" t="s">
        <v>61</v>
      </c>
      <c r="AW374" t="s">
        <v>61</v>
      </c>
      <c r="AX374" t="s">
        <v>61</v>
      </c>
      <c r="AY374" t="s">
        <v>61</v>
      </c>
      <c r="AZ374" t="s">
        <v>61</v>
      </c>
      <c r="BA374" t="s">
        <v>61</v>
      </c>
      <c r="BB374" t="s">
        <v>61</v>
      </c>
      <c r="BC374" t="s">
        <v>61</v>
      </c>
      <c r="BD374" t="s">
        <v>61</v>
      </c>
      <c r="BE374" t="s">
        <v>61</v>
      </c>
      <c r="BF374" t="s">
        <v>61</v>
      </c>
    </row>
    <row r="375" spans="1:58">
      <c r="A375" t="s">
        <v>58</v>
      </c>
      <c r="B375" t="s">
        <v>3152</v>
      </c>
      <c r="C375" t="s">
        <v>3153</v>
      </c>
      <c r="D375" t="s">
        <v>2582</v>
      </c>
      <c r="E375" t="s">
        <v>61</v>
      </c>
      <c r="F375">
        <v>2005</v>
      </c>
      <c r="G375" t="s">
        <v>61</v>
      </c>
      <c r="H375">
        <v>30</v>
      </c>
      <c r="I375">
        <v>6</v>
      </c>
      <c r="J375">
        <v>505</v>
      </c>
      <c r="K375" t="s">
        <v>3154</v>
      </c>
      <c r="L375" t="s">
        <v>3155</v>
      </c>
      <c r="M375" t="s">
        <v>3156</v>
      </c>
      <c r="N375" t="s">
        <v>3157</v>
      </c>
      <c r="O375" t="s">
        <v>61</v>
      </c>
      <c r="Q375" t="s">
        <v>61</v>
      </c>
      <c r="R375" t="s">
        <v>61</v>
      </c>
      <c r="S375" t="s">
        <v>61</v>
      </c>
      <c r="T375" t="s">
        <v>61</v>
      </c>
      <c r="X375" t="s">
        <v>61</v>
      </c>
      <c r="Y375" t="s">
        <v>2587</v>
      </c>
      <c r="Z375" t="s">
        <v>61</v>
      </c>
      <c r="AA375" t="s">
        <v>61</v>
      </c>
      <c r="AB375">
        <v>106398246</v>
      </c>
      <c r="AC375" t="s">
        <v>67</v>
      </c>
      <c r="AD375" t="s">
        <v>61</v>
      </c>
      <c r="AE375" t="s">
        <v>61</v>
      </c>
      <c r="AF375" t="s">
        <v>61</v>
      </c>
      <c r="AG375" t="s">
        <v>3158</v>
      </c>
      <c r="AH375" t="s">
        <v>61</v>
      </c>
      <c r="AI375" t="s">
        <v>61</v>
      </c>
      <c r="AJ375" t="s">
        <v>61</v>
      </c>
      <c r="AK375" t="s">
        <v>61</v>
      </c>
      <c r="AL375" t="s">
        <v>61</v>
      </c>
      <c r="AM375" t="s">
        <v>3159</v>
      </c>
      <c r="AN375" t="s">
        <v>61</v>
      </c>
      <c r="AO375" t="s">
        <v>61</v>
      </c>
      <c r="AP375" t="s">
        <v>61</v>
      </c>
      <c r="AQ375" t="s">
        <v>61</v>
      </c>
      <c r="AR375" t="s">
        <v>61</v>
      </c>
      <c r="AS375" t="s">
        <v>61</v>
      </c>
      <c r="AT375" t="s">
        <v>61</v>
      </c>
      <c r="AU375" t="s">
        <v>61</v>
      </c>
      <c r="AV375" t="s">
        <v>61</v>
      </c>
      <c r="AW375" t="s">
        <v>61</v>
      </c>
      <c r="AX375" t="s">
        <v>61</v>
      </c>
      <c r="AY375" t="s">
        <v>61</v>
      </c>
      <c r="AZ375" t="s">
        <v>61</v>
      </c>
      <c r="BA375" t="s">
        <v>61</v>
      </c>
      <c r="BB375" t="s">
        <v>61</v>
      </c>
      <c r="BC375" t="s">
        <v>61</v>
      </c>
      <c r="BD375" t="s">
        <v>61</v>
      </c>
      <c r="BE375" t="s">
        <v>61</v>
      </c>
      <c r="BF375" t="s">
        <v>61</v>
      </c>
    </row>
    <row r="376" spans="1:58">
      <c r="A376" t="s">
        <v>58</v>
      </c>
      <c r="B376" t="s">
        <v>3160</v>
      </c>
      <c r="C376" t="s">
        <v>3161</v>
      </c>
      <c r="D376" t="s">
        <v>3162</v>
      </c>
      <c r="E376" t="s">
        <v>61</v>
      </c>
      <c r="F376">
        <v>2008</v>
      </c>
      <c r="G376" t="s">
        <v>1152</v>
      </c>
      <c r="H376">
        <v>15</v>
      </c>
      <c r="I376">
        <v>9</v>
      </c>
      <c r="J376">
        <v>667</v>
      </c>
      <c r="K376">
        <v>676</v>
      </c>
      <c r="L376" t="s">
        <v>3163</v>
      </c>
      <c r="M376" t="s">
        <v>3164</v>
      </c>
      <c r="N376" t="s">
        <v>3165</v>
      </c>
      <c r="O376" t="s">
        <v>61</v>
      </c>
      <c r="Q376" t="s">
        <v>61</v>
      </c>
      <c r="R376" t="s">
        <v>61</v>
      </c>
      <c r="S376" t="s">
        <v>61</v>
      </c>
      <c r="T376" t="s">
        <v>61</v>
      </c>
      <c r="X376" t="s">
        <v>61</v>
      </c>
      <c r="Y376" t="s">
        <v>3166</v>
      </c>
      <c r="Z376" t="s">
        <v>61</v>
      </c>
      <c r="AA376" t="s">
        <v>3167</v>
      </c>
      <c r="AB376">
        <v>18772254</v>
      </c>
      <c r="AC376" t="s">
        <v>67</v>
      </c>
      <c r="AD376" t="s">
        <v>61</v>
      </c>
      <c r="AE376" t="s">
        <v>61</v>
      </c>
      <c r="AF376" t="s">
        <v>61</v>
      </c>
      <c r="AG376" t="s">
        <v>3168</v>
      </c>
      <c r="AH376" t="s">
        <v>61</v>
      </c>
      <c r="AI376" t="s">
        <v>3169</v>
      </c>
      <c r="AJ376" t="s">
        <v>61</v>
      </c>
      <c r="AK376" t="s">
        <v>61</v>
      </c>
      <c r="AL376" t="s">
        <v>61</v>
      </c>
      <c r="AM376" t="s">
        <v>3170</v>
      </c>
      <c r="AN376" t="s">
        <v>61</v>
      </c>
      <c r="AO376" t="s">
        <v>61</v>
      </c>
      <c r="AP376" t="s">
        <v>61</v>
      </c>
      <c r="AQ376" t="s">
        <v>61</v>
      </c>
      <c r="AR376" t="s">
        <v>61</v>
      </c>
      <c r="AS376" t="s">
        <v>61</v>
      </c>
      <c r="AT376" t="s">
        <v>61</v>
      </c>
      <c r="AU376" t="s">
        <v>61</v>
      </c>
      <c r="AV376" t="s">
        <v>61</v>
      </c>
      <c r="AW376" t="s">
        <v>61</v>
      </c>
      <c r="AX376" t="s">
        <v>61</v>
      </c>
      <c r="AY376" t="s">
        <v>61</v>
      </c>
      <c r="AZ376" t="s">
        <v>61</v>
      </c>
      <c r="BA376" t="s">
        <v>61</v>
      </c>
      <c r="BB376" t="s">
        <v>61</v>
      </c>
      <c r="BC376" t="s">
        <v>61</v>
      </c>
      <c r="BD376" t="s">
        <v>61</v>
      </c>
      <c r="BE376" t="s">
        <v>61</v>
      </c>
      <c r="BF376" t="s">
        <v>61</v>
      </c>
    </row>
    <row r="377" spans="1:58">
      <c r="A377" t="s">
        <v>58</v>
      </c>
      <c r="B377" t="s">
        <v>3171</v>
      </c>
      <c r="C377" t="s">
        <v>3172</v>
      </c>
      <c r="D377" t="s">
        <v>60</v>
      </c>
      <c r="E377" t="s">
        <v>61</v>
      </c>
      <c r="F377">
        <v>2012</v>
      </c>
      <c r="G377" s="1">
        <v>42689</v>
      </c>
      <c r="H377">
        <v>69</v>
      </c>
      <c r="I377">
        <v>22</v>
      </c>
      <c r="J377">
        <v>1944</v>
      </c>
      <c r="K377">
        <v>1945</v>
      </c>
      <c r="L377" t="s">
        <v>3173</v>
      </c>
      <c r="M377" t="s">
        <v>61</v>
      </c>
      <c r="N377" t="s">
        <v>3174</v>
      </c>
      <c r="O377" t="s">
        <v>61</v>
      </c>
      <c r="Q377" t="s">
        <v>61</v>
      </c>
      <c r="R377" t="s">
        <v>61</v>
      </c>
      <c r="S377" t="s">
        <v>61</v>
      </c>
      <c r="T377" t="s">
        <v>61</v>
      </c>
      <c r="X377" t="s">
        <v>61</v>
      </c>
      <c r="Y377" t="s">
        <v>97</v>
      </c>
      <c r="Z377" t="s">
        <v>61</v>
      </c>
      <c r="AA377" t="s">
        <v>61</v>
      </c>
      <c r="AB377">
        <v>23135555</v>
      </c>
      <c r="AC377" t="s">
        <v>67</v>
      </c>
      <c r="AD377" t="s">
        <v>61</v>
      </c>
      <c r="AE377" t="s">
        <v>61</v>
      </c>
      <c r="AF377" t="s">
        <v>61</v>
      </c>
      <c r="AG377" t="s">
        <v>3175</v>
      </c>
      <c r="AH377" t="s">
        <v>61</v>
      </c>
      <c r="AI377" t="s">
        <v>3176</v>
      </c>
      <c r="AJ377" t="s">
        <v>61</v>
      </c>
      <c r="AK377" t="s">
        <v>61</v>
      </c>
      <c r="AL377" t="s">
        <v>61</v>
      </c>
      <c r="AM377" t="s">
        <v>3177</v>
      </c>
      <c r="AN377" t="s">
        <v>61</v>
      </c>
      <c r="AO377" t="s">
        <v>61</v>
      </c>
      <c r="AP377" t="s">
        <v>61</v>
      </c>
      <c r="AQ377" t="s">
        <v>61</v>
      </c>
      <c r="AR377" t="s">
        <v>61</v>
      </c>
      <c r="AS377" t="s">
        <v>61</v>
      </c>
      <c r="AT377" t="s">
        <v>61</v>
      </c>
      <c r="AU377" t="s">
        <v>61</v>
      </c>
      <c r="AV377" t="s">
        <v>61</v>
      </c>
      <c r="AW377" t="s">
        <v>61</v>
      </c>
      <c r="AX377" t="s">
        <v>61</v>
      </c>
      <c r="AY377" t="s">
        <v>61</v>
      </c>
      <c r="AZ377" t="s">
        <v>61</v>
      </c>
      <c r="BA377" t="s">
        <v>61</v>
      </c>
      <c r="BB377" t="s">
        <v>61</v>
      </c>
      <c r="BC377" t="s">
        <v>61</v>
      </c>
      <c r="BD377" t="s">
        <v>61</v>
      </c>
      <c r="BE377" t="s">
        <v>61</v>
      </c>
      <c r="BF377" t="s">
        <v>61</v>
      </c>
    </row>
    <row r="378" spans="1:58">
      <c r="A378" t="s">
        <v>58</v>
      </c>
      <c r="B378" t="s">
        <v>3178</v>
      </c>
      <c r="C378" t="s">
        <v>3179</v>
      </c>
      <c r="D378" t="s">
        <v>3180</v>
      </c>
      <c r="E378" t="s">
        <v>3180</v>
      </c>
      <c r="F378">
        <v>2014</v>
      </c>
      <c r="G378" t="s">
        <v>119</v>
      </c>
      <c r="H378">
        <v>53</v>
      </c>
      <c r="I378">
        <v>6</v>
      </c>
      <c r="J378">
        <v>1014</v>
      </c>
      <c r="K378">
        <v>1021</v>
      </c>
      <c r="L378" t="s">
        <v>3181</v>
      </c>
      <c r="M378" t="s">
        <v>3182</v>
      </c>
      <c r="N378" t="s">
        <v>3183</v>
      </c>
      <c r="O378" t="s">
        <v>61</v>
      </c>
      <c r="Q378" t="s">
        <v>61</v>
      </c>
      <c r="R378" t="s">
        <v>61</v>
      </c>
      <c r="S378" t="s">
        <v>61</v>
      </c>
      <c r="T378" t="s">
        <v>61</v>
      </c>
      <c r="X378" t="s">
        <v>61</v>
      </c>
      <c r="Y378" t="s">
        <v>3184</v>
      </c>
      <c r="Z378" t="s">
        <v>61</v>
      </c>
      <c r="AA378" t="s">
        <v>61</v>
      </c>
      <c r="AB378">
        <v>24489016</v>
      </c>
      <c r="AC378" t="s">
        <v>67</v>
      </c>
      <c r="AD378" t="s">
        <v>61</v>
      </c>
      <c r="AE378" t="s">
        <v>61</v>
      </c>
      <c r="AF378" t="s">
        <v>61</v>
      </c>
      <c r="AG378" t="s">
        <v>3185</v>
      </c>
      <c r="AH378" t="s">
        <v>61</v>
      </c>
      <c r="AI378" t="s">
        <v>61</v>
      </c>
      <c r="AJ378" t="s">
        <v>61</v>
      </c>
      <c r="AK378" t="s">
        <v>61</v>
      </c>
      <c r="AL378" t="s">
        <v>61</v>
      </c>
      <c r="AM378" t="s">
        <v>3186</v>
      </c>
      <c r="AN378" t="s">
        <v>61</v>
      </c>
      <c r="AO378" t="s">
        <v>61</v>
      </c>
      <c r="AP378" t="s">
        <v>61</v>
      </c>
      <c r="AQ378" t="s">
        <v>61</v>
      </c>
      <c r="AR378" t="s">
        <v>61</v>
      </c>
      <c r="AS378" t="s">
        <v>61</v>
      </c>
      <c r="AT378" t="s">
        <v>61</v>
      </c>
      <c r="AU378" t="s">
        <v>61</v>
      </c>
      <c r="AV378" t="s">
        <v>61</v>
      </c>
      <c r="AW378" t="s">
        <v>61</v>
      </c>
      <c r="AX378" t="s">
        <v>61</v>
      </c>
      <c r="AY378" t="s">
        <v>61</v>
      </c>
      <c r="AZ378" t="s">
        <v>61</v>
      </c>
      <c r="BA378" t="s">
        <v>61</v>
      </c>
      <c r="BB378" t="s">
        <v>61</v>
      </c>
      <c r="BC378" t="s">
        <v>61</v>
      </c>
      <c r="BD378" t="s">
        <v>61</v>
      </c>
      <c r="BE378" t="s">
        <v>61</v>
      </c>
      <c r="BF378" t="s">
        <v>61</v>
      </c>
    </row>
    <row r="379" spans="1:58">
      <c r="A379" t="s">
        <v>58</v>
      </c>
      <c r="B379" t="s">
        <v>3187</v>
      </c>
      <c r="C379" t="s">
        <v>3188</v>
      </c>
      <c r="D379" t="s">
        <v>417</v>
      </c>
      <c r="E379" t="s">
        <v>61</v>
      </c>
      <c r="F379">
        <v>1996</v>
      </c>
      <c r="G379" t="s">
        <v>280</v>
      </c>
      <c r="H379">
        <v>18</v>
      </c>
      <c r="I379">
        <v>6</v>
      </c>
      <c r="J379">
        <v>241</v>
      </c>
      <c r="K379">
        <v>243</v>
      </c>
      <c r="L379" t="s">
        <v>3189</v>
      </c>
      <c r="M379" t="s">
        <v>3190</v>
      </c>
      <c r="N379" t="s">
        <v>3191</v>
      </c>
      <c r="O379" t="s">
        <v>61</v>
      </c>
      <c r="Q379" t="s">
        <v>61</v>
      </c>
      <c r="R379" t="s">
        <v>61</v>
      </c>
      <c r="S379" t="s">
        <v>61</v>
      </c>
      <c r="T379" t="s">
        <v>61</v>
      </c>
      <c r="X379" t="s">
        <v>61</v>
      </c>
      <c r="Y379" t="s">
        <v>422</v>
      </c>
      <c r="Z379" t="s">
        <v>61</v>
      </c>
      <c r="AA379" t="s">
        <v>3192</v>
      </c>
      <c r="AB379">
        <v>9010889</v>
      </c>
      <c r="AC379" t="s">
        <v>67</v>
      </c>
      <c r="AD379" t="s">
        <v>61</v>
      </c>
      <c r="AE379" t="s">
        <v>61</v>
      </c>
      <c r="AF379" t="s">
        <v>61</v>
      </c>
      <c r="AG379" t="s">
        <v>3193</v>
      </c>
      <c r="AH379" t="s">
        <v>61</v>
      </c>
      <c r="AI379" t="s">
        <v>61</v>
      </c>
      <c r="AJ379" t="s">
        <v>61</v>
      </c>
      <c r="AK379" t="s">
        <v>61</v>
      </c>
      <c r="AL379" t="s">
        <v>61</v>
      </c>
      <c r="AM379" t="s">
        <v>3194</v>
      </c>
      <c r="AN379" t="s">
        <v>61</v>
      </c>
      <c r="AO379" t="s">
        <v>61</v>
      </c>
      <c r="AP379" t="s">
        <v>61</v>
      </c>
      <c r="AQ379" t="s">
        <v>61</v>
      </c>
      <c r="AR379" t="s">
        <v>61</v>
      </c>
      <c r="AS379" t="s">
        <v>61</v>
      </c>
      <c r="AT379" t="s">
        <v>61</v>
      </c>
      <c r="AU379" t="s">
        <v>61</v>
      </c>
      <c r="AV379" t="s">
        <v>61</v>
      </c>
      <c r="AW379" t="s">
        <v>61</v>
      </c>
      <c r="AX379" t="s">
        <v>61</v>
      </c>
      <c r="AY379" t="s">
        <v>61</v>
      </c>
      <c r="AZ379" t="s">
        <v>61</v>
      </c>
      <c r="BA379" t="s">
        <v>61</v>
      </c>
      <c r="BB379" t="s">
        <v>61</v>
      </c>
      <c r="BC379" t="s">
        <v>61</v>
      </c>
      <c r="BD379" t="s">
        <v>61</v>
      </c>
      <c r="BE379" t="s">
        <v>61</v>
      </c>
      <c r="BF379" t="s">
        <v>61</v>
      </c>
    </row>
    <row r="380" spans="1:58">
      <c r="A380" t="s">
        <v>58</v>
      </c>
      <c r="B380" t="s">
        <v>3195</v>
      </c>
      <c r="C380" t="s">
        <v>3196</v>
      </c>
      <c r="D380" t="s">
        <v>3197</v>
      </c>
      <c r="E380" t="s">
        <v>61</v>
      </c>
      <c r="F380">
        <v>2000</v>
      </c>
      <c r="G380" t="s">
        <v>61</v>
      </c>
      <c r="H380">
        <v>8</v>
      </c>
      <c r="I380">
        <v>1</v>
      </c>
      <c r="J380">
        <v>43</v>
      </c>
      <c r="K380">
        <v>50</v>
      </c>
      <c r="L380" t="s">
        <v>3198</v>
      </c>
      <c r="M380" t="s">
        <v>3199</v>
      </c>
      <c r="N380" t="s">
        <v>3200</v>
      </c>
      <c r="O380" t="s">
        <v>61</v>
      </c>
      <c r="Q380" t="s">
        <v>61</v>
      </c>
      <c r="R380" t="s">
        <v>61</v>
      </c>
      <c r="S380" t="s">
        <v>61</v>
      </c>
      <c r="T380" t="s">
        <v>61</v>
      </c>
      <c r="X380" t="s">
        <v>61</v>
      </c>
      <c r="Y380" t="s">
        <v>3201</v>
      </c>
      <c r="Z380" t="s">
        <v>61</v>
      </c>
      <c r="AA380" t="s">
        <v>61</v>
      </c>
      <c r="AB380">
        <v>2000257883</v>
      </c>
      <c r="AC380" t="s">
        <v>67</v>
      </c>
      <c r="AD380" t="s">
        <v>61</v>
      </c>
      <c r="AE380" t="s">
        <v>61</v>
      </c>
      <c r="AF380" t="s">
        <v>61</v>
      </c>
      <c r="AG380" t="s">
        <v>61</v>
      </c>
      <c r="AH380" t="s">
        <v>61</v>
      </c>
      <c r="AI380" t="s">
        <v>61</v>
      </c>
      <c r="AJ380" t="s">
        <v>61</v>
      </c>
      <c r="AK380" t="s">
        <v>61</v>
      </c>
      <c r="AL380" t="s">
        <v>61</v>
      </c>
      <c r="AM380" t="s">
        <v>3196</v>
      </c>
      <c r="AN380" t="s">
        <v>61</v>
      </c>
      <c r="AO380" t="s">
        <v>61</v>
      </c>
      <c r="AP380" t="s">
        <v>61</v>
      </c>
      <c r="AQ380" t="s">
        <v>61</v>
      </c>
      <c r="AR380" t="s">
        <v>61</v>
      </c>
      <c r="AS380" t="s">
        <v>61</v>
      </c>
      <c r="AT380" t="s">
        <v>61</v>
      </c>
      <c r="AU380" t="s">
        <v>61</v>
      </c>
      <c r="AV380" t="s">
        <v>61</v>
      </c>
      <c r="AW380" t="s">
        <v>61</v>
      </c>
      <c r="AX380" t="s">
        <v>61</v>
      </c>
      <c r="AY380" t="s">
        <v>61</v>
      </c>
      <c r="AZ380" t="s">
        <v>61</v>
      </c>
      <c r="BA380" t="s">
        <v>61</v>
      </c>
      <c r="BB380" t="s">
        <v>61</v>
      </c>
      <c r="BC380" t="s">
        <v>61</v>
      </c>
      <c r="BD380" t="s">
        <v>61</v>
      </c>
      <c r="BE380" t="s">
        <v>61</v>
      </c>
      <c r="BF380" t="s">
        <v>61</v>
      </c>
    </row>
    <row r="381" spans="1:58">
      <c r="A381" t="s">
        <v>58</v>
      </c>
      <c r="B381" t="s">
        <v>3202</v>
      </c>
      <c r="C381" t="s">
        <v>3203</v>
      </c>
      <c r="D381" t="s">
        <v>3204</v>
      </c>
      <c r="E381" t="s">
        <v>61</v>
      </c>
      <c r="F381">
        <v>2009</v>
      </c>
      <c r="G381" t="s">
        <v>61</v>
      </c>
      <c r="H381" t="s">
        <v>3205</v>
      </c>
      <c r="I381" t="s">
        <v>61</v>
      </c>
      <c r="J381" t="s">
        <v>3206</v>
      </c>
      <c r="K381" t="s">
        <v>3207</v>
      </c>
      <c r="L381" t="s">
        <v>3208</v>
      </c>
      <c r="M381" t="s">
        <v>3209</v>
      </c>
      <c r="N381" t="s">
        <v>3210</v>
      </c>
      <c r="O381" t="s">
        <v>61</v>
      </c>
      <c r="Q381" t="s">
        <v>61</v>
      </c>
      <c r="R381" t="s">
        <v>61</v>
      </c>
      <c r="S381" t="s">
        <v>61</v>
      </c>
      <c r="T381" t="s">
        <v>61</v>
      </c>
      <c r="X381" t="s">
        <v>61</v>
      </c>
      <c r="Y381" t="s">
        <v>3211</v>
      </c>
      <c r="Z381" t="s">
        <v>61</v>
      </c>
      <c r="AA381" t="s">
        <v>61</v>
      </c>
      <c r="AB381" t="s">
        <v>61</v>
      </c>
      <c r="AC381" t="s">
        <v>67</v>
      </c>
      <c r="AD381" t="s">
        <v>61</v>
      </c>
      <c r="AE381" t="s">
        <v>61</v>
      </c>
      <c r="AF381" t="s">
        <v>61</v>
      </c>
      <c r="AG381" t="s">
        <v>61</v>
      </c>
      <c r="AH381" t="s">
        <v>61</v>
      </c>
      <c r="AI381" t="s">
        <v>61</v>
      </c>
      <c r="AJ381" t="s">
        <v>61</v>
      </c>
      <c r="AK381" t="s">
        <v>61</v>
      </c>
      <c r="AL381" t="s">
        <v>61</v>
      </c>
      <c r="AM381" t="s">
        <v>3203</v>
      </c>
      <c r="AN381" t="s">
        <v>61</v>
      </c>
      <c r="AO381" t="s">
        <v>61</v>
      </c>
      <c r="AP381" t="s">
        <v>61</v>
      </c>
      <c r="AQ381" t="s">
        <v>61</v>
      </c>
      <c r="AR381" t="s">
        <v>61</v>
      </c>
      <c r="AS381" t="s">
        <v>61</v>
      </c>
      <c r="AT381" t="s">
        <v>61</v>
      </c>
      <c r="AU381" t="s">
        <v>61</v>
      </c>
      <c r="AV381" t="s">
        <v>61</v>
      </c>
      <c r="AW381" t="s">
        <v>61</v>
      </c>
      <c r="AX381" t="s">
        <v>61</v>
      </c>
      <c r="AY381" t="s">
        <v>61</v>
      </c>
      <c r="AZ381" t="s">
        <v>61</v>
      </c>
      <c r="BA381" t="s">
        <v>61</v>
      </c>
      <c r="BB381" t="s">
        <v>61</v>
      </c>
      <c r="BC381" t="s">
        <v>61</v>
      </c>
      <c r="BD381" t="s">
        <v>61</v>
      </c>
      <c r="BE381" t="s">
        <v>61</v>
      </c>
      <c r="BF381" t="s">
        <v>61</v>
      </c>
    </row>
    <row r="382" spans="1:58">
      <c r="A382" t="s">
        <v>58</v>
      </c>
      <c r="B382" t="s">
        <v>3212</v>
      </c>
      <c r="C382" t="s">
        <v>3213</v>
      </c>
      <c r="D382" t="s">
        <v>3214</v>
      </c>
      <c r="E382" t="s">
        <v>3215</v>
      </c>
      <c r="F382">
        <v>1993</v>
      </c>
      <c r="G382" t="s">
        <v>119</v>
      </c>
      <c r="H382">
        <v>35</v>
      </c>
      <c r="I382">
        <v>6</v>
      </c>
      <c r="J382">
        <v>591</v>
      </c>
      <c r="K382">
        <v>597</v>
      </c>
      <c r="L382" t="s">
        <v>3216</v>
      </c>
      <c r="M382" t="s">
        <v>3217</v>
      </c>
      <c r="N382" t="s">
        <v>3218</v>
      </c>
      <c r="O382" t="s">
        <v>61</v>
      </c>
      <c r="Q382" t="s">
        <v>61</v>
      </c>
      <c r="R382" t="s">
        <v>61</v>
      </c>
      <c r="S382" t="s">
        <v>61</v>
      </c>
      <c r="T382" t="s">
        <v>61</v>
      </c>
      <c r="X382" t="s">
        <v>61</v>
      </c>
      <c r="Y382" t="s">
        <v>298</v>
      </c>
      <c r="Z382" t="s">
        <v>61</v>
      </c>
      <c r="AA382" t="s">
        <v>3219</v>
      </c>
      <c r="AB382">
        <v>8329285</v>
      </c>
      <c r="AC382" t="s">
        <v>67</v>
      </c>
      <c r="AD382" t="s">
        <v>61</v>
      </c>
      <c r="AE382" t="s">
        <v>61</v>
      </c>
      <c r="AF382" t="s">
        <v>61</v>
      </c>
      <c r="AG382" t="s">
        <v>3220</v>
      </c>
      <c r="AH382" t="s">
        <v>61</v>
      </c>
      <c r="AI382" t="s">
        <v>61</v>
      </c>
      <c r="AJ382" t="s">
        <v>61</v>
      </c>
      <c r="AK382" t="s">
        <v>61</v>
      </c>
      <c r="AL382" t="s">
        <v>61</v>
      </c>
      <c r="AM382" t="s">
        <v>3221</v>
      </c>
      <c r="AN382" t="s">
        <v>61</v>
      </c>
      <c r="AO382" t="s">
        <v>61</v>
      </c>
      <c r="AP382" t="s">
        <v>61</v>
      </c>
      <c r="AQ382" t="s">
        <v>61</v>
      </c>
      <c r="AR382" t="s">
        <v>61</v>
      </c>
      <c r="AS382" t="s">
        <v>61</v>
      </c>
      <c r="AT382" t="s">
        <v>61</v>
      </c>
      <c r="AU382" t="s">
        <v>61</v>
      </c>
      <c r="AV382" t="s">
        <v>61</v>
      </c>
      <c r="AW382" t="s">
        <v>61</v>
      </c>
      <c r="AX382" t="s">
        <v>61</v>
      </c>
      <c r="AY382" t="s">
        <v>61</v>
      </c>
      <c r="AZ382" t="s">
        <v>61</v>
      </c>
      <c r="BA382" t="s">
        <v>61</v>
      </c>
      <c r="BB382" t="s">
        <v>61</v>
      </c>
      <c r="BC382" t="s">
        <v>61</v>
      </c>
      <c r="BD382" t="s">
        <v>61</v>
      </c>
      <c r="BE382" t="s">
        <v>61</v>
      </c>
      <c r="BF382" t="s">
        <v>61</v>
      </c>
    </row>
    <row r="383" spans="1:58">
      <c r="A383" t="s">
        <v>58</v>
      </c>
      <c r="B383" t="s">
        <v>3212</v>
      </c>
      <c r="C383" t="s">
        <v>3222</v>
      </c>
      <c r="D383" t="s">
        <v>3214</v>
      </c>
      <c r="E383" t="s">
        <v>3215</v>
      </c>
      <c r="F383">
        <v>1993</v>
      </c>
      <c r="G383" t="s">
        <v>119</v>
      </c>
      <c r="H383">
        <v>35</v>
      </c>
      <c r="I383">
        <v>6</v>
      </c>
      <c r="J383">
        <v>587</v>
      </c>
      <c r="K383">
        <v>590</v>
      </c>
      <c r="L383" t="s">
        <v>3223</v>
      </c>
      <c r="M383" t="s">
        <v>3224</v>
      </c>
      <c r="N383" t="s">
        <v>3225</v>
      </c>
      <c r="O383" t="s">
        <v>61</v>
      </c>
      <c r="Q383" t="s">
        <v>61</v>
      </c>
      <c r="R383" t="s">
        <v>61</v>
      </c>
      <c r="S383" t="s">
        <v>61</v>
      </c>
      <c r="T383" t="s">
        <v>61</v>
      </c>
      <c r="X383" t="s">
        <v>61</v>
      </c>
      <c r="Y383" t="s">
        <v>298</v>
      </c>
      <c r="Z383" t="s">
        <v>61</v>
      </c>
      <c r="AA383" t="s">
        <v>3219</v>
      </c>
      <c r="AB383">
        <v>8329284</v>
      </c>
      <c r="AC383" t="s">
        <v>67</v>
      </c>
      <c r="AD383" t="s">
        <v>61</v>
      </c>
      <c r="AE383" t="s">
        <v>61</v>
      </c>
      <c r="AF383" t="s">
        <v>61</v>
      </c>
      <c r="AG383" t="s">
        <v>3226</v>
      </c>
      <c r="AH383" t="s">
        <v>61</v>
      </c>
      <c r="AI383" t="s">
        <v>61</v>
      </c>
      <c r="AJ383" t="s">
        <v>61</v>
      </c>
      <c r="AK383" t="s">
        <v>61</v>
      </c>
      <c r="AL383" t="s">
        <v>61</v>
      </c>
      <c r="AM383" t="s">
        <v>3227</v>
      </c>
      <c r="AN383" t="s">
        <v>61</v>
      </c>
      <c r="AO383" t="s">
        <v>61</v>
      </c>
      <c r="AP383" t="s">
        <v>61</v>
      </c>
      <c r="AQ383" t="s">
        <v>61</v>
      </c>
      <c r="AR383" t="s">
        <v>61</v>
      </c>
      <c r="AS383" t="s">
        <v>61</v>
      </c>
      <c r="AT383" t="s">
        <v>61</v>
      </c>
      <c r="AU383" t="s">
        <v>61</v>
      </c>
      <c r="AV383" t="s">
        <v>61</v>
      </c>
      <c r="AW383" t="s">
        <v>61</v>
      </c>
      <c r="AX383" t="s">
        <v>61</v>
      </c>
      <c r="AY383" t="s">
        <v>61</v>
      </c>
      <c r="AZ383" t="s">
        <v>61</v>
      </c>
      <c r="BA383" t="s">
        <v>61</v>
      </c>
      <c r="BB383" t="s">
        <v>61</v>
      </c>
      <c r="BC383" t="s">
        <v>61</v>
      </c>
      <c r="BD383" t="s">
        <v>61</v>
      </c>
      <c r="BE383" t="s">
        <v>61</v>
      </c>
      <c r="BF383" t="s">
        <v>61</v>
      </c>
    </row>
    <row r="384" spans="1:58">
      <c r="A384" t="s">
        <v>58</v>
      </c>
      <c r="B384" t="s">
        <v>3228</v>
      </c>
      <c r="C384" t="s">
        <v>3229</v>
      </c>
      <c r="D384" t="s">
        <v>3230</v>
      </c>
      <c r="E384" t="s">
        <v>3230</v>
      </c>
      <c r="F384">
        <v>1995</v>
      </c>
      <c r="G384" s="1">
        <v>42706</v>
      </c>
      <c r="H384">
        <v>346</v>
      </c>
      <c r="I384">
        <v>8988</v>
      </c>
      <c r="J384">
        <v>1454</v>
      </c>
      <c r="K384">
        <v>1457</v>
      </c>
      <c r="L384" t="s">
        <v>3231</v>
      </c>
      <c r="M384" t="s">
        <v>3232</v>
      </c>
      <c r="N384" t="s">
        <v>3233</v>
      </c>
      <c r="O384" t="s">
        <v>61</v>
      </c>
      <c r="Q384" t="s">
        <v>61</v>
      </c>
      <c r="R384" t="s">
        <v>61</v>
      </c>
      <c r="S384" t="s">
        <v>61</v>
      </c>
      <c r="T384" t="s">
        <v>61</v>
      </c>
      <c r="X384" t="s">
        <v>61</v>
      </c>
      <c r="Y384" t="s">
        <v>3234</v>
      </c>
      <c r="Z384" t="s">
        <v>61</v>
      </c>
      <c r="AA384" t="s">
        <v>3235</v>
      </c>
      <c r="AB384">
        <v>7490991</v>
      </c>
      <c r="AC384" t="s">
        <v>67</v>
      </c>
      <c r="AD384" t="s">
        <v>61</v>
      </c>
      <c r="AE384" t="s">
        <v>61</v>
      </c>
      <c r="AF384" t="s">
        <v>61</v>
      </c>
      <c r="AG384" t="s">
        <v>3236</v>
      </c>
      <c r="AH384" t="s">
        <v>61</v>
      </c>
      <c r="AI384" t="s">
        <v>61</v>
      </c>
      <c r="AJ384" t="s">
        <v>61</v>
      </c>
      <c r="AK384" t="s">
        <v>61</v>
      </c>
      <c r="AL384" t="s">
        <v>61</v>
      </c>
      <c r="AM384" t="s">
        <v>3237</v>
      </c>
      <c r="AN384" t="s">
        <v>61</v>
      </c>
      <c r="AO384" t="s">
        <v>61</v>
      </c>
      <c r="AP384" t="s">
        <v>61</v>
      </c>
      <c r="AQ384" t="s">
        <v>61</v>
      </c>
      <c r="AR384" t="s">
        <v>61</v>
      </c>
      <c r="AS384" t="s">
        <v>61</v>
      </c>
      <c r="AT384" t="s">
        <v>61</v>
      </c>
      <c r="AU384" t="s">
        <v>61</v>
      </c>
      <c r="AV384" t="s">
        <v>61</v>
      </c>
      <c r="AW384" t="s">
        <v>61</v>
      </c>
      <c r="AX384" t="s">
        <v>61</v>
      </c>
      <c r="AY384" t="s">
        <v>61</v>
      </c>
      <c r="AZ384" t="s">
        <v>61</v>
      </c>
      <c r="BA384" t="s">
        <v>61</v>
      </c>
      <c r="BB384" t="s">
        <v>61</v>
      </c>
      <c r="BC384" t="s">
        <v>61</v>
      </c>
      <c r="BD384" t="s">
        <v>61</v>
      </c>
      <c r="BE384" t="s">
        <v>61</v>
      </c>
      <c r="BF384" t="s">
        <v>61</v>
      </c>
    </row>
    <row r="385" spans="1:58">
      <c r="A385" t="s">
        <v>58</v>
      </c>
      <c r="B385" t="s">
        <v>3238</v>
      </c>
      <c r="C385" t="s">
        <v>3239</v>
      </c>
      <c r="D385" t="s">
        <v>475</v>
      </c>
      <c r="E385" t="s">
        <v>61</v>
      </c>
      <c r="F385">
        <v>2013</v>
      </c>
      <c r="G385" t="s">
        <v>61</v>
      </c>
      <c r="H385">
        <v>35</v>
      </c>
      <c r="I385">
        <v>3</v>
      </c>
      <c r="J385">
        <v>497</v>
      </c>
      <c r="K385" t="s">
        <v>61</v>
      </c>
      <c r="L385" t="s">
        <v>3240</v>
      </c>
      <c r="M385" t="s">
        <v>3241</v>
      </c>
      <c r="N385" t="s">
        <v>3242</v>
      </c>
      <c r="O385" t="s">
        <v>61</v>
      </c>
      <c r="Q385" t="s">
        <v>61</v>
      </c>
      <c r="R385" t="s">
        <v>61</v>
      </c>
      <c r="S385" t="s">
        <v>61</v>
      </c>
      <c r="T385" t="s">
        <v>61</v>
      </c>
      <c r="X385" t="s">
        <v>61</v>
      </c>
      <c r="Y385" t="s">
        <v>308</v>
      </c>
      <c r="Z385" t="s">
        <v>61</v>
      </c>
      <c r="AA385" t="s">
        <v>61</v>
      </c>
      <c r="AB385" t="s">
        <v>61</v>
      </c>
      <c r="AC385" t="s">
        <v>67</v>
      </c>
      <c r="AD385" t="s">
        <v>61</v>
      </c>
      <c r="AE385" t="s">
        <v>61</v>
      </c>
      <c r="AF385" t="s">
        <v>61</v>
      </c>
      <c r="AG385" t="s">
        <v>61</v>
      </c>
      <c r="AH385" t="s">
        <v>61</v>
      </c>
      <c r="AI385" t="s">
        <v>61</v>
      </c>
      <c r="AJ385" t="s">
        <v>61</v>
      </c>
      <c r="AK385" t="s">
        <v>61</v>
      </c>
      <c r="AL385" t="s">
        <v>61</v>
      </c>
      <c r="AM385" t="s">
        <v>3239</v>
      </c>
      <c r="AN385" t="s">
        <v>61</v>
      </c>
      <c r="AO385" t="s">
        <v>61</v>
      </c>
      <c r="AP385" t="s">
        <v>61</v>
      </c>
      <c r="AQ385" t="s">
        <v>61</v>
      </c>
      <c r="AR385" t="s">
        <v>61</v>
      </c>
      <c r="AS385" t="s">
        <v>61</v>
      </c>
      <c r="AT385" t="s">
        <v>61</v>
      </c>
      <c r="AU385" t="s">
        <v>61</v>
      </c>
      <c r="AV385" t="s">
        <v>61</v>
      </c>
      <c r="AW385" t="s">
        <v>61</v>
      </c>
      <c r="AX385" t="s">
        <v>61</v>
      </c>
      <c r="AY385" t="s">
        <v>61</v>
      </c>
      <c r="AZ385" t="s">
        <v>61</v>
      </c>
      <c r="BA385" t="s">
        <v>61</v>
      </c>
      <c r="BB385" t="s">
        <v>61</v>
      </c>
      <c r="BC385" t="s">
        <v>61</v>
      </c>
      <c r="BD385" t="s">
        <v>61</v>
      </c>
      <c r="BE385" t="s">
        <v>61</v>
      </c>
      <c r="BF385" t="s">
        <v>61</v>
      </c>
    </row>
    <row r="386" spans="1:58">
      <c r="A386" t="s">
        <v>58</v>
      </c>
      <c r="B386" t="s">
        <v>3243</v>
      </c>
      <c r="C386" t="s">
        <v>3244</v>
      </c>
      <c r="D386" t="s">
        <v>475</v>
      </c>
      <c r="E386" t="s">
        <v>61</v>
      </c>
      <c r="F386">
        <v>2015</v>
      </c>
      <c r="G386" t="s">
        <v>429</v>
      </c>
      <c r="H386">
        <v>37</v>
      </c>
      <c r="I386">
        <v>2</v>
      </c>
      <c r="J386">
        <v>407</v>
      </c>
      <c r="K386">
        <v>408</v>
      </c>
      <c r="L386" t="s">
        <v>3245</v>
      </c>
      <c r="M386" t="s">
        <v>3246</v>
      </c>
      <c r="N386" t="s">
        <v>3247</v>
      </c>
      <c r="O386" t="s">
        <v>61</v>
      </c>
      <c r="Q386" t="s">
        <v>61</v>
      </c>
      <c r="R386" t="s">
        <v>61</v>
      </c>
      <c r="S386" t="s">
        <v>61</v>
      </c>
      <c r="T386" t="s">
        <v>61</v>
      </c>
      <c r="X386" t="s">
        <v>61</v>
      </c>
      <c r="Y386" t="s">
        <v>308</v>
      </c>
      <c r="Z386" t="s">
        <v>61</v>
      </c>
      <c r="AA386" t="s">
        <v>61</v>
      </c>
      <c r="AB386" t="s">
        <v>61</v>
      </c>
      <c r="AC386" t="s">
        <v>67</v>
      </c>
      <c r="AD386" t="s">
        <v>61</v>
      </c>
      <c r="AE386" t="s">
        <v>61</v>
      </c>
      <c r="AF386" t="s">
        <v>61</v>
      </c>
      <c r="AG386" t="s">
        <v>61</v>
      </c>
      <c r="AH386" t="s">
        <v>61</v>
      </c>
      <c r="AI386" t="s">
        <v>61</v>
      </c>
      <c r="AJ386" t="s">
        <v>61</v>
      </c>
      <c r="AK386" t="s">
        <v>61</v>
      </c>
      <c r="AL386" t="s">
        <v>61</v>
      </c>
      <c r="AM386" t="s">
        <v>3244</v>
      </c>
      <c r="AN386" t="s">
        <v>61</v>
      </c>
      <c r="AO386" t="s">
        <v>61</v>
      </c>
      <c r="AP386" t="s">
        <v>61</v>
      </c>
      <c r="AQ386" t="s">
        <v>61</v>
      </c>
      <c r="AR386" t="s">
        <v>61</v>
      </c>
      <c r="AS386" t="s">
        <v>61</v>
      </c>
      <c r="AT386" t="s">
        <v>61</v>
      </c>
      <c r="AU386" t="s">
        <v>61</v>
      </c>
      <c r="AV386" t="s">
        <v>61</v>
      </c>
      <c r="AW386" t="s">
        <v>61</v>
      </c>
      <c r="AX386" t="s">
        <v>61</v>
      </c>
      <c r="AY386" t="s">
        <v>61</v>
      </c>
      <c r="AZ386" t="s">
        <v>61</v>
      </c>
      <c r="BA386" t="s">
        <v>61</v>
      </c>
      <c r="BB386" t="s">
        <v>61</v>
      </c>
      <c r="BC386" t="s">
        <v>61</v>
      </c>
      <c r="BD386" t="s">
        <v>61</v>
      </c>
      <c r="BE386" t="s">
        <v>61</v>
      </c>
      <c r="BF386" t="s">
        <v>61</v>
      </c>
    </row>
    <row r="387" spans="1:58">
      <c r="A387" t="s">
        <v>58</v>
      </c>
      <c r="B387" t="s">
        <v>3248</v>
      </c>
      <c r="C387" t="s">
        <v>3249</v>
      </c>
      <c r="D387" t="s">
        <v>2197</v>
      </c>
      <c r="E387" t="s">
        <v>2198</v>
      </c>
      <c r="F387">
        <v>2006</v>
      </c>
      <c r="G387" t="s">
        <v>418</v>
      </c>
      <c r="H387">
        <v>96</v>
      </c>
      <c r="I387">
        <v>8</v>
      </c>
      <c r="J387">
        <v>1347</v>
      </c>
      <c r="K387">
        <v>1353</v>
      </c>
      <c r="L387" t="s">
        <v>3250</v>
      </c>
      <c r="M387" t="s">
        <v>3251</v>
      </c>
      <c r="N387" t="s">
        <v>3252</v>
      </c>
      <c r="O387" t="s">
        <v>61</v>
      </c>
      <c r="Q387" t="s">
        <v>61</v>
      </c>
      <c r="R387" t="s">
        <v>61</v>
      </c>
      <c r="S387" t="s">
        <v>61</v>
      </c>
      <c r="T387" t="s">
        <v>61</v>
      </c>
      <c r="X387" t="s">
        <v>61</v>
      </c>
      <c r="Y387" t="s">
        <v>3253</v>
      </c>
      <c r="Z387" t="s">
        <v>61</v>
      </c>
      <c r="AA387" t="s">
        <v>3254</v>
      </c>
      <c r="AB387">
        <v>16809607</v>
      </c>
      <c r="AC387" t="s">
        <v>67</v>
      </c>
      <c r="AD387" t="s">
        <v>61</v>
      </c>
      <c r="AE387" t="s">
        <v>61</v>
      </c>
      <c r="AF387" t="s">
        <v>61</v>
      </c>
      <c r="AG387" t="s">
        <v>3255</v>
      </c>
      <c r="AH387" t="s">
        <v>61</v>
      </c>
      <c r="AI387" t="s">
        <v>61</v>
      </c>
      <c r="AJ387" t="s">
        <v>61</v>
      </c>
      <c r="AK387" t="s">
        <v>61</v>
      </c>
      <c r="AL387" t="s">
        <v>61</v>
      </c>
      <c r="AM387" t="s">
        <v>3256</v>
      </c>
      <c r="AN387" t="s">
        <v>61</v>
      </c>
      <c r="AO387" t="s">
        <v>61</v>
      </c>
      <c r="AP387" t="s">
        <v>61</v>
      </c>
      <c r="AQ387" t="s">
        <v>61</v>
      </c>
      <c r="AR387" t="s">
        <v>61</v>
      </c>
      <c r="AS387" t="s">
        <v>61</v>
      </c>
      <c r="AT387" t="s">
        <v>61</v>
      </c>
      <c r="AU387" t="s">
        <v>61</v>
      </c>
      <c r="AV387" t="s">
        <v>61</v>
      </c>
      <c r="AW387" t="s">
        <v>61</v>
      </c>
      <c r="AX387" t="s">
        <v>61</v>
      </c>
      <c r="AY387" t="s">
        <v>61</v>
      </c>
      <c r="AZ387" t="s">
        <v>61</v>
      </c>
      <c r="BA387" t="s">
        <v>61</v>
      </c>
      <c r="BB387" t="s">
        <v>61</v>
      </c>
      <c r="BC387" t="s">
        <v>61</v>
      </c>
      <c r="BD387" t="s">
        <v>61</v>
      </c>
      <c r="BE387" t="s">
        <v>61</v>
      </c>
      <c r="BF387" t="s">
        <v>61</v>
      </c>
    </row>
    <row r="388" spans="1:58">
      <c r="A388" t="s">
        <v>58</v>
      </c>
      <c r="B388" t="s">
        <v>3257</v>
      </c>
      <c r="C388" t="s">
        <v>3258</v>
      </c>
      <c r="D388" t="s">
        <v>60</v>
      </c>
      <c r="E388" t="s">
        <v>61</v>
      </c>
      <c r="F388">
        <v>2014</v>
      </c>
      <c r="G388" s="1">
        <v>42675</v>
      </c>
      <c r="H388">
        <v>71</v>
      </c>
      <c r="I388">
        <v>21</v>
      </c>
      <c r="J388">
        <v>1871</v>
      </c>
      <c r="K388">
        <v>1876</v>
      </c>
      <c r="L388" t="s">
        <v>3259</v>
      </c>
      <c r="M388" t="s">
        <v>3260</v>
      </c>
      <c r="N388" t="s">
        <v>3261</v>
      </c>
      <c r="O388" t="s">
        <v>61</v>
      </c>
      <c r="Q388" t="s">
        <v>61</v>
      </c>
      <c r="R388" t="s">
        <v>61</v>
      </c>
      <c r="S388" t="s">
        <v>61</v>
      </c>
      <c r="T388" t="s">
        <v>61</v>
      </c>
      <c r="X388" t="s">
        <v>61</v>
      </c>
      <c r="Y388" t="s">
        <v>97</v>
      </c>
      <c r="Z388" t="s">
        <v>61</v>
      </c>
      <c r="AA388" t="s">
        <v>3262</v>
      </c>
      <c r="AB388">
        <v>25320137</v>
      </c>
      <c r="AC388" t="s">
        <v>67</v>
      </c>
      <c r="AD388" t="s">
        <v>61</v>
      </c>
      <c r="AE388" t="s">
        <v>61</v>
      </c>
      <c r="AF388" t="s">
        <v>61</v>
      </c>
      <c r="AG388" t="s">
        <v>3263</v>
      </c>
      <c r="AH388" t="s">
        <v>61</v>
      </c>
      <c r="AI388" t="s">
        <v>3264</v>
      </c>
      <c r="AJ388" t="s">
        <v>61</v>
      </c>
      <c r="AK388" t="s">
        <v>61</v>
      </c>
      <c r="AL388" t="s">
        <v>61</v>
      </c>
      <c r="AM388" t="s">
        <v>3265</v>
      </c>
      <c r="AN388" t="s">
        <v>61</v>
      </c>
      <c r="AO388" t="s">
        <v>61</v>
      </c>
      <c r="AP388" t="s">
        <v>61</v>
      </c>
      <c r="AQ388" t="s">
        <v>61</v>
      </c>
      <c r="AR388" t="s">
        <v>61</v>
      </c>
      <c r="AS388" t="s">
        <v>61</v>
      </c>
      <c r="AT388" t="s">
        <v>61</v>
      </c>
      <c r="AU388" t="s">
        <v>61</v>
      </c>
      <c r="AV388" t="s">
        <v>61</v>
      </c>
      <c r="AW388" t="s">
        <v>61</v>
      </c>
      <c r="AX388" t="s">
        <v>61</v>
      </c>
      <c r="AY388" t="s">
        <v>61</v>
      </c>
      <c r="AZ388" t="s">
        <v>61</v>
      </c>
      <c r="BA388" t="s">
        <v>61</v>
      </c>
      <c r="BB388" t="s">
        <v>61</v>
      </c>
      <c r="BC388" t="s">
        <v>61</v>
      </c>
      <c r="BD388" t="s">
        <v>61</v>
      </c>
      <c r="BE388" t="s">
        <v>61</v>
      </c>
      <c r="BF388" t="s">
        <v>61</v>
      </c>
    </row>
    <row r="389" spans="1:58">
      <c r="A389" t="s">
        <v>58</v>
      </c>
      <c r="B389" t="s">
        <v>3266</v>
      </c>
      <c r="C389" t="s">
        <v>3267</v>
      </c>
      <c r="D389" t="s">
        <v>2386</v>
      </c>
      <c r="E389" t="s">
        <v>61</v>
      </c>
      <c r="F389">
        <v>2008</v>
      </c>
      <c r="G389" t="s">
        <v>2798</v>
      </c>
      <c r="H389">
        <v>56</v>
      </c>
      <c r="I389">
        <v>4</v>
      </c>
      <c r="J389">
        <v>391</v>
      </c>
      <c r="K389">
        <v>393</v>
      </c>
      <c r="L389" t="s">
        <v>3268</v>
      </c>
      <c r="M389" t="s">
        <v>3269</v>
      </c>
      <c r="N389" t="s">
        <v>3270</v>
      </c>
      <c r="O389" t="s">
        <v>61</v>
      </c>
      <c r="Q389" t="s">
        <v>61</v>
      </c>
      <c r="R389" t="s">
        <v>61</v>
      </c>
      <c r="S389" t="s">
        <v>61</v>
      </c>
      <c r="T389" t="s">
        <v>61</v>
      </c>
      <c r="X389" t="s">
        <v>61</v>
      </c>
      <c r="Y389" t="s">
        <v>3271</v>
      </c>
      <c r="Z389" t="s">
        <v>61</v>
      </c>
      <c r="AA389" t="s">
        <v>3272</v>
      </c>
      <c r="AB389">
        <v>18316282</v>
      </c>
      <c r="AC389" t="s">
        <v>67</v>
      </c>
      <c r="AD389" t="s">
        <v>61</v>
      </c>
      <c r="AE389" t="s">
        <v>61</v>
      </c>
      <c r="AF389" t="s">
        <v>61</v>
      </c>
      <c r="AG389" t="s">
        <v>3273</v>
      </c>
      <c r="AH389" t="s">
        <v>61</v>
      </c>
      <c r="AI389" t="s">
        <v>3274</v>
      </c>
      <c r="AJ389" t="s">
        <v>61</v>
      </c>
      <c r="AK389" t="s">
        <v>61</v>
      </c>
      <c r="AL389" t="s">
        <v>61</v>
      </c>
      <c r="AM389" t="s">
        <v>3275</v>
      </c>
      <c r="AN389" t="s">
        <v>61</v>
      </c>
      <c r="AO389" t="s">
        <v>61</v>
      </c>
      <c r="AP389" t="s">
        <v>61</v>
      </c>
      <c r="AQ389" t="s">
        <v>61</v>
      </c>
      <c r="AR389" t="s">
        <v>61</v>
      </c>
      <c r="AS389" t="s">
        <v>61</v>
      </c>
      <c r="AT389" t="s">
        <v>61</v>
      </c>
      <c r="AU389" t="s">
        <v>61</v>
      </c>
      <c r="AV389" t="s">
        <v>61</v>
      </c>
      <c r="AW389" t="s">
        <v>61</v>
      </c>
      <c r="AX389" t="s">
        <v>61</v>
      </c>
      <c r="AY389" t="s">
        <v>61</v>
      </c>
      <c r="AZ389" t="s">
        <v>61</v>
      </c>
      <c r="BA389" t="s">
        <v>61</v>
      </c>
      <c r="BB389" t="s">
        <v>61</v>
      </c>
      <c r="BC389" t="s">
        <v>61</v>
      </c>
      <c r="BD389" t="s">
        <v>61</v>
      </c>
      <c r="BE389" t="s">
        <v>61</v>
      </c>
      <c r="BF389" t="s">
        <v>61</v>
      </c>
    </row>
    <row r="390" spans="1:58">
      <c r="A390" t="s">
        <v>58</v>
      </c>
      <c r="B390" t="s">
        <v>3276</v>
      </c>
      <c r="C390" t="s">
        <v>3277</v>
      </c>
      <c r="D390" t="s">
        <v>475</v>
      </c>
      <c r="E390" t="s">
        <v>61</v>
      </c>
      <c r="F390">
        <v>2012</v>
      </c>
      <c r="G390" t="s">
        <v>381</v>
      </c>
      <c r="H390">
        <v>34</v>
      </c>
      <c r="I390">
        <v>1</v>
      </c>
      <c r="J390">
        <v>207</v>
      </c>
      <c r="K390" t="s">
        <v>61</v>
      </c>
      <c r="L390" t="s">
        <v>3278</v>
      </c>
      <c r="M390" t="s">
        <v>3279</v>
      </c>
      <c r="N390" t="s">
        <v>3280</v>
      </c>
      <c r="O390" t="s">
        <v>61</v>
      </c>
      <c r="Q390" t="s">
        <v>61</v>
      </c>
      <c r="R390" t="s">
        <v>61</v>
      </c>
      <c r="S390" t="s">
        <v>61</v>
      </c>
      <c r="T390" t="s">
        <v>61</v>
      </c>
      <c r="X390" t="s">
        <v>61</v>
      </c>
      <c r="Y390" t="s">
        <v>308</v>
      </c>
      <c r="Z390" t="s">
        <v>61</v>
      </c>
      <c r="AA390" t="s">
        <v>61</v>
      </c>
      <c r="AB390" t="s">
        <v>61</v>
      </c>
      <c r="AC390" t="s">
        <v>67</v>
      </c>
      <c r="AD390" t="s">
        <v>61</v>
      </c>
      <c r="AE390" t="s">
        <v>61</v>
      </c>
      <c r="AF390" t="s">
        <v>61</v>
      </c>
      <c r="AG390" t="s">
        <v>61</v>
      </c>
      <c r="AH390" t="s">
        <v>61</v>
      </c>
      <c r="AI390" t="s">
        <v>61</v>
      </c>
      <c r="AJ390" t="s">
        <v>61</v>
      </c>
      <c r="AK390" t="s">
        <v>61</v>
      </c>
      <c r="AL390" t="s">
        <v>61</v>
      </c>
      <c r="AM390" t="s">
        <v>3277</v>
      </c>
      <c r="AN390" t="s">
        <v>61</v>
      </c>
      <c r="AO390" t="s">
        <v>61</v>
      </c>
      <c r="AP390" t="s">
        <v>61</v>
      </c>
      <c r="AQ390" t="s">
        <v>61</v>
      </c>
      <c r="AR390" t="s">
        <v>61</v>
      </c>
      <c r="AS390" t="s">
        <v>61</v>
      </c>
      <c r="AT390" t="s">
        <v>61</v>
      </c>
      <c r="AU390" t="s">
        <v>61</v>
      </c>
      <c r="AV390" t="s">
        <v>61</v>
      </c>
      <c r="AW390" t="s">
        <v>61</v>
      </c>
      <c r="AX390" t="s">
        <v>61</v>
      </c>
      <c r="AY390" t="s">
        <v>61</v>
      </c>
      <c r="AZ390" t="s">
        <v>61</v>
      </c>
      <c r="BA390" t="s">
        <v>61</v>
      </c>
      <c r="BB390" t="s">
        <v>61</v>
      </c>
      <c r="BC390" t="s">
        <v>61</v>
      </c>
      <c r="BD390" t="s">
        <v>61</v>
      </c>
      <c r="BE390" t="s">
        <v>61</v>
      </c>
      <c r="BF390" t="s">
        <v>61</v>
      </c>
    </row>
    <row r="391" spans="1:58">
      <c r="A391" t="s">
        <v>58</v>
      </c>
      <c r="B391" t="s">
        <v>3281</v>
      </c>
      <c r="C391" t="s">
        <v>3282</v>
      </c>
      <c r="D391" t="s">
        <v>1085</v>
      </c>
      <c r="E391" t="s">
        <v>1086</v>
      </c>
      <c r="F391">
        <v>2009</v>
      </c>
      <c r="G391" t="s">
        <v>381</v>
      </c>
      <c r="H391">
        <v>43</v>
      </c>
      <c r="I391">
        <v>2</v>
      </c>
      <c r="J391">
        <v>194</v>
      </c>
      <c r="K391">
        <v>201</v>
      </c>
      <c r="L391" t="s">
        <v>3283</v>
      </c>
      <c r="M391" t="s">
        <v>3284</v>
      </c>
      <c r="N391" t="s">
        <v>3285</v>
      </c>
      <c r="O391" t="s">
        <v>61</v>
      </c>
      <c r="Q391" t="s">
        <v>61</v>
      </c>
      <c r="R391" t="s">
        <v>61</v>
      </c>
      <c r="S391" t="s">
        <v>61</v>
      </c>
      <c r="T391" t="s">
        <v>61</v>
      </c>
      <c r="X391" t="s">
        <v>61</v>
      </c>
      <c r="Y391" t="s">
        <v>3286</v>
      </c>
      <c r="Z391" t="s">
        <v>61</v>
      </c>
      <c r="AA391" t="s">
        <v>61</v>
      </c>
      <c r="AB391">
        <v>2009081002</v>
      </c>
      <c r="AC391" t="s">
        <v>67</v>
      </c>
      <c r="AD391" t="s">
        <v>61</v>
      </c>
      <c r="AE391" t="s">
        <v>61</v>
      </c>
      <c r="AF391" t="s">
        <v>61</v>
      </c>
      <c r="AG391" t="s">
        <v>3287</v>
      </c>
      <c r="AH391" t="s">
        <v>61</v>
      </c>
      <c r="AI391" t="s">
        <v>61</v>
      </c>
      <c r="AJ391" t="s">
        <v>61</v>
      </c>
      <c r="AK391" t="s">
        <v>61</v>
      </c>
      <c r="AL391" t="s">
        <v>61</v>
      </c>
      <c r="AM391" t="s">
        <v>3288</v>
      </c>
      <c r="AN391" t="s">
        <v>61</v>
      </c>
      <c r="AO391" t="s">
        <v>61</v>
      </c>
      <c r="AP391" t="s">
        <v>61</v>
      </c>
      <c r="AQ391" t="s">
        <v>61</v>
      </c>
      <c r="AR391" t="s">
        <v>61</v>
      </c>
      <c r="AS391" t="s">
        <v>61</v>
      </c>
      <c r="AT391" t="s">
        <v>61</v>
      </c>
      <c r="AU391" t="s">
        <v>61</v>
      </c>
      <c r="AV391" t="s">
        <v>61</v>
      </c>
      <c r="AW391" t="s">
        <v>61</v>
      </c>
      <c r="AX391" t="s">
        <v>61</v>
      </c>
      <c r="AY391" t="s">
        <v>61</v>
      </c>
      <c r="AZ391" t="s">
        <v>61</v>
      </c>
      <c r="BA391" t="s">
        <v>61</v>
      </c>
      <c r="BB391" t="s">
        <v>61</v>
      </c>
      <c r="BC391" t="s">
        <v>61</v>
      </c>
      <c r="BD391" t="s">
        <v>61</v>
      </c>
      <c r="BE391" t="s">
        <v>61</v>
      </c>
      <c r="BF391" t="s">
        <v>61</v>
      </c>
    </row>
    <row r="392" spans="1:58">
      <c r="A392" t="s">
        <v>58</v>
      </c>
      <c r="B392" t="s">
        <v>3289</v>
      </c>
      <c r="C392" t="s">
        <v>3290</v>
      </c>
      <c r="D392" t="s">
        <v>153</v>
      </c>
      <c r="E392" t="s">
        <v>61</v>
      </c>
      <c r="F392">
        <v>2004</v>
      </c>
      <c r="G392" t="s">
        <v>1332</v>
      </c>
      <c r="H392">
        <v>44</v>
      </c>
      <c r="I392">
        <v>6</v>
      </c>
      <c r="J392">
        <v>700</v>
      </c>
      <c r="K392" t="s">
        <v>3291</v>
      </c>
      <c r="L392" t="s">
        <v>3292</v>
      </c>
      <c r="M392" t="s">
        <v>3293</v>
      </c>
      <c r="N392" t="s">
        <v>3294</v>
      </c>
      <c r="O392" t="s">
        <v>61</v>
      </c>
      <c r="Q392" t="s">
        <v>61</v>
      </c>
      <c r="R392" t="s">
        <v>61</v>
      </c>
      <c r="S392" t="s">
        <v>61</v>
      </c>
      <c r="T392" t="s">
        <v>61</v>
      </c>
      <c r="X392" t="s">
        <v>61</v>
      </c>
      <c r="Y392" t="s">
        <v>632</v>
      </c>
      <c r="Z392" t="s">
        <v>61</v>
      </c>
      <c r="AA392" t="s">
        <v>3295</v>
      </c>
      <c r="AB392">
        <v>15637853</v>
      </c>
      <c r="AC392" t="s">
        <v>67</v>
      </c>
      <c r="AD392" t="s">
        <v>61</v>
      </c>
      <c r="AE392" t="s">
        <v>61</v>
      </c>
      <c r="AF392" t="s">
        <v>61</v>
      </c>
      <c r="AG392" t="s">
        <v>3296</v>
      </c>
      <c r="AH392" t="s">
        <v>61</v>
      </c>
      <c r="AI392" t="s">
        <v>61</v>
      </c>
      <c r="AJ392" t="s">
        <v>61</v>
      </c>
      <c r="AK392" t="s">
        <v>61</v>
      </c>
      <c r="AL392" t="s">
        <v>61</v>
      </c>
      <c r="AM392" t="s">
        <v>3297</v>
      </c>
      <c r="AN392" t="s">
        <v>61</v>
      </c>
      <c r="AO392" t="s">
        <v>61</v>
      </c>
      <c r="AP392" t="s">
        <v>61</v>
      </c>
      <c r="AQ392" t="s">
        <v>61</v>
      </c>
      <c r="AR392" t="s">
        <v>61</v>
      </c>
      <c r="AS392" t="s">
        <v>61</v>
      </c>
      <c r="AT392" t="s">
        <v>61</v>
      </c>
      <c r="AU392" t="s">
        <v>61</v>
      </c>
      <c r="AV392" t="s">
        <v>61</v>
      </c>
      <c r="AW392" t="s">
        <v>61</v>
      </c>
      <c r="AX392" t="s">
        <v>61</v>
      </c>
      <c r="AY392" t="s">
        <v>61</v>
      </c>
      <c r="AZ392" t="s">
        <v>61</v>
      </c>
      <c r="BA392" t="s">
        <v>61</v>
      </c>
      <c r="BB392" t="s">
        <v>61</v>
      </c>
      <c r="BC392" t="s">
        <v>61</v>
      </c>
      <c r="BD392" t="s">
        <v>61</v>
      </c>
      <c r="BE392" t="s">
        <v>61</v>
      </c>
      <c r="BF392" t="s">
        <v>61</v>
      </c>
    </row>
    <row r="393" spans="1:58">
      <c r="A393" t="s">
        <v>58</v>
      </c>
      <c r="B393" t="s">
        <v>3298</v>
      </c>
      <c r="C393" t="s">
        <v>3299</v>
      </c>
      <c r="D393" t="s">
        <v>271</v>
      </c>
      <c r="E393" t="s">
        <v>272</v>
      </c>
      <c r="F393">
        <v>2002</v>
      </c>
      <c r="G393" t="s">
        <v>1667</v>
      </c>
      <c r="H393">
        <v>42</v>
      </c>
      <c r="I393">
        <v>3</v>
      </c>
      <c r="J393">
        <v>497</v>
      </c>
      <c r="K393">
        <v>507</v>
      </c>
      <c r="L393" t="s">
        <v>3300</v>
      </c>
      <c r="M393" t="s">
        <v>3301</v>
      </c>
      <c r="N393" t="s">
        <v>3302</v>
      </c>
      <c r="O393" t="s">
        <v>61</v>
      </c>
      <c r="Q393" t="s">
        <v>61</v>
      </c>
      <c r="R393" t="s">
        <v>61</v>
      </c>
      <c r="S393" t="s">
        <v>61</v>
      </c>
      <c r="T393" t="s">
        <v>61</v>
      </c>
      <c r="X393" t="s">
        <v>61</v>
      </c>
      <c r="Y393" t="s">
        <v>1661</v>
      </c>
      <c r="Z393" t="s">
        <v>61</v>
      </c>
      <c r="AA393" t="s">
        <v>3303</v>
      </c>
      <c r="AB393">
        <v>12030637</v>
      </c>
      <c r="AC393" t="s">
        <v>67</v>
      </c>
      <c r="AD393" t="s">
        <v>61</v>
      </c>
      <c r="AE393" t="s">
        <v>61</v>
      </c>
      <c r="AF393" t="s">
        <v>61</v>
      </c>
      <c r="AG393" t="s">
        <v>3304</v>
      </c>
      <c r="AH393" t="s">
        <v>61</v>
      </c>
      <c r="AI393" t="s">
        <v>61</v>
      </c>
      <c r="AJ393" t="s">
        <v>61</v>
      </c>
      <c r="AK393" t="s">
        <v>61</v>
      </c>
      <c r="AL393" t="s">
        <v>61</v>
      </c>
      <c r="AM393" t="s">
        <v>3305</v>
      </c>
      <c r="AN393" t="s">
        <v>61</v>
      </c>
      <c r="AO393" t="s">
        <v>61</v>
      </c>
      <c r="AP393" t="s">
        <v>61</v>
      </c>
      <c r="AQ393" t="s">
        <v>61</v>
      </c>
      <c r="AR393" t="s">
        <v>61</v>
      </c>
      <c r="AS393" t="s">
        <v>61</v>
      </c>
      <c r="AT393" t="s">
        <v>61</v>
      </c>
      <c r="AU393" t="s">
        <v>61</v>
      </c>
      <c r="AV393" t="s">
        <v>61</v>
      </c>
      <c r="AW393" t="s">
        <v>61</v>
      </c>
      <c r="AX393" t="s">
        <v>61</v>
      </c>
      <c r="AY393" t="s">
        <v>61</v>
      </c>
      <c r="AZ393" t="s">
        <v>61</v>
      </c>
      <c r="BA393" t="s">
        <v>61</v>
      </c>
      <c r="BB393" t="s">
        <v>61</v>
      </c>
      <c r="BC393" t="s">
        <v>61</v>
      </c>
      <c r="BD393" t="s">
        <v>61</v>
      </c>
      <c r="BE393" t="s">
        <v>61</v>
      </c>
      <c r="BF393" t="s">
        <v>61</v>
      </c>
    </row>
    <row r="394" spans="1:58">
      <c r="A394" t="s">
        <v>58</v>
      </c>
      <c r="B394" t="s">
        <v>3306</v>
      </c>
      <c r="C394" t="s">
        <v>3307</v>
      </c>
      <c r="D394" t="s">
        <v>3308</v>
      </c>
      <c r="E394" t="s">
        <v>61</v>
      </c>
      <c r="F394">
        <v>2008</v>
      </c>
      <c r="G394" t="s">
        <v>3309</v>
      </c>
      <c r="H394">
        <v>11</v>
      </c>
      <c r="I394" t="s">
        <v>61</v>
      </c>
      <c r="J394" t="s">
        <v>61</v>
      </c>
      <c r="K394" t="s">
        <v>61</v>
      </c>
      <c r="L394" t="s">
        <v>3310</v>
      </c>
      <c r="M394" t="s">
        <v>3311</v>
      </c>
      <c r="N394" t="s">
        <v>3312</v>
      </c>
      <c r="O394" t="s">
        <v>61</v>
      </c>
      <c r="Q394" t="s">
        <v>61</v>
      </c>
      <c r="R394" t="s">
        <v>61</v>
      </c>
      <c r="S394" t="s">
        <v>61</v>
      </c>
      <c r="T394" t="s">
        <v>61</v>
      </c>
      <c r="X394" t="s">
        <v>61</v>
      </c>
      <c r="Y394" t="s">
        <v>3313</v>
      </c>
      <c r="Z394" t="s">
        <v>61</v>
      </c>
      <c r="AA394" t="s">
        <v>3314</v>
      </c>
      <c r="AB394" t="s">
        <v>3315</v>
      </c>
      <c r="AC394" t="s">
        <v>67</v>
      </c>
      <c r="AD394" t="s">
        <v>61</v>
      </c>
      <c r="AE394" t="s">
        <v>61</v>
      </c>
      <c r="AF394" t="s">
        <v>61</v>
      </c>
      <c r="AG394" t="s">
        <v>61</v>
      </c>
      <c r="AH394" t="s">
        <v>61</v>
      </c>
      <c r="AI394" t="s">
        <v>61</v>
      </c>
      <c r="AJ394" t="s">
        <v>61</v>
      </c>
      <c r="AK394" t="s">
        <v>61</v>
      </c>
      <c r="AL394" t="s">
        <v>61</v>
      </c>
      <c r="AM394" t="s">
        <v>3316</v>
      </c>
      <c r="AN394" t="s">
        <v>61</v>
      </c>
      <c r="AO394" t="s">
        <v>61</v>
      </c>
      <c r="AP394" t="s">
        <v>61</v>
      </c>
      <c r="AQ394" t="s">
        <v>61</v>
      </c>
      <c r="AR394" t="s">
        <v>61</v>
      </c>
      <c r="AS394" t="s">
        <v>61</v>
      </c>
      <c r="AT394" t="s">
        <v>61</v>
      </c>
      <c r="AU394" t="s">
        <v>61</v>
      </c>
      <c r="AV394" t="s">
        <v>61</v>
      </c>
      <c r="AW394" t="s">
        <v>61</v>
      </c>
      <c r="AX394" t="s">
        <v>61</v>
      </c>
      <c r="AY394" t="s">
        <v>61</v>
      </c>
      <c r="AZ394" t="s">
        <v>61</v>
      </c>
      <c r="BA394" t="s">
        <v>61</v>
      </c>
      <c r="BB394" t="s">
        <v>61</v>
      </c>
      <c r="BC394" t="s">
        <v>61</v>
      </c>
      <c r="BD394" t="s">
        <v>61</v>
      </c>
      <c r="BE394" t="s">
        <v>61</v>
      </c>
      <c r="BF394" t="s">
        <v>61</v>
      </c>
    </row>
    <row r="395" spans="1:58">
      <c r="A395" t="s">
        <v>58</v>
      </c>
      <c r="B395" t="s">
        <v>3317</v>
      </c>
      <c r="C395" t="s">
        <v>3318</v>
      </c>
      <c r="D395" t="s">
        <v>3319</v>
      </c>
      <c r="E395" t="s">
        <v>3320</v>
      </c>
      <c r="F395">
        <v>2006</v>
      </c>
      <c r="G395" t="s">
        <v>61</v>
      </c>
      <c r="H395" t="s">
        <v>61</v>
      </c>
      <c r="I395">
        <v>942</v>
      </c>
      <c r="J395" t="s">
        <v>3321</v>
      </c>
      <c r="K395" t="s">
        <v>3322</v>
      </c>
      <c r="L395" t="s">
        <v>3323</v>
      </c>
      <c r="M395" t="s">
        <v>3324</v>
      </c>
      <c r="N395" t="s">
        <v>3325</v>
      </c>
      <c r="O395" t="s">
        <v>61</v>
      </c>
      <c r="Q395" t="s">
        <v>61</v>
      </c>
      <c r="R395" t="s">
        <v>61</v>
      </c>
      <c r="S395" t="s">
        <v>61</v>
      </c>
      <c r="T395" t="s">
        <v>61</v>
      </c>
      <c r="X395" t="s">
        <v>61</v>
      </c>
      <c r="Y395" t="s">
        <v>3326</v>
      </c>
      <c r="Z395" t="s">
        <v>61</v>
      </c>
      <c r="AA395" t="s">
        <v>61</v>
      </c>
      <c r="AB395">
        <v>17373571</v>
      </c>
      <c r="AC395" t="s">
        <v>67</v>
      </c>
      <c r="AD395" t="s">
        <v>61</v>
      </c>
      <c r="AE395" t="s">
        <v>61</v>
      </c>
      <c r="AF395" t="s">
        <v>61</v>
      </c>
      <c r="AG395" t="s">
        <v>3327</v>
      </c>
      <c r="AH395" t="s">
        <v>61</v>
      </c>
      <c r="AI395" t="s">
        <v>61</v>
      </c>
      <c r="AJ395" t="s">
        <v>61</v>
      </c>
      <c r="AK395" t="s">
        <v>61</v>
      </c>
      <c r="AL395" t="s">
        <v>61</v>
      </c>
      <c r="AM395" t="s">
        <v>3328</v>
      </c>
      <c r="AN395" t="s">
        <v>61</v>
      </c>
      <c r="AO395" t="s">
        <v>61</v>
      </c>
      <c r="AP395" t="s">
        <v>61</v>
      </c>
      <c r="AQ395" t="s">
        <v>61</v>
      </c>
      <c r="AR395" t="s">
        <v>61</v>
      </c>
      <c r="AS395" t="s">
        <v>61</v>
      </c>
      <c r="AT395" t="s">
        <v>61</v>
      </c>
      <c r="AU395" t="s">
        <v>61</v>
      </c>
      <c r="AV395" t="s">
        <v>61</v>
      </c>
      <c r="AW395" t="s">
        <v>61</v>
      </c>
      <c r="AX395" t="s">
        <v>61</v>
      </c>
      <c r="AY395" t="s">
        <v>61</v>
      </c>
      <c r="AZ395" t="s">
        <v>61</v>
      </c>
      <c r="BA395" t="s">
        <v>61</v>
      </c>
      <c r="BB395" t="s">
        <v>61</v>
      </c>
      <c r="BC395" t="s">
        <v>61</v>
      </c>
      <c r="BD395" t="s">
        <v>61</v>
      </c>
      <c r="BE395" t="s">
        <v>61</v>
      </c>
      <c r="BF395" t="s">
        <v>61</v>
      </c>
    </row>
    <row r="396" spans="1:58">
      <c r="A396" t="s">
        <v>58</v>
      </c>
      <c r="B396" t="s">
        <v>3329</v>
      </c>
      <c r="C396" t="s">
        <v>3330</v>
      </c>
      <c r="D396" t="s">
        <v>475</v>
      </c>
      <c r="E396" t="s">
        <v>61</v>
      </c>
      <c r="F396">
        <v>2015</v>
      </c>
      <c r="G396" t="s">
        <v>61</v>
      </c>
      <c r="H396">
        <v>37</v>
      </c>
      <c r="I396">
        <v>4</v>
      </c>
      <c r="J396">
        <v>656</v>
      </c>
      <c r="K396" t="s">
        <v>3331</v>
      </c>
      <c r="L396" t="s">
        <v>61</v>
      </c>
      <c r="M396" t="s">
        <v>3332</v>
      </c>
      <c r="N396" t="s">
        <v>3333</v>
      </c>
      <c r="O396" t="s">
        <v>61</v>
      </c>
      <c r="Q396" t="s">
        <v>61</v>
      </c>
      <c r="R396" t="s">
        <v>61</v>
      </c>
      <c r="S396" t="s">
        <v>61</v>
      </c>
      <c r="T396" t="s">
        <v>61</v>
      </c>
      <c r="X396" t="s">
        <v>61</v>
      </c>
      <c r="Y396" t="s">
        <v>308</v>
      </c>
      <c r="Z396" t="s">
        <v>61</v>
      </c>
      <c r="AA396" t="s">
        <v>61</v>
      </c>
      <c r="AB396">
        <v>109594162</v>
      </c>
      <c r="AC396" t="s">
        <v>67</v>
      </c>
      <c r="AD396" t="s">
        <v>61</v>
      </c>
      <c r="AE396" t="s">
        <v>61</v>
      </c>
      <c r="AF396" t="s">
        <v>61</v>
      </c>
      <c r="AG396" t="s">
        <v>3334</v>
      </c>
      <c r="AH396" t="s">
        <v>61</v>
      </c>
      <c r="AI396" t="s">
        <v>3335</v>
      </c>
      <c r="AJ396" t="s">
        <v>61</v>
      </c>
      <c r="AK396" t="s">
        <v>61</v>
      </c>
      <c r="AL396" t="s">
        <v>61</v>
      </c>
      <c r="AM396" t="s">
        <v>3336</v>
      </c>
      <c r="AN396" t="s">
        <v>61</v>
      </c>
      <c r="AO396" t="s">
        <v>61</v>
      </c>
      <c r="AP396" t="s">
        <v>61</v>
      </c>
      <c r="AQ396" t="s">
        <v>61</v>
      </c>
      <c r="AR396" t="s">
        <v>61</v>
      </c>
      <c r="AS396" t="s">
        <v>61</v>
      </c>
      <c r="AT396" t="s">
        <v>61</v>
      </c>
      <c r="AU396" t="s">
        <v>61</v>
      </c>
      <c r="AV396" t="s">
        <v>61</v>
      </c>
      <c r="AW396" t="s">
        <v>61</v>
      </c>
      <c r="AX396" t="s">
        <v>61</v>
      </c>
      <c r="AY396" t="s">
        <v>61</v>
      </c>
      <c r="AZ396" t="s">
        <v>61</v>
      </c>
      <c r="BA396" t="s">
        <v>61</v>
      </c>
      <c r="BB396" t="s">
        <v>61</v>
      </c>
      <c r="BC396" t="s">
        <v>61</v>
      </c>
      <c r="BD396" t="s">
        <v>61</v>
      </c>
      <c r="BE396" t="s">
        <v>61</v>
      </c>
      <c r="BF396" t="s">
        <v>61</v>
      </c>
    </row>
    <row r="397" spans="1:58">
      <c r="A397" t="s">
        <v>58</v>
      </c>
      <c r="B397" t="s">
        <v>3337</v>
      </c>
      <c r="C397" t="s">
        <v>3338</v>
      </c>
      <c r="D397" t="s">
        <v>475</v>
      </c>
      <c r="E397" t="s">
        <v>61</v>
      </c>
      <c r="F397">
        <v>2015</v>
      </c>
      <c r="G397">
        <v>31</v>
      </c>
      <c r="H397">
        <v>37</v>
      </c>
      <c r="I397">
        <v>4</v>
      </c>
      <c r="J397">
        <v>656</v>
      </c>
      <c r="K397">
        <v>668</v>
      </c>
      <c r="L397" t="s">
        <v>3339</v>
      </c>
      <c r="M397" t="s">
        <v>3340</v>
      </c>
      <c r="N397" t="s">
        <v>3341</v>
      </c>
      <c r="O397" t="s">
        <v>61</v>
      </c>
      <c r="Q397" t="s">
        <v>61</v>
      </c>
      <c r="R397" t="s">
        <v>61</v>
      </c>
      <c r="S397" t="s">
        <v>61</v>
      </c>
      <c r="T397" t="s">
        <v>61</v>
      </c>
      <c r="X397" t="s">
        <v>61</v>
      </c>
      <c r="Y397" t="s">
        <v>308</v>
      </c>
      <c r="Z397" t="s">
        <v>61</v>
      </c>
      <c r="AA397" t="s">
        <v>61</v>
      </c>
      <c r="AB397" t="s">
        <v>3342</v>
      </c>
      <c r="AC397" t="s">
        <v>67</v>
      </c>
      <c r="AD397" t="s">
        <v>61</v>
      </c>
      <c r="AE397" t="s">
        <v>61</v>
      </c>
      <c r="AF397" t="s">
        <v>61</v>
      </c>
      <c r="AG397" t="s">
        <v>61</v>
      </c>
      <c r="AH397" t="s">
        <v>61</v>
      </c>
      <c r="AI397" t="s">
        <v>61</v>
      </c>
      <c r="AJ397" t="s">
        <v>61</v>
      </c>
      <c r="AK397" t="s">
        <v>61</v>
      </c>
      <c r="AL397" t="s">
        <v>61</v>
      </c>
      <c r="AM397" t="s">
        <v>3338</v>
      </c>
      <c r="AN397" t="s">
        <v>61</v>
      </c>
      <c r="AO397" t="s">
        <v>61</v>
      </c>
      <c r="AP397" t="s">
        <v>61</v>
      </c>
      <c r="AQ397" t="s">
        <v>61</v>
      </c>
      <c r="AR397" t="s">
        <v>61</v>
      </c>
      <c r="AS397" t="s">
        <v>61</v>
      </c>
      <c r="AT397" t="s">
        <v>61</v>
      </c>
      <c r="AU397" t="s">
        <v>61</v>
      </c>
      <c r="AV397" t="s">
        <v>61</v>
      </c>
      <c r="AW397" t="s">
        <v>61</v>
      </c>
      <c r="AX397" t="s">
        <v>61</v>
      </c>
      <c r="AY397" t="s">
        <v>61</v>
      </c>
      <c r="AZ397" t="s">
        <v>61</v>
      </c>
      <c r="BA397" t="s">
        <v>61</v>
      </c>
      <c r="BB397" t="s">
        <v>61</v>
      </c>
      <c r="BC397" t="s">
        <v>61</v>
      </c>
      <c r="BD397" t="s">
        <v>61</v>
      </c>
      <c r="BE397" t="s">
        <v>61</v>
      </c>
      <c r="BF397" t="s">
        <v>61</v>
      </c>
    </row>
    <row r="398" spans="1:58">
      <c r="A398" t="s">
        <v>58</v>
      </c>
      <c r="B398" t="s">
        <v>3343</v>
      </c>
      <c r="C398" t="s">
        <v>3344</v>
      </c>
      <c r="D398" t="s">
        <v>162</v>
      </c>
      <c r="E398" t="s">
        <v>163</v>
      </c>
      <c r="F398">
        <v>1999</v>
      </c>
      <c r="G398" t="s">
        <v>61</v>
      </c>
      <c r="H398">
        <v>39</v>
      </c>
      <c r="I398">
        <v>12</v>
      </c>
      <c r="J398">
        <v>1221</v>
      </c>
      <c r="K398">
        <v>1232</v>
      </c>
      <c r="L398" t="s">
        <v>3345</v>
      </c>
      <c r="M398" t="s">
        <v>3346</v>
      </c>
      <c r="N398" t="s">
        <v>3347</v>
      </c>
      <c r="O398" t="s">
        <v>61</v>
      </c>
      <c r="Q398" t="s">
        <v>61</v>
      </c>
      <c r="R398" t="s">
        <v>61</v>
      </c>
      <c r="S398" t="s">
        <v>61</v>
      </c>
      <c r="T398" t="s">
        <v>61</v>
      </c>
      <c r="X398" t="s">
        <v>61</v>
      </c>
      <c r="Y398" t="s">
        <v>167</v>
      </c>
      <c r="Z398" t="s">
        <v>61</v>
      </c>
      <c r="AA398" t="s">
        <v>61</v>
      </c>
      <c r="AB398">
        <v>2000295878</v>
      </c>
      <c r="AC398" t="s">
        <v>67</v>
      </c>
      <c r="AD398" t="s">
        <v>61</v>
      </c>
      <c r="AE398" t="s">
        <v>61</v>
      </c>
      <c r="AF398" t="s">
        <v>61</v>
      </c>
      <c r="AG398" t="s">
        <v>3348</v>
      </c>
      <c r="AH398" t="s">
        <v>61</v>
      </c>
      <c r="AI398" t="s">
        <v>61</v>
      </c>
      <c r="AJ398" t="s">
        <v>61</v>
      </c>
      <c r="AK398" t="s">
        <v>61</v>
      </c>
      <c r="AL398" t="s">
        <v>61</v>
      </c>
      <c r="AM398" t="s">
        <v>3349</v>
      </c>
      <c r="AN398" t="s">
        <v>61</v>
      </c>
      <c r="AO398" t="s">
        <v>61</v>
      </c>
      <c r="AP398" t="s">
        <v>61</v>
      </c>
      <c r="AQ398" t="s">
        <v>61</v>
      </c>
      <c r="AR398" t="s">
        <v>61</v>
      </c>
      <c r="AS398" t="s">
        <v>61</v>
      </c>
      <c r="AT398" t="s">
        <v>61</v>
      </c>
      <c r="AU398" t="s">
        <v>61</v>
      </c>
      <c r="AV398" t="s">
        <v>61</v>
      </c>
      <c r="AW398" t="s">
        <v>61</v>
      </c>
      <c r="AX398" t="s">
        <v>61</v>
      </c>
      <c r="AY398" t="s">
        <v>61</v>
      </c>
      <c r="AZ398" t="s">
        <v>61</v>
      </c>
      <c r="BA398" t="s">
        <v>61</v>
      </c>
      <c r="BB398" t="s">
        <v>61</v>
      </c>
      <c r="BC398" t="s">
        <v>61</v>
      </c>
      <c r="BD398" t="s">
        <v>61</v>
      </c>
      <c r="BE398" t="s">
        <v>61</v>
      </c>
      <c r="BF398" t="s">
        <v>61</v>
      </c>
    </row>
    <row r="399" spans="1:58">
      <c r="A399" t="s">
        <v>58</v>
      </c>
      <c r="B399" t="s">
        <v>3350</v>
      </c>
      <c r="C399" t="s">
        <v>3351</v>
      </c>
      <c r="D399" t="s">
        <v>428</v>
      </c>
      <c r="E399" t="s">
        <v>61</v>
      </c>
      <c r="F399">
        <v>2010</v>
      </c>
      <c r="G399" t="s">
        <v>429</v>
      </c>
      <c r="H399">
        <v>23</v>
      </c>
      <c r="I399">
        <v>2</v>
      </c>
      <c r="J399">
        <v>185</v>
      </c>
      <c r="K399" t="s">
        <v>61</v>
      </c>
      <c r="L399" t="s">
        <v>3352</v>
      </c>
      <c r="M399" t="s">
        <v>3353</v>
      </c>
      <c r="N399" t="s">
        <v>3354</v>
      </c>
      <c r="O399" t="s">
        <v>61</v>
      </c>
      <c r="Q399" t="s">
        <v>61</v>
      </c>
      <c r="R399" t="s">
        <v>61</v>
      </c>
      <c r="S399" t="s">
        <v>61</v>
      </c>
      <c r="T399" t="s">
        <v>61</v>
      </c>
      <c r="X399" t="s">
        <v>61</v>
      </c>
      <c r="Y399" t="s">
        <v>433</v>
      </c>
      <c r="Z399" t="s">
        <v>61</v>
      </c>
      <c r="AA399" t="s">
        <v>61</v>
      </c>
      <c r="AB399" t="s">
        <v>61</v>
      </c>
      <c r="AC399" t="s">
        <v>67</v>
      </c>
      <c r="AD399" t="s">
        <v>61</v>
      </c>
      <c r="AE399" t="s">
        <v>61</v>
      </c>
      <c r="AF399" t="s">
        <v>61</v>
      </c>
      <c r="AG399" t="s">
        <v>61</v>
      </c>
      <c r="AH399" t="s">
        <v>61</v>
      </c>
      <c r="AI399" t="s">
        <v>61</v>
      </c>
      <c r="AJ399" t="s">
        <v>61</v>
      </c>
      <c r="AK399" t="s">
        <v>61</v>
      </c>
      <c r="AL399" t="s">
        <v>61</v>
      </c>
      <c r="AM399" t="s">
        <v>3351</v>
      </c>
      <c r="AN399" t="s">
        <v>61</v>
      </c>
      <c r="AO399" t="s">
        <v>61</v>
      </c>
      <c r="AP399" t="s">
        <v>61</v>
      </c>
      <c r="AQ399" t="s">
        <v>61</v>
      </c>
      <c r="AR399" t="s">
        <v>61</v>
      </c>
      <c r="AS399" t="s">
        <v>61</v>
      </c>
      <c r="AT399" t="s">
        <v>61</v>
      </c>
      <c r="AU399" t="s">
        <v>61</v>
      </c>
      <c r="AV399" t="s">
        <v>61</v>
      </c>
      <c r="AW399" t="s">
        <v>61</v>
      </c>
      <c r="AX399" t="s">
        <v>61</v>
      </c>
      <c r="AY399" t="s">
        <v>61</v>
      </c>
      <c r="AZ399" t="s">
        <v>61</v>
      </c>
      <c r="BA399" t="s">
        <v>61</v>
      </c>
      <c r="BB399" t="s">
        <v>61</v>
      </c>
      <c r="BC399" t="s">
        <v>61</v>
      </c>
      <c r="BD399" t="s">
        <v>61</v>
      </c>
      <c r="BE399" t="s">
        <v>61</v>
      </c>
      <c r="BF399" t="s">
        <v>61</v>
      </c>
    </row>
    <row r="400" spans="1:58">
      <c r="A400" t="s">
        <v>58</v>
      </c>
      <c r="B400" t="s">
        <v>3355</v>
      </c>
      <c r="C400" t="s">
        <v>3356</v>
      </c>
      <c r="D400" t="s">
        <v>609</v>
      </c>
      <c r="E400" t="s">
        <v>61</v>
      </c>
      <c r="F400">
        <v>2014</v>
      </c>
      <c r="G400" t="s">
        <v>538</v>
      </c>
      <c r="H400">
        <v>13</v>
      </c>
      <c r="I400">
        <v>3</v>
      </c>
      <c r="J400">
        <v>391</v>
      </c>
      <c r="K400">
        <v>397</v>
      </c>
      <c r="L400" t="s">
        <v>3357</v>
      </c>
      <c r="M400" t="s">
        <v>3358</v>
      </c>
      <c r="N400" t="s">
        <v>3359</v>
      </c>
      <c r="O400" t="s">
        <v>61</v>
      </c>
      <c r="Q400" t="s">
        <v>61</v>
      </c>
      <c r="R400" t="s">
        <v>61</v>
      </c>
      <c r="S400" t="s">
        <v>61</v>
      </c>
      <c r="T400" t="s">
        <v>61</v>
      </c>
      <c r="X400" t="s">
        <v>61</v>
      </c>
      <c r="Y400" t="s">
        <v>3360</v>
      </c>
      <c r="Z400" t="s">
        <v>61</v>
      </c>
      <c r="AA400" t="s">
        <v>61</v>
      </c>
      <c r="AB400" t="s">
        <v>3361</v>
      </c>
      <c r="AC400" t="s">
        <v>67</v>
      </c>
      <c r="AD400" t="s">
        <v>61</v>
      </c>
      <c r="AE400" t="s">
        <v>61</v>
      </c>
      <c r="AF400" t="s">
        <v>61</v>
      </c>
      <c r="AG400" t="s">
        <v>61</v>
      </c>
      <c r="AH400" t="s">
        <v>61</v>
      </c>
      <c r="AI400" t="s">
        <v>61</v>
      </c>
      <c r="AJ400" t="s">
        <v>61</v>
      </c>
      <c r="AK400" t="s">
        <v>61</v>
      </c>
      <c r="AL400" t="s">
        <v>61</v>
      </c>
      <c r="AM400" t="s">
        <v>3356</v>
      </c>
      <c r="AN400" t="s">
        <v>61</v>
      </c>
      <c r="AO400" t="s">
        <v>61</v>
      </c>
      <c r="AP400" t="s">
        <v>61</v>
      </c>
      <c r="AQ400" t="s">
        <v>61</v>
      </c>
      <c r="AR400" t="s">
        <v>61</v>
      </c>
      <c r="AS400" t="s">
        <v>61</v>
      </c>
      <c r="AT400" t="s">
        <v>61</v>
      </c>
      <c r="AU400" t="s">
        <v>61</v>
      </c>
      <c r="AV400" t="s">
        <v>61</v>
      </c>
      <c r="AW400" t="s">
        <v>61</v>
      </c>
      <c r="AX400" t="s">
        <v>61</v>
      </c>
      <c r="AY400" t="s">
        <v>61</v>
      </c>
      <c r="AZ400" t="s">
        <v>61</v>
      </c>
      <c r="BA400" t="s">
        <v>61</v>
      </c>
      <c r="BB400" t="s">
        <v>61</v>
      </c>
      <c r="BC400" t="s">
        <v>61</v>
      </c>
      <c r="BD400" t="s">
        <v>61</v>
      </c>
      <c r="BE400" t="s">
        <v>61</v>
      </c>
      <c r="BF400" t="s">
        <v>61</v>
      </c>
    </row>
    <row r="401" spans="1:58">
      <c r="A401" t="s">
        <v>58</v>
      </c>
      <c r="B401" t="s">
        <v>3362</v>
      </c>
      <c r="C401" t="s">
        <v>3363</v>
      </c>
      <c r="D401" t="s">
        <v>84</v>
      </c>
      <c r="E401" t="s">
        <v>61</v>
      </c>
      <c r="F401">
        <v>2009</v>
      </c>
      <c r="G401" t="s">
        <v>61</v>
      </c>
      <c r="H401">
        <v>17</v>
      </c>
      <c r="I401" t="s">
        <v>61</v>
      </c>
      <c r="J401" t="s">
        <v>3364</v>
      </c>
      <c r="K401" t="s">
        <v>3365</v>
      </c>
      <c r="L401" t="s">
        <v>3366</v>
      </c>
      <c r="M401" t="s">
        <v>3367</v>
      </c>
      <c r="N401" t="s">
        <v>3368</v>
      </c>
      <c r="O401" t="s">
        <v>61</v>
      </c>
      <c r="Q401" t="s">
        <v>61</v>
      </c>
      <c r="R401" t="s">
        <v>61</v>
      </c>
      <c r="S401" t="s">
        <v>61</v>
      </c>
      <c r="T401" t="s">
        <v>61</v>
      </c>
      <c r="X401" t="s">
        <v>61</v>
      </c>
      <c r="Y401" t="s">
        <v>303</v>
      </c>
      <c r="Z401" t="s">
        <v>61</v>
      </c>
      <c r="AA401" t="s">
        <v>61</v>
      </c>
      <c r="AB401" t="s">
        <v>61</v>
      </c>
      <c r="AC401" t="s">
        <v>67</v>
      </c>
      <c r="AD401" t="s">
        <v>61</v>
      </c>
      <c r="AE401" t="s">
        <v>61</v>
      </c>
      <c r="AF401" t="s">
        <v>61</v>
      </c>
      <c r="AG401" t="s">
        <v>61</v>
      </c>
      <c r="AH401" t="s">
        <v>61</v>
      </c>
      <c r="AI401" t="s">
        <v>61</v>
      </c>
      <c r="AJ401" t="s">
        <v>61</v>
      </c>
      <c r="AK401" t="s">
        <v>61</v>
      </c>
      <c r="AL401" t="s">
        <v>61</v>
      </c>
      <c r="AM401" t="s">
        <v>3363</v>
      </c>
      <c r="AN401" t="s">
        <v>61</v>
      </c>
      <c r="AO401" t="s">
        <v>61</v>
      </c>
      <c r="AP401" t="s">
        <v>61</v>
      </c>
      <c r="AQ401" t="s">
        <v>61</v>
      </c>
      <c r="AR401" t="s">
        <v>61</v>
      </c>
      <c r="AS401" t="s">
        <v>61</v>
      </c>
      <c r="AT401" t="s">
        <v>61</v>
      </c>
      <c r="AU401" t="s">
        <v>61</v>
      </c>
      <c r="AV401" t="s">
        <v>61</v>
      </c>
      <c r="AW401" t="s">
        <v>61</v>
      </c>
      <c r="AX401" t="s">
        <v>61</v>
      </c>
      <c r="AY401" t="s">
        <v>61</v>
      </c>
      <c r="AZ401" t="s">
        <v>61</v>
      </c>
      <c r="BA401" t="s">
        <v>61</v>
      </c>
      <c r="BB401" t="s">
        <v>61</v>
      </c>
      <c r="BC401" t="s">
        <v>61</v>
      </c>
      <c r="BD401" t="s">
        <v>61</v>
      </c>
      <c r="BE401" t="s">
        <v>61</v>
      </c>
      <c r="BF401" t="s">
        <v>61</v>
      </c>
    </row>
    <row r="402" spans="1:58">
      <c r="A402" t="s">
        <v>58</v>
      </c>
      <c r="B402" t="s">
        <v>3369</v>
      </c>
      <c r="C402" t="s">
        <v>3370</v>
      </c>
      <c r="D402" t="s">
        <v>482</v>
      </c>
      <c r="E402" t="s">
        <v>61</v>
      </c>
      <c r="F402">
        <v>1995</v>
      </c>
      <c r="G402" t="s">
        <v>559</v>
      </c>
      <c r="H402">
        <v>38</v>
      </c>
      <c r="I402">
        <v>2</v>
      </c>
      <c r="J402">
        <v>95</v>
      </c>
      <c r="K402">
        <v>137</v>
      </c>
      <c r="L402" t="s">
        <v>3371</v>
      </c>
      <c r="M402" t="s">
        <v>3372</v>
      </c>
      <c r="N402" t="s">
        <v>3373</v>
      </c>
      <c r="O402" t="s">
        <v>61</v>
      </c>
      <c r="Q402" t="s">
        <v>61</v>
      </c>
      <c r="R402" t="s">
        <v>61</v>
      </c>
      <c r="S402" t="s">
        <v>61</v>
      </c>
      <c r="T402" t="s">
        <v>61</v>
      </c>
      <c r="X402" t="s">
        <v>61</v>
      </c>
      <c r="Y402" t="s">
        <v>486</v>
      </c>
      <c r="Z402" t="s">
        <v>61</v>
      </c>
      <c r="AA402" t="s">
        <v>3374</v>
      </c>
      <c r="AB402">
        <v>7671769</v>
      </c>
      <c r="AC402" t="s">
        <v>67</v>
      </c>
      <c r="AD402" t="s">
        <v>61</v>
      </c>
      <c r="AE402" t="s">
        <v>61</v>
      </c>
      <c r="AF402" t="s">
        <v>61</v>
      </c>
      <c r="AG402" t="s">
        <v>3375</v>
      </c>
      <c r="AH402" t="s">
        <v>61</v>
      </c>
      <c r="AI402" t="s">
        <v>61</v>
      </c>
      <c r="AJ402" t="s">
        <v>61</v>
      </c>
      <c r="AK402" t="s">
        <v>61</v>
      </c>
      <c r="AL402" t="s">
        <v>61</v>
      </c>
      <c r="AM402" t="s">
        <v>3376</v>
      </c>
      <c r="AN402" t="s">
        <v>61</v>
      </c>
      <c r="AO402" t="s">
        <v>61</v>
      </c>
      <c r="AP402" t="s">
        <v>61</v>
      </c>
      <c r="AQ402" t="s">
        <v>61</v>
      </c>
      <c r="AR402" t="s">
        <v>61</v>
      </c>
      <c r="AS402" t="s">
        <v>61</v>
      </c>
      <c r="AT402" t="s">
        <v>61</v>
      </c>
      <c r="AU402" t="s">
        <v>61</v>
      </c>
      <c r="AV402" t="s">
        <v>61</v>
      </c>
      <c r="AW402" t="s">
        <v>61</v>
      </c>
      <c r="AX402" t="s">
        <v>61</v>
      </c>
      <c r="AY402" t="s">
        <v>61</v>
      </c>
      <c r="AZ402" t="s">
        <v>61</v>
      </c>
      <c r="BA402" t="s">
        <v>61</v>
      </c>
      <c r="BB402" t="s">
        <v>61</v>
      </c>
      <c r="BC402" t="s">
        <v>61</v>
      </c>
      <c r="BD402" t="s">
        <v>61</v>
      </c>
      <c r="BE402" t="s">
        <v>61</v>
      </c>
      <c r="BF402" t="s">
        <v>61</v>
      </c>
    </row>
    <row r="403" spans="1:58">
      <c r="A403" t="s">
        <v>58</v>
      </c>
      <c r="B403" t="s">
        <v>3377</v>
      </c>
      <c r="C403" t="s">
        <v>3378</v>
      </c>
      <c r="D403" t="s">
        <v>428</v>
      </c>
      <c r="E403" t="s">
        <v>61</v>
      </c>
      <c r="F403">
        <v>2013</v>
      </c>
      <c r="G403" t="s">
        <v>457</v>
      </c>
      <c r="H403">
        <v>26</v>
      </c>
      <c r="I403">
        <v>3</v>
      </c>
      <c r="J403">
        <v>305</v>
      </c>
      <c r="K403" t="s">
        <v>61</v>
      </c>
      <c r="L403" t="s">
        <v>3379</v>
      </c>
      <c r="M403" t="s">
        <v>3380</v>
      </c>
      <c r="N403" t="s">
        <v>3381</v>
      </c>
      <c r="O403" t="s">
        <v>61</v>
      </c>
      <c r="Q403" t="s">
        <v>61</v>
      </c>
      <c r="R403" t="s">
        <v>61</v>
      </c>
      <c r="S403" t="s">
        <v>61</v>
      </c>
      <c r="T403" t="s">
        <v>61</v>
      </c>
      <c r="X403" t="s">
        <v>61</v>
      </c>
      <c r="Y403" t="s">
        <v>433</v>
      </c>
      <c r="Z403" t="s">
        <v>61</v>
      </c>
      <c r="AA403" t="s">
        <v>61</v>
      </c>
      <c r="AB403" t="s">
        <v>61</v>
      </c>
      <c r="AC403" t="s">
        <v>67</v>
      </c>
      <c r="AD403" t="s">
        <v>61</v>
      </c>
      <c r="AE403" t="s">
        <v>61</v>
      </c>
      <c r="AF403" t="s">
        <v>61</v>
      </c>
      <c r="AG403" t="s">
        <v>61</v>
      </c>
      <c r="AH403" t="s">
        <v>61</v>
      </c>
      <c r="AI403" t="s">
        <v>61</v>
      </c>
      <c r="AJ403" t="s">
        <v>61</v>
      </c>
      <c r="AK403" t="s">
        <v>61</v>
      </c>
      <c r="AL403" t="s">
        <v>61</v>
      </c>
      <c r="AM403" t="s">
        <v>3378</v>
      </c>
      <c r="AN403" t="s">
        <v>61</v>
      </c>
      <c r="AO403" t="s">
        <v>61</v>
      </c>
      <c r="AP403" t="s">
        <v>61</v>
      </c>
      <c r="AQ403" t="s">
        <v>61</v>
      </c>
      <c r="AR403" t="s">
        <v>61</v>
      </c>
      <c r="AS403" t="s">
        <v>61</v>
      </c>
      <c r="AT403" t="s">
        <v>61</v>
      </c>
      <c r="AU403" t="s">
        <v>61</v>
      </c>
      <c r="AV403" t="s">
        <v>61</v>
      </c>
      <c r="AW403" t="s">
        <v>61</v>
      </c>
      <c r="AX403" t="s">
        <v>61</v>
      </c>
      <c r="AY403" t="s">
        <v>61</v>
      </c>
      <c r="AZ403" t="s">
        <v>61</v>
      </c>
      <c r="BA403" t="s">
        <v>61</v>
      </c>
      <c r="BB403" t="s">
        <v>61</v>
      </c>
      <c r="BC403" t="s">
        <v>61</v>
      </c>
      <c r="BD403" t="s">
        <v>61</v>
      </c>
      <c r="BE403" t="s">
        <v>61</v>
      </c>
      <c r="BF403" t="s">
        <v>61</v>
      </c>
    </row>
    <row r="404" spans="1:58">
      <c r="A404" t="s">
        <v>58</v>
      </c>
      <c r="B404" t="s">
        <v>3382</v>
      </c>
      <c r="C404" t="s">
        <v>3383</v>
      </c>
      <c r="D404" t="s">
        <v>373</v>
      </c>
      <c r="E404" t="s">
        <v>61</v>
      </c>
      <c r="F404">
        <v>2009</v>
      </c>
      <c r="G404" t="s">
        <v>3384</v>
      </c>
      <c r="H404">
        <v>8</v>
      </c>
      <c r="I404">
        <v>4</v>
      </c>
      <c r="J404">
        <v>231</v>
      </c>
      <c r="K404">
        <v>239</v>
      </c>
      <c r="L404" t="s">
        <v>3385</v>
      </c>
      <c r="M404" t="s">
        <v>3386</v>
      </c>
      <c r="N404" t="s">
        <v>3387</v>
      </c>
      <c r="O404" t="s">
        <v>61</v>
      </c>
      <c r="Q404" t="s">
        <v>61</v>
      </c>
      <c r="R404" t="s">
        <v>61</v>
      </c>
      <c r="S404" t="s">
        <v>61</v>
      </c>
      <c r="T404" t="s">
        <v>61</v>
      </c>
      <c r="X404" t="s">
        <v>61</v>
      </c>
      <c r="Y404" t="s">
        <v>377</v>
      </c>
      <c r="Z404" t="s">
        <v>61</v>
      </c>
      <c r="AA404" t="s">
        <v>61</v>
      </c>
      <c r="AB404">
        <v>2010097692</v>
      </c>
      <c r="AC404" t="s">
        <v>67</v>
      </c>
      <c r="AD404" t="s">
        <v>61</v>
      </c>
      <c r="AE404" t="s">
        <v>61</v>
      </c>
      <c r="AF404" t="s">
        <v>61</v>
      </c>
      <c r="AG404" t="s">
        <v>61</v>
      </c>
      <c r="AH404" t="s">
        <v>61</v>
      </c>
      <c r="AI404" t="s">
        <v>61</v>
      </c>
      <c r="AJ404" t="s">
        <v>61</v>
      </c>
      <c r="AK404" t="s">
        <v>61</v>
      </c>
      <c r="AL404" t="s">
        <v>61</v>
      </c>
      <c r="AM404" t="s">
        <v>3383</v>
      </c>
      <c r="AN404" t="s">
        <v>61</v>
      </c>
      <c r="AO404" t="s">
        <v>61</v>
      </c>
      <c r="AP404" t="s">
        <v>61</v>
      </c>
      <c r="AQ404" t="s">
        <v>61</v>
      </c>
      <c r="AR404" t="s">
        <v>61</v>
      </c>
      <c r="AS404" t="s">
        <v>61</v>
      </c>
      <c r="AT404" t="s">
        <v>61</v>
      </c>
      <c r="AU404" t="s">
        <v>61</v>
      </c>
      <c r="AV404" t="s">
        <v>61</v>
      </c>
      <c r="AW404" t="s">
        <v>61</v>
      </c>
      <c r="AX404" t="s">
        <v>61</v>
      </c>
      <c r="AY404" t="s">
        <v>61</v>
      </c>
      <c r="AZ404" t="s">
        <v>61</v>
      </c>
      <c r="BA404" t="s">
        <v>61</v>
      </c>
      <c r="BB404" t="s">
        <v>61</v>
      </c>
      <c r="BC404" t="s">
        <v>61</v>
      </c>
      <c r="BD404" t="s">
        <v>61</v>
      </c>
      <c r="BE404" t="s">
        <v>61</v>
      </c>
      <c r="BF404" t="s">
        <v>61</v>
      </c>
    </row>
    <row r="405" spans="1:58">
      <c r="A405" t="s">
        <v>58</v>
      </c>
      <c r="B405" t="s">
        <v>3388</v>
      </c>
      <c r="C405" t="s">
        <v>3389</v>
      </c>
      <c r="D405" t="s">
        <v>3390</v>
      </c>
      <c r="E405" t="s">
        <v>3391</v>
      </c>
      <c r="F405">
        <v>2004</v>
      </c>
      <c r="G405" t="s">
        <v>280</v>
      </c>
      <c r="H405">
        <v>14</v>
      </c>
      <c r="I405">
        <v>4</v>
      </c>
      <c r="J405">
        <v>183</v>
      </c>
      <c r="K405">
        <v>186</v>
      </c>
      <c r="L405" t="s">
        <v>3392</v>
      </c>
      <c r="M405" t="s">
        <v>3393</v>
      </c>
      <c r="N405" t="s">
        <v>3394</v>
      </c>
      <c r="O405" t="s">
        <v>61</v>
      </c>
      <c r="Q405" t="s">
        <v>61</v>
      </c>
      <c r="R405" t="s">
        <v>61</v>
      </c>
      <c r="S405" t="s">
        <v>61</v>
      </c>
      <c r="T405" t="s">
        <v>61</v>
      </c>
      <c r="X405" t="s">
        <v>61</v>
      </c>
      <c r="Y405" t="s">
        <v>3395</v>
      </c>
      <c r="Z405" t="s">
        <v>61</v>
      </c>
      <c r="AA405" t="s">
        <v>3396</v>
      </c>
      <c r="AB405">
        <v>15564889</v>
      </c>
      <c r="AC405" t="s">
        <v>67</v>
      </c>
      <c r="AD405" t="s">
        <v>61</v>
      </c>
      <c r="AE405" t="s">
        <v>61</v>
      </c>
      <c r="AF405" t="s">
        <v>61</v>
      </c>
      <c r="AG405" t="s">
        <v>3397</v>
      </c>
      <c r="AH405" t="s">
        <v>61</v>
      </c>
      <c r="AI405" t="s">
        <v>61</v>
      </c>
      <c r="AJ405" t="s">
        <v>61</v>
      </c>
      <c r="AK405" t="s">
        <v>61</v>
      </c>
      <c r="AL405" t="s">
        <v>61</v>
      </c>
      <c r="AM405" t="s">
        <v>3398</v>
      </c>
      <c r="AN405" t="s">
        <v>61</v>
      </c>
      <c r="AO405" t="s">
        <v>61</v>
      </c>
      <c r="AP405" t="s">
        <v>61</v>
      </c>
      <c r="AQ405" t="s">
        <v>61</v>
      </c>
      <c r="AR405" t="s">
        <v>61</v>
      </c>
      <c r="AS405" t="s">
        <v>61</v>
      </c>
      <c r="AT405" t="s">
        <v>61</v>
      </c>
      <c r="AU405" t="s">
        <v>61</v>
      </c>
      <c r="AV405" t="s">
        <v>61</v>
      </c>
      <c r="AW405" t="s">
        <v>61</v>
      </c>
      <c r="AX405" t="s">
        <v>61</v>
      </c>
      <c r="AY405" t="s">
        <v>61</v>
      </c>
      <c r="AZ405" t="s">
        <v>61</v>
      </c>
      <c r="BA405" t="s">
        <v>61</v>
      </c>
      <c r="BB405" t="s">
        <v>61</v>
      </c>
      <c r="BC405" t="s">
        <v>61</v>
      </c>
      <c r="BD405" t="s">
        <v>61</v>
      </c>
      <c r="BE405" t="s">
        <v>61</v>
      </c>
      <c r="BF405" t="s">
        <v>61</v>
      </c>
    </row>
    <row r="406" spans="1:58">
      <c r="A406" t="s">
        <v>58</v>
      </c>
      <c r="B406" t="s">
        <v>3399</v>
      </c>
      <c r="C406" t="s">
        <v>3400</v>
      </c>
      <c r="D406" t="s">
        <v>3401</v>
      </c>
      <c r="E406" t="s">
        <v>61</v>
      </c>
      <c r="F406">
        <v>2005</v>
      </c>
      <c r="G406" t="s">
        <v>61</v>
      </c>
      <c r="H406">
        <v>7</v>
      </c>
      <c r="I406">
        <v>3</v>
      </c>
      <c r="J406" t="s">
        <v>3402</v>
      </c>
      <c r="K406">
        <v>86</v>
      </c>
      <c r="L406" t="s">
        <v>3403</v>
      </c>
      <c r="M406" t="s">
        <v>3404</v>
      </c>
      <c r="N406" t="s">
        <v>3405</v>
      </c>
      <c r="O406" t="s">
        <v>61</v>
      </c>
      <c r="Q406" t="s">
        <v>61</v>
      </c>
      <c r="R406" t="s">
        <v>61</v>
      </c>
      <c r="S406" t="s">
        <v>61</v>
      </c>
      <c r="T406" t="s">
        <v>61</v>
      </c>
      <c r="X406" t="s">
        <v>61</v>
      </c>
      <c r="Y406" t="s">
        <v>3406</v>
      </c>
      <c r="Z406" t="s">
        <v>61</v>
      </c>
      <c r="AA406" t="s">
        <v>3407</v>
      </c>
      <c r="AB406">
        <v>16353936</v>
      </c>
      <c r="AC406" t="s">
        <v>67</v>
      </c>
      <c r="AD406" t="s">
        <v>61</v>
      </c>
      <c r="AE406" t="s">
        <v>61</v>
      </c>
      <c r="AF406" t="s">
        <v>61</v>
      </c>
      <c r="AG406" t="s">
        <v>3408</v>
      </c>
      <c r="AH406" t="s">
        <v>61</v>
      </c>
      <c r="AI406" t="s">
        <v>61</v>
      </c>
      <c r="AJ406" t="s">
        <v>61</v>
      </c>
      <c r="AK406" t="s">
        <v>61</v>
      </c>
      <c r="AL406" t="s">
        <v>61</v>
      </c>
      <c r="AM406" t="s">
        <v>3409</v>
      </c>
      <c r="AN406" t="s">
        <v>61</v>
      </c>
      <c r="AO406" t="s">
        <v>61</v>
      </c>
      <c r="AP406" t="s">
        <v>61</v>
      </c>
      <c r="AQ406" t="s">
        <v>61</v>
      </c>
      <c r="AR406" t="s">
        <v>61</v>
      </c>
      <c r="AS406" t="s">
        <v>61</v>
      </c>
      <c r="AT406" t="s">
        <v>61</v>
      </c>
      <c r="AU406" t="s">
        <v>61</v>
      </c>
      <c r="AV406" t="s">
        <v>61</v>
      </c>
      <c r="AW406" t="s">
        <v>61</v>
      </c>
      <c r="AX406" t="s">
        <v>61</v>
      </c>
      <c r="AY406" t="s">
        <v>61</v>
      </c>
      <c r="AZ406" t="s">
        <v>61</v>
      </c>
      <c r="BA406" t="s">
        <v>61</v>
      </c>
      <c r="BB406" t="s">
        <v>61</v>
      </c>
      <c r="BC406" t="s">
        <v>61</v>
      </c>
      <c r="BD406" t="s">
        <v>61</v>
      </c>
      <c r="BE406" t="s">
        <v>61</v>
      </c>
      <c r="BF406" t="s">
        <v>61</v>
      </c>
    </row>
    <row r="407" spans="1:58">
      <c r="A407" t="s">
        <v>58</v>
      </c>
      <c r="B407" t="s">
        <v>3410</v>
      </c>
      <c r="C407" t="s">
        <v>3411</v>
      </c>
      <c r="D407" t="s">
        <v>3412</v>
      </c>
      <c r="E407" t="s">
        <v>61</v>
      </c>
      <c r="F407">
        <v>2005</v>
      </c>
      <c r="G407" t="s">
        <v>119</v>
      </c>
      <c r="H407">
        <v>5</v>
      </c>
      <c r="I407">
        <v>6</v>
      </c>
      <c r="J407">
        <v>773</v>
      </c>
      <c r="K407">
        <v>781</v>
      </c>
      <c r="L407" t="s">
        <v>3413</v>
      </c>
      <c r="M407" t="s">
        <v>3414</v>
      </c>
      <c r="N407" t="s">
        <v>3415</v>
      </c>
      <c r="O407" t="s">
        <v>61</v>
      </c>
      <c r="Q407" t="s">
        <v>61</v>
      </c>
      <c r="R407" t="s">
        <v>61</v>
      </c>
      <c r="S407" t="s">
        <v>61</v>
      </c>
      <c r="T407" t="s">
        <v>61</v>
      </c>
      <c r="X407" t="s">
        <v>61</v>
      </c>
      <c r="Y407" t="s">
        <v>3416</v>
      </c>
      <c r="Z407" t="s">
        <v>61</v>
      </c>
      <c r="AA407" t="s">
        <v>3417</v>
      </c>
      <c r="AB407">
        <v>15952908</v>
      </c>
      <c r="AC407" t="s">
        <v>67</v>
      </c>
      <c r="AD407" t="s">
        <v>61</v>
      </c>
      <c r="AE407" t="s">
        <v>61</v>
      </c>
      <c r="AF407" t="s">
        <v>61</v>
      </c>
      <c r="AG407" t="s">
        <v>3418</v>
      </c>
      <c r="AH407" t="s">
        <v>61</v>
      </c>
      <c r="AI407" t="s">
        <v>61</v>
      </c>
      <c r="AJ407" t="s">
        <v>61</v>
      </c>
      <c r="AK407" t="s">
        <v>61</v>
      </c>
      <c r="AL407" t="s">
        <v>61</v>
      </c>
      <c r="AM407" t="s">
        <v>3419</v>
      </c>
      <c r="AN407" t="s">
        <v>61</v>
      </c>
      <c r="AO407" t="s">
        <v>61</v>
      </c>
      <c r="AP407" t="s">
        <v>61</v>
      </c>
      <c r="AQ407" t="s">
        <v>61</v>
      </c>
      <c r="AR407" t="s">
        <v>61</v>
      </c>
      <c r="AS407" t="s">
        <v>61</v>
      </c>
      <c r="AT407" t="s">
        <v>61</v>
      </c>
      <c r="AU407" t="s">
        <v>61</v>
      </c>
      <c r="AV407" t="s">
        <v>61</v>
      </c>
      <c r="AW407" t="s">
        <v>61</v>
      </c>
      <c r="AX407" t="s">
        <v>61</v>
      </c>
      <c r="AY407" t="s">
        <v>61</v>
      </c>
      <c r="AZ407" t="s">
        <v>61</v>
      </c>
      <c r="BA407" t="s">
        <v>61</v>
      </c>
      <c r="BB407" t="s">
        <v>61</v>
      </c>
      <c r="BC407" t="s">
        <v>61</v>
      </c>
      <c r="BD407" t="s">
        <v>61</v>
      </c>
      <c r="BE407" t="s">
        <v>61</v>
      </c>
      <c r="BF407" t="s">
        <v>61</v>
      </c>
    </row>
    <row r="408" spans="1:58">
      <c r="A408" t="s">
        <v>58</v>
      </c>
      <c r="B408" t="s">
        <v>3420</v>
      </c>
      <c r="C408" t="s">
        <v>3421</v>
      </c>
      <c r="D408" t="s">
        <v>3422</v>
      </c>
      <c r="E408" t="s">
        <v>3423</v>
      </c>
      <c r="F408">
        <v>2008</v>
      </c>
      <c r="G408" t="s">
        <v>61</v>
      </c>
      <c r="H408">
        <v>42</v>
      </c>
      <c r="I408">
        <v>10</v>
      </c>
      <c r="J408">
        <v>1021</v>
      </c>
      <c r="K408" t="s">
        <v>3424</v>
      </c>
      <c r="L408" t="s">
        <v>3425</v>
      </c>
      <c r="M408" t="s">
        <v>3426</v>
      </c>
      <c r="N408" t="s">
        <v>3427</v>
      </c>
      <c r="O408" t="s">
        <v>61</v>
      </c>
      <c r="Q408" t="s">
        <v>61</v>
      </c>
      <c r="R408" t="s">
        <v>61</v>
      </c>
      <c r="S408" t="s">
        <v>61</v>
      </c>
      <c r="T408" t="s">
        <v>61</v>
      </c>
      <c r="X408" t="s">
        <v>61</v>
      </c>
      <c r="Y408" t="s">
        <v>3428</v>
      </c>
      <c r="Z408" t="s">
        <v>61</v>
      </c>
      <c r="AA408" t="s">
        <v>3429</v>
      </c>
      <c r="AB408">
        <v>105554505</v>
      </c>
      <c r="AC408" t="s">
        <v>67</v>
      </c>
      <c r="AD408" t="s">
        <v>61</v>
      </c>
      <c r="AE408" t="s">
        <v>61</v>
      </c>
      <c r="AF408" t="s">
        <v>61</v>
      </c>
      <c r="AG408" t="s">
        <v>3430</v>
      </c>
      <c r="AH408" t="s">
        <v>61</v>
      </c>
      <c r="AI408" t="s">
        <v>61</v>
      </c>
      <c r="AJ408" t="s">
        <v>61</v>
      </c>
      <c r="AK408" t="s">
        <v>61</v>
      </c>
      <c r="AL408" t="s">
        <v>61</v>
      </c>
      <c r="AM408" t="s">
        <v>3431</v>
      </c>
      <c r="AN408" t="s">
        <v>61</v>
      </c>
      <c r="AO408" t="s">
        <v>61</v>
      </c>
      <c r="AP408" t="s">
        <v>61</v>
      </c>
      <c r="AQ408" t="s">
        <v>61</v>
      </c>
      <c r="AR408" t="s">
        <v>61</v>
      </c>
      <c r="AS408" t="s">
        <v>61</v>
      </c>
      <c r="AT408" t="s">
        <v>61</v>
      </c>
      <c r="AU408" t="s">
        <v>61</v>
      </c>
      <c r="AV408" t="s">
        <v>61</v>
      </c>
      <c r="AW408" t="s">
        <v>61</v>
      </c>
      <c r="AX408" t="s">
        <v>61</v>
      </c>
      <c r="AY408" t="s">
        <v>61</v>
      </c>
      <c r="AZ408" t="s">
        <v>61</v>
      </c>
      <c r="BA408" t="s">
        <v>61</v>
      </c>
      <c r="BB408" t="s">
        <v>61</v>
      </c>
      <c r="BC408" t="s">
        <v>61</v>
      </c>
      <c r="BD408" t="s">
        <v>61</v>
      </c>
      <c r="BE408" t="s">
        <v>61</v>
      </c>
      <c r="BF408" t="s">
        <v>61</v>
      </c>
    </row>
    <row r="409" spans="1:58">
      <c r="A409" t="s">
        <v>58</v>
      </c>
      <c r="B409" t="s">
        <v>3432</v>
      </c>
      <c r="C409" t="s">
        <v>3433</v>
      </c>
      <c r="D409" t="s">
        <v>428</v>
      </c>
      <c r="E409" t="s">
        <v>61</v>
      </c>
      <c r="F409">
        <v>2011</v>
      </c>
      <c r="G409" t="s">
        <v>429</v>
      </c>
      <c r="H409">
        <v>24</v>
      </c>
      <c r="I409">
        <v>2</v>
      </c>
      <c r="J409">
        <v>280</v>
      </c>
      <c r="K409">
        <v>281</v>
      </c>
      <c r="L409" t="s">
        <v>3434</v>
      </c>
      <c r="M409" t="s">
        <v>3435</v>
      </c>
      <c r="N409" t="s">
        <v>3436</v>
      </c>
      <c r="O409" t="s">
        <v>61</v>
      </c>
      <c r="Q409" t="s">
        <v>61</v>
      </c>
      <c r="R409" t="s">
        <v>61</v>
      </c>
      <c r="S409" t="s">
        <v>61</v>
      </c>
      <c r="T409" t="s">
        <v>61</v>
      </c>
      <c r="X409" t="s">
        <v>61</v>
      </c>
      <c r="Y409" t="s">
        <v>433</v>
      </c>
      <c r="Z409" t="s">
        <v>61</v>
      </c>
      <c r="AA409" t="s">
        <v>61</v>
      </c>
      <c r="AB409" t="s">
        <v>61</v>
      </c>
      <c r="AC409" t="s">
        <v>67</v>
      </c>
      <c r="AD409" t="s">
        <v>61</v>
      </c>
      <c r="AE409" t="s">
        <v>61</v>
      </c>
      <c r="AF409" t="s">
        <v>61</v>
      </c>
      <c r="AG409" t="s">
        <v>61</v>
      </c>
      <c r="AH409" t="s">
        <v>61</v>
      </c>
      <c r="AI409" t="s">
        <v>61</v>
      </c>
      <c r="AJ409" t="s">
        <v>61</v>
      </c>
      <c r="AK409" t="s">
        <v>61</v>
      </c>
      <c r="AL409" t="s">
        <v>61</v>
      </c>
      <c r="AM409" t="s">
        <v>3433</v>
      </c>
      <c r="AN409" t="s">
        <v>61</v>
      </c>
      <c r="AO409" t="s">
        <v>61</v>
      </c>
      <c r="AP409" t="s">
        <v>61</v>
      </c>
      <c r="AQ409" t="s">
        <v>61</v>
      </c>
      <c r="AR409" t="s">
        <v>61</v>
      </c>
      <c r="AS409" t="s">
        <v>61</v>
      </c>
      <c r="AT409" t="s">
        <v>61</v>
      </c>
      <c r="AU409" t="s">
        <v>61</v>
      </c>
      <c r="AV409" t="s">
        <v>61</v>
      </c>
      <c r="AW409" t="s">
        <v>61</v>
      </c>
      <c r="AX409" t="s">
        <v>61</v>
      </c>
      <c r="AY409" t="s">
        <v>61</v>
      </c>
      <c r="AZ409" t="s">
        <v>61</v>
      </c>
      <c r="BA409" t="s">
        <v>61</v>
      </c>
      <c r="BB409" t="s">
        <v>61</v>
      </c>
      <c r="BC409" t="s">
        <v>61</v>
      </c>
      <c r="BD409" t="s">
        <v>61</v>
      </c>
      <c r="BE409" t="s">
        <v>61</v>
      </c>
      <c r="BF409" t="s">
        <v>61</v>
      </c>
    </row>
    <row r="410" spans="1:58">
      <c r="A410" t="s">
        <v>58</v>
      </c>
      <c r="B410" t="s">
        <v>3437</v>
      </c>
      <c r="C410" t="s">
        <v>3438</v>
      </c>
      <c r="D410" t="s">
        <v>408</v>
      </c>
      <c r="E410" t="s">
        <v>408</v>
      </c>
      <c r="F410">
        <v>2016</v>
      </c>
      <c r="G410">
        <v>1</v>
      </c>
      <c r="H410">
        <v>36</v>
      </c>
      <c r="I410">
        <v>2</v>
      </c>
      <c r="J410">
        <v>141</v>
      </c>
      <c r="K410">
        <v>151</v>
      </c>
      <c r="L410" t="s">
        <v>3439</v>
      </c>
      <c r="M410" t="s">
        <v>3440</v>
      </c>
      <c r="N410" t="s">
        <v>3441</v>
      </c>
      <c r="O410" t="s">
        <v>61</v>
      </c>
      <c r="Q410" t="s">
        <v>61</v>
      </c>
      <c r="R410" t="s">
        <v>61</v>
      </c>
      <c r="S410" t="s">
        <v>61</v>
      </c>
      <c r="T410" t="s">
        <v>61</v>
      </c>
      <c r="X410" t="s">
        <v>61</v>
      </c>
      <c r="Y410" t="s">
        <v>3442</v>
      </c>
      <c r="Z410" t="s">
        <v>61</v>
      </c>
      <c r="AA410" t="s">
        <v>61</v>
      </c>
      <c r="AB410" t="s">
        <v>3443</v>
      </c>
      <c r="AC410" t="s">
        <v>67</v>
      </c>
      <c r="AD410" t="s">
        <v>61</v>
      </c>
      <c r="AE410" t="s">
        <v>61</v>
      </c>
      <c r="AF410" t="s">
        <v>61</v>
      </c>
      <c r="AG410" t="s">
        <v>61</v>
      </c>
      <c r="AH410" t="s">
        <v>61</v>
      </c>
      <c r="AI410" t="s">
        <v>61</v>
      </c>
      <c r="AJ410" t="s">
        <v>61</v>
      </c>
      <c r="AK410" t="s">
        <v>61</v>
      </c>
      <c r="AL410" t="s">
        <v>61</v>
      </c>
      <c r="AM410" t="s">
        <v>3438</v>
      </c>
      <c r="AN410" t="s">
        <v>61</v>
      </c>
      <c r="AO410" t="s">
        <v>61</v>
      </c>
      <c r="AP410" t="s">
        <v>61</v>
      </c>
      <c r="AQ410" t="s">
        <v>61</v>
      </c>
      <c r="AR410" t="s">
        <v>61</v>
      </c>
      <c r="AS410" t="s">
        <v>61</v>
      </c>
      <c r="AT410" t="s">
        <v>61</v>
      </c>
      <c r="AU410" t="s">
        <v>61</v>
      </c>
      <c r="AV410" t="s">
        <v>61</v>
      </c>
      <c r="AW410" t="s">
        <v>61</v>
      </c>
      <c r="AX410" t="s">
        <v>61</v>
      </c>
      <c r="AY410" t="s">
        <v>61</v>
      </c>
      <c r="AZ410" t="s">
        <v>61</v>
      </c>
      <c r="BA410" t="s">
        <v>61</v>
      </c>
      <c r="BB410" t="s">
        <v>61</v>
      </c>
      <c r="BC410" t="s">
        <v>61</v>
      </c>
      <c r="BD410" t="s">
        <v>61</v>
      </c>
      <c r="BE410" t="s">
        <v>61</v>
      </c>
      <c r="BF410" t="s">
        <v>61</v>
      </c>
    </row>
    <row r="411" spans="1:58">
      <c r="A411" t="s">
        <v>58</v>
      </c>
      <c r="B411" t="s">
        <v>3444</v>
      </c>
      <c r="C411" t="s">
        <v>3445</v>
      </c>
      <c r="D411" t="s">
        <v>3446</v>
      </c>
      <c r="E411" t="s">
        <v>61</v>
      </c>
      <c r="F411">
        <v>2014</v>
      </c>
      <c r="G411" t="s">
        <v>61</v>
      </c>
      <c r="H411">
        <v>28</v>
      </c>
      <c r="I411">
        <v>6</v>
      </c>
      <c r="J411">
        <v>576</v>
      </c>
      <c r="K411" t="s">
        <v>3447</v>
      </c>
      <c r="L411" t="s">
        <v>3448</v>
      </c>
      <c r="M411" t="s">
        <v>3449</v>
      </c>
      <c r="N411" t="s">
        <v>3450</v>
      </c>
      <c r="O411" t="s">
        <v>61</v>
      </c>
      <c r="Q411" t="s">
        <v>61</v>
      </c>
      <c r="R411" t="s">
        <v>61</v>
      </c>
      <c r="S411" t="s">
        <v>61</v>
      </c>
      <c r="T411" t="s">
        <v>61</v>
      </c>
      <c r="X411" t="s">
        <v>61</v>
      </c>
      <c r="Y411" t="s">
        <v>3451</v>
      </c>
      <c r="Z411" t="s">
        <v>61</v>
      </c>
      <c r="AA411" t="s">
        <v>61</v>
      </c>
      <c r="AB411">
        <v>103901390</v>
      </c>
      <c r="AC411" t="s">
        <v>67</v>
      </c>
      <c r="AD411" t="s">
        <v>61</v>
      </c>
      <c r="AE411" t="s">
        <v>61</v>
      </c>
      <c r="AF411" t="s">
        <v>61</v>
      </c>
      <c r="AG411" t="s">
        <v>3452</v>
      </c>
      <c r="AH411" t="s">
        <v>61</v>
      </c>
      <c r="AI411" t="s">
        <v>3453</v>
      </c>
      <c r="AJ411" t="s">
        <v>61</v>
      </c>
      <c r="AK411" t="s">
        <v>61</v>
      </c>
      <c r="AL411" t="s">
        <v>61</v>
      </c>
      <c r="AM411" t="s">
        <v>3454</v>
      </c>
      <c r="AN411" t="s">
        <v>61</v>
      </c>
      <c r="AO411" t="s">
        <v>61</v>
      </c>
      <c r="AP411" t="s">
        <v>61</v>
      </c>
      <c r="AQ411" t="s">
        <v>61</v>
      </c>
      <c r="AR411" t="s">
        <v>61</v>
      </c>
      <c r="AS411" t="s">
        <v>61</v>
      </c>
      <c r="AT411" t="s">
        <v>61</v>
      </c>
      <c r="AU411" t="s">
        <v>61</v>
      </c>
      <c r="AV411" t="s">
        <v>61</v>
      </c>
      <c r="AW411" t="s">
        <v>61</v>
      </c>
      <c r="AX411" t="s">
        <v>61</v>
      </c>
      <c r="AY411" t="s">
        <v>61</v>
      </c>
      <c r="AZ411" t="s">
        <v>61</v>
      </c>
      <c r="BA411" t="s">
        <v>61</v>
      </c>
      <c r="BB411" t="s">
        <v>61</v>
      </c>
      <c r="BC411" t="s">
        <v>61</v>
      </c>
      <c r="BD411" t="s">
        <v>61</v>
      </c>
      <c r="BE411" t="s">
        <v>61</v>
      </c>
      <c r="BF411" t="s">
        <v>61</v>
      </c>
    </row>
    <row r="412" spans="1:58">
      <c r="A412" t="s">
        <v>58</v>
      </c>
      <c r="B412" t="s">
        <v>3455</v>
      </c>
      <c r="C412" t="s">
        <v>3456</v>
      </c>
      <c r="D412" t="s">
        <v>408</v>
      </c>
      <c r="E412" t="s">
        <v>408</v>
      </c>
      <c r="F412">
        <v>2015</v>
      </c>
      <c r="G412" t="s">
        <v>409</v>
      </c>
      <c r="H412">
        <v>35</v>
      </c>
      <c r="I412">
        <v>11</v>
      </c>
      <c r="J412" t="s">
        <v>3457</v>
      </c>
      <c r="K412" t="s">
        <v>61</v>
      </c>
      <c r="L412" t="s">
        <v>3458</v>
      </c>
      <c r="M412" t="s">
        <v>3459</v>
      </c>
      <c r="N412" t="s">
        <v>3460</v>
      </c>
      <c r="O412" t="s">
        <v>61</v>
      </c>
      <c r="Q412" t="s">
        <v>61</v>
      </c>
      <c r="R412" t="s">
        <v>61</v>
      </c>
      <c r="S412" t="s">
        <v>61</v>
      </c>
      <c r="T412" t="s">
        <v>61</v>
      </c>
      <c r="X412" t="s">
        <v>61</v>
      </c>
      <c r="Y412" t="s">
        <v>414</v>
      </c>
      <c r="Z412" t="s">
        <v>61</v>
      </c>
      <c r="AA412" t="s">
        <v>61</v>
      </c>
      <c r="AB412" t="s">
        <v>61</v>
      </c>
      <c r="AC412" t="s">
        <v>67</v>
      </c>
      <c r="AD412" t="s">
        <v>61</v>
      </c>
      <c r="AE412" t="s">
        <v>61</v>
      </c>
      <c r="AF412" t="s">
        <v>61</v>
      </c>
      <c r="AG412" t="s">
        <v>61</v>
      </c>
      <c r="AH412" t="s">
        <v>61</v>
      </c>
      <c r="AI412" t="s">
        <v>61</v>
      </c>
      <c r="AJ412" t="s">
        <v>61</v>
      </c>
      <c r="AK412" t="s">
        <v>61</v>
      </c>
      <c r="AL412" t="s">
        <v>61</v>
      </c>
      <c r="AM412" t="s">
        <v>3456</v>
      </c>
      <c r="AN412" t="s">
        <v>61</v>
      </c>
      <c r="AO412" t="s">
        <v>61</v>
      </c>
      <c r="AP412" t="s">
        <v>61</v>
      </c>
      <c r="AQ412" t="s">
        <v>61</v>
      </c>
      <c r="AR412" t="s">
        <v>61</v>
      </c>
      <c r="AS412" t="s">
        <v>61</v>
      </c>
      <c r="AT412" t="s">
        <v>61</v>
      </c>
      <c r="AU412" t="s">
        <v>61</v>
      </c>
      <c r="AV412" t="s">
        <v>61</v>
      </c>
      <c r="AW412" t="s">
        <v>61</v>
      </c>
      <c r="AX412" t="s">
        <v>61</v>
      </c>
      <c r="AY412" t="s">
        <v>61</v>
      </c>
      <c r="AZ412" t="s">
        <v>61</v>
      </c>
      <c r="BA412" t="s">
        <v>61</v>
      </c>
      <c r="BB412" t="s">
        <v>61</v>
      </c>
      <c r="BC412" t="s">
        <v>61</v>
      </c>
      <c r="BD412" t="s">
        <v>61</v>
      </c>
      <c r="BE412" t="s">
        <v>61</v>
      </c>
      <c r="BF412" t="s">
        <v>61</v>
      </c>
    </row>
    <row r="413" spans="1:58">
      <c r="A413" t="s">
        <v>58</v>
      </c>
      <c r="B413" t="s">
        <v>3461</v>
      </c>
      <c r="C413" t="s">
        <v>3462</v>
      </c>
      <c r="D413" t="s">
        <v>1085</v>
      </c>
      <c r="E413" t="s">
        <v>1086</v>
      </c>
      <c r="F413">
        <v>1994</v>
      </c>
      <c r="G413" t="s">
        <v>391</v>
      </c>
      <c r="H413">
        <v>28</v>
      </c>
      <c r="I413">
        <v>3</v>
      </c>
      <c r="J413">
        <v>390</v>
      </c>
      <c r="K413">
        <v>391</v>
      </c>
      <c r="L413" t="s">
        <v>3463</v>
      </c>
      <c r="M413" t="s">
        <v>61</v>
      </c>
      <c r="N413" t="s">
        <v>3464</v>
      </c>
      <c r="O413" t="s">
        <v>61</v>
      </c>
      <c r="Q413" t="s">
        <v>61</v>
      </c>
      <c r="R413" t="s">
        <v>61</v>
      </c>
      <c r="S413" t="s">
        <v>61</v>
      </c>
      <c r="T413" t="s">
        <v>61</v>
      </c>
      <c r="X413" t="s">
        <v>61</v>
      </c>
      <c r="Y413" t="s">
        <v>3286</v>
      </c>
      <c r="Z413" t="s">
        <v>61</v>
      </c>
      <c r="AA413" t="s">
        <v>61</v>
      </c>
      <c r="AB413">
        <v>8193432</v>
      </c>
      <c r="AC413" t="s">
        <v>67</v>
      </c>
      <c r="AD413" t="s">
        <v>61</v>
      </c>
      <c r="AE413" t="s">
        <v>61</v>
      </c>
      <c r="AF413" t="s">
        <v>61</v>
      </c>
      <c r="AG413" t="s">
        <v>3465</v>
      </c>
      <c r="AH413" t="s">
        <v>61</v>
      </c>
      <c r="AI413" t="s">
        <v>61</v>
      </c>
      <c r="AJ413" t="s">
        <v>61</v>
      </c>
      <c r="AK413" t="s">
        <v>61</v>
      </c>
      <c r="AL413" t="s">
        <v>61</v>
      </c>
      <c r="AM413" t="s">
        <v>3466</v>
      </c>
      <c r="AN413" t="s">
        <v>61</v>
      </c>
      <c r="AO413" t="s">
        <v>61</v>
      </c>
      <c r="AP413" t="s">
        <v>61</v>
      </c>
      <c r="AQ413" t="s">
        <v>61</v>
      </c>
      <c r="AR413" t="s">
        <v>61</v>
      </c>
      <c r="AS413" t="s">
        <v>61</v>
      </c>
      <c r="AT413" t="s">
        <v>61</v>
      </c>
      <c r="AU413" t="s">
        <v>61</v>
      </c>
      <c r="AV413" t="s">
        <v>61</v>
      </c>
      <c r="AW413" t="s">
        <v>61</v>
      </c>
      <c r="AX413" t="s">
        <v>61</v>
      </c>
      <c r="AY413" t="s">
        <v>61</v>
      </c>
      <c r="AZ413" t="s">
        <v>61</v>
      </c>
      <c r="BA413" t="s">
        <v>61</v>
      </c>
      <c r="BB413" t="s">
        <v>61</v>
      </c>
      <c r="BC413" t="s">
        <v>61</v>
      </c>
      <c r="BD413" t="s">
        <v>61</v>
      </c>
      <c r="BE413" t="s">
        <v>61</v>
      </c>
      <c r="BF413" t="s">
        <v>61</v>
      </c>
    </row>
    <row r="414" spans="1:58">
      <c r="A414" t="s">
        <v>58</v>
      </c>
      <c r="B414" t="s">
        <v>3467</v>
      </c>
      <c r="C414" t="s">
        <v>3468</v>
      </c>
      <c r="D414" t="s">
        <v>3469</v>
      </c>
      <c r="E414" t="s">
        <v>61</v>
      </c>
      <c r="F414">
        <v>2011</v>
      </c>
      <c r="G414" t="s">
        <v>119</v>
      </c>
      <c r="H414">
        <v>83</v>
      </c>
      <c r="I414">
        <v>3</v>
      </c>
      <c r="J414">
        <v>367</v>
      </c>
      <c r="K414">
        <v>374</v>
      </c>
      <c r="L414" t="s">
        <v>3470</v>
      </c>
      <c r="M414" t="s">
        <v>3471</v>
      </c>
      <c r="N414" t="s">
        <v>3472</v>
      </c>
      <c r="O414" t="s">
        <v>61</v>
      </c>
      <c r="Q414" t="s">
        <v>61</v>
      </c>
      <c r="R414" t="s">
        <v>61</v>
      </c>
      <c r="S414" t="s">
        <v>61</v>
      </c>
      <c r="T414" t="s">
        <v>61</v>
      </c>
      <c r="X414" t="s">
        <v>61</v>
      </c>
      <c r="Y414" t="s">
        <v>3473</v>
      </c>
      <c r="Z414" t="s">
        <v>61</v>
      </c>
      <c r="AA414" t="s">
        <v>3474</v>
      </c>
      <c r="AB414">
        <v>21482061</v>
      </c>
      <c r="AC414" t="s">
        <v>67</v>
      </c>
      <c r="AD414" t="s">
        <v>61</v>
      </c>
      <c r="AE414" t="s">
        <v>61</v>
      </c>
      <c r="AF414" t="s">
        <v>61</v>
      </c>
      <c r="AG414" t="s">
        <v>3475</v>
      </c>
      <c r="AH414" t="s">
        <v>61</v>
      </c>
      <c r="AI414" t="s">
        <v>3476</v>
      </c>
      <c r="AJ414" t="s">
        <v>61</v>
      </c>
      <c r="AK414" t="s">
        <v>61</v>
      </c>
      <c r="AL414" t="s">
        <v>61</v>
      </c>
      <c r="AM414" t="s">
        <v>3477</v>
      </c>
      <c r="AN414" t="s">
        <v>61</v>
      </c>
      <c r="AO414" t="s">
        <v>61</v>
      </c>
      <c r="AP414" t="s">
        <v>61</v>
      </c>
      <c r="AQ414" t="s">
        <v>61</v>
      </c>
      <c r="AR414" t="s">
        <v>61</v>
      </c>
      <c r="AS414" t="s">
        <v>61</v>
      </c>
      <c r="AT414" t="s">
        <v>61</v>
      </c>
      <c r="AU414" t="s">
        <v>61</v>
      </c>
      <c r="AV414" t="s">
        <v>61</v>
      </c>
      <c r="AW414" t="s">
        <v>61</v>
      </c>
      <c r="AX414" t="s">
        <v>61</v>
      </c>
      <c r="AY414" t="s">
        <v>61</v>
      </c>
      <c r="AZ414" t="s">
        <v>61</v>
      </c>
      <c r="BA414" t="s">
        <v>61</v>
      </c>
      <c r="BB414" t="s">
        <v>61</v>
      </c>
      <c r="BC414" t="s">
        <v>61</v>
      </c>
      <c r="BD414" t="s">
        <v>61</v>
      </c>
      <c r="BE414" t="s">
        <v>61</v>
      </c>
      <c r="BF414" t="s">
        <v>61</v>
      </c>
    </row>
    <row r="415" spans="1:58">
      <c r="A415" t="s">
        <v>58</v>
      </c>
      <c r="B415" t="s">
        <v>3478</v>
      </c>
      <c r="C415" t="s">
        <v>3479</v>
      </c>
      <c r="D415" t="s">
        <v>1151</v>
      </c>
      <c r="E415" t="s">
        <v>61</v>
      </c>
      <c r="F415">
        <v>2002</v>
      </c>
      <c r="G415" t="s">
        <v>1152</v>
      </c>
      <c r="H415">
        <v>23</v>
      </c>
      <c r="I415">
        <v>3</v>
      </c>
      <c r="J415">
        <v>263</v>
      </c>
      <c r="K415">
        <v>271</v>
      </c>
      <c r="L415" t="s">
        <v>3480</v>
      </c>
      <c r="M415" t="s">
        <v>61</v>
      </c>
      <c r="N415" t="s">
        <v>3481</v>
      </c>
      <c r="O415" t="s">
        <v>61</v>
      </c>
      <c r="Q415" t="s">
        <v>61</v>
      </c>
      <c r="R415" t="s">
        <v>61</v>
      </c>
      <c r="S415" t="s">
        <v>61</v>
      </c>
      <c r="T415" t="s">
        <v>61</v>
      </c>
      <c r="X415" t="s">
        <v>61</v>
      </c>
      <c r="Y415" t="s">
        <v>1156</v>
      </c>
      <c r="Z415" t="s">
        <v>61</v>
      </c>
      <c r="AA415" t="s">
        <v>3482</v>
      </c>
      <c r="AB415">
        <v>23581000</v>
      </c>
      <c r="AC415" t="s">
        <v>67</v>
      </c>
      <c r="AD415" t="s">
        <v>61</v>
      </c>
      <c r="AE415" t="s">
        <v>61</v>
      </c>
      <c r="AF415" t="s">
        <v>61</v>
      </c>
      <c r="AG415" t="s">
        <v>3483</v>
      </c>
      <c r="AH415" t="s">
        <v>61</v>
      </c>
      <c r="AI415" t="s">
        <v>61</v>
      </c>
      <c r="AJ415" t="s">
        <v>61</v>
      </c>
      <c r="AK415" t="s">
        <v>61</v>
      </c>
      <c r="AL415" t="s">
        <v>61</v>
      </c>
      <c r="AM415" t="s">
        <v>3484</v>
      </c>
      <c r="AN415" t="s">
        <v>61</v>
      </c>
      <c r="AO415" t="s">
        <v>61</v>
      </c>
      <c r="AP415" t="s">
        <v>61</v>
      </c>
      <c r="AQ415" t="s">
        <v>61</v>
      </c>
      <c r="AR415" t="s">
        <v>61</v>
      </c>
      <c r="AS415" t="s">
        <v>61</v>
      </c>
      <c r="AT415" t="s">
        <v>61</v>
      </c>
      <c r="AU415" t="s">
        <v>61</v>
      </c>
      <c r="AV415" t="s">
        <v>61</v>
      </c>
      <c r="AW415" t="s">
        <v>61</v>
      </c>
      <c r="AX415" t="s">
        <v>61</v>
      </c>
      <c r="AY415" t="s">
        <v>61</v>
      </c>
      <c r="AZ415" t="s">
        <v>61</v>
      </c>
      <c r="BA415" t="s">
        <v>61</v>
      </c>
      <c r="BB415" t="s">
        <v>61</v>
      </c>
      <c r="BC415" t="s">
        <v>61</v>
      </c>
      <c r="BD415" t="s">
        <v>61</v>
      </c>
      <c r="BE415" t="s">
        <v>61</v>
      </c>
      <c r="BF415" t="s">
        <v>61</v>
      </c>
    </row>
    <row r="416" spans="1:58">
      <c r="A416" t="s">
        <v>58</v>
      </c>
      <c r="B416" t="s">
        <v>3485</v>
      </c>
      <c r="C416" t="s">
        <v>3486</v>
      </c>
      <c r="D416" t="s">
        <v>2087</v>
      </c>
      <c r="E416" t="s">
        <v>2088</v>
      </c>
      <c r="F416">
        <v>1987</v>
      </c>
      <c r="G416" t="s">
        <v>61</v>
      </c>
      <c r="H416">
        <v>6</v>
      </c>
      <c r="I416">
        <v>3</v>
      </c>
      <c r="J416">
        <v>196</v>
      </c>
      <c r="K416">
        <v>215</v>
      </c>
      <c r="L416" t="s">
        <v>3487</v>
      </c>
      <c r="M416" t="s">
        <v>3488</v>
      </c>
      <c r="N416" t="s">
        <v>3489</v>
      </c>
      <c r="O416" t="s">
        <v>61</v>
      </c>
      <c r="Q416" t="s">
        <v>61</v>
      </c>
      <c r="R416" t="s">
        <v>61</v>
      </c>
      <c r="S416" t="s">
        <v>61</v>
      </c>
      <c r="T416" t="s">
        <v>61</v>
      </c>
      <c r="X416" t="s">
        <v>61</v>
      </c>
      <c r="Y416" t="s">
        <v>2092</v>
      </c>
      <c r="Z416" t="s">
        <v>61</v>
      </c>
      <c r="AA416" t="s">
        <v>61</v>
      </c>
      <c r="AB416">
        <v>1987114727</v>
      </c>
      <c r="AC416" t="s">
        <v>67</v>
      </c>
      <c r="AD416" t="s">
        <v>61</v>
      </c>
      <c r="AE416" t="s">
        <v>61</v>
      </c>
      <c r="AF416" t="s">
        <v>61</v>
      </c>
      <c r="AG416" t="s">
        <v>3490</v>
      </c>
      <c r="AH416" t="s">
        <v>61</v>
      </c>
      <c r="AI416" t="s">
        <v>61</v>
      </c>
      <c r="AJ416" t="s">
        <v>61</v>
      </c>
      <c r="AK416" t="s">
        <v>61</v>
      </c>
      <c r="AL416" t="s">
        <v>61</v>
      </c>
      <c r="AM416" t="s">
        <v>3491</v>
      </c>
      <c r="AN416" t="s">
        <v>61</v>
      </c>
      <c r="AO416" t="s">
        <v>61</v>
      </c>
      <c r="AP416" t="s">
        <v>61</v>
      </c>
      <c r="AQ416" t="s">
        <v>61</v>
      </c>
      <c r="AR416" t="s">
        <v>61</v>
      </c>
      <c r="AS416" t="s">
        <v>61</v>
      </c>
      <c r="AT416" t="s">
        <v>61</v>
      </c>
      <c r="AU416" t="s">
        <v>61</v>
      </c>
      <c r="AV416" t="s">
        <v>61</v>
      </c>
      <c r="AW416" t="s">
        <v>61</v>
      </c>
      <c r="AX416" t="s">
        <v>61</v>
      </c>
      <c r="AY416" t="s">
        <v>61</v>
      </c>
      <c r="AZ416" t="s">
        <v>61</v>
      </c>
      <c r="BA416" t="s">
        <v>61</v>
      </c>
      <c r="BB416" t="s">
        <v>61</v>
      </c>
      <c r="BC416" t="s">
        <v>61</v>
      </c>
      <c r="BD416" t="s">
        <v>61</v>
      </c>
      <c r="BE416" t="s">
        <v>61</v>
      </c>
      <c r="BF416" t="s">
        <v>61</v>
      </c>
    </row>
    <row r="417" spans="1:58">
      <c r="A417" t="s">
        <v>58</v>
      </c>
      <c r="B417" t="s">
        <v>3492</v>
      </c>
      <c r="C417" t="s">
        <v>3493</v>
      </c>
      <c r="D417" t="s">
        <v>876</v>
      </c>
      <c r="E417" t="s">
        <v>877</v>
      </c>
      <c r="F417">
        <v>2009</v>
      </c>
      <c r="G417" s="1">
        <v>42419</v>
      </c>
      <c r="H417">
        <v>73</v>
      </c>
      <c r="I417">
        <v>1</v>
      </c>
      <c r="J417">
        <v>11</v>
      </c>
      <c r="K417" t="s">
        <v>61</v>
      </c>
      <c r="L417" t="s">
        <v>3494</v>
      </c>
      <c r="M417" t="s">
        <v>3495</v>
      </c>
      <c r="N417" t="s">
        <v>3496</v>
      </c>
      <c r="O417" t="s">
        <v>61</v>
      </c>
      <c r="Q417" t="s">
        <v>61</v>
      </c>
      <c r="R417" t="s">
        <v>61</v>
      </c>
      <c r="S417" t="s">
        <v>61</v>
      </c>
      <c r="T417" t="s">
        <v>61</v>
      </c>
      <c r="X417" t="s">
        <v>61</v>
      </c>
      <c r="Y417" t="s">
        <v>881</v>
      </c>
      <c r="Z417" t="s">
        <v>61</v>
      </c>
      <c r="AA417" t="s">
        <v>3497</v>
      </c>
      <c r="AB417">
        <v>19513148</v>
      </c>
      <c r="AC417" t="s">
        <v>67</v>
      </c>
      <c r="AD417" t="s">
        <v>61</v>
      </c>
      <c r="AE417" t="s">
        <v>61</v>
      </c>
      <c r="AF417" t="s">
        <v>61</v>
      </c>
      <c r="AG417" t="s">
        <v>3498</v>
      </c>
      <c r="AH417" t="s">
        <v>61</v>
      </c>
      <c r="AI417" t="s">
        <v>61</v>
      </c>
      <c r="AJ417" t="s">
        <v>61</v>
      </c>
      <c r="AK417" t="s">
        <v>61</v>
      </c>
      <c r="AL417" t="s">
        <v>61</v>
      </c>
      <c r="AM417" t="s">
        <v>3499</v>
      </c>
      <c r="AN417" t="s">
        <v>61</v>
      </c>
      <c r="AO417" t="s">
        <v>61</v>
      </c>
      <c r="AP417" t="s">
        <v>61</v>
      </c>
      <c r="AQ417" t="s">
        <v>61</v>
      </c>
      <c r="AR417" t="s">
        <v>61</v>
      </c>
      <c r="AS417" t="s">
        <v>61</v>
      </c>
      <c r="AT417" t="s">
        <v>61</v>
      </c>
      <c r="AU417" t="s">
        <v>61</v>
      </c>
      <c r="AV417" t="s">
        <v>61</v>
      </c>
      <c r="AW417" t="s">
        <v>61</v>
      </c>
      <c r="AX417" t="s">
        <v>61</v>
      </c>
      <c r="AY417" t="s">
        <v>61</v>
      </c>
      <c r="AZ417" t="s">
        <v>61</v>
      </c>
      <c r="BA417" t="s">
        <v>61</v>
      </c>
      <c r="BB417" t="s">
        <v>61</v>
      </c>
      <c r="BC417" t="s">
        <v>61</v>
      </c>
      <c r="BD417" t="s">
        <v>61</v>
      </c>
      <c r="BE417" t="s">
        <v>61</v>
      </c>
      <c r="BF417" t="s">
        <v>61</v>
      </c>
    </row>
    <row r="418" spans="1:58">
      <c r="A418" t="s">
        <v>58</v>
      </c>
      <c r="B418" t="s">
        <v>3500</v>
      </c>
      <c r="C418" t="s">
        <v>3501</v>
      </c>
      <c r="D418" t="s">
        <v>1019</v>
      </c>
      <c r="E418" t="s">
        <v>1019</v>
      </c>
      <c r="F418">
        <v>2009</v>
      </c>
      <c r="G418" t="s">
        <v>1020</v>
      </c>
      <c r="H418">
        <v>49</v>
      </c>
      <c r="I418">
        <v>7</v>
      </c>
      <c r="J418">
        <v>1014</v>
      </c>
      <c r="K418">
        <v>1021</v>
      </c>
      <c r="L418" t="s">
        <v>3502</v>
      </c>
      <c r="M418" t="s">
        <v>3503</v>
      </c>
      <c r="N418" t="s">
        <v>3504</v>
      </c>
      <c r="O418" t="s">
        <v>61</v>
      </c>
      <c r="Q418" t="s">
        <v>61</v>
      </c>
      <c r="R418" t="s">
        <v>61</v>
      </c>
      <c r="S418" t="s">
        <v>61</v>
      </c>
      <c r="T418" t="s">
        <v>61</v>
      </c>
      <c r="X418" t="s">
        <v>61</v>
      </c>
      <c r="Y418" t="s">
        <v>1024</v>
      </c>
      <c r="Z418" t="s">
        <v>61</v>
      </c>
      <c r="AA418" t="s">
        <v>61</v>
      </c>
      <c r="AB418">
        <v>2009383572</v>
      </c>
      <c r="AC418" t="s">
        <v>67</v>
      </c>
      <c r="AD418" t="s">
        <v>61</v>
      </c>
      <c r="AE418" t="s">
        <v>61</v>
      </c>
      <c r="AF418" t="s">
        <v>61</v>
      </c>
      <c r="AG418" t="s">
        <v>3505</v>
      </c>
      <c r="AH418" t="s">
        <v>61</v>
      </c>
      <c r="AI418" t="s">
        <v>61</v>
      </c>
      <c r="AJ418" t="s">
        <v>61</v>
      </c>
      <c r="AK418" t="s">
        <v>61</v>
      </c>
      <c r="AL418" t="s">
        <v>61</v>
      </c>
      <c r="AM418" t="s">
        <v>3506</v>
      </c>
      <c r="AN418" t="s">
        <v>61</v>
      </c>
      <c r="AO418" t="s">
        <v>61</v>
      </c>
      <c r="AP418" t="s">
        <v>61</v>
      </c>
      <c r="AQ418" t="s">
        <v>61</v>
      </c>
      <c r="AR418" t="s">
        <v>61</v>
      </c>
      <c r="AS418" t="s">
        <v>61</v>
      </c>
      <c r="AT418" t="s">
        <v>61</v>
      </c>
      <c r="AU418" t="s">
        <v>61</v>
      </c>
      <c r="AV418" t="s">
        <v>61</v>
      </c>
      <c r="AW418" t="s">
        <v>61</v>
      </c>
      <c r="AX418" t="s">
        <v>61</v>
      </c>
      <c r="AY418" t="s">
        <v>61</v>
      </c>
      <c r="AZ418" t="s">
        <v>61</v>
      </c>
      <c r="BA418" t="s">
        <v>61</v>
      </c>
      <c r="BB418" t="s">
        <v>61</v>
      </c>
      <c r="BC418" t="s">
        <v>61</v>
      </c>
      <c r="BD418" t="s">
        <v>61</v>
      </c>
      <c r="BE418" t="s">
        <v>61</v>
      </c>
      <c r="BF418" t="s">
        <v>61</v>
      </c>
    </row>
    <row r="419" spans="1:58">
      <c r="A419" t="s">
        <v>58</v>
      </c>
      <c r="B419" t="s">
        <v>3507</v>
      </c>
      <c r="C419" t="s">
        <v>3508</v>
      </c>
      <c r="D419" t="s">
        <v>475</v>
      </c>
      <c r="E419" t="s">
        <v>61</v>
      </c>
      <c r="F419">
        <v>2013</v>
      </c>
      <c r="G419" t="s">
        <v>645</v>
      </c>
      <c r="H419">
        <v>35</v>
      </c>
      <c r="I419">
        <v>5</v>
      </c>
      <c r="J419">
        <v>880</v>
      </c>
      <c r="K419">
        <v>881</v>
      </c>
      <c r="L419" t="s">
        <v>3509</v>
      </c>
      <c r="M419" t="s">
        <v>3510</v>
      </c>
      <c r="N419" t="s">
        <v>3511</v>
      </c>
      <c r="O419" t="s">
        <v>61</v>
      </c>
      <c r="Q419" t="s">
        <v>61</v>
      </c>
      <c r="R419" t="s">
        <v>61</v>
      </c>
      <c r="S419" t="s">
        <v>61</v>
      </c>
      <c r="T419" t="s">
        <v>61</v>
      </c>
      <c r="X419" t="s">
        <v>61</v>
      </c>
      <c r="Y419" t="s">
        <v>308</v>
      </c>
      <c r="Z419" t="s">
        <v>61</v>
      </c>
      <c r="AA419" t="s">
        <v>61</v>
      </c>
      <c r="AB419" t="s">
        <v>61</v>
      </c>
      <c r="AC419" t="s">
        <v>67</v>
      </c>
      <c r="AD419" t="s">
        <v>61</v>
      </c>
      <c r="AE419" t="s">
        <v>61</v>
      </c>
      <c r="AF419" t="s">
        <v>61</v>
      </c>
      <c r="AG419" t="s">
        <v>61</v>
      </c>
      <c r="AH419" t="s">
        <v>61</v>
      </c>
      <c r="AI419" t="s">
        <v>61</v>
      </c>
      <c r="AJ419" t="s">
        <v>61</v>
      </c>
      <c r="AK419" t="s">
        <v>61</v>
      </c>
      <c r="AL419" t="s">
        <v>61</v>
      </c>
      <c r="AM419" t="s">
        <v>3508</v>
      </c>
      <c r="AN419" t="s">
        <v>61</v>
      </c>
      <c r="AO419" t="s">
        <v>61</v>
      </c>
      <c r="AP419" t="s">
        <v>61</v>
      </c>
      <c r="AQ419" t="s">
        <v>61</v>
      </c>
      <c r="AR419" t="s">
        <v>61</v>
      </c>
      <c r="AS419" t="s">
        <v>61</v>
      </c>
      <c r="AT419" t="s">
        <v>61</v>
      </c>
      <c r="AU419" t="s">
        <v>61</v>
      </c>
      <c r="AV419" t="s">
        <v>61</v>
      </c>
      <c r="AW419" t="s">
        <v>61</v>
      </c>
      <c r="AX419" t="s">
        <v>61</v>
      </c>
      <c r="AY419" t="s">
        <v>61</v>
      </c>
      <c r="AZ419" t="s">
        <v>61</v>
      </c>
      <c r="BA419" t="s">
        <v>61</v>
      </c>
      <c r="BB419" t="s">
        <v>61</v>
      </c>
      <c r="BC419" t="s">
        <v>61</v>
      </c>
      <c r="BD419" t="s">
        <v>61</v>
      </c>
      <c r="BE419" t="s">
        <v>61</v>
      </c>
      <c r="BF419" t="s">
        <v>61</v>
      </c>
    </row>
    <row r="420" spans="1:58">
      <c r="A420" t="s">
        <v>58</v>
      </c>
      <c r="B420" t="s">
        <v>3512</v>
      </c>
      <c r="C420" t="s">
        <v>3513</v>
      </c>
      <c r="D420" t="s">
        <v>937</v>
      </c>
      <c r="E420" t="s">
        <v>61</v>
      </c>
      <c r="F420">
        <v>2014</v>
      </c>
      <c r="G420" t="s">
        <v>457</v>
      </c>
      <c r="H420" t="s">
        <v>3514</v>
      </c>
      <c r="I420" t="s">
        <v>61</v>
      </c>
      <c r="J420" t="s">
        <v>3515</v>
      </c>
      <c r="K420" t="s">
        <v>61</v>
      </c>
      <c r="L420" t="s">
        <v>3516</v>
      </c>
      <c r="M420" t="s">
        <v>3517</v>
      </c>
      <c r="N420" t="s">
        <v>3518</v>
      </c>
      <c r="O420" t="s">
        <v>61</v>
      </c>
      <c r="Q420" t="s">
        <v>61</v>
      </c>
      <c r="R420" t="s">
        <v>61</v>
      </c>
      <c r="S420" t="s">
        <v>61</v>
      </c>
      <c r="T420" t="s">
        <v>61</v>
      </c>
      <c r="X420" t="s">
        <v>61</v>
      </c>
      <c r="Y420" t="s">
        <v>367</v>
      </c>
      <c r="Z420" t="s">
        <v>61</v>
      </c>
      <c r="AA420" t="s">
        <v>61</v>
      </c>
      <c r="AB420" t="s">
        <v>61</v>
      </c>
      <c r="AC420" t="s">
        <v>67</v>
      </c>
      <c r="AD420" t="s">
        <v>61</v>
      </c>
      <c r="AE420" t="s">
        <v>61</v>
      </c>
      <c r="AF420" t="s">
        <v>61</v>
      </c>
      <c r="AG420" t="s">
        <v>61</v>
      </c>
      <c r="AH420" t="s">
        <v>61</v>
      </c>
      <c r="AI420" t="s">
        <v>61</v>
      </c>
      <c r="AJ420" t="s">
        <v>61</v>
      </c>
      <c r="AK420" t="s">
        <v>61</v>
      </c>
      <c r="AL420" t="s">
        <v>61</v>
      </c>
      <c r="AM420" t="s">
        <v>3513</v>
      </c>
      <c r="AN420" t="s">
        <v>61</v>
      </c>
      <c r="AO420" t="s">
        <v>61</v>
      </c>
      <c r="AP420" t="s">
        <v>61</v>
      </c>
      <c r="AQ420" t="s">
        <v>61</v>
      </c>
      <c r="AR420" t="s">
        <v>61</v>
      </c>
      <c r="AS420" t="s">
        <v>61</v>
      </c>
      <c r="AT420" t="s">
        <v>61</v>
      </c>
      <c r="AU420" t="s">
        <v>61</v>
      </c>
      <c r="AV420" t="s">
        <v>61</v>
      </c>
      <c r="AW420" t="s">
        <v>61</v>
      </c>
      <c r="AX420" t="s">
        <v>61</v>
      </c>
      <c r="AY420" t="s">
        <v>61</v>
      </c>
      <c r="AZ420" t="s">
        <v>61</v>
      </c>
      <c r="BA420" t="s">
        <v>61</v>
      </c>
      <c r="BB420" t="s">
        <v>61</v>
      </c>
      <c r="BC420" t="s">
        <v>61</v>
      </c>
      <c r="BD420" t="s">
        <v>61</v>
      </c>
      <c r="BE420" t="s">
        <v>61</v>
      </c>
      <c r="BF420" t="s">
        <v>61</v>
      </c>
    </row>
    <row r="421" spans="1:58">
      <c r="A421" t="s">
        <v>58</v>
      </c>
      <c r="B421" t="s">
        <v>3519</v>
      </c>
      <c r="C421" t="s">
        <v>3520</v>
      </c>
      <c r="D421" t="s">
        <v>3521</v>
      </c>
      <c r="E421" t="s">
        <v>61</v>
      </c>
      <c r="F421">
        <v>2012</v>
      </c>
      <c r="G421" t="s">
        <v>129</v>
      </c>
      <c r="H421" t="s">
        <v>3522</v>
      </c>
      <c r="I421" t="s">
        <v>61</v>
      </c>
      <c r="J421">
        <v>83</v>
      </c>
      <c r="K421">
        <v>84</v>
      </c>
      <c r="L421" t="s">
        <v>3523</v>
      </c>
      <c r="M421" t="s">
        <v>3524</v>
      </c>
      <c r="N421" t="s">
        <v>3525</v>
      </c>
      <c r="O421" t="s">
        <v>61</v>
      </c>
      <c r="Q421" t="s">
        <v>61</v>
      </c>
      <c r="R421" t="s">
        <v>61</v>
      </c>
      <c r="S421" t="s">
        <v>61</v>
      </c>
      <c r="T421" t="s">
        <v>61</v>
      </c>
      <c r="X421" t="s">
        <v>61</v>
      </c>
      <c r="Y421" t="s">
        <v>3526</v>
      </c>
      <c r="Z421" t="s">
        <v>61</v>
      </c>
      <c r="AA421" t="s">
        <v>3527</v>
      </c>
      <c r="AB421">
        <v>22958028</v>
      </c>
      <c r="AC421" t="s">
        <v>67</v>
      </c>
      <c r="AD421" t="s">
        <v>61</v>
      </c>
      <c r="AE421" t="s">
        <v>61</v>
      </c>
      <c r="AF421" t="s">
        <v>61</v>
      </c>
      <c r="AG421" t="s">
        <v>3528</v>
      </c>
      <c r="AH421" t="s">
        <v>61</v>
      </c>
      <c r="AI421" t="s">
        <v>3529</v>
      </c>
      <c r="AJ421" t="s">
        <v>61</v>
      </c>
      <c r="AK421" t="s">
        <v>61</v>
      </c>
      <c r="AL421" t="s">
        <v>61</v>
      </c>
      <c r="AM421" t="s">
        <v>3530</v>
      </c>
      <c r="AN421" t="s">
        <v>61</v>
      </c>
      <c r="AO421" t="s">
        <v>61</v>
      </c>
      <c r="AP421" t="s">
        <v>61</v>
      </c>
      <c r="AQ421" t="s">
        <v>61</v>
      </c>
      <c r="AR421" t="s">
        <v>61</v>
      </c>
      <c r="AS421" t="s">
        <v>61</v>
      </c>
      <c r="AT421" t="s">
        <v>61</v>
      </c>
      <c r="AU421" t="s">
        <v>61</v>
      </c>
      <c r="AV421" t="s">
        <v>61</v>
      </c>
      <c r="AW421" t="s">
        <v>61</v>
      </c>
      <c r="AX421" t="s">
        <v>61</v>
      </c>
      <c r="AY421" t="s">
        <v>61</v>
      </c>
      <c r="AZ421" t="s">
        <v>61</v>
      </c>
      <c r="BA421" t="s">
        <v>61</v>
      </c>
      <c r="BB421" t="s">
        <v>61</v>
      </c>
      <c r="BC421" t="s">
        <v>61</v>
      </c>
      <c r="BD421" t="s">
        <v>61</v>
      </c>
      <c r="BE421" t="s">
        <v>61</v>
      </c>
      <c r="BF421" t="s">
        <v>61</v>
      </c>
    </row>
    <row r="422" spans="1:58">
      <c r="A422" t="s">
        <v>58</v>
      </c>
      <c r="B422" t="s">
        <v>3531</v>
      </c>
      <c r="C422" t="s">
        <v>3532</v>
      </c>
      <c r="D422" t="s">
        <v>408</v>
      </c>
      <c r="E422" t="s">
        <v>408</v>
      </c>
      <c r="F422">
        <v>2011</v>
      </c>
      <c r="G422" t="s">
        <v>645</v>
      </c>
      <c r="H422">
        <v>31</v>
      </c>
      <c r="I422">
        <v>10</v>
      </c>
      <c r="J422" t="s">
        <v>3533</v>
      </c>
      <c r="K422" t="s">
        <v>3534</v>
      </c>
      <c r="L422" t="s">
        <v>3535</v>
      </c>
      <c r="M422" t="s">
        <v>3536</v>
      </c>
      <c r="N422" t="s">
        <v>3537</v>
      </c>
      <c r="O422" t="s">
        <v>61</v>
      </c>
      <c r="Q422" t="s">
        <v>61</v>
      </c>
      <c r="R422" t="s">
        <v>61</v>
      </c>
      <c r="S422" t="s">
        <v>61</v>
      </c>
      <c r="T422" t="s">
        <v>61</v>
      </c>
      <c r="X422" t="s">
        <v>61</v>
      </c>
      <c r="Y422" t="s">
        <v>414</v>
      </c>
      <c r="Z422" t="s">
        <v>61</v>
      </c>
      <c r="AA422" t="s">
        <v>61</v>
      </c>
      <c r="AB422" t="s">
        <v>61</v>
      </c>
      <c r="AC422" t="s">
        <v>67</v>
      </c>
      <c r="AD422" t="s">
        <v>61</v>
      </c>
      <c r="AE422" t="s">
        <v>61</v>
      </c>
      <c r="AF422" t="s">
        <v>61</v>
      </c>
      <c r="AG422" t="s">
        <v>61</v>
      </c>
      <c r="AH422" t="s">
        <v>61</v>
      </c>
      <c r="AI422" t="s">
        <v>61</v>
      </c>
      <c r="AJ422" t="s">
        <v>61</v>
      </c>
      <c r="AK422" t="s">
        <v>61</v>
      </c>
      <c r="AL422" t="s">
        <v>61</v>
      </c>
      <c r="AM422" t="s">
        <v>3532</v>
      </c>
      <c r="AN422" t="s">
        <v>61</v>
      </c>
      <c r="AO422" t="s">
        <v>61</v>
      </c>
      <c r="AP422" t="s">
        <v>61</v>
      </c>
      <c r="AQ422" t="s">
        <v>61</v>
      </c>
      <c r="AR422" t="s">
        <v>61</v>
      </c>
      <c r="AS422" t="s">
        <v>61</v>
      </c>
      <c r="AT422" t="s">
        <v>61</v>
      </c>
      <c r="AU422" t="s">
        <v>61</v>
      </c>
      <c r="AV422" t="s">
        <v>61</v>
      </c>
      <c r="AW422" t="s">
        <v>61</v>
      </c>
      <c r="AX422" t="s">
        <v>61</v>
      </c>
      <c r="AY422" t="s">
        <v>61</v>
      </c>
      <c r="AZ422" t="s">
        <v>61</v>
      </c>
      <c r="BA422" t="s">
        <v>61</v>
      </c>
      <c r="BB422" t="s">
        <v>61</v>
      </c>
      <c r="BC422" t="s">
        <v>61</v>
      </c>
      <c r="BD422" t="s">
        <v>61</v>
      </c>
      <c r="BE422" t="s">
        <v>61</v>
      </c>
      <c r="BF422" t="s">
        <v>61</v>
      </c>
    </row>
    <row r="423" spans="1:58">
      <c r="A423" t="s">
        <v>58</v>
      </c>
      <c r="B423" t="s">
        <v>3538</v>
      </c>
      <c r="C423" t="s">
        <v>3539</v>
      </c>
      <c r="D423" t="s">
        <v>876</v>
      </c>
      <c r="E423" t="s">
        <v>877</v>
      </c>
      <c r="F423">
        <v>2013</v>
      </c>
      <c r="G423" s="1">
        <v>42657</v>
      </c>
      <c r="H423">
        <v>77</v>
      </c>
      <c r="I423">
        <v>8</v>
      </c>
      <c r="J423">
        <v>172</v>
      </c>
      <c r="K423" t="s">
        <v>61</v>
      </c>
      <c r="L423" t="s">
        <v>3540</v>
      </c>
      <c r="M423" t="s">
        <v>3541</v>
      </c>
      <c r="N423" t="s">
        <v>3542</v>
      </c>
      <c r="O423" t="s">
        <v>61</v>
      </c>
      <c r="Q423" t="s">
        <v>61</v>
      </c>
      <c r="R423" t="s">
        <v>61</v>
      </c>
      <c r="S423" t="s">
        <v>61</v>
      </c>
      <c r="T423" t="s">
        <v>61</v>
      </c>
      <c r="X423" t="s">
        <v>61</v>
      </c>
      <c r="Y423" t="s">
        <v>881</v>
      </c>
      <c r="Z423" t="s">
        <v>61</v>
      </c>
      <c r="AA423" t="s">
        <v>3543</v>
      </c>
      <c r="AB423">
        <v>24159213</v>
      </c>
      <c r="AC423" t="s">
        <v>67</v>
      </c>
      <c r="AD423" t="s">
        <v>61</v>
      </c>
      <c r="AE423" t="s">
        <v>61</v>
      </c>
      <c r="AF423" t="s">
        <v>61</v>
      </c>
      <c r="AG423" t="s">
        <v>3544</v>
      </c>
      <c r="AH423" t="s">
        <v>61</v>
      </c>
      <c r="AI423" t="s">
        <v>3545</v>
      </c>
      <c r="AJ423" t="s">
        <v>61</v>
      </c>
      <c r="AK423" t="s">
        <v>61</v>
      </c>
      <c r="AL423" t="s">
        <v>61</v>
      </c>
      <c r="AM423" t="s">
        <v>3546</v>
      </c>
      <c r="AN423" t="s">
        <v>61</v>
      </c>
      <c r="AO423" t="s">
        <v>61</v>
      </c>
      <c r="AP423" t="s">
        <v>61</v>
      </c>
      <c r="AQ423" t="s">
        <v>61</v>
      </c>
      <c r="AR423" t="s">
        <v>61</v>
      </c>
      <c r="AS423" t="s">
        <v>61</v>
      </c>
      <c r="AT423" t="s">
        <v>61</v>
      </c>
      <c r="AU423" t="s">
        <v>61</v>
      </c>
      <c r="AV423" t="s">
        <v>61</v>
      </c>
      <c r="AW423" t="s">
        <v>61</v>
      </c>
      <c r="AX423" t="s">
        <v>61</v>
      </c>
      <c r="AY423" t="s">
        <v>61</v>
      </c>
      <c r="AZ423" t="s">
        <v>61</v>
      </c>
      <c r="BA423" t="s">
        <v>61</v>
      </c>
      <c r="BB423" t="s">
        <v>61</v>
      </c>
      <c r="BC423" t="s">
        <v>61</v>
      </c>
      <c r="BD423" t="s">
        <v>61</v>
      </c>
      <c r="BE423" t="s">
        <v>61</v>
      </c>
      <c r="BF423" t="s">
        <v>61</v>
      </c>
    </row>
    <row r="424" spans="1:58">
      <c r="A424" t="s">
        <v>58</v>
      </c>
      <c r="B424" t="s">
        <v>3547</v>
      </c>
      <c r="C424" t="s">
        <v>3548</v>
      </c>
      <c r="D424" t="s">
        <v>3549</v>
      </c>
      <c r="E424" t="s">
        <v>3550</v>
      </c>
      <c r="F424">
        <v>2003</v>
      </c>
      <c r="G424" t="s">
        <v>61</v>
      </c>
      <c r="H424" t="s">
        <v>3551</v>
      </c>
      <c r="I424" t="s">
        <v>61</v>
      </c>
      <c r="J424">
        <v>40</v>
      </c>
      <c r="K424">
        <v>45</v>
      </c>
      <c r="L424" t="s">
        <v>3552</v>
      </c>
      <c r="M424" t="s">
        <v>3553</v>
      </c>
      <c r="N424" t="s">
        <v>3554</v>
      </c>
      <c r="O424" t="s">
        <v>61</v>
      </c>
      <c r="Q424" t="s">
        <v>61</v>
      </c>
      <c r="R424" t="s">
        <v>61</v>
      </c>
      <c r="S424" t="s">
        <v>61</v>
      </c>
      <c r="T424" t="s">
        <v>61</v>
      </c>
      <c r="X424" t="s">
        <v>61</v>
      </c>
      <c r="Y424" t="s">
        <v>3555</v>
      </c>
      <c r="Z424" t="s">
        <v>61</v>
      </c>
      <c r="AA424" t="s">
        <v>3556</v>
      </c>
      <c r="AB424">
        <v>14658990</v>
      </c>
      <c r="AC424" t="s">
        <v>67</v>
      </c>
      <c r="AD424" t="s">
        <v>61</v>
      </c>
      <c r="AE424" t="s">
        <v>61</v>
      </c>
      <c r="AF424" t="s">
        <v>61</v>
      </c>
      <c r="AG424" t="s">
        <v>3557</v>
      </c>
      <c r="AH424" t="s">
        <v>61</v>
      </c>
      <c r="AI424" t="s">
        <v>61</v>
      </c>
      <c r="AJ424" t="s">
        <v>61</v>
      </c>
      <c r="AK424" t="s">
        <v>61</v>
      </c>
      <c r="AL424" t="s">
        <v>61</v>
      </c>
      <c r="AM424" t="s">
        <v>3558</v>
      </c>
      <c r="AN424" t="s">
        <v>61</v>
      </c>
      <c r="AO424" t="s">
        <v>61</v>
      </c>
      <c r="AP424" t="s">
        <v>61</v>
      </c>
      <c r="AQ424" t="s">
        <v>61</v>
      </c>
      <c r="AR424" t="s">
        <v>61</v>
      </c>
      <c r="AS424" t="s">
        <v>61</v>
      </c>
      <c r="AT424" t="s">
        <v>61</v>
      </c>
      <c r="AU424" t="s">
        <v>61</v>
      </c>
      <c r="AV424" t="s">
        <v>61</v>
      </c>
      <c r="AW424" t="s">
        <v>61</v>
      </c>
      <c r="AX424" t="s">
        <v>61</v>
      </c>
      <c r="AY424" t="s">
        <v>61</v>
      </c>
      <c r="AZ424" t="s">
        <v>61</v>
      </c>
      <c r="BA424" t="s">
        <v>61</v>
      </c>
      <c r="BB424" t="s">
        <v>61</v>
      </c>
      <c r="BC424" t="s">
        <v>61</v>
      </c>
      <c r="BD424" t="s">
        <v>61</v>
      </c>
      <c r="BE424" t="s">
        <v>61</v>
      </c>
      <c r="BF424" t="s">
        <v>61</v>
      </c>
    </row>
    <row r="425" spans="1:58">
      <c r="A425" t="s">
        <v>58</v>
      </c>
      <c r="B425" t="s">
        <v>3559</v>
      </c>
      <c r="C425" t="s">
        <v>3560</v>
      </c>
      <c r="D425" t="s">
        <v>428</v>
      </c>
      <c r="E425" t="s">
        <v>61</v>
      </c>
      <c r="F425">
        <v>2013</v>
      </c>
      <c r="G425" t="s">
        <v>457</v>
      </c>
      <c r="H425">
        <v>26</v>
      </c>
      <c r="I425">
        <v>3</v>
      </c>
      <c r="J425">
        <v>337</v>
      </c>
      <c r="K425" t="s">
        <v>61</v>
      </c>
      <c r="L425" t="s">
        <v>3561</v>
      </c>
      <c r="M425" t="s">
        <v>3562</v>
      </c>
      <c r="N425" t="s">
        <v>3563</v>
      </c>
      <c r="O425" t="s">
        <v>61</v>
      </c>
      <c r="Q425" t="s">
        <v>61</v>
      </c>
      <c r="R425" t="s">
        <v>61</v>
      </c>
      <c r="S425" t="s">
        <v>61</v>
      </c>
      <c r="T425" t="s">
        <v>61</v>
      </c>
      <c r="X425" t="s">
        <v>61</v>
      </c>
      <c r="Y425" t="s">
        <v>433</v>
      </c>
      <c r="Z425" t="s">
        <v>61</v>
      </c>
      <c r="AA425" t="s">
        <v>61</v>
      </c>
      <c r="AB425" t="s">
        <v>61</v>
      </c>
      <c r="AC425" t="s">
        <v>67</v>
      </c>
      <c r="AD425" t="s">
        <v>61</v>
      </c>
      <c r="AE425" t="s">
        <v>61</v>
      </c>
      <c r="AF425" t="s">
        <v>61</v>
      </c>
      <c r="AG425" t="s">
        <v>61</v>
      </c>
      <c r="AH425" t="s">
        <v>61</v>
      </c>
      <c r="AI425" t="s">
        <v>61</v>
      </c>
      <c r="AJ425" t="s">
        <v>61</v>
      </c>
      <c r="AK425" t="s">
        <v>61</v>
      </c>
      <c r="AL425" t="s">
        <v>61</v>
      </c>
      <c r="AM425" t="s">
        <v>3560</v>
      </c>
      <c r="AN425" t="s">
        <v>61</v>
      </c>
      <c r="AO425" t="s">
        <v>61</v>
      </c>
      <c r="AP425" t="s">
        <v>61</v>
      </c>
      <c r="AQ425" t="s">
        <v>61</v>
      </c>
      <c r="AR425" t="s">
        <v>61</v>
      </c>
      <c r="AS425" t="s">
        <v>61</v>
      </c>
      <c r="AT425" t="s">
        <v>61</v>
      </c>
      <c r="AU425" t="s">
        <v>61</v>
      </c>
      <c r="AV425" t="s">
        <v>61</v>
      </c>
      <c r="AW425" t="s">
        <v>61</v>
      </c>
      <c r="AX425" t="s">
        <v>61</v>
      </c>
      <c r="AY425" t="s">
        <v>61</v>
      </c>
      <c r="AZ425" t="s">
        <v>61</v>
      </c>
      <c r="BA425" t="s">
        <v>61</v>
      </c>
      <c r="BB425" t="s">
        <v>61</v>
      </c>
      <c r="BC425" t="s">
        <v>61</v>
      </c>
      <c r="BD425" t="s">
        <v>61</v>
      </c>
      <c r="BE425" t="s">
        <v>61</v>
      </c>
      <c r="BF425" t="s">
        <v>61</v>
      </c>
    </row>
    <row r="426" spans="1:58">
      <c r="A426" t="s">
        <v>58</v>
      </c>
      <c r="B426" t="s">
        <v>3564</v>
      </c>
      <c r="C426" t="s">
        <v>3565</v>
      </c>
      <c r="D426" t="s">
        <v>408</v>
      </c>
      <c r="E426" t="s">
        <v>408</v>
      </c>
      <c r="F426">
        <v>2012</v>
      </c>
      <c r="G426" t="s">
        <v>645</v>
      </c>
      <c r="H426">
        <v>32</v>
      </c>
      <c r="I426">
        <v>10</v>
      </c>
      <c r="J426" t="s">
        <v>3566</v>
      </c>
      <c r="K426" t="s">
        <v>61</v>
      </c>
      <c r="L426" t="s">
        <v>3567</v>
      </c>
      <c r="M426" t="s">
        <v>3568</v>
      </c>
      <c r="N426" t="s">
        <v>3569</v>
      </c>
      <c r="O426" t="s">
        <v>61</v>
      </c>
      <c r="Q426" t="s">
        <v>61</v>
      </c>
      <c r="R426" t="s">
        <v>61</v>
      </c>
      <c r="S426" t="s">
        <v>61</v>
      </c>
      <c r="T426" t="s">
        <v>61</v>
      </c>
      <c r="X426" t="s">
        <v>61</v>
      </c>
      <c r="Y426" t="s">
        <v>414</v>
      </c>
      <c r="Z426" t="s">
        <v>61</v>
      </c>
      <c r="AA426" t="s">
        <v>61</v>
      </c>
      <c r="AB426" t="s">
        <v>61</v>
      </c>
      <c r="AC426" t="s">
        <v>67</v>
      </c>
      <c r="AD426" t="s">
        <v>61</v>
      </c>
      <c r="AE426" t="s">
        <v>61</v>
      </c>
      <c r="AF426" t="s">
        <v>61</v>
      </c>
      <c r="AG426" t="s">
        <v>61</v>
      </c>
      <c r="AH426" t="s">
        <v>61</v>
      </c>
      <c r="AI426" t="s">
        <v>61</v>
      </c>
      <c r="AJ426" t="s">
        <v>61</v>
      </c>
      <c r="AK426" t="s">
        <v>61</v>
      </c>
      <c r="AL426" t="s">
        <v>61</v>
      </c>
      <c r="AM426" t="s">
        <v>3565</v>
      </c>
      <c r="AN426" t="s">
        <v>61</v>
      </c>
      <c r="AO426" t="s">
        <v>61</v>
      </c>
      <c r="AP426" t="s">
        <v>61</v>
      </c>
      <c r="AQ426" t="s">
        <v>61</v>
      </c>
      <c r="AR426" t="s">
        <v>61</v>
      </c>
      <c r="AS426" t="s">
        <v>61</v>
      </c>
      <c r="AT426" t="s">
        <v>61</v>
      </c>
      <c r="AU426" t="s">
        <v>61</v>
      </c>
      <c r="AV426" t="s">
        <v>61</v>
      </c>
      <c r="AW426" t="s">
        <v>61</v>
      </c>
      <c r="AX426" t="s">
        <v>61</v>
      </c>
      <c r="AY426" t="s">
        <v>61</v>
      </c>
      <c r="AZ426" t="s">
        <v>61</v>
      </c>
      <c r="BA426" t="s">
        <v>61</v>
      </c>
      <c r="BB426" t="s">
        <v>61</v>
      </c>
      <c r="BC426" t="s">
        <v>61</v>
      </c>
      <c r="BD426" t="s">
        <v>61</v>
      </c>
      <c r="BE426" t="s">
        <v>61</v>
      </c>
      <c r="BF426" t="s">
        <v>61</v>
      </c>
    </row>
    <row r="427" spans="1:58">
      <c r="A427" t="s">
        <v>58</v>
      </c>
      <c r="B427" t="s">
        <v>3570</v>
      </c>
      <c r="C427" t="s">
        <v>3571</v>
      </c>
      <c r="D427" t="s">
        <v>3572</v>
      </c>
      <c r="E427" t="s">
        <v>61</v>
      </c>
      <c r="F427">
        <v>2012</v>
      </c>
      <c r="G427" t="s">
        <v>61</v>
      </c>
      <c r="H427">
        <v>62</v>
      </c>
      <c r="I427">
        <v>2</v>
      </c>
      <c r="J427">
        <v>179</v>
      </c>
      <c r="K427">
        <v>189</v>
      </c>
      <c r="L427" t="s">
        <v>3573</v>
      </c>
      <c r="M427" t="s">
        <v>3574</v>
      </c>
      <c r="N427" t="s">
        <v>3575</v>
      </c>
      <c r="O427" t="s">
        <v>61</v>
      </c>
      <c r="Q427" t="s">
        <v>61</v>
      </c>
      <c r="R427" t="s">
        <v>61</v>
      </c>
      <c r="S427" t="s">
        <v>61</v>
      </c>
      <c r="T427" t="s">
        <v>61</v>
      </c>
      <c r="X427" t="s">
        <v>61</v>
      </c>
      <c r="Y427" s="2">
        <v>23102</v>
      </c>
      <c r="Z427" t="s">
        <v>61</v>
      </c>
      <c r="AA427" t="s">
        <v>61</v>
      </c>
      <c r="AB427">
        <v>2012410070</v>
      </c>
      <c r="AC427" t="s">
        <v>3576</v>
      </c>
      <c r="AD427" t="s">
        <v>61</v>
      </c>
      <c r="AE427" t="s">
        <v>61</v>
      </c>
      <c r="AF427" t="s">
        <v>61</v>
      </c>
      <c r="AG427" t="s">
        <v>61</v>
      </c>
      <c r="AH427" t="s">
        <v>61</v>
      </c>
      <c r="AI427" t="s">
        <v>61</v>
      </c>
      <c r="AJ427" t="s">
        <v>61</v>
      </c>
      <c r="AK427" t="s">
        <v>61</v>
      </c>
      <c r="AL427" t="s">
        <v>61</v>
      </c>
      <c r="AM427" t="s">
        <v>3571</v>
      </c>
      <c r="AN427" t="s">
        <v>61</v>
      </c>
      <c r="AO427" t="s">
        <v>61</v>
      </c>
      <c r="AP427" t="s">
        <v>61</v>
      </c>
      <c r="AQ427" t="s">
        <v>61</v>
      </c>
      <c r="AR427" t="s">
        <v>61</v>
      </c>
      <c r="AS427" t="s">
        <v>61</v>
      </c>
      <c r="AT427" t="s">
        <v>61</v>
      </c>
      <c r="AU427" t="s">
        <v>61</v>
      </c>
      <c r="AV427" t="s">
        <v>61</v>
      </c>
      <c r="AW427" t="s">
        <v>61</v>
      </c>
      <c r="AX427" t="s">
        <v>61</v>
      </c>
      <c r="AY427" t="s">
        <v>61</v>
      </c>
      <c r="AZ427" t="s">
        <v>61</v>
      </c>
      <c r="BA427" t="s">
        <v>61</v>
      </c>
      <c r="BB427" t="s">
        <v>61</v>
      </c>
      <c r="BC427" t="s">
        <v>61</v>
      </c>
      <c r="BD427" t="s">
        <v>61</v>
      </c>
      <c r="BE427" t="s">
        <v>61</v>
      </c>
      <c r="BF427" t="s">
        <v>61</v>
      </c>
    </row>
    <row r="428" spans="1:58">
      <c r="A428" t="s">
        <v>58</v>
      </c>
      <c r="B428" t="s">
        <v>3577</v>
      </c>
      <c r="C428" t="s">
        <v>3578</v>
      </c>
      <c r="D428" t="s">
        <v>1203</v>
      </c>
      <c r="E428" t="s">
        <v>1204</v>
      </c>
      <c r="F428">
        <v>1989</v>
      </c>
      <c r="G428" t="s">
        <v>2798</v>
      </c>
      <c r="H428">
        <v>104</v>
      </c>
      <c r="I428">
        <v>1</v>
      </c>
      <c r="J428">
        <v>79</v>
      </c>
      <c r="K428">
        <v>82</v>
      </c>
      <c r="L428" t="s">
        <v>3579</v>
      </c>
      <c r="M428" t="s">
        <v>3580</v>
      </c>
      <c r="N428" t="s">
        <v>3581</v>
      </c>
      <c r="O428" t="s">
        <v>61</v>
      </c>
      <c r="Q428" t="s">
        <v>61</v>
      </c>
      <c r="R428" t="s">
        <v>61</v>
      </c>
      <c r="S428" t="s">
        <v>61</v>
      </c>
      <c r="T428" t="s">
        <v>61</v>
      </c>
      <c r="X428" t="s">
        <v>61</v>
      </c>
      <c r="Y428" t="s">
        <v>1209</v>
      </c>
      <c r="Z428" t="s">
        <v>61</v>
      </c>
      <c r="AA428" t="s">
        <v>3582</v>
      </c>
      <c r="AB428">
        <v>2493666</v>
      </c>
      <c r="AC428" t="s">
        <v>67</v>
      </c>
      <c r="AD428" t="s">
        <v>61</v>
      </c>
      <c r="AE428" t="s">
        <v>61</v>
      </c>
      <c r="AF428" t="s">
        <v>61</v>
      </c>
      <c r="AG428" t="s">
        <v>3583</v>
      </c>
      <c r="AH428" t="s">
        <v>61</v>
      </c>
      <c r="AI428" t="s">
        <v>61</v>
      </c>
      <c r="AJ428" t="s">
        <v>61</v>
      </c>
      <c r="AK428" t="s">
        <v>61</v>
      </c>
      <c r="AL428" t="s">
        <v>61</v>
      </c>
      <c r="AM428" t="s">
        <v>3584</v>
      </c>
      <c r="AN428" t="s">
        <v>61</v>
      </c>
      <c r="AO428" t="s">
        <v>61</v>
      </c>
      <c r="AP428" t="s">
        <v>61</v>
      </c>
      <c r="AQ428" t="s">
        <v>61</v>
      </c>
      <c r="AR428" t="s">
        <v>61</v>
      </c>
      <c r="AS428" t="s">
        <v>61</v>
      </c>
      <c r="AT428" t="s">
        <v>61</v>
      </c>
      <c r="AU428" t="s">
        <v>61</v>
      </c>
      <c r="AV428" t="s">
        <v>61</v>
      </c>
      <c r="AW428" t="s">
        <v>61</v>
      </c>
      <c r="AX428" t="s">
        <v>61</v>
      </c>
      <c r="AY428" t="s">
        <v>61</v>
      </c>
      <c r="AZ428" t="s">
        <v>61</v>
      </c>
      <c r="BA428" t="s">
        <v>61</v>
      </c>
      <c r="BB428" t="s">
        <v>61</v>
      </c>
      <c r="BC428" t="s">
        <v>61</v>
      </c>
      <c r="BD428" t="s">
        <v>61</v>
      </c>
      <c r="BE428" t="s">
        <v>61</v>
      </c>
      <c r="BF428" t="s">
        <v>61</v>
      </c>
    </row>
    <row r="429" spans="1:58">
      <c r="A429" t="s">
        <v>58</v>
      </c>
      <c r="B429" t="s">
        <v>3585</v>
      </c>
      <c r="C429" t="s">
        <v>3586</v>
      </c>
      <c r="D429" t="s">
        <v>1287</v>
      </c>
      <c r="E429" t="s">
        <v>1288</v>
      </c>
      <c r="F429">
        <v>2015</v>
      </c>
      <c r="G429" t="s">
        <v>637</v>
      </c>
      <c r="H429">
        <v>37</v>
      </c>
      <c r="I429">
        <v>8</v>
      </c>
      <c r="J429" t="s">
        <v>3587</v>
      </c>
      <c r="K429" t="s">
        <v>61</v>
      </c>
      <c r="L429" t="s">
        <v>3588</v>
      </c>
      <c r="M429" t="s">
        <v>3589</v>
      </c>
      <c r="N429" t="s">
        <v>3590</v>
      </c>
      <c r="O429" t="s">
        <v>61</v>
      </c>
      <c r="Q429" t="s">
        <v>61</v>
      </c>
      <c r="R429" t="s">
        <v>61</v>
      </c>
      <c r="S429" t="s">
        <v>61</v>
      </c>
      <c r="T429" t="s">
        <v>61</v>
      </c>
      <c r="X429" t="s">
        <v>61</v>
      </c>
      <c r="Y429" t="s">
        <v>1293</v>
      </c>
      <c r="Z429" t="s">
        <v>61</v>
      </c>
      <c r="AA429" t="s">
        <v>61</v>
      </c>
      <c r="AB429" t="s">
        <v>61</v>
      </c>
      <c r="AC429" t="s">
        <v>67</v>
      </c>
      <c r="AD429" t="s">
        <v>61</v>
      </c>
      <c r="AE429" t="s">
        <v>61</v>
      </c>
      <c r="AF429" t="s">
        <v>61</v>
      </c>
      <c r="AG429" t="s">
        <v>61</v>
      </c>
      <c r="AH429" t="s">
        <v>61</v>
      </c>
      <c r="AI429" t="s">
        <v>61</v>
      </c>
      <c r="AJ429" t="s">
        <v>61</v>
      </c>
      <c r="AK429" t="s">
        <v>61</v>
      </c>
      <c r="AL429" t="s">
        <v>61</v>
      </c>
      <c r="AM429" t="s">
        <v>3586</v>
      </c>
      <c r="AN429" t="s">
        <v>61</v>
      </c>
      <c r="AO429" t="s">
        <v>61</v>
      </c>
      <c r="AP429" t="s">
        <v>61</v>
      </c>
      <c r="AQ429" t="s">
        <v>61</v>
      </c>
      <c r="AR429" t="s">
        <v>61</v>
      </c>
      <c r="AS429" t="s">
        <v>61</v>
      </c>
      <c r="AT429" t="s">
        <v>61</v>
      </c>
      <c r="AU429" t="s">
        <v>61</v>
      </c>
      <c r="AV429" t="s">
        <v>61</v>
      </c>
      <c r="AW429" t="s">
        <v>61</v>
      </c>
      <c r="AX429" t="s">
        <v>61</v>
      </c>
      <c r="AY429" t="s">
        <v>61</v>
      </c>
      <c r="AZ429" t="s">
        <v>61</v>
      </c>
      <c r="BA429" t="s">
        <v>61</v>
      </c>
      <c r="BB429" t="s">
        <v>61</v>
      </c>
      <c r="BC429" t="s">
        <v>61</v>
      </c>
      <c r="BD429" t="s">
        <v>61</v>
      </c>
      <c r="BE429" t="s">
        <v>61</v>
      </c>
      <c r="BF429" t="s">
        <v>61</v>
      </c>
    </row>
    <row r="430" spans="1:58">
      <c r="A430" t="s">
        <v>58</v>
      </c>
      <c r="B430" t="s">
        <v>3591</v>
      </c>
      <c r="C430" t="s">
        <v>3592</v>
      </c>
      <c r="D430" t="s">
        <v>3593</v>
      </c>
      <c r="E430" t="s">
        <v>61</v>
      </c>
      <c r="F430">
        <v>2011</v>
      </c>
      <c r="G430" t="s">
        <v>457</v>
      </c>
      <c r="H430" t="s">
        <v>3594</v>
      </c>
      <c r="I430" t="s">
        <v>61</v>
      </c>
      <c r="J430">
        <v>117</v>
      </c>
      <c r="K430" t="s">
        <v>61</v>
      </c>
      <c r="L430" t="s">
        <v>3595</v>
      </c>
      <c r="M430" t="s">
        <v>3596</v>
      </c>
      <c r="N430" t="s">
        <v>3597</v>
      </c>
      <c r="O430" t="s">
        <v>61</v>
      </c>
      <c r="Q430" t="s">
        <v>61</v>
      </c>
      <c r="R430" t="s">
        <v>61</v>
      </c>
      <c r="S430" t="s">
        <v>61</v>
      </c>
      <c r="T430" t="s">
        <v>61</v>
      </c>
      <c r="X430" t="s">
        <v>61</v>
      </c>
      <c r="Y430" t="s">
        <v>3598</v>
      </c>
      <c r="Z430" t="s">
        <v>61</v>
      </c>
      <c r="AA430" t="s">
        <v>61</v>
      </c>
      <c r="AB430" t="s">
        <v>61</v>
      </c>
      <c r="AC430" t="s">
        <v>67</v>
      </c>
      <c r="AD430" t="s">
        <v>61</v>
      </c>
      <c r="AE430" t="s">
        <v>61</v>
      </c>
      <c r="AF430" t="s">
        <v>61</v>
      </c>
      <c r="AG430" t="s">
        <v>61</v>
      </c>
      <c r="AH430" t="s">
        <v>61</v>
      </c>
      <c r="AI430" t="s">
        <v>61</v>
      </c>
      <c r="AJ430" t="s">
        <v>61</v>
      </c>
      <c r="AK430" t="s">
        <v>61</v>
      </c>
      <c r="AL430" t="s">
        <v>61</v>
      </c>
      <c r="AM430" t="s">
        <v>3592</v>
      </c>
      <c r="AN430" t="s">
        <v>61</v>
      </c>
      <c r="AO430" t="s">
        <v>61</v>
      </c>
      <c r="AP430" t="s">
        <v>61</v>
      </c>
      <c r="AQ430" t="s">
        <v>61</v>
      </c>
      <c r="AR430" t="s">
        <v>61</v>
      </c>
      <c r="AS430" t="s">
        <v>61</v>
      </c>
      <c r="AT430" t="s">
        <v>61</v>
      </c>
      <c r="AU430" t="s">
        <v>61</v>
      </c>
      <c r="AV430" t="s">
        <v>61</v>
      </c>
      <c r="AW430" t="s">
        <v>61</v>
      </c>
      <c r="AX430" t="s">
        <v>61</v>
      </c>
      <c r="AY430" t="s">
        <v>61</v>
      </c>
      <c r="AZ430" t="s">
        <v>61</v>
      </c>
      <c r="BA430" t="s">
        <v>61</v>
      </c>
      <c r="BB430" t="s">
        <v>61</v>
      </c>
      <c r="BC430" t="s">
        <v>61</v>
      </c>
      <c r="BD430" t="s">
        <v>61</v>
      </c>
      <c r="BE430" t="s">
        <v>61</v>
      </c>
      <c r="BF430" t="s">
        <v>61</v>
      </c>
    </row>
    <row r="431" spans="1:58">
      <c r="A431" t="s">
        <v>58</v>
      </c>
      <c r="B431" t="s">
        <v>3599</v>
      </c>
      <c r="C431" t="s">
        <v>3600</v>
      </c>
      <c r="D431" t="s">
        <v>428</v>
      </c>
      <c r="E431" t="s">
        <v>61</v>
      </c>
      <c r="F431">
        <v>2012</v>
      </c>
      <c r="G431" t="s">
        <v>429</v>
      </c>
      <c r="H431">
        <v>25</v>
      </c>
      <c r="I431">
        <v>2</v>
      </c>
      <c r="J431">
        <v>286</v>
      </c>
      <c r="K431" t="s">
        <v>61</v>
      </c>
      <c r="L431" t="s">
        <v>3601</v>
      </c>
      <c r="M431" t="s">
        <v>3602</v>
      </c>
      <c r="N431" t="s">
        <v>3603</v>
      </c>
      <c r="O431" t="s">
        <v>61</v>
      </c>
      <c r="Q431" t="s">
        <v>61</v>
      </c>
      <c r="R431" t="s">
        <v>61</v>
      </c>
      <c r="S431" t="s">
        <v>61</v>
      </c>
      <c r="T431" t="s">
        <v>61</v>
      </c>
      <c r="X431" t="s">
        <v>61</v>
      </c>
      <c r="Y431" t="s">
        <v>433</v>
      </c>
      <c r="Z431" t="s">
        <v>61</v>
      </c>
      <c r="AA431" t="s">
        <v>61</v>
      </c>
      <c r="AB431" t="s">
        <v>61</v>
      </c>
      <c r="AC431" t="s">
        <v>67</v>
      </c>
      <c r="AD431" t="s">
        <v>61</v>
      </c>
      <c r="AE431" t="s">
        <v>61</v>
      </c>
      <c r="AF431" t="s">
        <v>61</v>
      </c>
      <c r="AG431" t="s">
        <v>61</v>
      </c>
      <c r="AH431" t="s">
        <v>61</v>
      </c>
      <c r="AI431" t="s">
        <v>61</v>
      </c>
      <c r="AJ431" t="s">
        <v>61</v>
      </c>
      <c r="AK431" t="s">
        <v>61</v>
      </c>
      <c r="AL431" t="s">
        <v>61</v>
      </c>
      <c r="AM431" t="s">
        <v>3600</v>
      </c>
      <c r="AN431" t="s">
        <v>61</v>
      </c>
      <c r="AO431" t="s">
        <v>61</v>
      </c>
      <c r="AP431" t="s">
        <v>61</v>
      </c>
      <c r="AQ431" t="s">
        <v>61</v>
      </c>
      <c r="AR431" t="s">
        <v>61</v>
      </c>
      <c r="AS431" t="s">
        <v>61</v>
      </c>
      <c r="AT431" t="s">
        <v>61</v>
      </c>
      <c r="AU431" t="s">
        <v>61</v>
      </c>
      <c r="AV431" t="s">
        <v>61</v>
      </c>
      <c r="AW431" t="s">
        <v>61</v>
      </c>
      <c r="AX431" t="s">
        <v>61</v>
      </c>
      <c r="AY431" t="s">
        <v>61</v>
      </c>
      <c r="AZ431" t="s">
        <v>61</v>
      </c>
      <c r="BA431" t="s">
        <v>61</v>
      </c>
      <c r="BB431" t="s">
        <v>61</v>
      </c>
      <c r="BC431" t="s">
        <v>61</v>
      </c>
      <c r="BD431" t="s">
        <v>61</v>
      </c>
      <c r="BE431" t="s">
        <v>61</v>
      </c>
      <c r="BF431" t="s">
        <v>61</v>
      </c>
    </row>
    <row r="432" spans="1:58">
      <c r="A432" t="s">
        <v>58</v>
      </c>
      <c r="B432" t="s">
        <v>3604</v>
      </c>
      <c r="C432" t="s">
        <v>3605</v>
      </c>
      <c r="D432" t="s">
        <v>3606</v>
      </c>
      <c r="E432" t="s">
        <v>61</v>
      </c>
      <c r="F432">
        <v>1996</v>
      </c>
      <c r="G432" t="s">
        <v>61</v>
      </c>
      <c r="H432">
        <v>36</v>
      </c>
      <c r="I432">
        <v>4</v>
      </c>
      <c r="J432">
        <v>762</v>
      </c>
      <c r="K432" t="s">
        <v>3607</v>
      </c>
      <c r="L432" t="s">
        <v>3608</v>
      </c>
      <c r="M432" t="s">
        <v>3609</v>
      </c>
      <c r="N432" t="s">
        <v>3610</v>
      </c>
      <c r="O432" t="s">
        <v>61</v>
      </c>
      <c r="Q432" t="s">
        <v>61</v>
      </c>
      <c r="R432" t="s">
        <v>61</v>
      </c>
      <c r="S432" t="s">
        <v>61</v>
      </c>
      <c r="T432" t="s">
        <v>61</v>
      </c>
      <c r="X432" t="s">
        <v>61</v>
      </c>
      <c r="Y432" s="2">
        <v>1888214</v>
      </c>
      <c r="Z432" t="s">
        <v>61</v>
      </c>
      <c r="AA432" t="s">
        <v>3611</v>
      </c>
      <c r="AB432">
        <v>107354020</v>
      </c>
      <c r="AC432" t="s">
        <v>67</v>
      </c>
      <c r="AD432" t="s">
        <v>61</v>
      </c>
      <c r="AE432" t="s">
        <v>61</v>
      </c>
      <c r="AF432" t="s">
        <v>61</v>
      </c>
      <c r="AG432" t="s">
        <v>3612</v>
      </c>
      <c r="AH432" t="s">
        <v>61</v>
      </c>
      <c r="AI432" t="s">
        <v>61</v>
      </c>
      <c r="AJ432" t="s">
        <v>61</v>
      </c>
      <c r="AK432" t="s">
        <v>61</v>
      </c>
      <c r="AL432" t="s">
        <v>61</v>
      </c>
      <c r="AM432" t="s">
        <v>3613</v>
      </c>
      <c r="AN432" t="s">
        <v>61</v>
      </c>
      <c r="AO432" t="s">
        <v>61</v>
      </c>
      <c r="AP432" t="s">
        <v>61</v>
      </c>
      <c r="AQ432" t="s">
        <v>61</v>
      </c>
      <c r="AR432" t="s">
        <v>61</v>
      </c>
      <c r="AS432" t="s">
        <v>61</v>
      </c>
      <c r="AT432" t="s">
        <v>61</v>
      </c>
      <c r="AU432" t="s">
        <v>61</v>
      </c>
      <c r="AV432" t="s">
        <v>61</v>
      </c>
      <c r="AW432" t="s">
        <v>61</v>
      </c>
      <c r="AX432" t="s">
        <v>61</v>
      </c>
      <c r="AY432" t="s">
        <v>61</v>
      </c>
      <c r="AZ432" t="s">
        <v>61</v>
      </c>
      <c r="BA432" t="s">
        <v>61</v>
      </c>
      <c r="BB432" t="s">
        <v>61</v>
      </c>
      <c r="BC432" t="s">
        <v>61</v>
      </c>
      <c r="BD432" t="s">
        <v>61</v>
      </c>
      <c r="BE432" t="s">
        <v>61</v>
      </c>
      <c r="BF432" t="s">
        <v>61</v>
      </c>
    </row>
    <row r="433" spans="1:58">
      <c r="A433" t="s">
        <v>58</v>
      </c>
      <c r="B433" t="s">
        <v>3614</v>
      </c>
      <c r="C433" t="s">
        <v>3615</v>
      </c>
      <c r="D433" t="s">
        <v>3616</v>
      </c>
      <c r="E433" t="s">
        <v>61</v>
      </c>
      <c r="F433">
        <v>1996</v>
      </c>
      <c r="G433" t="s">
        <v>3037</v>
      </c>
      <c r="H433">
        <v>10</v>
      </c>
      <c r="I433">
        <v>2</v>
      </c>
      <c r="J433">
        <v>153</v>
      </c>
      <c r="K433">
        <v>156</v>
      </c>
      <c r="L433" t="s">
        <v>3617</v>
      </c>
      <c r="M433" t="s">
        <v>3618</v>
      </c>
      <c r="N433" t="s">
        <v>3619</v>
      </c>
      <c r="O433" t="s">
        <v>61</v>
      </c>
      <c r="Q433" t="s">
        <v>61</v>
      </c>
      <c r="R433" t="s">
        <v>61</v>
      </c>
      <c r="S433" t="s">
        <v>61</v>
      </c>
      <c r="T433" t="s">
        <v>61</v>
      </c>
      <c r="X433" t="s">
        <v>61</v>
      </c>
      <c r="Y433" t="s">
        <v>3620</v>
      </c>
      <c r="Z433" t="s">
        <v>61</v>
      </c>
      <c r="AA433" t="s">
        <v>3621</v>
      </c>
      <c r="AB433">
        <v>10157544</v>
      </c>
      <c r="AC433" t="s">
        <v>67</v>
      </c>
      <c r="AD433" t="s">
        <v>61</v>
      </c>
      <c r="AE433" t="s">
        <v>61</v>
      </c>
      <c r="AF433" t="s">
        <v>61</v>
      </c>
      <c r="AG433" t="s">
        <v>3622</v>
      </c>
      <c r="AH433" t="s">
        <v>61</v>
      </c>
      <c r="AI433" t="s">
        <v>61</v>
      </c>
      <c r="AJ433" t="s">
        <v>61</v>
      </c>
      <c r="AK433" t="s">
        <v>61</v>
      </c>
      <c r="AL433" t="s">
        <v>61</v>
      </c>
      <c r="AM433" t="s">
        <v>3623</v>
      </c>
      <c r="AN433" t="s">
        <v>61</v>
      </c>
      <c r="AO433" t="s">
        <v>61</v>
      </c>
      <c r="AP433" t="s">
        <v>61</v>
      </c>
      <c r="AQ433" t="s">
        <v>61</v>
      </c>
      <c r="AR433" t="s">
        <v>61</v>
      </c>
      <c r="AS433" t="s">
        <v>61</v>
      </c>
      <c r="AT433" t="s">
        <v>61</v>
      </c>
      <c r="AU433" t="s">
        <v>61</v>
      </c>
      <c r="AV433" t="s">
        <v>61</v>
      </c>
      <c r="AW433" t="s">
        <v>61</v>
      </c>
      <c r="AX433" t="s">
        <v>61</v>
      </c>
      <c r="AY433" t="s">
        <v>61</v>
      </c>
      <c r="AZ433" t="s">
        <v>61</v>
      </c>
      <c r="BA433" t="s">
        <v>61</v>
      </c>
      <c r="BB433" t="s">
        <v>61</v>
      </c>
      <c r="BC433" t="s">
        <v>61</v>
      </c>
      <c r="BD433" t="s">
        <v>61</v>
      </c>
      <c r="BE433" t="s">
        <v>61</v>
      </c>
      <c r="BF433" t="s">
        <v>61</v>
      </c>
    </row>
    <row r="434" spans="1:58">
      <c r="A434" t="s">
        <v>58</v>
      </c>
      <c r="B434" t="s">
        <v>3624</v>
      </c>
      <c r="C434" t="s">
        <v>3625</v>
      </c>
      <c r="D434" t="s">
        <v>3626</v>
      </c>
      <c r="E434" t="s">
        <v>3626</v>
      </c>
      <c r="F434">
        <v>2002</v>
      </c>
      <c r="G434" t="s">
        <v>851</v>
      </c>
      <c r="H434">
        <v>36</v>
      </c>
      <c r="I434">
        <v>5</v>
      </c>
      <c r="J434" t="s">
        <v>3627</v>
      </c>
      <c r="K434">
        <v>9</v>
      </c>
      <c r="L434" t="s">
        <v>3628</v>
      </c>
      <c r="M434" t="s">
        <v>3629</v>
      </c>
      <c r="N434" t="s">
        <v>3630</v>
      </c>
      <c r="O434" t="s">
        <v>61</v>
      </c>
      <c r="Q434" t="s">
        <v>61</v>
      </c>
      <c r="R434" t="s">
        <v>61</v>
      </c>
      <c r="S434" t="s">
        <v>61</v>
      </c>
      <c r="T434" t="s">
        <v>61</v>
      </c>
      <c r="X434" t="s">
        <v>61</v>
      </c>
      <c r="Y434" t="s">
        <v>3631</v>
      </c>
      <c r="Z434" t="s">
        <v>61</v>
      </c>
      <c r="AA434" t="s">
        <v>3632</v>
      </c>
      <c r="AB434">
        <v>12407596</v>
      </c>
      <c r="AC434" t="s">
        <v>67</v>
      </c>
      <c r="AD434" t="s">
        <v>61</v>
      </c>
      <c r="AE434" t="s">
        <v>61</v>
      </c>
      <c r="AF434" t="s">
        <v>61</v>
      </c>
      <c r="AG434" t="s">
        <v>3633</v>
      </c>
      <c r="AH434" t="s">
        <v>61</v>
      </c>
      <c r="AI434" t="s">
        <v>61</v>
      </c>
      <c r="AJ434" t="s">
        <v>61</v>
      </c>
      <c r="AK434" t="s">
        <v>61</v>
      </c>
      <c r="AL434" t="s">
        <v>61</v>
      </c>
      <c r="AM434" t="s">
        <v>3634</v>
      </c>
      <c r="AN434" t="s">
        <v>61</v>
      </c>
      <c r="AO434" t="s">
        <v>61</v>
      </c>
      <c r="AP434" t="s">
        <v>61</v>
      </c>
      <c r="AQ434" t="s">
        <v>61</v>
      </c>
      <c r="AR434" t="s">
        <v>61</v>
      </c>
      <c r="AS434" t="s">
        <v>61</v>
      </c>
      <c r="AT434" t="s">
        <v>61</v>
      </c>
      <c r="AU434" t="s">
        <v>61</v>
      </c>
      <c r="AV434" t="s">
        <v>61</v>
      </c>
      <c r="AW434" t="s">
        <v>61</v>
      </c>
      <c r="AX434" t="s">
        <v>61</v>
      </c>
      <c r="AY434" t="s">
        <v>61</v>
      </c>
      <c r="AZ434" t="s">
        <v>61</v>
      </c>
      <c r="BA434" t="s">
        <v>61</v>
      </c>
      <c r="BB434" t="s">
        <v>61</v>
      </c>
      <c r="BC434" t="s">
        <v>61</v>
      </c>
      <c r="BD434" t="s">
        <v>61</v>
      </c>
      <c r="BE434" t="s">
        <v>61</v>
      </c>
      <c r="BF434" t="s">
        <v>61</v>
      </c>
    </row>
    <row r="435" spans="1:58">
      <c r="A435" t="s">
        <v>58</v>
      </c>
      <c r="B435" t="s">
        <v>3635</v>
      </c>
      <c r="C435" t="s">
        <v>3636</v>
      </c>
      <c r="D435" t="s">
        <v>1492</v>
      </c>
      <c r="E435" t="s">
        <v>61</v>
      </c>
      <c r="F435">
        <v>2010</v>
      </c>
      <c r="G435" t="s">
        <v>344</v>
      </c>
      <c r="H435">
        <v>2</v>
      </c>
      <c r="I435">
        <v>9</v>
      </c>
      <c r="J435" t="s">
        <v>3637</v>
      </c>
      <c r="K435" t="s">
        <v>61</v>
      </c>
      <c r="L435" t="s">
        <v>3638</v>
      </c>
      <c r="M435" t="s">
        <v>3639</v>
      </c>
      <c r="N435" t="s">
        <v>3640</v>
      </c>
      <c r="O435" t="s">
        <v>61</v>
      </c>
      <c r="Q435" t="s">
        <v>61</v>
      </c>
      <c r="R435" t="s">
        <v>61</v>
      </c>
      <c r="S435" t="s">
        <v>61</v>
      </c>
      <c r="T435" t="s">
        <v>61</v>
      </c>
      <c r="X435" t="s">
        <v>61</v>
      </c>
      <c r="Y435" t="s">
        <v>1497</v>
      </c>
      <c r="Z435" t="s">
        <v>61</v>
      </c>
      <c r="AA435" t="s">
        <v>61</v>
      </c>
      <c r="AB435" t="s">
        <v>61</v>
      </c>
      <c r="AC435" t="s">
        <v>67</v>
      </c>
      <c r="AD435" t="s">
        <v>61</v>
      </c>
      <c r="AE435" t="s">
        <v>61</v>
      </c>
      <c r="AF435" t="s">
        <v>61</v>
      </c>
      <c r="AG435" t="s">
        <v>61</v>
      </c>
      <c r="AH435" t="s">
        <v>61</v>
      </c>
      <c r="AI435" t="s">
        <v>61</v>
      </c>
      <c r="AJ435" t="s">
        <v>61</v>
      </c>
      <c r="AK435" t="s">
        <v>61</v>
      </c>
      <c r="AL435" t="s">
        <v>61</v>
      </c>
      <c r="AM435" t="s">
        <v>3636</v>
      </c>
      <c r="AN435" t="s">
        <v>61</v>
      </c>
      <c r="AO435" t="s">
        <v>61</v>
      </c>
      <c r="AP435" t="s">
        <v>61</v>
      </c>
      <c r="AQ435" t="s">
        <v>61</v>
      </c>
      <c r="AR435" t="s">
        <v>61</v>
      </c>
      <c r="AS435" t="s">
        <v>61</v>
      </c>
      <c r="AT435" t="s">
        <v>61</v>
      </c>
      <c r="AU435" t="s">
        <v>61</v>
      </c>
      <c r="AV435" t="s">
        <v>61</v>
      </c>
      <c r="AW435" t="s">
        <v>61</v>
      </c>
      <c r="AX435" t="s">
        <v>61</v>
      </c>
      <c r="AY435" t="s">
        <v>61</v>
      </c>
      <c r="AZ435" t="s">
        <v>61</v>
      </c>
      <c r="BA435" t="s">
        <v>61</v>
      </c>
      <c r="BB435" t="s">
        <v>61</v>
      </c>
      <c r="BC435" t="s">
        <v>61</v>
      </c>
      <c r="BD435" t="s">
        <v>61</v>
      </c>
      <c r="BE435" t="s">
        <v>61</v>
      </c>
      <c r="BF435" t="s">
        <v>61</v>
      </c>
    </row>
    <row r="436" spans="1:58">
      <c r="A436" t="s">
        <v>58</v>
      </c>
      <c r="B436" t="s">
        <v>3641</v>
      </c>
      <c r="C436" t="s">
        <v>3642</v>
      </c>
      <c r="D436" t="s">
        <v>2704</v>
      </c>
      <c r="E436" t="s">
        <v>61</v>
      </c>
      <c r="F436">
        <v>2005</v>
      </c>
      <c r="G436" t="s">
        <v>61</v>
      </c>
      <c r="H436">
        <v>28</v>
      </c>
      <c r="I436">
        <v>5</v>
      </c>
      <c r="J436">
        <v>379</v>
      </c>
      <c r="K436">
        <v>386</v>
      </c>
      <c r="L436" t="s">
        <v>3643</v>
      </c>
      <c r="M436" t="s">
        <v>3644</v>
      </c>
      <c r="N436" t="s">
        <v>3645</v>
      </c>
      <c r="O436" t="s">
        <v>61</v>
      </c>
      <c r="Q436" t="s">
        <v>61</v>
      </c>
      <c r="R436" t="s">
        <v>61</v>
      </c>
      <c r="S436" t="s">
        <v>61</v>
      </c>
      <c r="T436" t="s">
        <v>61</v>
      </c>
      <c r="X436" t="s">
        <v>61</v>
      </c>
      <c r="Y436" t="s">
        <v>313</v>
      </c>
      <c r="Z436" t="s">
        <v>61</v>
      </c>
      <c r="AA436" t="s">
        <v>3646</v>
      </c>
      <c r="AB436">
        <v>15853440</v>
      </c>
      <c r="AC436" t="s">
        <v>67</v>
      </c>
      <c r="AD436" t="s">
        <v>61</v>
      </c>
      <c r="AE436" t="s">
        <v>61</v>
      </c>
      <c r="AF436" t="s">
        <v>61</v>
      </c>
      <c r="AG436" t="s">
        <v>3647</v>
      </c>
      <c r="AH436" t="s">
        <v>61</v>
      </c>
      <c r="AI436" t="s">
        <v>61</v>
      </c>
      <c r="AJ436" t="s">
        <v>61</v>
      </c>
      <c r="AK436" t="s">
        <v>61</v>
      </c>
      <c r="AL436" t="s">
        <v>61</v>
      </c>
      <c r="AM436" t="s">
        <v>3648</v>
      </c>
      <c r="AN436" t="s">
        <v>61</v>
      </c>
      <c r="AO436" t="s">
        <v>61</v>
      </c>
      <c r="AP436" t="s">
        <v>61</v>
      </c>
      <c r="AQ436" t="s">
        <v>61</v>
      </c>
      <c r="AR436" t="s">
        <v>61</v>
      </c>
      <c r="AS436" t="s">
        <v>61</v>
      </c>
      <c r="AT436" t="s">
        <v>61</v>
      </c>
      <c r="AU436" t="s">
        <v>61</v>
      </c>
      <c r="AV436" t="s">
        <v>61</v>
      </c>
      <c r="AW436" t="s">
        <v>61</v>
      </c>
      <c r="AX436" t="s">
        <v>61</v>
      </c>
      <c r="AY436" t="s">
        <v>61</v>
      </c>
      <c r="AZ436" t="s">
        <v>61</v>
      </c>
      <c r="BA436" t="s">
        <v>61</v>
      </c>
      <c r="BB436" t="s">
        <v>61</v>
      </c>
      <c r="BC436" t="s">
        <v>61</v>
      </c>
      <c r="BD436" t="s">
        <v>61</v>
      </c>
      <c r="BE436" t="s">
        <v>61</v>
      </c>
      <c r="BF436" t="s">
        <v>61</v>
      </c>
    </row>
    <row r="437" spans="1:58">
      <c r="A437" t="s">
        <v>58</v>
      </c>
      <c r="B437" t="s">
        <v>3649</v>
      </c>
      <c r="C437" t="s">
        <v>3650</v>
      </c>
      <c r="D437" t="s">
        <v>3651</v>
      </c>
      <c r="E437" t="s">
        <v>61</v>
      </c>
      <c r="F437">
        <v>2007</v>
      </c>
      <c r="G437" t="s">
        <v>559</v>
      </c>
      <c r="H437">
        <v>6</v>
      </c>
      <c r="I437">
        <v>3</v>
      </c>
      <c r="J437">
        <v>289</v>
      </c>
      <c r="K437">
        <v>303</v>
      </c>
      <c r="L437" t="s">
        <v>3652</v>
      </c>
      <c r="M437" t="s">
        <v>3653</v>
      </c>
      <c r="N437" t="s">
        <v>3654</v>
      </c>
      <c r="O437" t="s">
        <v>61</v>
      </c>
      <c r="Q437" t="s">
        <v>61</v>
      </c>
      <c r="R437" t="s">
        <v>61</v>
      </c>
      <c r="S437" t="s">
        <v>61</v>
      </c>
      <c r="T437" t="s">
        <v>61</v>
      </c>
      <c r="X437" t="s">
        <v>61</v>
      </c>
      <c r="Y437" t="s">
        <v>3655</v>
      </c>
      <c r="Z437" t="s">
        <v>61</v>
      </c>
      <c r="AA437" t="s">
        <v>61</v>
      </c>
      <c r="AB437">
        <v>2007243321</v>
      </c>
      <c r="AC437" t="s">
        <v>67</v>
      </c>
      <c r="AD437" t="s">
        <v>61</v>
      </c>
      <c r="AE437" t="s">
        <v>61</v>
      </c>
      <c r="AF437" t="s">
        <v>61</v>
      </c>
      <c r="AG437" t="s">
        <v>3656</v>
      </c>
      <c r="AH437" t="s">
        <v>61</v>
      </c>
      <c r="AI437" t="s">
        <v>61</v>
      </c>
      <c r="AJ437" t="s">
        <v>61</v>
      </c>
      <c r="AK437" t="s">
        <v>61</v>
      </c>
      <c r="AL437" t="s">
        <v>61</v>
      </c>
      <c r="AM437" t="s">
        <v>3657</v>
      </c>
      <c r="AN437" t="s">
        <v>61</v>
      </c>
      <c r="AO437" t="s">
        <v>61</v>
      </c>
      <c r="AP437" t="s">
        <v>61</v>
      </c>
      <c r="AQ437" t="s">
        <v>61</v>
      </c>
      <c r="AR437" t="s">
        <v>61</v>
      </c>
      <c r="AS437" t="s">
        <v>61</v>
      </c>
      <c r="AT437" t="s">
        <v>61</v>
      </c>
      <c r="AU437" t="s">
        <v>61</v>
      </c>
      <c r="AV437" t="s">
        <v>61</v>
      </c>
      <c r="AW437" t="s">
        <v>61</v>
      </c>
      <c r="AX437" t="s">
        <v>61</v>
      </c>
      <c r="AY437" t="s">
        <v>61</v>
      </c>
      <c r="AZ437" t="s">
        <v>61</v>
      </c>
      <c r="BA437" t="s">
        <v>61</v>
      </c>
      <c r="BB437" t="s">
        <v>61</v>
      </c>
      <c r="BC437" t="s">
        <v>61</v>
      </c>
      <c r="BD437" t="s">
        <v>61</v>
      </c>
      <c r="BE437" t="s">
        <v>61</v>
      </c>
      <c r="BF437" t="s">
        <v>61</v>
      </c>
    </row>
    <row r="438" spans="1:58">
      <c r="A438" t="s">
        <v>58</v>
      </c>
      <c r="B438" t="s">
        <v>3658</v>
      </c>
      <c r="C438" t="s">
        <v>3659</v>
      </c>
      <c r="D438" t="s">
        <v>475</v>
      </c>
      <c r="E438" t="s">
        <v>61</v>
      </c>
      <c r="F438">
        <v>2011</v>
      </c>
      <c r="G438" t="s">
        <v>129</v>
      </c>
      <c r="H438">
        <v>33</v>
      </c>
      <c r="I438">
        <v>5</v>
      </c>
      <c r="J438">
        <v>815</v>
      </c>
      <c r="K438">
        <v>823</v>
      </c>
      <c r="L438" t="s">
        <v>3660</v>
      </c>
      <c r="M438" t="s">
        <v>3661</v>
      </c>
      <c r="N438" t="s">
        <v>3662</v>
      </c>
      <c r="O438" t="s">
        <v>61</v>
      </c>
      <c r="Q438" t="s">
        <v>61</v>
      </c>
      <c r="R438" t="s">
        <v>61</v>
      </c>
      <c r="S438" t="s">
        <v>61</v>
      </c>
      <c r="T438" t="s">
        <v>61</v>
      </c>
      <c r="X438" t="s">
        <v>61</v>
      </c>
      <c r="Y438" t="s">
        <v>3663</v>
      </c>
      <c r="Z438" t="s">
        <v>61</v>
      </c>
      <c r="AA438" t="s">
        <v>3664</v>
      </c>
      <c r="AB438">
        <v>21811831</v>
      </c>
      <c r="AC438" t="s">
        <v>67</v>
      </c>
      <c r="AD438" t="s">
        <v>61</v>
      </c>
      <c r="AE438" t="s">
        <v>61</v>
      </c>
      <c r="AF438" t="s">
        <v>61</v>
      </c>
      <c r="AG438" t="s">
        <v>3665</v>
      </c>
      <c r="AH438" t="s">
        <v>61</v>
      </c>
      <c r="AI438" t="s">
        <v>3666</v>
      </c>
      <c r="AJ438" t="s">
        <v>61</v>
      </c>
      <c r="AK438" t="s">
        <v>61</v>
      </c>
      <c r="AL438" t="s">
        <v>61</v>
      </c>
      <c r="AM438" t="s">
        <v>3667</v>
      </c>
      <c r="AN438" t="s">
        <v>61</v>
      </c>
      <c r="AO438" t="s">
        <v>61</v>
      </c>
      <c r="AP438" t="s">
        <v>61</v>
      </c>
      <c r="AQ438" t="s">
        <v>61</v>
      </c>
      <c r="AR438" t="s">
        <v>61</v>
      </c>
      <c r="AS438" t="s">
        <v>61</v>
      </c>
      <c r="AT438" t="s">
        <v>61</v>
      </c>
      <c r="AU438" t="s">
        <v>61</v>
      </c>
      <c r="AV438" t="s">
        <v>61</v>
      </c>
      <c r="AW438" t="s">
        <v>61</v>
      </c>
      <c r="AX438" t="s">
        <v>61</v>
      </c>
      <c r="AY438" t="s">
        <v>61</v>
      </c>
      <c r="AZ438" t="s">
        <v>61</v>
      </c>
      <c r="BA438" t="s">
        <v>61</v>
      </c>
      <c r="BB438" t="s">
        <v>61</v>
      </c>
      <c r="BC438" t="s">
        <v>61</v>
      </c>
      <c r="BD438" t="s">
        <v>61</v>
      </c>
      <c r="BE438" t="s">
        <v>61</v>
      </c>
      <c r="BF438" t="s">
        <v>61</v>
      </c>
    </row>
    <row r="439" spans="1:58">
      <c r="A439" t="s">
        <v>58</v>
      </c>
      <c r="B439" t="s">
        <v>3668</v>
      </c>
      <c r="C439" t="s">
        <v>3669</v>
      </c>
      <c r="D439" t="s">
        <v>417</v>
      </c>
      <c r="E439" t="s">
        <v>61</v>
      </c>
      <c r="F439">
        <v>2010</v>
      </c>
      <c r="G439" t="s">
        <v>119</v>
      </c>
      <c r="H439">
        <v>32</v>
      </c>
      <c r="I439">
        <v>3</v>
      </c>
      <c r="J439">
        <v>362</v>
      </c>
      <c r="K439">
        <v>372</v>
      </c>
      <c r="L439" t="s">
        <v>3670</v>
      </c>
      <c r="M439" t="s">
        <v>3671</v>
      </c>
      <c r="N439" t="s">
        <v>3672</v>
      </c>
      <c r="O439" t="s">
        <v>61</v>
      </c>
      <c r="Q439" t="s">
        <v>61</v>
      </c>
      <c r="R439" t="s">
        <v>61</v>
      </c>
      <c r="S439" t="s">
        <v>61</v>
      </c>
      <c r="T439" t="s">
        <v>61</v>
      </c>
      <c r="X439" t="s">
        <v>61</v>
      </c>
      <c r="Y439" t="s">
        <v>3673</v>
      </c>
      <c r="Z439" t="s">
        <v>61</v>
      </c>
      <c r="AA439" t="s">
        <v>3664</v>
      </c>
      <c r="AB439">
        <v>20229029</v>
      </c>
      <c r="AC439" t="s">
        <v>67</v>
      </c>
      <c r="AD439" t="s">
        <v>61</v>
      </c>
      <c r="AE439" t="s">
        <v>61</v>
      </c>
      <c r="AF439" t="s">
        <v>61</v>
      </c>
      <c r="AG439" t="s">
        <v>3674</v>
      </c>
      <c r="AH439" t="s">
        <v>61</v>
      </c>
      <c r="AI439" t="s">
        <v>3675</v>
      </c>
      <c r="AJ439" t="s">
        <v>61</v>
      </c>
      <c r="AK439" t="s">
        <v>61</v>
      </c>
      <c r="AL439" t="s">
        <v>61</v>
      </c>
      <c r="AM439" t="s">
        <v>3676</v>
      </c>
      <c r="AN439" t="s">
        <v>61</v>
      </c>
      <c r="AO439" t="s">
        <v>61</v>
      </c>
      <c r="AP439" t="s">
        <v>61</v>
      </c>
      <c r="AQ439" t="s">
        <v>61</v>
      </c>
      <c r="AR439" t="s">
        <v>61</v>
      </c>
      <c r="AS439" t="s">
        <v>61</v>
      </c>
      <c r="AT439" t="s">
        <v>61</v>
      </c>
      <c r="AU439" t="s">
        <v>61</v>
      </c>
      <c r="AV439" t="s">
        <v>61</v>
      </c>
      <c r="AW439" t="s">
        <v>61</v>
      </c>
      <c r="AX439" t="s">
        <v>61</v>
      </c>
      <c r="AY439" t="s">
        <v>61</v>
      </c>
      <c r="AZ439" t="s">
        <v>61</v>
      </c>
      <c r="BA439" t="s">
        <v>61</v>
      </c>
      <c r="BB439" t="s">
        <v>61</v>
      </c>
      <c r="BC439" t="s">
        <v>61</v>
      </c>
      <c r="BD439" t="s">
        <v>61</v>
      </c>
      <c r="BE439" t="s">
        <v>61</v>
      </c>
      <c r="BF439" t="s">
        <v>61</v>
      </c>
    </row>
    <row r="440" spans="1:58">
      <c r="A440" t="s">
        <v>58</v>
      </c>
      <c r="B440" t="s">
        <v>3677</v>
      </c>
      <c r="C440" t="s">
        <v>3678</v>
      </c>
      <c r="D440" t="s">
        <v>3679</v>
      </c>
      <c r="E440" t="s">
        <v>3680</v>
      </c>
      <c r="F440">
        <v>1983</v>
      </c>
      <c r="G440" t="s">
        <v>280</v>
      </c>
      <c r="H440">
        <v>18</v>
      </c>
      <c r="I440">
        <v>8</v>
      </c>
      <c r="J440">
        <v>1157</v>
      </c>
      <c r="K440">
        <v>1169</v>
      </c>
      <c r="L440" t="s">
        <v>3681</v>
      </c>
      <c r="M440" t="s">
        <v>3682</v>
      </c>
      <c r="N440" t="s">
        <v>3683</v>
      </c>
      <c r="O440" t="s">
        <v>61</v>
      </c>
      <c r="Q440" t="s">
        <v>61</v>
      </c>
      <c r="R440" t="s">
        <v>61</v>
      </c>
      <c r="S440" t="s">
        <v>61</v>
      </c>
      <c r="T440" t="s">
        <v>61</v>
      </c>
      <c r="X440" t="s">
        <v>61</v>
      </c>
      <c r="Y440" t="s">
        <v>3684</v>
      </c>
      <c r="Z440" t="s">
        <v>61</v>
      </c>
      <c r="AA440" t="s">
        <v>61</v>
      </c>
      <c r="AB440">
        <v>6671846</v>
      </c>
      <c r="AC440" t="s">
        <v>67</v>
      </c>
      <c r="AD440" t="s">
        <v>61</v>
      </c>
      <c r="AE440" t="s">
        <v>61</v>
      </c>
      <c r="AF440" t="s">
        <v>61</v>
      </c>
      <c r="AG440" t="s">
        <v>3685</v>
      </c>
      <c r="AH440" t="s">
        <v>61</v>
      </c>
      <c r="AI440" t="s">
        <v>61</v>
      </c>
      <c r="AJ440" t="s">
        <v>61</v>
      </c>
      <c r="AK440" t="s">
        <v>61</v>
      </c>
      <c r="AL440" t="s">
        <v>61</v>
      </c>
      <c r="AM440" t="s">
        <v>3686</v>
      </c>
      <c r="AN440" t="s">
        <v>61</v>
      </c>
      <c r="AO440" t="s">
        <v>61</v>
      </c>
      <c r="AP440" t="s">
        <v>61</v>
      </c>
      <c r="AQ440" t="s">
        <v>61</v>
      </c>
      <c r="AR440" t="s">
        <v>61</v>
      </c>
      <c r="AS440" t="s">
        <v>61</v>
      </c>
      <c r="AT440" t="s">
        <v>61</v>
      </c>
      <c r="AU440" t="s">
        <v>61</v>
      </c>
      <c r="AV440" t="s">
        <v>61</v>
      </c>
      <c r="AW440" t="s">
        <v>61</v>
      </c>
      <c r="AX440" t="s">
        <v>61</v>
      </c>
      <c r="AY440" t="s">
        <v>61</v>
      </c>
      <c r="AZ440" t="s">
        <v>61</v>
      </c>
      <c r="BA440" t="s">
        <v>61</v>
      </c>
      <c r="BB440" t="s">
        <v>61</v>
      </c>
      <c r="BC440" t="s">
        <v>61</v>
      </c>
      <c r="BD440" t="s">
        <v>61</v>
      </c>
      <c r="BE440" t="s">
        <v>61</v>
      </c>
      <c r="BF440" t="s">
        <v>61</v>
      </c>
    </row>
    <row r="441" spans="1:58">
      <c r="A441" t="s">
        <v>58</v>
      </c>
      <c r="B441" t="s">
        <v>3687</v>
      </c>
      <c r="C441" t="s">
        <v>3688</v>
      </c>
      <c r="D441" t="s">
        <v>3679</v>
      </c>
      <c r="E441" t="s">
        <v>3680</v>
      </c>
      <c r="F441">
        <v>1970</v>
      </c>
      <c r="G441" t="s">
        <v>119</v>
      </c>
      <c r="H441">
        <v>5</v>
      </c>
      <c r="I441">
        <v>2</v>
      </c>
      <c r="J441">
        <v>295</v>
      </c>
      <c r="K441">
        <v>312</v>
      </c>
      <c r="L441" t="s">
        <v>3689</v>
      </c>
      <c r="M441" t="s">
        <v>61</v>
      </c>
      <c r="N441" t="s">
        <v>3690</v>
      </c>
      <c r="O441" t="s">
        <v>61</v>
      </c>
      <c r="Q441" t="s">
        <v>61</v>
      </c>
      <c r="R441" t="s">
        <v>61</v>
      </c>
      <c r="S441" t="s">
        <v>61</v>
      </c>
      <c r="T441" t="s">
        <v>61</v>
      </c>
      <c r="X441" t="s">
        <v>61</v>
      </c>
      <c r="Y441" t="s">
        <v>3684</v>
      </c>
      <c r="Z441" t="s">
        <v>61</v>
      </c>
      <c r="AA441" t="s">
        <v>61</v>
      </c>
      <c r="AB441">
        <v>5535634</v>
      </c>
      <c r="AC441" t="s">
        <v>67</v>
      </c>
      <c r="AD441" t="s">
        <v>61</v>
      </c>
      <c r="AE441" t="s">
        <v>61</v>
      </c>
      <c r="AF441" t="s">
        <v>61</v>
      </c>
      <c r="AG441" t="s">
        <v>3691</v>
      </c>
      <c r="AH441" t="s">
        <v>61</v>
      </c>
      <c r="AI441" t="s">
        <v>61</v>
      </c>
      <c r="AJ441" t="s">
        <v>61</v>
      </c>
      <c r="AK441" t="s">
        <v>61</v>
      </c>
      <c r="AL441" t="s">
        <v>61</v>
      </c>
      <c r="AM441" t="s">
        <v>3692</v>
      </c>
      <c r="AN441" t="s">
        <v>61</v>
      </c>
      <c r="AO441" t="s">
        <v>61</v>
      </c>
      <c r="AP441" t="s">
        <v>61</v>
      </c>
      <c r="AQ441" t="s">
        <v>61</v>
      </c>
      <c r="AR441" t="s">
        <v>61</v>
      </c>
      <c r="AS441" t="s">
        <v>61</v>
      </c>
      <c r="AT441" t="s">
        <v>61</v>
      </c>
      <c r="AU441" t="s">
        <v>61</v>
      </c>
      <c r="AV441" t="s">
        <v>61</v>
      </c>
      <c r="AW441" t="s">
        <v>61</v>
      </c>
      <c r="AX441" t="s">
        <v>61</v>
      </c>
      <c r="AY441" t="s">
        <v>61</v>
      </c>
      <c r="AZ441" t="s">
        <v>61</v>
      </c>
      <c r="BA441" t="s">
        <v>61</v>
      </c>
      <c r="BB441" t="s">
        <v>61</v>
      </c>
      <c r="BC441" t="s">
        <v>61</v>
      </c>
      <c r="BD441" t="s">
        <v>61</v>
      </c>
      <c r="BE441" t="s">
        <v>61</v>
      </c>
      <c r="BF441" t="s">
        <v>61</v>
      </c>
    </row>
    <row r="442" spans="1:58">
      <c r="A442" t="s">
        <v>58</v>
      </c>
      <c r="B442" t="s">
        <v>3693</v>
      </c>
      <c r="C442" t="s">
        <v>3694</v>
      </c>
      <c r="D442" t="s">
        <v>3695</v>
      </c>
      <c r="E442" t="s">
        <v>61</v>
      </c>
      <c r="F442">
        <v>2007</v>
      </c>
      <c r="G442" t="s">
        <v>237</v>
      </c>
      <c r="H442">
        <v>47</v>
      </c>
      <c r="I442">
        <v>3</v>
      </c>
      <c r="J442">
        <v>191</v>
      </c>
      <c r="K442">
        <v>199</v>
      </c>
      <c r="L442" t="s">
        <v>3696</v>
      </c>
      <c r="M442" t="s">
        <v>3697</v>
      </c>
      <c r="N442" t="s">
        <v>3698</v>
      </c>
      <c r="O442" t="s">
        <v>61</v>
      </c>
      <c r="Q442" t="s">
        <v>61</v>
      </c>
      <c r="R442" t="s">
        <v>61</v>
      </c>
      <c r="S442" t="s">
        <v>61</v>
      </c>
      <c r="T442" t="s">
        <v>61</v>
      </c>
      <c r="X442" t="s">
        <v>61</v>
      </c>
      <c r="Y442" t="s">
        <v>3699</v>
      </c>
      <c r="Z442" t="s">
        <v>61</v>
      </c>
      <c r="AA442" t="s">
        <v>3700</v>
      </c>
      <c r="AB442">
        <v>17725232</v>
      </c>
      <c r="AC442" t="s">
        <v>67</v>
      </c>
      <c r="AD442" t="s">
        <v>61</v>
      </c>
      <c r="AE442" t="s">
        <v>61</v>
      </c>
      <c r="AF442" t="s">
        <v>61</v>
      </c>
      <c r="AG442" t="s">
        <v>3701</v>
      </c>
      <c r="AH442" t="s">
        <v>61</v>
      </c>
      <c r="AI442" t="s">
        <v>61</v>
      </c>
      <c r="AJ442" t="s">
        <v>61</v>
      </c>
      <c r="AK442" t="s">
        <v>61</v>
      </c>
      <c r="AL442" t="s">
        <v>61</v>
      </c>
      <c r="AM442" t="s">
        <v>3702</v>
      </c>
      <c r="AN442" t="s">
        <v>61</v>
      </c>
      <c r="AO442" t="s">
        <v>61</v>
      </c>
      <c r="AP442" t="s">
        <v>61</v>
      </c>
      <c r="AQ442" t="s">
        <v>61</v>
      </c>
      <c r="AR442" t="s">
        <v>61</v>
      </c>
      <c r="AS442" t="s">
        <v>61</v>
      </c>
      <c r="AT442" t="s">
        <v>61</v>
      </c>
      <c r="AU442" t="s">
        <v>61</v>
      </c>
      <c r="AV442" t="s">
        <v>61</v>
      </c>
      <c r="AW442" t="s">
        <v>61</v>
      </c>
      <c r="AX442" t="s">
        <v>61</v>
      </c>
      <c r="AY442" t="s">
        <v>61</v>
      </c>
      <c r="AZ442" t="s">
        <v>61</v>
      </c>
      <c r="BA442" t="s">
        <v>61</v>
      </c>
      <c r="BB442" t="s">
        <v>61</v>
      </c>
      <c r="BC442" t="s">
        <v>61</v>
      </c>
      <c r="BD442" t="s">
        <v>61</v>
      </c>
      <c r="BE442" t="s">
        <v>61</v>
      </c>
      <c r="BF442" t="s">
        <v>61</v>
      </c>
    </row>
    <row r="443" spans="1:58">
      <c r="A443" t="s">
        <v>58</v>
      </c>
      <c r="B443" t="s">
        <v>3703</v>
      </c>
      <c r="C443" t="s">
        <v>3704</v>
      </c>
      <c r="D443" t="s">
        <v>3705</v>
      </c>
      <c r="E443" t="s">
        <v>3706</v>
      </c>
      <c r="F443">
        <v>2013</v>
      </c>
      <c r="G443" t="s">
        <v>418</v>
      </c>
      <c r="H443">
        <v>88</v>
      </c>
      <c r="I443">
        <v>2</v>
      </c>
      <c r="J443">
        <v>79</v>
      </c>
      <c r="K443">
        <v>84</v>
      </c>
      <c r="L443" t="s">
        <v>61</v>
      </c>
      <c r="M443" t="s">
        <v>3707</v>
      </c>
      <c r="N443" t="s">
        <v>3708</v>
      </c>
      <c r="O443" t="s">
        <v>61</v>
      </c>
      <c r="Q443" t="s">
        <v>61</v>
      </c>
      <c r="R443" t="s">
        <v>61</v>
      </c>
      <c r="S443" t="s">
        <v>61</v>
      </c>
      <c r="T443" t="s">
        <v>61</v>
      </c>
      <c r="X443" t="s">
        <v>61</v>
      </c>
      <c r="Y443" t="s">
        <v>3709</v>
      </c>
      <c r="Z443" t="s">
        <v>61</v>
      </c>
      <c r="AA443" t="s">
        <v>3710</v>
      </c>
      <c r="AB443">
        <v>23963086</v>
      </c>
      <c r="AC443" t="s">
        <v>67</v>
      </c>
      <c r="AD443" t="s">
        <v>61</v>
      </c>
      <c r="AE443" t="s">
        <v>61</v>
      </c>
      <c r="AF443" t="s">
        <v>61</v>
      </c>
      <c r="AG443" t="s">
        <v>3711</v>
      </c>
      <c r="AH443" t="s">
        <v>61</v>
      </c>
      <c r="AI443" t="s">
        <v>3712</v>
      </c>
      <c r="AJ443" t="s">
        <v>61</v>
      </c>
      <c r="AK443" t="s">
        <v>61</v>
      </c>
      <c r="AL443" t="s">
        <v>61</v>
      </c>
      <c r="AM443" t="s">
        <v>3713</v>
      </c>
      <c r="AN443" t="s">
        <v>61</v>
      </c>
      <c r="AO443" t="s">
        <v>61</v>
      </c>
      <c r="AP443" t="s">
        <v>61</v>
      </c>
      <c r="AQ443" t="s">
        <v>61</v>
      </c>
      <c r="AR443" t="s">
        <v>61</v>
      </c>
      <c r="AS443" t="s">
        <v>61</v>
      </c>
      <c r="AT443" t="s">
        <v>61</v>
      </c>
      <c r="AU443" t="s">
        <v>61</v>
      </c>
      <c r="AV443" t="s">
        <v>61</v>
      </c>
      <c r="AW443" t="s">
        <v>61</v>
      </c>
      <c r="AX443" t="s">
        <v>61</v>
      </c>
      <c r="AY443" t="s">
        <v>61</v>
      </c>
      <c r="AZ443" t="s">
        <v>61</v>
      </c>
      <c r="BA443" t="s">
        <v>61</v>
      </c>
      <c r="BB443" t="s">
        <v>61</v>
      </c>
      <c r="BC443" t="s">
        <v>61</v>
      </c>
      <c r="BD443" t="s">
        <v>61</v>
      </c>
      <c r="BE443" t="s">
        <v>61</v>
      </c>
      <c r="BF443" t="s">
        <v>61</v>
      </c>
    </row>
    <row r="444" spans="1:58">
      <c r="A444" t="s">
        <v>58</v>
      </c>
      <c r="B444" t="s">
        <v>3714</v>
      </c>
      <c r="C444" t="s">
        <v>3715</v>
      </c>
      <c r="D444" t="s">
        <v>876</v>
      </c>
      <c r="E444" t="s">
        <v>877</v>
      </c>
      <c r="F444">
        <v>2010</v>
      </c>
      <c r="G444">
        <v>10</v>
      </c>
      <c r="H444">
        <v>74</v>
      </c>
      <c r="I444">
        <v>2</v>
      </c>
      <c r="J444">
        <v>26</v>
      </c>
      <c r="K444" t="s">
        <v>61</v>
      </c>
      <c r="L444" t="s">
        <v>3716</v>
      </c>
      <c r="M444" t="s">
        <v>3717</v>
      </c>
      <c r="N444" t="s">
        <v>3718</v>
      </c>
      <c r="O444" t="s">
        <v>61</v>
      </c>
      <c r="Q444" t="s">
        <v>61</v>
      </c>
      <c r="R444" t="s">
        <v>61</v>
      </c>
      <c r="S444" t="s">
        <v>61</v>
      </c>
      <c r="T444" t="s">
        <v>61</v>
      </c>
      <c r="X444" t="s">
        <v>61</v>
      </c>
      <c r="Y444" t="s">
        <v>3719</v>
      </c>
      <c r="Z444" t="s">
        <v>61</v>
      </c>
      <c r="AA444" t="s">
        <v>61</v>
      </c>
      <c r="AB444" t="s">
        <v>61</v>
      </c>
      <c r="AC444" t="s">
        <v>67</v>
      </c>
      <c r="AD444" t="s">
        <v>61</v>
      </c>
      <c r="AE444" t="s">
        <v>61</v>
      </c>
      <c r="AF444" t="s">
        <v>61</v>
      </c>
      <c r="AG444" t="s">
        <v>3720</v>
      </c>
      <c r="AH444" t="s">
        <v>61</v>
      </c>
      <c r="AI444" t="s">
        <v>61</v>
      </c>
      <c r="AJ444" t="s">
        <v>61</v>
      </c>
      <c r="AK444" t="s">
        <v>61</v>
      </c>
      <c r="AL444" t="s">
        <v>61</v>
      </c>
      <c r="AM444" t="s">
        <v>3721</v>
      </c>
      <c r="AN444" t="s">
        <v>61</v>
      </c>
      <c r="AO444" t="s">
        <v>61</v>
      </c>
      <c r="AP444" t="s">
        <v>61</v>
      </c>
      <c r="AQ444" t="s">
        <v>61</v>
      </c>
      <c r="AR444" t="s">
        <v>61</v>
      </c>
      <c r="AS444" t="s">
        <v>61</v>
      </c>
      <c r="AT444" t="s">
        <v>61</v>
      </c>
      <c r="AU444" t="s">
        <v>61</v>
      </c>
      <c r="AV444" t="s">
        <v>61</v>
      </c>
      <c r="AW444" t="s">
        <v>61</v>
      </c>
      <c r="AX444" t="s">
        <v>61</v>
      </c>
      <c r="AY444" t="s">
        <v>61</v>
      </c>
      <c r="AZ444" t="s">
        <v>61</v>
      </c>
      <c r="BA444" t="s">
        <v>61</v>
      </c>
      <c r="BB444" t="s">
        <v>61</v>
      </c>
      <c r="BC444" t="s">
        <v>61</v>
      </c>
      <c r="BD444" t="s">
        <v>61</v>
      </c>
      <c r="BE444" t="s">
        <v>61</v>
      </c>
      <c r="BF444" t="s">
        <v>61</v>
      </c>
    </row>
    <row r="445" spans="1:58">
      <c r="A445" t="s">
        <v>58</v>
      </c>
      <c r="B445" t="s">
        <v>3722</v>
      </c>
      <c r="C445" t="s">
        <v>3723</v>
      </c>
      <c r="D445" t="s">
        <v>2731</v>
      </c>
      <c r="E445" t="s">
        <v>61</v>
      </c>
      <c r="F445">
        <v>1999</v>
      </c>
      <c r="G445" t="s">
        <v>61</v>
      </c>
      <c r="H445">
        <v>11</v>
      </c>
      <c r="I445">
        <v>3</v>
      </c>
      <c r="J445">
        <v>181</v>
      </c>
      <c r="K445">
        <v>189</v>
      </c>
      <c r="L445" t="s">
        <v>3724</v>
      </c>
      <c r="M445" t="s">
        <v>3725</v>
      </c>
      <c r="N445" t="s">
        <v>3726</v>
      </c>
      <c r="O445" t="s">
        <v>61</v>
      </c>
      <c r="Q445" t="s">
        <v>61</v>
      </c>
      <c r="R445" t="s">
        <v>61</v>
      </c>
      <c r="S445" t="s">
        <v>61</v>
      </c>
      <c r="T445" t="s">
        <v>61</v>
      </c>
      <c r="X445" t="s">
        <v>61</v>
      </c>
      <c r="Y445" t="s">
        <v>2735</v>
      </c>
      <c r="Z445" t="s">
        <v>61</v>
      </c>
      <c r="AA445" t="s">
        <v>61</v>
      </c>
      <c r="AB445">
        <v>1999112995</v>
      </c>
      <c r="AC445" t="s">
        <v>67</v>
      </c>
      <c r="AD445" t="s">
        <v>61</v>
      </c>
      <c r="AE445" t="s">
        <v>61</v>
      </c>
      <c r="AF445" t="s">
        <v>61</v>
      </c>
      <c r="AG445" t="s">
        <v>61</v>
      </c>
      <c r="AH445" t="s">
        <v>61</v>
      </c>
      <c r="AI445" t="s">
        <v>61</v>
      </c>
      <c r="AJ445" t="s">
        <v>61</v>
      </c>
      <c r="AK445" t="s">
        <v>61</v>
      </c>
      <c r="AL445" t="s">
        <v>61</v>
      </c>
      <c r="AM445" t="s">
        <v>3723</v>
      </c>
      <c r="AN445" t="s">
        <v>61</v>
      </c>
      <c r="AO445" t="s">
        <v>61</v>
      </c>
      <c r="AP445" t="s">
        <v>61</v>
      </c>
      <c r="AQ445" t="s">
        <v>61</v>
      </c>
      <c r="AR445" t="s">
        <v>61</v>
      </c>
      <c r="AS445" t="s">
        <v>61</v>
      </c>
      <c r="AT445" t="s">
        <v>61</v>
      </c>
      <c r="AU445" t="s">
        <v>61</v>
      </c>
      <c r="AV445" t="s">
        <v>61</v>
      </c>
      <c r="AW445" t="s">
        <v>61</v>
      </c>
      <c r="AX445" t="s">
        <v>61</v>
      </c>
      <c r="AY445" t="s">
        <v>61</v>
      </c>
      <c r="AZ445" t="s">
        <v>61</v>
      </c>
      <c r="BA445" t="s">
        <v>61</v>
      </c>
      <c r="BB445" t="s">
        <v>61</v>
      </c>
      <c r="BC445" t="s">
        <v>61</v>
      </c>
      <c r="BD445" t="s">
        <v>61</v>
      </c>
      <c r="BE445" t="s">
        <v>61</v>
      </c>
      <c r="BF445" t="s">
        <v>61</v>
      </c>
    </row>
    <row r="446" spans="1:58">
      <c r="A446" t="s">
        <v>58</v>
      </c>
      <c r="B446" t="s">
        <v>3727</v>
      </c>
      <c r="C446" t="s">
        <v>3728</v>
      </c>
      <c r="D446" t="s">
        <v>3729</v>
      </c>
      <c r="E446" t="s">
        <v>61</v>
      </c>
      <c r="F446">
        <v>2015</v>
      </c>
      <c r="G446" t="s">
        <v>429</v>
      </c>
      <c r="H446" t="s">
        <v>3730</v>
      </c>
      <c r="I446" t="s">
        <v>61</v>
      </c>
      <c r="J446">
        <v>269</v>
      </c>
      <c r="K446" t="s">
        <v>61</v>
      </c>
      <c r="L446" t="s">
        <v>3731</v>
      </c>
      <c r="M446" t="s">
        <v>3732</v>
      </c>
      <c r="N446" t="s">
        <v>3733</v>
      </c>
      <c r="O446" t="s">
        <v>61</v>
      </c>
      <c r="Q446" t="s">
        <v>61</v>
      </c>
      <c r="R446" t="s">
        <v>61</v>
      </c>
      <c r="S446" t="s">
        <v>61</v>
      </c>
      <c r="T446" t="s">
        <v>61</v>
      </c>
      <c r="X446" t="s">
        <v>61</v>
      </c>
      <c r="Y446" t="s">
        <v>3734</v>
      </c>
      <c r="Z446" t="s">
        <v>61</v>
      </c>
      <c r="AA446" t="s">
        <v>61</v>
      </c>
      <c r="AB446" t="s">
        <v>61</v>
      </c>
      <c r="AC446" t="s">
        <v>67</v>
      </c>
      <c r="AD446" t="s">
        <v>61</v>
      </c>
      <c r="AE446" t="s">
        <v>61</v>
      </c>
      <c r="AF446" t="s">
        <v>61</v>
      </c>
      <c r="AG446" t="s">
        <v>61</v>
      </c>
      <c r="AH446" t="s">
        <v>61</v>
      </c>
      <c r="AI446" t="s">
        <v>61</v>
      </c>
      <c r="AJ446" t="s">
        <v>61</v>
      </c>
      <c r="AK446" t="s">
        <v>61</v>
      </c>
      <c r="AL446" t="s">
        <v>61</v>
      </c>
      <c r="AM446" t="s">
        <v>3728</v>
      </c>
      <c r="AN446" t="s">
        <v>61</v>
      </c>
      <c r="AO446" t="s">
        <v>61</v>
      </c>
      <c r="AP446" t="s">
        <v>61</v>
      </c>
      <c r="AQ446" t="s">
        <v>61</v>
      </c>
      <c r="AR446" t="s">
        <v>61</v>
      </c>
      <c r="AS446" t="s">
        <v>61</v>
      </c>
      <c r="AT446" t="s">
        <v>61</v>
      </c>
      <c r="AU446" t="s">
        <v>61</v>
      </c>
      <c r="AV446" t="s">
        <v>61</v>
      </c>
      <c r="AW446" t="s">
        <v>61</v>
      </c>
      <c r="AX446" t="s">
        <v>61</v>
      </c>
      <c r="AY446" t="s">
        <v>61</v>
      </c>
      <c r="AZ446" t="s">
        <v>61</v>
      </c>
      <c r="BA446" t="s">
        <v>61</v>
      </c>
      <c r="BB446" t="s">
        <v>61</v>
      </c>
      <c r="BC446" t="s">
        <v>61</v>
      </c>
      <c r="BD446" t="s">
        <v>61</v>
      </c>
      <c r="BE446" t="s">
        <v>61</v>
      </c>
      <c r="BF446" t="s">
        <v>61</v>
      </c>
    </row>
    <row r="447" spans="1:58">
      <c r="A447" t="s">
        <v>58</v>
      </c>
      <c r="B447" t="s">
        <v>3735</v>
      </c>
      <c r="C447" t="s">
        <v>3736</v>
      </c>
      <c r="D447" t="s">
        <v>428</v>
      </c>
      <c r="E447" t="s">
        <v>61</v>
      </c>
      <c r="F447">
        <v>2011</v>
      </c>
      <c r="G447" t="s">
        <v>429</v>
      </c>
      <c r="H447">
        <v>24</v>
      </c>
      <c r="I447">
        <v>2</v>
      </c>
      <c r="J447">
        <v>255</v>
      </c>
      <c r="K447" t="s">
        <v>61</v>
      </c>
      <c r="L447" t="s">
        <v>3737</v>
      </c>
      <c r="M447" t="s">
        <v>3738</v>
      </c>
      <c r="N447" t="s">
        <v>3739</v>
      </c>
      <c r="O447" t="s">
        <v>61</v>
      </c>
      <c r="Q447" t="s">
        <v>61</v>
      </c>
      <c r="R447" t="s">
        <v>61</v>
      </c>
      <c r="S447" t="s">
        <v>61</v>
      </c>
      <c r="T447" t="s">
        <v>61</v>
      </c>
      <c r="X447" t="s">
        <v>61</v>
      </c>
      <c r="Y447" t="s">
        <v>433</v>
      </c>
      <c r="Z447" t="s">
        <v>61</v>
      </c>
      <c r="AA447" t="s">
        <v>61</v>
      </c>
      <c r="AB447" t="s">
        <v>61</v>
      </c>
      <c r="AC447" t="s">
        <v>67</v>
      </c>
      <c r="AD447" t="s">
        <v>61</v>
      </c>
      <c r="AE447" t="s">
        <v>61</v>
      </c>
      <c r="AF447" t="s">
        <v>61</v>
      </c>
      <c r="AG447" t="s">
        <v>61</v>
      </c>
      <c r="AH447" t="s">
        <v>61</v>
      </c>
      <c r="AI447" t="s">
        <v>61</v>
      </c>
      <c r="AJ447" t="s">
        <v>61</v>
      </c>
      <c r="AK447" t="s">
        <v>61</v>
      </c>
      <c r="AL447" t="s">
        <v>61</v>
      </c>
      <c r="AM447" t="s">
        <v>3736</v>
      </c>
      <c r="AN447" t="s">
        <v>61</v>
      </c>
      <c r="AO447" t="s">
        <v>61</v>
      </c>
      <c r="AP447" t="s">
        <v>61</v>
      </c>
      <c r="AQ447" t="s">
        <v>61</v>
      </c>
      <c r="AR447" t="s">
        <v>61</v>
      </c>
      <c r="AS447" t="s">
        <v>61</v>
      </c>
      <c r="AT447" t="s">
        <v>61</v>
      </c>
      <c r="AU447" t="s">
        <v>61</v>
      </c>
      <c r="AV447" t="s">
        <v>61</v>
      </c>
      <c r="AW447" t="s">
        <v>61</v>
      </c>
      <c r="AX447" t="s">
        <v>61</v>
      </c>
      <c r="AY447" t="s">
        <v>61</v>
      </c>
      <c r="AZ447" t="s">
        <v>61</v>
      </c>
      <c r="BA447" t="s">
        <v>61</v>
      </c>
      <c r="BB447" t="s">
        <v>61</v>
      </c>
      <c r="BC447" t="s">
        <v>61</v>
      </c>
      <c r="BD447" t="s">
        <v>61</v>
      </c>
      <c r="BE447" t="s">
        <v>61</v>
      </c>
      <c r="BF447" t="s">
        <v>61</v>
      </c>
    </row>
    <row r="448" spans="1:58">
      <c r="A448" t="s">
        <v>58</v>
      </c>
      <c r="B448" t="s">
        <v>3740</v>
      </c>
      <c r="C448" t="s">
        <v>3741</v>
      </c>
      <c r="D448" t="s">
        <v>3742</v>
      </c>
      <c r="E448" t="s">
        <v>61</v>
      </c>
      <c r="F448">
        <v>2011</v>
      </c>
      <c r="G448" t="s">
        <v>237</v>
      </c>
      <c r="H448">
        <v>9</v>
      </c>
      <c r="I448">
        <v>3</v>
      </c>
      <c r="J448">
        <v>162</v>
      </c>
      <c r="K448">
        <v>168</v>
      </c>
      <c r="L448" t="s">
        <v>61</v>
      </c>
      <c r="M448" t="s">
        <v>3743</v>
      </c>
      <c r="N448" t="s">
        <v>3744</v>
      </c>
      <c r="O448" t="s">
        <v>61</v>
      </c>
      <c r="Q448" t="s">
        <v>61</v>
      </c>
      <c r="R448" t="s">
        <v>61</v>
      </c>
      <c r="S448" t="s">
        <v>61</v>
      </c>
      <c r="T448" t="s">
        <v>61</v>
      </c>
      <c r="X448" t="s">
        <v>61</v>
      </c>
      <c r="Y448" t="s">
        <v>3745</v>
      </c>
      <c r="Z448" t="s">
        <v>61</v>
      </c>
      <c r="AA448" t="s">
        <v>3746</v>
      </c>
      <c r="AB448">
        <v>24367471</v>
      </c>
      <c r="AC448" t="s">
        <v>67</v>
      </c>
      <c r="AD448" t="s">
        <v>61</v>
      </c>
      <c r="AE448" t="s">
        <v>61</v>
      </c>
      <c r="AF448" t="s">
        <v>61</v>
      </c>
      <c r="AG448" t="s">
        <v>3747</v>
      </c>
      <c r="AH448" t="s">
        <v>61</v>
      </c>
      <c r="AI448" t="s">
        <v>61</v>
      </c>
      <c r="AJ448" t="s">
        <v>61</v>
      </c>
      <c r="AK448" t="s">
        <v>61</v>
      </c>
      <c r="AL448" t="s">
        <v>61</v>
      </c>
      <c r="AM448" t="s">
        <v>3748</v>
      </c>
      <c r="AN448" t="s">
        <v>61</v>
      </c>
      <c r="AO448" t="s">
        <v>61</v>
      </c>
      <c r="AP448" t="s">
        <v>61</v>
      </c>
      <c r="AQ448" t="s">
        <v>61</v>
      </c>
      <c r="AR448" t="s">
        <v>61</v>
      </c>
      <c r="AS448" t="s">
        <v>61</v>
      </c>
      <c r="AT448" t="s">
        <v>61</v>
      </c>
      <c r="AU448" t="s">
        <v>61</v>
      </c>
      <c r="AV448" t="s">
        <v>61</v>
      </c>
      <c r="AW448" t="s">
        <v>61</v>
      </c>
      <c r="AX448" t="s">
        <v>61</v>
      </c>
      <c r="AY448" t="s">
        <v>61</v>
      </c>
      <c r="AZ448" t="s">
        <v>61</v>
      </c>
      <c r="BA448" t="s">
        <v>61</v>
      </c>
      <c r="BB448" t="s">
        <v>61</v>
      </c>
      <c r="BC448" t="s">
        <v>61</v>
      </c>
      <c r="BD448" t="s">
        <v>61</v>
      </c>
      <c r="BE448" t="s">
        <v>61</v>
      </c>
      <c r="BF448" t="s">
        <v>61</v>
      </c>
    </row>
    <row r="449" spans="1:58">
      <c r="A449" t="s">
        <v>58</v>
      </c>
      <c r="B449" t="s">
        <v>3749</v>
      </c>
      <c r="C449" t="s">
        <v>3750</v>
      </c>
      <c r="D449" t="s">
        <v>428</v>
      </c>
      <c r="E449" t="s">
        <v>61</v>
      </c>
      <c r="F449">
        <v>2010</v>
      </c>
      <c r="G449" t="s">
        <v>429</v>
      </c>
      <c r="H449">
        <v>23</v>
      </c>
      <c r="I449">
        <v>2</v>
      </c>
      <c r="J449">
        <v>158</v>
      </c>
      <c r="K449" t="s">
        <v>61</v>
      </c>
      <c r="L449" t="s">
        <v>3751</v>
      </c>
      <c r="M449" t="s">
        <v>3752</v>
      </c>
      <c r="N449" t="s">
        <v>3753</v>
      </c>
      <c r="O449" t="s">
        <v>61</v>
      </c>
      <c r="Q449" t="s">
        <v>61</v>
      </c>
      <c r="R449" t="s">
        <v>61</v>
      </c>
      <c r="S449" t="s">
        <v>61</v>
      </c>
      <c r="T449" t="s">
        <v>61</v>
      </c>
      <c r="X449" t="s">
        <v>61</v>
      </c>
      <c r="Y449" t="s">
        <v>433</v>
      </c>
      <c r="Z449" t="s">
        <v>61</v>
      </c>
      <c r="AA449" t="s">
        <v>61</v>
      </c>
      <c r="AB449" t="s">
        <v>61</v>
      </c>
      <c r="AC449" t="s">
        <v>67</v>
      </c>
      <c r="AD449" t="s">
        <v>61</v>
      </c>
      <c r="AE449" t="s">
        <v>61</v>
      </c>
      <c r="AF449" t="s">
        <v>61</v>
      </c>
      <c r="AG449" t="s">
        <v>61</v>
      </c>
      <c r="AH449" t="s">
        <v>61</v>
      </c>
      <c r="AI449" t="s">
        <v>61</v>
      </c>
      <c r="AJ449" t="s">
        <v>61</v>
      </c>
      <c r="AK449" t="s">
        <v>61</v>
      </c>
      <c r="AL449" t="s">
        <v>61</v>
      </c>
      <c r="AM449" t="s">
        <v>3750</v>
      </c>
      <c r="AN449" t="s">
        <v>61</v>
      </c>
      <c r="AO449" t="s">
        <v>61</v>
      </c>
      <c r="AP449" t="s">
        <v>61</v>
      </c>
      <c r="AQ449" t="s">
        <v>61</v>
      </c>
      <c r="AR449" t="s">
        <v>61</v>
      </c>
      <c r="AS449" t="s">
        <v>61</v>
      </c>
      <c r="AT449" t="s">
        <v>61</v>
      </c>
      <c r="AU449" t="s">
        <v>61</v>
      </c>
      <c r="AV449" t="s">
        <v>61</v>
      </c>
      <c r="AW449" t="s">
        <v>61</v>
      </c>
      <c r="AX449" t="s">
        <v>61</v>
      </c>
      <c r="AY449" t="s">
        <v>61</v>
      </c>
      <c r="AZ449" t="s">
        <v>61</v>
      </c>
      <c r="BA449" t="s">
        <v>61</v>
      </c>
      <c r="BB449" t="s">
        <v>61</v>
      </c>
      <c r="BC449" t="s">
        <v>61</v>
      </c>
      <c r="BD449" t="s">
        <v>61</v>
      </c>
      <c r="BE449" t="s">
        <v>61</v>
      </c>
      <c r="BF449" t="s">
        <v>61</v>
      </c>
    </row>
    <row r="450" spans="1:58">
      <c r="A450" t="s">
        <v>58</v>
      </c>
      <c r="B450" t="s">
        <v>3754</v>
      </c>
      <c r="C450" t="s">
        <v>3755</v>
      </c>
      <c r="D450" t="s">
        <v>362</v>
      </c>
      <c r="E450" t="s">
        <v>61</v>
      </c>
      <c r="F450">
        <v>1982</v>
      </c>
      <c r="G450" t="s">
        <v>61</v>
      </c>
      <c r="H450">
        <v>6</v>
      </c>
      <c r="I450">
        <v>2</v>
      </c>
      <c r="J450">
        <v>225</v>
      </c>
      <c r="K450">
        <v>229</v>
      </c>
      <c r="L450" t="s">
        <v>3756</v>
      </c>
      <c r="M450" t="s">
        <v>61</v>
      </c>
      <c r="N450" t="s">
        <v>3757</v>
      </c>
      <c r="O450" t="s">
        <v>61</v>
      </c>
      <c r="Q450" t="s">
        <v>61</v>
      </c>
      <c r="R450" t="s">
        <v>61</v>
      </c>
      <c r="S450" t="s">
        <v>61</v>
      </c>
      <c r="T450" t="s">
        <v>61</v>
      </c>
      <c r="X450" t="s">
        <v>61</v>
      </c>
      <c r="Y450" t="s">
        <v>367</v>
      </c>
      <c r="Z450" t="s">
        <v>61</v>
      </c>
      <c r="AA450" t="s">
        <v>61</v>
      </c>
      <c r="AB450">
        <v>7048975</v>
      </c>
      <c r="AC450" t="s">
        <v>67</v>
      </c>
      <c r="AD450" t="s">
        <v>61</v>
      </c>
      <c r="AE450" t="s">
        <v>61</v>
      </c>
      <c r="AF450" t="s">
        <v>61</v>
      </c>
      <c r="AG450" t="s">
        <v>3758</v>
      </c>
      <c r="AH450" t="s">
        <v>61</v>
      </c>
      <c r="AI450" t="s">
        <v>61</v>
      </c>
      <c r="AJ450" t="s">
        <v>61</v>
      </c>
      <c r="AK450" t="s">
        <v>61</v>
      </c>
      <c r="AL450" t="s">
        <v>61</v>
      </c>
      <c r="AM450" t="s">
        <v>3759</v>
      </c>
      <c r="AN450" t="s">
        <v>61</v>
      </c>
      <c r="AO450" t="s">
        <v>61</v>
      </c>
      <c r="AP450" t="s">
        <v>61</v>
      </c>
      <c r="AQ450" t="s">
        <v>61</v>
      </c>
      <c r="AR450" t="s">
        <v>61</v>
      </c>
      <c r="AS450" t="s">
        <v>61</v>
      </c>
      <c r="AT450" t="s">
        <v>61</v>
      </c>
      <c r="AU450" t="s">
        <v>61</v>
      </c>
      <c r="AV450" t="s">
        <v>61</v>
      </c>
      <c r="AW450" t="s">
        <v>61</v>
      </c>
      <c r="AX450" t="s">
        <v>61</v>
      </c>
      <c r="AY450" t="s">
        <v>61</v>
      </c>
      <c r="AZ450" t="s">
        <v>61</v>
      </c>
      <c r="BA450" t="s">
        <v>61</v>
      </c>
      <c r="BB450" t="s">
        <v>61</v>
      </c>
      <c r="BC450" t="s">
        <v>61</v>
      </c>
      <c r="BD450" t="s">
        <v>61</v>
      </c>
      <c r="BE450" t="s">
        <v>61</v>
      </c>
      <c r="BF450" t="s">
        <v>61</v>
      </c>
    </row>
    <row r="451" spans="1:58">
      <c r="A451" t="s">
        <v>58</v>
      </c>
      <c r="B451" t="s">
        <v>3754</v>
      </c>
      <c r="C451" t="s">
        <v>3760</v>
      </c>
      <c r="D451" t="s">
        <v>482</v>
      </c>
      <c r="E451" t="s">
        <v>61</v>
      </c>
      <c r="F451">
        <v>1980</v>
      </c>
      <c r="G451" t="s">
        <v>129</v>
      </c>
      <c r="H451">
        <v>6</v>
      </c>
      <c r="I451">
        <v>4</v>
      </c>
      <c r="J451">
        <v>231</v>
      </c>
      <c r="K451">
        <v>246</v>
      </c>
      <c r="L451" t="s">
        <v>3761</v>
      </c>
      <c r="M451" t="s">
        <v>3762</v>
      </c>
      <c r="N451" t="s">
        <v>3763</v>
      </c>
      <c r="O451" t="s">
        <v>61</v>
      </c>
      <c r="Q451" t="s">
        <v>61</v>
      </c>
      <c r="R451" t="s">
        <v>61</v>
      </c>
      <c r="S451" t="s">
        <v>61</v>
      </c>
      <c r="T451" t="s">
        <v>61</v>
      </c>
      <c r="X451" t="s">
        <v>61</v>
      </c>
      <c r="Y451" t="s">
        <v>486</v>
      </c>
      <c r="Z451" t="s">
        <v>61</v>
      </c>
      <c r="AA451" t="s">
        <v>61</v>
      </c>
      <c r="AB451">
        <v>7274001</v>
      </c>
      <c r="AC451" t="s">
        <v>67</v>
      </c>
      <c r="AD451" t="s">
        <v>61</v>
      </c>
      <c r="AE451" t="s">
        <v>61</v>
      </c>
      <c r="AF451" t="s">
        <v>61</v>
      </c>
      <c r="AG451" t="s">
        <v>3764</v>
      </c>
      <c r="AH451" t="s">
        <v>61</v>
      </c>
      <c r="AI451" t="s">
        <v>61</v>
      </c>
      <c r="AJ451" t="s">
        <v>61</v>
      </c>
      <c r="AK451" t="s">
        <v>61</v>
      </c>
      <c r="AL451" t="s">
        <v>61</v>
      </c>
      <c r="AM451" t="s">
        <v>3765</v>
      </c>
      <c r="AN451" t="s">
        <v>61</v>
      </c>
      <c r="AO451" t="s">
        <v>61</v>
      </c>
      <c r="AP451" t="s">
        <v>61</v>
      </c>
      <c r="AQ451" t="s">
        <v>61</v>
      </c>
      <c r="AR451" t="s">
        <v>61</v>
      </c>
      <c r="AS451" t="s">
        <v>61</v>
      </c>
      <c r="AT451" t="s">
        <v>61</v>
      </c>
      <c r="AU451" t="s">
        <v>61</v>
      </c>
      <c r="AV451" t="s">
        <v>61</v>
      </c>
      <c r="AW451" t="s">
        <v>61</v>
      </c>
      <c r="AX451" t="s">
        <v>61</v>
      </c>
      <c r="AY451" t="s">
        <v>61</v>
      </c>
      <c r="AZ451" t="s">
        <v>61</v>
      </c>
      <c r="BA451" t="s">
        <v>61</v>
      </c>
      <c r="BB451" t="s">
        <v>61</v>
      </c>
      <c r="BC451" t="s">
        <v>61</v>
      </c>
      <c r="BD451" t="s">
        <v>61</v>
      </c>
      <c r="BE451" t="s">
        <v>61</v>
      </c>
      <c r="BF451" t="s">
        <v>61</v>
      </c>
    </row>
    <row r="452" spans="1:58">
      <c r="A452" t="s">
        <v>58</v>
      </c>
      <c r="B452" t="s">
        <v>3766</v>
      </c>
      <c r="C452" t="s">
        <v>3767</v>
      </c>
      <c r="D452" t="s">
        <v>3768</v>
      </c>
      <c r="E452" t="s">
        <v>3769</v>
      </c>
      <c r="F452">
        <v>1982</v>
      </c>
      <c r="G452" t="s">
        <v>61</v>
      </c>
      <c r="H452">
        <v>43</v>
      </c>
      <c r="I452">
        <v>5</v>
      </c>
      <c r="J452">
        <v>517</v>
      </c>
      <c r="K452">
        <v>531</v>
      </c>
      <c r="L452" t="s">
        <v>3770</v>
      </c>
      <c r="M452" t="s">
        <v>3771</v>
      </c>
      <c r="N452" t="s">
        <v>3772</v>
      </c>
      <c r="O452" t="s">
        <v>61</v>
      </c>
      <c r="Q452" t="s">
        <v>61</v>
      </c>
      <c r="R452" t="s">
        <v>61</v>
      </c>
      <c r="S452" t="s">
        <v>61</v>
      </c>
      <c r="T452" t="s">
        <v>61</v>
      </c>
      <c r="X452" t="s">
        <v>61</v>
      </c>
      <c r="Y452" t="s">
        <v>3773</v>
      </c>
      <c r="Z452" t="s">
        <v>61</v>
      </c>
      <c r="AA452" t="s">
        <v>61</v>
      </c>
      <c r="AB452">
        <v>1983046627</v>
      </c>
      <c r="AC452" t="s">
        <v>67</v>
      </c>
      <c r="AD452" t="s">
        <v>61</v>
      </c>
      <c r="AE452" t="s">
        <v>61</v>
      </c>
      <c r="AF452" t="s">
        <v>61</v>
      </c>
      <c r="AG452" t="s">
        <v>3774</v>
      </c>
      <c r="AH452" t="s">
        <v>61</v>
      </c>
      <c r="AI452" t="s">
        <v>61</v>
      </c>
      <c r="AJ452" t="s">
        <v>61</v>
      </c>
      <c r="AK452" t="s">
        <v>61</v>
      </c>
      <c r="AL452" t="s">
        <v>61</v>
      </c>
      <c r="AM452" t="s">
        <v>3775</v>
      </c>
      <c r="AN452" t="s">
        <v>61</v>
      </c>
      <c r="AO452" t="s">
        <v>61</v>
      </c>
      <c r="AP452" t="s">
        <v>61</v>
      </c>
      <c r="AQ452" t="s">
        <v>61</v>
      </c>
      <c r="AR452" t="s">
        <v>61</v>
      </c>
      <c r="AS452" t="s">
        <v>61</v>
      </c>
      <c r="AT452" t="s">
        <v>61</v>
      </c>
      <c r="AU452" t="s">
        <v>61</v>
      </c>
      <c r="AV452" t="s">
        <v>61</v>
      </c>
      <c r="AW452" t="s">
        <v>61</v>
      </c>
      <c r="AX452" t="s">
        <v>61</v>
      </c>
      <c r="AY452" t="s">
        <v>61</v>
      </c>
      <c r="AZ452" t="s">
        <v>61</v>
      </c>
      <c r="BA452" t="s">
        <v>61</v>
      </c>
      <c r="BB452" t="s">
        <v>61</v>
      </c>
      <c r="BC452" t="s">
        <v>61</v>
      </c>
      <c r="BD452" t="s">
        <v>61</v>
      </c>
      <c r="BE452" t="s">
        <v>61</v>
      </c>
      <c r="BF452" t="s">
        <v>61</v>
      </c>
    </row>
    <row r="453" spans="1:58">
      <c r="A453" t="s">
        <v>58</v>
      </c>
      <c r="B453" t="s">
        <v>3776</v>
      </c>
      <c r="C453" t="s">
        <v>3777</v>
      </c>
      <c r="D453" t="s">
        <v>2386</v>
      </c>
      <c r="E453" t="s">
        <v>61</v>
      </c>
      <c r="F453">
        <v>2009</v>
      </c>
      <c r="G453" t="s">
        <v>154</v>
      </c>
      <c r="H453">
        <v>58</v>
      </c>
      <c r="I453">
        <v>1</v>
      </c>
      <c r="J453">
        <v>26</v>
      </c>
      <c r="K453">
        <v>32</v>
      </c>
      <c r="L453" t="s">
        <v>3778</v>
      </c>
      <c r="M453" t="s">
        <v>3779</v>
      </c>
      <c r="N453" t="s">
        <v>3780</v>
      </c>
      <c r="O453" t="s">
        <v>61</v>
      </c>
      <c r="Q453" t="s">
        <v>61</v>
      </c>
      <c r="R453" t="s">
        <v>61</v>
      </c>
      <c r="S453" t="s">
        <v>61</v>
      </c>
      <c r="T453" t="s">
        <v>61</v>
      </c>
      <c r="X453" t="s">
        <v>61</v>
      </c>
      <c r="Y453" t="s">
        <v>3271</v>
      </c>
      <c r="Z453" t="s">
        <v>61</v>
      </c>
      <c r="AA453" t="s">
        <v>3781</v>
      </c>
      <c r="AB453">
        <v>19592350</v>
      </c>
      <c r="AC453" t="s">
        <v>67</v>
      </c>
      <c r="AD453" t="s">
        <v>61</v>
      </c>
      <c r="AE453" t="s">
        <v>61</v>
      </c>
      <c r="AF453" t="s">
        <v>61</v>
      </c>
      <c r="AG453" t="s">
        <v>3782</v>
      </c>
      <c r="AH453" t="s">
        <v>61</v>
      </c>
      <c r="AI453" t="s">
        <v>3783</v>
      </c>
      <c r="AJ453" t="s">
        <v>61</v>
      </c>
      <c r="AK453" t="s">
        <v>61</v>
      </c>
      <c r="AL453" t="s">
        <v>61</v>
      </c>
      <c r="AM453" t="s">
        <v>3784</v>
      </c>
      <c r="AN453" t="s">
        <v>61</v>
      </c>
      <c r="AO453" t="s">
        <v>61</v>
      </c>
      <c r="AP453" t="s">
        <v>61</v>
      </c>
      <c r="AQ453" t="s">
        <v>61</v>
      </c>
      <c r="AR453" t="s">
        <v>61</v>
      </c>
      <c r="AS453" t="s">
        <v>61</v>
      </c>
      <c r="AT453" t="s">
        <v>61</v>
      </c>
      <c r="AU453" t="s">
        <v>61</v>
      </c>
      <c r="AV453" t="s">
        <v>61</v>
      </c>
      <c r="AW453" t="s">
        <v>61</v>
      </c>
      <c r="AX453" t="s">
        <v>61</v>
      </c>
      <c r="AY453" t="s">
        <v>61</v>
      </c>
      <c r="AZ453" t="s">
        <v>61</v>
      </c>
      <c r="BA453" t="s">
        <v>61</v>
      </c>
      <c r="BB453" t="s">
        <v>61</v>
      </c>
      <c r="BC453" t="s">
        <v>61</v>
      </c>
      <c r="BD453" t="s">
        <v>61</v>
      </c>
      <c r="BE453" t="s">
        <v>61</v>
      </c>
      <c r="BF453" t="s">
        <v>61</v>
      </c>
    </row>
    <row r="454" spans="1:58">
      <c r="A454" t="s">
        <v>58</v>
      </c>
      <c r="B454" t="s">
        <v>3785</v>
      </c>
      <c r="C454" t="s">
        <v>3786</v>
      </c>
      <c r="D454" t="s">
        <v>3787</v>
      </c>
      <c r="E454" t="s">
        <v>61</v>
      </c>
      <c r="F454">
        <v>2013</v>
      </c>
      <c r="G454" t="s">
        <v>1152</v>
      </c>
      <c r="H454">
        <v>32</v>
      </c>
      <c r="I454">
        <v>3</v>
      </c>
      <c r="J454">
        <v>189</v>
      </c>
      <c r="K454">
        <v>193</v>
      </c>
      <c r="L454" t="s">
        <v>3788</v>
      </c>
      <c r="M454" t="s">
        <v>3789</v>
      </c>
      <c r="N454" t="s">
        <v>3790</v>
      </c>
      <c r="O454" t="s">
        <v>61</v>
      </c>
      <c r="Q454" t="s">
        <v>61</v>
      </c>
      <c r="R454" t="s">
        <v>61</v>
      </c>
      <c r="S454" t="s">
        <v>61</v>
      </c>
      <c r="T454" t="s">
        <v>61</v>
      </c>
      <c r="X454" t="s">
        <v>61</v>
      </c>
      <c r="Y454" t="s">
        <v>3791</v>
      </c>
      <c r="Z454" t="s">
        <v>61</v>
      </c>
      <c r="AA454" t="s">
        <v>3792</v>
      </c>
      <c r="AB454">
        <v>23410261</v>
      </c>
      <c r="AC454" t="s">
        <v>67</v>
      </c>
      <c r="AD454" t="s">
        <v>61</v>
      </c>
      <c r="AE454" t="s">
        <v>61</v>
      </c>
      <c r="AF454" t="s">
        <v>61</v>
      </c>
      <c r="AG454" t="s">
        <v>3793</v>
      </c>
      <c r="AH454" t="s">
        <v>61</v>
      </c>
      <c r="AI454" t="s">
        <v>3794</v>
      </c>
      <c r="AJ454" t="s">
        <v>61</v>
      </c>
      <c r="AK454" t="s">
        <v>61</v>
      </c>
      <c r="AL454" t="s">
        <v>61</v>
      </c>
      <c r="AM454" t="s">
        <v>3795</v>
      </c>
      <c r="AN454" t="s">
        <v>61</v>
      </c>
      <c r="AO454" t="s">
        <v>61</v>
      </c>
      <c r="AP454" t="s">
        <v>61</v>
      </c>
      <c r="AQ454" t="s">
        <v>61</v>
      </c>
      <c r="AR454" t="s">
        <v>61</v>
      </c>
      <c r="AS454" t="s">
        <v>61</v>
      </c>
      <c r="AT454" t="s">
        <v>61</v>
      </c>
      <c r="AU454" t="s">
        <v>61</v>
      </c>
      <c r="AV454" t="s">
        <v>61</v>
      </c>
      <c r="AW454" t="s">
        <v>61</v>
      </c>
      <c r="AX454" t="s">
        <v>61</v>
      </c>
      <c r="AY454" t="s">
        <v>61</v>
      </c>
      <c r="AZ454" t="s">
        <v>61</v>
      </c>
      <c r="BA454" t="s">
        <v>61</v>
      </c>
      <c r="BB454" t="s">
        <v>61</v>
      </c>
      <c r="BC454" t="s">
        <v>61</v>
      </c>
      <c r="BD454" t="s">
        <v>61</v>
      </c>
      <c r="BE454" t="s">
        <v>61</v>
      </c>
      <c r="BF454" t="s">
        <v>61</v>
      </c>
    </row>
    <row r="455" spans="1:58">
      <c r="A455" t="s">
        <v>58</v>
      </c>
      <c r="B455" t="s">
        <v>3796</v>
      </c>
      <c r="C455" t="s">
        <v>3797</v>
      </c>
      <c r="D455" t="s">
        <v>3798</v>
      </c>
      <c r="E455" t="s">
        <v>61</v>
      </c>
      <c r="F455">
        <v>1991</v>
      </c>
      <c r="G455" t="s">
        <v>61</v>
      </c>
      <c r="H455">
        <v>8</v>
      </c>
      <c r="I455">
        <v>3</v>
      </c>
      <c r="J455">
        <v>136</v>
      </c>
      <c r="K455">
        <v>140</v>
      </c>
      <c r="L455" t="s">
        <v>3799</v>
      </c>
      <c r="M455" t="s">
        <v>3800</v>
      </c>
      <c r="N455" t="s">
        <v>3801</v>
      </c>
      <c r="O455" t="s">
        <v>61</v>
      </c>
      <c r="Q455" t="s">
        <v>61</v>
      </c>
      <c r="R455" t="s">
        <v>61</v>
      </c>
      <c r="S455" t="s">
        <v>61</v>
      </c>
      <c r="T455" t="s">
        <v>61</v>
      </c>
      <c r="X455" t="s">
        <v>61</v>
      </c>
      <c r="Y455" t="s">
        <v>3802</v>
      </c>
      <c r="Z455" t="s">
        <v>61</v>
      </c>
      <c r="AA455" t="s">
        <v>61</v>
      </c>
      <c r="AB455">
        <v>1992067263</v>
      </c>
      <c r="AC455" t="s">
        <v>67</v>
      </c>
      <c r="AD455" t="s">
        <v>61</v>
      </c>
      <c r="AE455" t="s">
        <v>61</v>
      </c>
      <c r="AF455" t="s">
        <v>61</v>
      </c>
      <c r="AG455" t="s">
        <v>61</v>
      </c>
      <c r="AH455" t="s">
        <v>61</v>
      </c>
      <c r="AI455" t="s">
        <v>61</v>
      </c>
      <c r="AJ455" t="s">
        <v>61</v>
      </c>
      <c r="AK455" t="s">
        <v>61</v>
      </c>
      <c r="AL455" t="s">
        <v>61</v>
      </c>
      <c r="AM455" t="s">
        <v>3797</v>
      </c>
      <c r="AN455" t="s">
        <v>61</v>
      </c>
      <c r="AO455" t="s">
        <v>61</v>
      </c>
      <c r="AP455" t="s">
        <v>61</v>
      </c>
      <c r="AQ455" t="s">
        <v>61</v>
      </c>
      <c r="AR455" t="s">
        <v>61</v>
      </c>
      <c r="AS455" t="s">
        <v>61</v>
      </c>
      <c r="AT455" t="s">
        <v>61</v>
      </c>
      <c r="AU455" t="s">
        <v>61</v>
      </c>
      <c r="AV455" t="s">
        <v>61</v>
      </c>
      <c r="AW455" t="s">
        <v>61</v>
      </c>
      <c r="AX455" t="s">
        <v>61</v>
      </c>
      <c r="AY455" t="s">
        <v>61</v>
      </c>
      <c r="AZ455" t="s">
        <v>61</v>
      </c>
      <c r="BA455" t="s">
        <v>61</v>
      </c>
      <c r="BB455" t="s">
        <v>61</v>
      </c>
      <c r="BC455" t="s">
        <v>61</v>
      </c>
      <c r="BD455" t="s">
        <v>61</v>
      </c>
      <c r="BE455" t="s">
        <v>61</v>
      </c>
      <c r="BF455" t="s">
        <v>61</v>
      </c>
    </row>
    <row r="456" spans="1:58">
      <c r="A456" t="s">
        <v>58</v>
      </c>
      <c r="B456" t="s">
        <v>3803</v>
      </c>
      <c r="C456" t="s">
        <v>3804</v>
      </c>
      <c r="D456" t="s">
        <v>3805</v>
      </c>
      <c r="E456" t="s">
        <v>3806</v>
      </c>
      <c r="F456">
        <v>2003</v>
      </c>
      <c r="G456">
        <v>1</v>
      </c>
      <c r="H456">
        <v>84</v>
      </c>
      <c r="I456">
        <v>3</v>
      </c>
      <c r="J456" t="s">
        <v>3807</v>
      </c>
      <c r="K456" t="s">
        <v>3808</v>
      </c>
      <c r="L456" t="s">
        <v>3809</v>
      </c>
      <c r="M456" t="s">
        <v>3810</v>
      </c>
      <c r="N456" t="s">
        <v>3811</v>
      </c>
      <c r="O456" t="s">
        <v>61</v>
      </c>
      <c r="Q456" t="s">
        <v>61</v>
      </c>
      <c r="R456" t="s">
        <v>61</v>
      </c>
      <c r="S456" t="s">
        <v>61</v>
      </c>
      <c r="T456" t="s">
        <v>61</v>
      </c>
      <c r="X456" t="s">
        <v>61</v>
      </c>
      <c r="Y456" s="2">
        <v>2955969</v>
      </c>
      <c r="Z456" t="s">
        <v>61</v>
      </c>
      <c r="AA456" t="s">
        <v>61</v>
      </c>
      <c r="AB456">
        <v>2003107230</v>
      </c>
      <c r="AC456" t="s">
        <v>67</v>
      </c>
      <c r="AD456" t="s">
        <v>61</v>
      </c>
      <c r="AE456" t="s">
        <v>61</v>
      </c>
      <c r="AF456" t="s">
        <v>61</v>
      </c>
      <c r="AG456" t="s">
        <v>3812</v>
      </c>
      <c r="AH456" t="s">
        <v>61</v>
      </c>
      <c r="AI456" t="s">
        <v>61</v>
      </c>
      <c r="AJ456" t="s">
        <v>61</v>
      </c>
      <c r="AK456" t="s">
        <v>61</v>
      </c>
      <c r="AL456" t="s">
        <v>61</v>
      </c>
      <c r="AM456" t="s">
        <v>3813</v>
      </c>
      <c r="AN456" t="s">
        <v>61</v>
      </c>
      <c r="AO456" t="s">
        <v>61</v>
      </c>
      <c r="AP456" t="s">
        <v>61</v>
      </c>
      <c r="AQ456" t="s">
        <v>61</v>
      </c>
      <c r="AR456" t="s">
        <v>61</v>
      </c>
      <c r="AS456" t="s">
        <v>61</v>
      </c>
      <c r="AT456" t="s">
        <v>61</v>
      </c>
      <c r="AU456" t="s">
        <v>61</v>
      </c>
      <c r="AV456" t="s">
        <v>61</v>
      </c>
      <c r="AW456" t="s">
        <v>61</v>
      </c>
      <c r="AX456" t="s">
        <v>61</v>
      </c>
      <c r="AY456" t="s">
        <v>61</v>
      </c>
      <c r="AZ456" t="s">
        <v>61</v>
      </c>
      <c r="BA456" t="s">
        <v>61</v>
      </c>
      <c r="BB456" t="s">
        <v>61</v>
      </c>
      <c r="BC456" t="s">
        <v>61</v>
      </c>
      <c r="BD456" t="s">
        <v>61</v>
      </c>
      <c r="BE456" t="s">
        <v>61</v>
      </c>
      <c r="BF456" t="s">
        <v>61</v>
      </c>
    </row>
    <row r="457" spans="1:58">
      <c r="A457" t="s">
        <v>58</v>
      </c>
      <c r="B457" t="s">
        <v>3814</v>
      </c>
      <c r="C457" t="s">
        <v>3815</v>
      </c>
      <c r="D457" t="s">
        <v>417</v>
      </c>
      <c r="E457" t="s">
        <v>61</v>
      </c>
      <c r="F457">
        <v>1999</v>
      </c>
      <c r="G457" t="s">
        <v>418</v>
      </c>
      <c r="H457">
        <v>21</v>
      </c>
      <c r="I457">
        <v>4</v>
      </c>
      <c r="J457">
        <v>190</v>
      </c>
      <c r="K457">
        <v>193</v>
      </c>
      <c r="L457" t="s">
        <v>3816</v>
      </c>
      <c r="M457" t="s">
        <v>3817</v>
      </c>
      <c r="N457" t="s">
        <v>3818</v>
      </c>
      <c r="O457" t="s">
        <v>61</v>
      </c>
      <c r="Q457" t="s">
        <v>61</v>
      </c>
      <c r="R457" t="s">
        <v>61</v>
      </c>
      <c r="S457" t="s">
        <v>61</v>
      </c>
      <c r="T457" t="s">
        <v>61</v>
      </c>
      <c r="X457" t="s">
        <v>61</v>
      </c>
      <c r="Y457" t="s">
        <v>422</v>
      </c>
      <c r="Z457" t="s">
        <v>61</v>
      </c>
      <c r="AA457" t="s">
        <v>3819</v>
      </c>
      <c r="AB457">
        <v>10483608</v>
      </c>
      <c r="AC457" t="s">
        <v>67</v>
      </c>
      <c r="AD457" t="s">
        <v>61</v>
      </c>
      <c r="AE457" t="s">
        <v>61</v>
      </c>
      <c r="AF457" t="s">
        <v>61</v>
      </c>
      <c r="AG457" t="s">
        <v>3820</v>
      </c>
      <c r="AH457" t="s">
        <v>61</v>
      </c>
      <c r="AI457" t="s">
        <v>61</v>
      </c>
      <c r="AJ457" t="s">
        <v>61</v>
      </c>
      <c r="AK457" t="s">
        <v>61</v>
      </c>
      <c r="AL457" t="s">
        <v>61</v>
      </c>
      <c r="AM457" t="s">
        <v>3821</v>
      </c>
      <c r="AN457" t="s">
        <v>61</v>
      </c>
      <c r="AO457" t="s">
        <v>61</v>
      </c>
      <c r="AP457" t="s">
        <v>61</v>
      </c>
      <c r="AQ457" t="s">
        <v>61</v>
      </c>
      <c r="AR457" t="s">
        <v>61</v>
      </c>
      <c r="AS457" t="s">
        <v>61</v>
      </c>
      <c r="AT457" t="s">
        <v>61</v>
      </c>
      <c r="AU457" t="s">
        <v>61</v>
      </c>
      <c r="AV457" t="s">
        <v>61</v>
      </c>
      <c r="AW457" t="s">
        <v>61</v>
      </c>
      <c r="AX457" t="s">
        <v>61</v>
      </c>
      <c r="AY457" t="s">
        <v>61</v>
      </c>
      <c r="AZ457" t="s">
        <v>61</v>
      </c>
      <c r="BA457" t="s">
        <v>61</v>
      </c>
      <c r="BB457" t="s">
        <v>61</v>
      </c>
      <c r="BC457" t="s">
        <v>61</v>
      </c>
      <c r="BD457" t="s">
        <v>61</v>
      </c>
      <c r="BE457" t="s">
        <v>61</v>
      </c>
      <c r="BF457" t="s">
        <v>61</v>
      </c>
    </row>
    <row r="458" spans="1:58">
      <c r="A458" t="s">
        <v>58</v>
      </c>
      <c r="B458" t="s">
        <v>3822</v>
      </c>
      <c r="C458" t="s">
        <v>3823</v>
      </c>
      <c r="D458" t="s">
        <v>3824</v>
      </c>
      <c r="E458" t="s">
        <v>3825</v>
      </c>
      <c r="F458">
        <v>2008</v>
      </c>
      <c r="G458" t="s">
        <v>85</v>
      </c>
      <c r="H458">
        <v>197</v>
      </c>
      <c r="I458">
        <v>3</v>
      </c>
      <c r="J458">
        <v>421</v>
      </c>
      <c r="K458">
        <v>431</v>
      </c>
      <c r="L458" t="s">
        <v>3826</v>
      </c>
      <c r="M458" t="s">
        <v>3827</v>
      </c>
      <c r="N458" t="s">
        <v>3828</v>
      </c>
      <c r="O458" t="s">
        <v>61</v>
      </c>
      <c r="Q458" t="s">
        <v>61</v>
      </c>
      <c r="R458" t="s">
        <v>61</v>
      </c>
      <c r="S458" t="s">
        <v>61</v>
      </c>
      <c r="T458" t="s">
        <v>61</v>
      </c>
      <c r="X458" t="s">
        <v>61</v>
      </c>
      <c r="Y458" t="s">
        <v>3829</v>
      </c>
      <c r="Z458" t="s">
        <v>61</v>
      </c>
      <c r="AA458" t="s">
        <v>3830</v>
      </c>
      <c r="AB458">
        <v>18214445</v>
      </c>
      <c r="AC458" t="s">
        <v>67</v>
      </c>
      <c r="AD458" t="s">
        <v>61</v>
      </c>
      <c r="AE458" t="s">
        <v>61</v>
      </c>
      <c r="AF458" t="s">
        <v>61</v>
      </c>
      <c r="AG458" t="s">
        <v>3831</v>
      </c>
      <c r="AH458" t="s">
        <v>61</v>
      </c>
      <c r="AI458" t="s">
        <v>3832</v>
      </c>
      <c r="AJ458" t="s">
        <v>61</v>
      </c>
      <c r="AK458" t="s">
        <v>61</v>
      </c>
      <c r="AL458" t="s">
        <v>61</v>
      </c>
      <c r="AM458" t="s">
        <v>3833</v>
      </c>
      <c r="AN458" t="s">
        <v>61</v>
      </c>
      <c r="AO458" t="s">
        <v>61</v>
      </c>
      <c r="AP458" t="s">
        <v>61</v>
      </c>
      <c r="AQ458" t="s">
        <v>61</v>
      </c>
      <c r="AR458" t="s">
        <v>61</v>
      </c>
      <c r="AS458" t="s">
        <v>61</v>
      </c>
      <c r="AT458" t="s">
        <v>61</v>
      </c>
      <c r="AU458" t="s">
        <v>61</v>
      </c>
      <c r="AV458" t="s">
        <v>61</v>
      </c>
      <c r="AW458" t="s">
        <v>61</v>
      </c>
      <c r="AX458" t="s">
        <v>61</v>
      </c>
      <c r="AY458" t="s">
        <v>61</v>
      </c>
      <c r="AZ458" t="s">
        <v>61</v>
      </c>
      <c r="BA458" t="s">
        <v>61</v>
      </c>
      <c r="BB458" t="s">
        <v>61</v>
      </c>
      <c r="BC458" t="s">
        <v>61</v>
      </c>
      <c r="BD458" t="s">
        <v>61</v>
      </c>
      <c r="BE458" t="s">
        <v>61</v>
      </c>
      <c r="BF458" t="s">
        <v>61</v>
      </c>
    </row>
    <row r="459" spans="1:58">
      <c r="A459" t="s">
        <v>58</v>
      </c>
      <c r="B459" t="s">
        <v>3834</v>
      </c>
      <c r="C459" t="s">
        <v>3835</v>
      </c>
      <c r="D459" t="s">
        <v>517</v>
      </c>
      <c r="E459" t="s">
        <v>61</v>
      </c>
      <c r="F459">
        <v>2010</v>
      </c>
      <c r="G459" t="s">
        <v>3836</v>
      </c>
      <c r="H459" t="s">
        <v>3837</v>
      </c>
      <c r="I459" t="s">
        <v>61</v>
      </c>
      <c r="J459" t="s">
        <v>61</v>
      </c>
      <c r="K459" t="s">
        <v>61</v>
      </c>
      <c r="L459" t="s">
        <v>3838</v>
      </c>
      <c r="M459" t="s">
        <v>3839</v>
      </c>
      <c r="N459" t="s">
        <v>3840</v>
      </c>
      <c r="O459" t="s">
        <v>61</v>
      </c>
      <c r="Q459" t="s">
        <v>61</v>
      </c>
      <c r="R459" t="s">
        <v>61</v>
      </c>
      <c r="S459" t="s">
        <v>61</v>
      </c>
      <c r="T459" t="s">
        <v>61</v>
      </c>
      <c r="X459" t="s">
        <v>61</v>
      </c>
      <c r="Y459" t="s">
        <v>522</v>
      </c>
      <c r="Z459" t="s">
        <v>61</v>
      </c>
      <c r="AA459" t="s">
        <v>61</v>
      </c>
      <c r="AB459" t="s">
        <v>61</v>
      </c>
      <c r="AC459" t="s">
        <v>67</v>
      </c>
      <c r="AD459" t="s">
        <v>61</v>
      </c>
      <c r="AE459" t="s">
        <v>61</v>
      </c>
      <c r="AF459" t="s">
        <v>61</v>
      </c>
      <c r="AG459" t="s">
        <v>61</v>
      </c>
      <c r="AH459" t="s">
        <v>61</v>
      </c>
      <c r="AI459" t="s">
        <v>61</v>
      </c>
      <c r="AJ459" t="s">
        <v>61</v>
      </c>
      <c r="AK459" t="s">
        <v>61</v>
      </c>
      <c r="AL459" t="s">
        <v>61</v>
      </c>
      <c r="AM459" t="s">
        <v>3835</v>
      </c>
      <c r="AN459" t="s">
        <v>61</v>
      </c>
      <c r="AO459" t="s">
        <v>61</v>
      </c>
      <c r="AP459" t="s">
        <v>61</v>
      </c>
      <c r="AQ459" t="s">
        <v>61</v>
      </c>
      <c r="AR459" t="s">
        <v>61</v>
      </c>
      <c r="AS459" t="s">
        <v>61</v>
      </c>
      <c r="AT459" t="s">
        <v>61</v>
      </c>
      <c r="AU459" t="s">
        <v>61</v>
      </c>
      <c r="AV459" t="s">
        <v>61</v>
      </c>
      <c r="AW459" t="s">
        <v>61</v>
      </c>
      <c r="AX459" t="s">
        <v>61</v>
      </c>
      <c r="AY459" t="s">
        <v>61</v>
      </c>
      <c r="AZ459" t="s">
        <v>61</v>
      </c>
      <c r="BA459" t="s">
        <v>61</v>
      </c>
      <c r="BB459" t="s">
        <v>61</v>
      </c>
      <c r="BC459" t="s">
        <v>61</v>
      </c>
      <c r="BD459" t="s">
        <v>61</v>
      </c>
      <c r="BE459" t="s">
        <v>61</v>
      </c>
      <c r="BF459" t="s">
        <v>61</v>
      </c>
    </row>
    <row r="460" spans="1:58">
      <c r="A460" t="s">
        <v>58</v>
      </c>
      <c r="B460" t="s">
        <v>3841</v>
      </c>
      <c r="C460" t="s">
        <v>3842</v>
      </c>
      <c r="D460" t="s">
        <v>2218</v>
      </c>
      <c r="E460" t="s">
        <v>61</v>
      </c>
      <c r="F460">
        <v>2008</v>
      </c>
      <c r="G460" t="s">
        <v>61</v>
      </c>
      <c r="H460">
        <v>22</v>
      </c>
      <c r="I460">
        <v>4</v>
      </c>
      <c r="J460">
        <v>312</v>
      </c>
      <c r="K460" t="s">
        <v>3843</v>
      </c>
      <c r="L460" t="s">
        <v>3844</v>
      </c>
      <c r="M460" t="s">
        <v>3845</v>
      </c>
      <c r="N460" t="s">
        <v>3846</v>
      </c>
      <c r="O460" t="s">
        <v>61</v>
      </c>
      <c r="Q460" t="s">
        <v>61</v>
      </c>
      <c r="R460" t="s">
        <v>61</v>
      </c>
      <c r="S460" t="s">
        <v>61</v>
      </c>
      <c r="T460" t="s">
        <v>61</v>
      </c>
      <c r="X460" t="s">
        <v>61</v>
      </c>
      <c r="Y460" t="s">
        <v>3847</v>
      </c>
      <c r="Z460" t="s">
        <v>61</v>
      </c>
      <c r="AA460" t="s">
        <v>3848</v>
      </c>
      <c r="AB460">
        <v>105610763</v>
      </c>
      <c r="AC460" t="s">
        <v>67</v>
      </c>
      <c r="AD460" t="s">
        <v>61</v>
      </c>
      <c r="AE460" t="s">
        <v>61</v>
      </c>
      <c r="AF460" t="s">
        <v>61</v>
      </c>
      <c r="AG460" t="s">
        <v>3849</v>
      </c>
      <c r="AH460" t="s">
        <v>61</v>
      </c>
      <c r="AI460" t="s">
        <v>61</v>
      </c>
      <c r="AJ460" t="s">
        <v>61</v>
      </c>
      <c r="AK460" t="s">
        <v>61</v>
      </c>
      <c r="AL460" t="s">
        <v>61</v>
      </c>
      <c r="AM460" t="s">
        <v>3850</v>
      </c>
      <c r="AN460" t="s">
        <v>61</v>
      </c>
      <c r="AO460" t="s">
        <v>61</v>
      </c>
      <c r="AP460" t="s">
        <v>61</v>
      </c>
      <c r="AQ460" t="s">
        <v>61</v>
      </c>
      <c r="AR460" t="s">
        <v>61</v>
      </c>
      <c r="AS460" t="s">
        <v>61</v>
      </c>
      <c r="AT460" t="s">
        <v>61</v>
      </c>
      <c r="AU460" t="s">
        <v>61</v>
      </c>
      <c r="AV460" t="s">
        <v>61</v>
      </c>
      <c r="AW460" t="s">
        <v>61</v>
      </c>
      <c r="AX460" t="s">
        <v>61</v>
      </c>
      <c r="AY460" t="s">
        <v>61</v>
      </c>
      <c r="AZ460" t="s">
        <v>61</v>
      </c>
      <c r="BA460" t="s">
        <v>61</v>
      </c>
      <c r="BB460" t="s">
        <v>61</v>
      </c>
      <c r="BC460" t="s">
        <v>61</v>
      </c>
      <c r="BD460" t="s">
        <v>61</v>
      </c>
      <c r="BE460" t="s">
        <v>61</v>
      </c>
      <c r="BF460" t="s">
        <v>61</v>
      </c>
    </row>
    <row r="461" spans="1:58">
      <c r="A461" t="s">
        <v>58</v>
      </c>
      <c r="B461" t="s">
        <v>3851</v>
      </c>
      <c r="C461" t="s">
        <v>3852</v>
      </c>
      <c r="D461" t="s">
        <v>428</v>
      </c>
      <c r="E461" t="s">
        <v>61</v>
      </c>
      <c r="F461">
        <v>2010</v>
      </c>
      <c r="G461" t="s">
        <v>429</v>
      </c>
      <c r="H461">
        <v>23</v>
      </c>
      <c r="I461">
        <v>2</v>
      </c>
      <c r="J461">
        <v>166</v>
      </c>
      <c r="K461" t="s">
        <v>61</v>
      </c>
      <c r="L461" t="s">
        <v>3853</v>
      </c>
      <c r="M461" t="s">
        <v>3854</v>
      </c>
      <c r="N461" t="s">
        <v>3855</v>
      </c>
      <c r="O461" t="s">
        <v>61</v>
      </c>
      <c r="Q461" t="s">
        <v>61</v>
      </c>
      <c r="R461" t="s">
        <v>61</v>
      </c>
      <c r="S461" t="s">
        <v>61</v>
      </c>
      <c r="T461" t="s">
        <v>61</v>
      </c>
      <c r="X461" t="s">
        <v>61</v>
      </c>
      <c r="Y461" t="s">
        <v>433</v>
      </c>
      <c r="Z461" t="s">
        <v>61</v>
      </c>
      <c r="AA461" t="s">
        <v>61</v>
      </c>
      <c r="AB461" t="s">
        <v>61</v>
      </c>
      <c r="AC461" t="s">
        <v>67</v>
      </c>
      <c r="AD461" t="s">
        <v>61</v>
      </c>
      <c r="AE461" t="s">
        <v>61</v>
      </c>
      <c r="AF461" t="s">
        <v>61</v>
      </c>
      <c r="AG461" t="s">
        <v>61</v>
      </c>
      <c r="AH461" t="s">
        <v>61</v>
      </c>
      <c r="AI461" t="s">
        <v>61</v>
      </c>
      <c r="AJ461" t="s">
        <v>61</v>
      </c>
      <c r="AK461" t="s">
        <v>61</v>
      </c>
      <c r="AL461" t="s">
        <v>61</v>
      </c>
      <c r="AM461" t="s">
        <v>3852</v>
      </c>
      <c r="AN461" t="s">
        <v>61</v>
      </c>
      <c r="AO461" t="s">
        <v>61</v>
      </c>
      <c r="AP461" t="s">
        <v>61</v>
      </c>
      <c r="AQ461" t="s">
        <v>61</v>
      </c>
      <c r="AR461" t="s">
        <v>61</v>
      </c>
      <c r="AS461" t="s">
        <v>61</v>
      </c>
      <c r="AT461" t="s">
        <v>61</v>
      </c>
      <c r="AU461" t="s">
        <v>61</v>
      </c>
      <c r="AV461" t="s">
        <v>61</v>
      </c>
      <c r="AW461" t="s">
        <v>61</v>
      </c>
      <c r="AX461" t="s">
        <v>61</v>
      </c>
      <c r="AY461" t="s">
        <v>61</v>
      </c>
      <c r="AZ461" t="s">
        <v>61</v>
      </c>
      <c r="BA461" t="s">
        <v>61</v>
      </c>
      <c r="BB461" t="s">
        <v>61</v>
      </c>
      <c r="BC461" t="s">
        <v>61</v>
      </c>
      <c r="BD461" t="s">
        <v>61</v>
      </c>
      <c r="BE461" t="s">
        <v>61</v>
      </c>
      <c r="BF461" t="s">
        <v>61</v>
      </c>
    </row>
    <row r="462" spans="1:58">
      <c r="A462" t="s">
        <v>58</v>
      </c>
      <c r="B462" t="s">
        <v>3856</v>
      </c>
      <c r="C462" t="s">
        <v>3857</v>
      </c>
      <c r="D462" t="s">
        <v>373</v>
      </c>
      <c r="E462" t="s">
        <v>61</v>
      </c>
      <c r="F462">
        <v>2014</v>
      </c>
      <c r="G462" t="s">
        <v>61</v>
      </c>
      <c r="H462">
        <v>13</v>
      </c>
      <c r="I462">
        <v>1</v>
      </c>
      <c r="J462">
        <v>337</v>
      </c>
      <c r="K462">
        <v>344</v>
      </c>
      <c r="L462" t="s">
        <v>3858</v>
      </c>
      <c r="M462" t="s">
        <v>3859</v>
      </c>
      <c r="N462" t="s">
        <v>3860</v>
      </c>
      <c r="O462" t="s">
        <v>61</v>
      </c>
      <c r="Q462" t="s">
        <v>61</v>
      </c>
      <c r="R462" t="s">
        <v>61</v>
      </c>
      <c r="S462" t="s">
        <v>61</v>
      </c>
      <c r="T462" t="s">
        <v>61</v>
      </c>
      <c r="X462" t="s">
        <v>61</v>
      </c>
      <c r="Y462" t="s">
        <v>1061</v>
      </c>
      <c r="Z462" t="s">
        <v>61</v>
      </c>
      <c r="AA462" t="s">
        <v>61</v>
      </c>
      <c r="AB462">
        <v>2014441317</v>
      </c>
      <c r="AC462" t="s">
        <v>67</v>
      </c>
      <c r="AD462" t="s">
        <v>61</v>
      </c>
      <c r="AE462" t="s">
        <v>61</v>
      </c>
      <c r="AF462" t="s">
        <v>61</v>
      </c>
      <c r="AG462" t="s">
        <v>61</v>
      </c>
      <c r="AH462" t="s">
        <v>61</v>
      </c>
      <c r="AI462" t="s">
        <v>61</v>
      </c>
      <c r="AJ462" t="s">
        <v>61</v>
      </c>
      <c r="AK462" t="s">
        <v>61</v>
      </c>
      <c r="AL462" t="s">
        <v>61</v>
      </c>
      <c r="AM462" t="s">
        <v>3857</v>
      </c>
      <c r="AN462" t="s">
        <v>61</v>
      </c>
      <c r="AO462" t="s">
        <v>61</v>
      </c>
      <c r="AP462" t="s">
        <v>61</v>
      </c>
      <c r="AQ462" t="s">
        <v>61</v>
      </c>
      <c r="AR462" t="s">
        <v>61</v>
      </c>
      <c r="AS462" t="s">
        <v>61</v>
      </c>
      <c r="AT462" t="s">
        <v>61</v>
      </c>
      <c r="AU462" t="s">
        <v>61</v>
      </c>
      <c r="AV462" t="s">
        <v>61</v>
      </c>
      <c r="AW462" t="s">
        <v>61</v>
      </c>
      <c r="AX462" t="s">
        <v>61</v>
      </c>
      <c r="AY462" t="s">
        <v>61</v>
      </c>
      <c r="AZ462" t="s">
        <v>61</v>
      </c>
      <c r="BA462" t="s">
        <v>61</v>
      </c>
      <c r="BB462" t="s">
        <v>61</v>
      </c>
      <c r="BC462" t="s">
        <v>61</v>
      </c>
      <c r="BD462" t="s">
        <v>61</v>
      </c>
      <c r="BE462" t="s">
        <v>61</v>
      </c>
      <c r="BF462" t="s">
        <v>61</v>
      </c>
    </row>
    <row r="463" spans="1:58">
      <c r="A463" t="s">
        <v>58</v>
      </c>
      <c r="B463" t="s">
        <v>3861</v>
      </c>
      <c r="C463" t="s">
        <v>3862</v>
      </c>
      <c r="D463" t="s">
        <v>3863</v>
      </c>
      <c r="E463" t="s">
        <v>61</v>
      </c>
      <c r="F463">
        <v>2004</v>
      </c>
      <c r="G463" t="s">
        <v>61</v>
      </c>
      <c r="H463">
        <v>89</v>
      </c>
      <c r="I463" t="s">
        <v>61</v>
      </c>
      <c r="J463">
        <v>101</v>
      </c>
      <c r="K463">
        <v>107</v>
      </c>
      <c r="L463" t="s">
        <v>3864</v>
      </c>
      <c r="M463" t="s">
        <v>3865</v>
      </c>
      <c r="N463" t="s">
        <v>3866</v>
      </c>
      <c r="O463" t="s">
        <v>61</v>
      </c>
      <c r="Q463" t="s">
        <v>61</v>
      </c>
      <c r="R463" t="s">
        <v>61</v>
      </c>
      <c r="S463" t="s">
        <v>61</v>
      </c>
      <c r="T463" t="s">
        <v>61</v>
      </c>
      <c r="X463" t="s">
        <v>61</v>
      </c>
      <c r="Y463" t="s">
        <v>3867</v>
      </c>
      <c r="Z463" t="s">
        <v>61</v>
      </c>
      <c r="AA463" t="s">
        <v>3868</v>
      </c>
      <c r="AB463">
        <v>15335108</v>
      </c>
      <c r="AC463" t="s">
        <v>67</v>
      </c>
      <c r="AD463" t="s">
        <v>61</v>
      </c>
      <c r="AE463" t="s">
        <v>61</v>
      </c>
      <c r="AF463" t="s">
        <v>61</v>
      </c>
      <c r="AG463" t="s">
        <v>3869</v>
      </c>
      <c r="AH463" t="s">
        <v>61</v>
      </c>
      <c r="AI463" t="s">
        <v>61</v>
      </c>
      <c r="AJ463" t="s">
        <v>61</v>
      </c>
      <c r="AK463" t="s">
        <v>61</v>
      </c>
      <c r="AL463" t="s">
        <v>61</v>
      </c>
      <c r="AM463" t="s">
        <v>3870</v>
      </c>
      <c r="AN463" t="s">
        <v>61</v>
      </c>
      <c r="AO463" t="s">
        <v>61</v>
      </c>
      <c r="AP463" t="s">
        <v>61</v>
      </c>
      <c r="AQ463" t="s">
        <v>61</v>
      </c>
      <c r="AR463" t="s">
        <v>61</v>
      </c>
      <c r="AS463" t="s">
        <v>61</v>
      </c>
      <c r="AT463" t="s">
        <v>61</v>
      </c>
      <c r="AU463" t="s">
        <v>61</v>
      </c>
      <c r="AV463" t="s">
        <v>61</v>
      </c>
      <c r="AW463" t="s">
        <v>61</v>
      </c>
      <c r="AX463" t="s">
        <v>61</v>
      </c>
      <c r="AY463" t="s">
        <v>61</v>
      </c>
      <c r="AZ463" t="s">
        <v>61</v>
      </c>
      <c r="BA463" t="s">
        <v>61</v>
      </c>
      <c r="BB463" t="s">
        <v>61</v>
      </c>
      <c r="BC463" t="s">
        <v>61</v>
      </c>
      <c r="BD463" t="s">
        <v>61</v>
      </c>
      <c r="BE463" t="s">
        <v>61</v>
      </c>
      <c r="BF463" t="s">
        <v>61</v>
      </c>
    </row>
    <row r="464" spans="1:58">
      <c r="A464" t="s">
        <v>58</v>
      </c>
      <c r="B464" t="s">
        <v>3871</v>
      </c>
      <c r="C464" t="s">
        <v>3872</v>
      </c>
      <c r="D464" t="s">
        <v>3873</v>
      </c>
      <c r="E464" t="s">
        <v>61</v>
      </c>
      <c r="F464">
        <v>2012</v>
      </c>
      <c r="G464" t="s">
        <v>61</v>
      </c>
      <c r="H464">
        <v>1</v>
      </c>
      <c r="I464" t="s">
        <v>61</v>
      </c>
      <c r="J464" t="s">
        <v>3874</v>
      </c>
      <c r="K464" t="s">
        <v>61</v>
      </c>
      <c r="L464" t="s">
        <v>3875</v>
      </c>
      <c r="M464" t="s">
        <v>3876</v>
      </c>
      <c r="N464" t="s">
        <v>3877</v>
      </c>
      <c r="O464" t="s">
        <v>61</v>
      </c>
      <c r="Q464" t="s">
        <v>61</v>
      </c>
      <c r="R464" t="s">
        <v>61</v>
      </c>
      <c r="S464" t="s">
        <v>61</v>
      </c>
      <c r="T464" t="s">
        <v>61</v>
      </c>
      <c r="X464" t="s">
        <v>61</v>
      </c>
      <c r="Y464" t="s">
        <v>3878</v>
      </c>
      <c r="Z464" t="s">
        <v>61</v>
      </c>
      <c r="AA464" t="s">
        <v>3879</v>
      </c>
      <c r="AB464">
        <v>22258966</v>
      </c>
      <c r="AC464" t="s">
        <v>67</v>
      </c>
      <c r="AD464" t="s">
        <v>61</v>
      </c>
      <c r="AE464" t="s">
        <v>61</v>
      </c>
      <c r="AF464" t="s">
        <v>61</v>
      </c>
      <c r="AG464" t="s">
        <v>3880</v>
      </c>
      <c r="AH464" t="s">
        <v>61</v>
      </c>
      <c r="AI464" t="s">
        <v>3881</v>
      </c>
      <c r="AJ464" t="s">
        <v>61</v>
      </c>
      <c r="AK464" t="s">
        <v>61</v>
      </c>
      <c r="AL464" t="s">
        <v>61</v>
      </c>
      <c r="AM464" t="s">
        <v>3882</v>
      </c>
      <c r="AN464" t="s">
        <v>61</v>
      </c>
      <c r="AO464" t="s">
        <v>61</v>
      </c>
      <c r="AP464" t="s">
        <v>61</v>
      </c>
      <c r="AQ464" t="s">
        <v>61</v>
      </c>
      <c r="AR464" t="s">
        <v>61</v>
      </c>
      <c r="AS464" t="s">
        <v>61</v>
      </c>
      <c r="AT464" t="s">
        <v>61</v>
      </c>
      <c r="AU464" t="s">
        <v>61</v>
      </c>
      <c r="AV464" t="s">
        <v>61</v>
      </c>
      <c r="AW464" t="s">
        <v>61</v>
      </c>
      <c r="AX464" t="s">
        <v>61</v>
      </c>
      <c r="AY464" t="s">
        <v>61</v>
      </c>
      <c r="AZ464" t="s">
        <v>61</v>
      </c>
      <c r="BA464" t="s">
        <v>61</v>
      </c>
      <c r="BB464" t="s">
        <v>61</v>
      </c>
      <c r="BC464" t="s">
        <v>61</v>
      </c>
      <c r="BD464" t="s">
        <v>61</v>
      </c>
      <c r="BE464" t="s">
        <v>61</v>
      </c>
      <c r="BF464" t="s">
        <v>61</v>
      </c>
    </row>
    <row r="465" spans="1:58">
      <c r="A465" t="s">
        <v>58</v>
      </c>
      <c r="B465" t="s">
        <v>3883</v>
      </c>
      <c r="C465" t="s">
        <v>3884</v>
      </c>
      <c r="D465" t="s">
        <v>271</v>
      </c>
      <c r="E465" t="s">
        <v>272</v>
      </c>
      <c r="F465">
        <v>1999</v>
      </c>
      <c r="G465" t="s">
        <v>2798</v>
      </c>
      <c r="H465">
        <v>39</v>
      </c>
      <c r="I465">
        <v>1</v>
      </c>
      <c r="J465">
        <v>23</v>
      </c>
      <c r="K465">
        <v>26</v>
      </c>
      <c r="L465" t="s">
        <v>3885</v>
      </c>
      <c r="M465" t="s">
        <v>3886</v>
      </c>
      <c r="N465" t="s">
        <v>3887</v>
      </c>
      <c r="O465" t="s">
        <v>61</v>
      </c>
      <c r="Q465" t="s">
        <v>61</v>
      </c>
      <c r="R465" t="s">
        <v>61</v>
      </c>
      <c r="S465" t="s">
        <v>61</v>
      </c>
      <c r="T465" t="s">
        <v>61</v>
      </c>
      <c r="X465" t="s">
        <v>61</v>
      </c>
      <c r="Y465" t="s">
        <v>1661</v>
      </c>
      <c r="Z465" t="s">
        <v>61</v>
      </c>
      <c r="AA465" t="s">
        <v>3888</v>
      </c>
      <c r="AB465">
        <v>9990183</v>
      </c>
      <c r="AC465" t="s">
        <v>67</v>
      </c>
      <c r="AD465" t="s">
        <v>61</v>
      </c>
      <c r="AE465" t="s">
        <v>61</v>
      </c>
      <c r="AF465" t="s">
        <v>61</v>
      </c>
      <c r="AG465" t="s">
        <v>3889</v>
      </c>
      <c r="AH465" t="s">
        <v>61</v>
      </c>
      <c r="AI465" t="s">
        <v>61</v>
      </c>
      <c r="AJ465" t="s">
        <v>61</v>
      </c>
      <c r="AK465" t="s">
        <v>61</v>
      </c>
      <c r="AL465" t="s">
        <v>61</v>
      </c>
      <c r="AM465" t="s">
        <v>3890</v>
      </c>
      <c r="AN465" t="s">
        <v>61</v>
      </c>
      <c r="AO465" t="s">
        <v>61</v>
      </c>
      <c r="AP465" t="s">
        <v>61</v>
      </c>
      <c r="AQ465" t="s">
        <v>61</v>
      </c>
      <c r="AR465" t="s">
        <v>61</v>
      </c>
      <c r="AS465" t="s">
        <v>61</v>
      </c>
      <c r="AT465" t="s">
        <v>61</v>
      </c>
      <c r="AU465" t="s">
        <v>61</v>
      </c>
      <c r="AV465" t="s">
        <v>61</v>
      </c>
      <c r="AW465" t="s">
        <v>61</v>
      </c>
      <c r="AX465" t="s">
        <v>61</v>
      </c>
      <c r="AY465" t="s">
        <v>61</v>
      </c>
      <c r="AZ465" t="s">
        <v>61</v>
      </c>
      <c r="BA465" t="s">
        <v>61</v>
      </c>
      <c r="BB465" t="s">
        <v>61</v>
      </c>
      <c r="BC465" t="s">
        <v>61</v>
      </c>
      <c r="BD465" t="s">
        <v>61</v>
      </c>
      <c r="BE465" t="s">
        <v>61</v>
      </c>
      <c r="BF465" t="s">
        <v>61</v>
      </c>
    </row>
    <row r="466" spans="1:58">
      <c r="A466" t="s">
        <v>58</v>
      </c>
      <c r="B466" t="s">
        <v>3891</v>
      </c>
      <c r="C466" t="s">
        <v>3892</v>
      </c>
      <c r="D466" t="s">
        <v>1000</v>
      </c>
      <c r="E466" t="s">
        <v>1000</v>
      </c>
      <c r="F466">
        <v>2008</v>
      </c>
      <c r="G466" t="s">
        <v>273</v>
      </c>
      <c r="H466">
        <v>103</v>
      </c>
      <c r="I466">
        <v>2</v>
      </c>
      <c r="J466">
        <v>251</v>
      </c>
      <c r="K466">
        <v>255</v>
      </c>
      <c r="L466" t="s">
        <v>3893</v>
      </c>
      <c r="M466" t="s">
        <v>3894</v>
      </c>
      <c r="N466" t="s">
        <v>3895</v>
      </c>
      <c r="O466" t="s">
        <v>61</v>
      </c>
      <c r="Q466" t="s">
        <v>61</v>
      </c>
      <c r="R466" t="s">
        <v>61</v>
      </c>
      <c r="S466" t="s">
        <v>61</v>
      </c>
      <c r="T466" t="s">
        <v>61</v>
      </c>
      <c r="X466" t="s">
        <v>61</v>
      </c>
      <c r="Y466" t="s">
        <v>1004</v>
      </c>
      <c r="Z466" t="s">
        <v>61</v>
      </c>
      <c r="AA466" t="s">
        <v>3896</v>
      </c>
      <c r="AB466">
        <v>18199304</v>
      </c>
      <c r="AC466" t="s">
        <v>67</v>
      </c>
      <c r="AD466" t="s">
        <v>61</v>
      </c>
      <c r="AE466" t="s">
        <v>61</v>
      </c>
      <c r="AF466" t="s">
        <v>61</v>
      </c>
      <c r="AG466" t="s">
        <v>3897</v>
      </c>
      <c r="AH466" t="s">
        <v>61</v>
      </c>
      <c r="AI466" t="s">
        <v>3898</v>
      </c>
      <c r="AJ466" t="s">
        <v>61</v>
      </c>
      <c r="AK466" t="s">
        <v>61</v>
      </c>
      <c r="AL466" t="s">
        <v>61</v>
      </c>
      <c r="AM466" t="s">
        <v>3899</v>
      </c>
      <c r="AN466" t="s">
        <v>61</v>
      </c>
      <c r="AO466" t="s">
        <v>61</v>
      </c>
      <c r="AP466" t="s">
        <v>61</v>
      </c>
      <c r="AQ466" t="s">
        <v>61</v>
      </c>
      <c r="AR466" t="s">
        <v>61</v>
      </c>
      <c r="AS466" t="s">
        <v>61</v>
      </c>
      <c r="AT466" t="s">
        <v>61</v>
      </c>
      <c r="AU466" t="s">
        <v>61</v>
      </c>
      <c r="AV466" t="s">
        <v>61</v>
      </c>
      <c r="AW466" t="s">
        <v>61</v>
      </c>
      <c r="AX466" t="s">
        <v>61</v>
      </c>
      <c r="AY466" t="s">
        <v>61</v>
      </c>
      <c r="AZ466" t="s">
        <v>61</v>
      </c>
      <c r="BA466" t="s">
        <v>61</v>
      </c>
      <c r="BB466" t="s">
        <v>61</v>
      </c>
      <c r="BC466" t="s">
        <v>61</v>
      </c>
      <c r="BD466" t="s">
        <v>61</v>
      </c>
      <c r="BE466" t="s">
        <v>61</v>
      </c>
      <c r="BF466" t="s">
        <v>61</v>
      </c>
    </row>
    <row r="467" spans="1:58">
      <c r="A467" t="s">
        <v>58</v>
      </c>
      <c r="B467" t="s">
        <v>3900</v>
      </c>
      <c r="C467" t="s">
        <v>3901</v>
      </c>
      <c r="D467" t="s">
        <v>1085</v>
      </c>
      <c r="E467" t="s">
        <v>1086</v>
      </c>
      <c r="F467">
        <v>1997</v>
      </c>
      <c r="G467" t="s">
        <v>851</v>
      </c>
      <c r="H467">
        <v>31</v>
      </c>
      <c r="I467">
        <v>11</v>
      </c>
      <c r="J467">
        <v>1291</v>
      </c>
      <c r="K467">
        <v>1295</v>
      </c>
      <c r="L467" t="s">
        <v>3902</v>
      </c>
      <c r="M467" t="s">
        <v>3903</v>
      </c>
      <c r="N467" t="s">
        <v>3904</v>
      </c>
      <c r="O467" t="s">
        <v>61</v>
      </c>
      <c r="Q467" t="s">
        <v>61</v>
      </c>
      <c r="R467" t="s">
        <v>61</v>
      </c>
      <c r="S467" t="s">
        <v>61</v>
      </c>
      <c r="T467" t="s">
        <v>61</v>
      </c>
      <c r="X467" t="s">
        <v>61</v>
      </c>
      <c r="Y467" t="s">
        <v>3286</v>
      </c>
      <c r="Z467" t="s">
        <v>61</v>
      </c>
      <c r="AA467" t="s">
        <v>3905</v>
      </c>
      <c r="AB467">
        <v>9391680</v>
      </c>
      <c r="AC467" t="s">
        <v>67</v>
      </c>
      <c r="AD467" t="s">
        <v>61</v>
      </c>
      <c r="AE467" t="s">
        <v>61</v>
      </c>
      <c r="AF467" t="s">
        <v>61</v>
      </c>
      <c r="AG467" t="s">
        <v>3906</v>
      </c>
      <c r="AH467" t="s">
        <v>61</v>
      </c>
      <c r="AI467" t="s">
        <v>61</v>
      </c>
      <c r="AJ467" t="s">
        <v>61</v>
      </c>
      <c r="AK467" t="s">
        <v>61</v>
      </c>
      <c r="AL467" t="s">
        <v>61</v>
      </c>
      <c r="AM467" t="s">
        <v>3907</v>
      </c>
      <c r="AN467" t="s">
        <v>61</v>
      </c>
      <c r="AO467" t="s">
        <v>61</v>
      </c>
      <c r="AP467" t="s">
        <v>61</v>
      </c>
      <c r="AQ467" t="s">
        <v>61</v>
      </c>
      <c r="AR467" t="s">
        <v>61</v>
      </c>
      <c r="AS467" t="s">
        <v>61</v>
      </c>
      <c r="AT467" t="s">
        <v>61</v>
      </c>
      <c r="AU467" t="s">
        <v>61</v>
      </c>
      <c r="AV467" t="s">
        <v>61</v>
      </c>
      <c r="AW467" t="s">
        <v>61</v>
      </c>
      <c r="AX467" t="s">
        <v>61</v>
      </c>
      <c r="AY467" t="s">
        <v>61</v>
      </c>
      <c r="AZ467" t="s">
        <v>61</v>
      </c>
      <c r="BA467" t="s">
        <v>61</v>
      </c>
      <c r="BB467" t="s">
        <v>61</v>
      </c>
      <c r="BC467" t="s">
        <v>61</v>
      </c>
      <c r="BD467" t="s">
        <v>61</v>
      </c>
      <c r="BE467" t="s">
        <v>61</v>
      </c>
      <c r="BF467" t="s">
        <v>61</v>
      </c>
    </row>
    <row r="468" spans="1:58">
      <c r="A468" t="s">
        <v>58</v>
      </c>
      <c r="B468" t="s">
        <v>3908</v>
      </c>
      <c r="C468" t="s">
        <v>3909</v>
      </c>
      <c r="D468" t="s">
        <v>3910</v>
      </c>
      <c r="E468" t="s">
        <v>61</v>
      </c>
      <c r="F468">
        <v>2002</v>
      </c>
      <c r="G468" t="s">
        <v>61</v>
      </c>
      <c r="H468">
        <v>5</v>
      </c>
      <c r="I468">
        <v>3</v>
      </c>
      <c r="J468">
        <v>143</v>
      </c>
      <c r="K468" t="s">
        <v>3911</v>
      </c>
      <c r="L468" t="s">
        <v>3912</v>
      </c>
      <c r="M468" t="s">
        <v>3913</v>
      </c>
      <c r="N468" t="s">
        <v>3914</v>
      </c>
      <c r="O468" t="s">
        <v>61</v>
      </c>
      <c r="Q468" t="s">
        <v>61</v>
      </c>
      <c r="R468" t="s">
        <v>61</v>
      </c>
      <c r="S468" t="s">
        <v>61</v>
      </c>
      <c r="T468" t="s">
        <v>61</v>
      </c>
      <c r="X468" t="s">
        <v>61</v>
      </c>
      <c r="Y468" t="s">
        <v>3915</v>
      </c>
      <c r="Z468" t="s">
        <v>61</v>
      </c>
      <c r="AA468" t="s">
        <v>3916</v>
      </c>
      <c r="AB468">
        <v>106793065</v>
      </c>
      <c r="AC468" t="s">
        <v>67</v>
      </c>
      <c r="AD468" t="s">
        <v>61</v>
      </c>
      <c r="AE468" t="s">
        <v>61</v>
      </c>
      <c r="AF468" t="s">
        <v>61</v>
      </c>
      <c r="AG468" t="s">
        <v>3917</v>
      </c>
      <c r="AH468" t="s">
        <v>61</v>
      </c>
      <c r="AI468" t="s">
        <v>61</v>
      </c>
      <c r="AJ468" t="s">
        <v>61</v>
      </c>
      <c r="AK468" t="s">
        <v>61</v>
      </c>
      <c r="AL468" t="s">
        <v>61</v>
      </c>
      <c r="AM468" t="s">
        <v>3918</v>
      </c>
      <c r="AN468" t="s">
        <v>61</v>
      </c>
      <c r="AO468" t="s">
        <v>61</v>
      </c>
      <c r="AP468" t="s">
        <v>61</v>
      </c>
      <c r="AQ468" t="s">
        <v>61</v>
      </c>
      <c r="AR468" t="s">
        <v>61</v>
      </c>
      <c r="AS468" t="s">
        <v>61</v>
      </c>
      <c r="AT468" t="s">
        <v>61</v>
      </c>
      <c r="AU468" t="s">
        <v>61</v>
      </c>
      <c r="AV468" t="s">
        <v>61</v>
      </c>
      <c r="AW468" t="s">
        <v>61</v>
      </c>
      <c r="AX468" t="s">
        <v>61</v>
      </c>
      <c r="AY468" t="s">
        <v>61</v>
      </c>
      <c r="AZ468" t="s">
        <v>61</v>
      </c>
      <c r="BA468" t="s">
        <v>61</v>
      </c>
      <c r="BB468" t="s">
        <v>61</v>
      </c>
      <c r="BC468" t="s">
        <v>61</v>
      </c>
      <c r="BD468" t="s">
        <v>61</v>
      </c>
      <c r="BE468" t="s">
        <v>61</v>
      </c>
      <c r="BF468" t="s">
        <v>61</v>
      </c>
    </row>
    <row r="469" spans="1:58">
      <c r="A469" t="s">
        <v>58</v>
      </c>
      <c r="B469" t="s">
        <v>3919</v>
      </c>
      <c r="C469" t="s">
        <v>3920</v>
      </c>
      <c r="D469" t="s">
        <v>60</v>
      </c>
      <c r="E469" t="s">
        <v>61</v>
      </c>
      <c r="F469">
        <v>1998</v>
      </c>
      <c r="G469" s="1">
        <v>42675</v>
      </c>
      <c r="H469" t="s">
        <v>3921</v>
      </c>
      <c r="I469" t="s">
        <v>61</v>
      </c>
      <c r="J469" t="s">
        <v>3922</v>
      </c>
      <c r="K469">
        <v>31</v>
      </c>
      <c r="L469" t="s">
        <v>3923</v>
      </c>
      <c r="M469" t="s">
        <v>3924</v>
      </c>
      <c r="N469" t="s">
        <v>3925</v>
      </c>
      <c r="O469" t="s">
        <v>61</v>
      </c>
      <c r="Q469" t="s">
        <v>61</v>
      </c>
      <c r="R469" t="s">
        <v>61</v>
      </c>
      <c r="S469" t="s">
        <v>61</v>
      </c>
      <c r="T469" t="s">
        <v>61</v>
      </c>
      <c r="X469" t="s">
        <v>61</v>
      </c>
      <c r="Y469" t="s">
        <v>66</v>
      </c>
      <c r="Z469" t="s">
        <v>61</v>
      </c>
      <c r="AA469" t="s">
        <v>3926</v>
      </c>
      <c r="AB469">
        <v>9809109</v>
      </c>
      <c r="AC469" t="s">
        <v>67</v>
      </c>
      <c r="AD469" t="s">
        <v>61</v>
      </c>
      <c r="AE469" t="s">
        <v>61</v>
      </c>
      <c r="AF469" t="s">
        <v>61</v>
      </c>
      <c r="AG469" t="s">
        <v>3927</v>
      </c>
      <c r="AH469" t="s">
        <v>61</v>
      </c>
      <c r="AI469" t="s">
        <v>61</v>
      </c>
      <c r="AJ469" t="s">
        <v>61</v>
      </c>
      <c r="AK469" t="s">
        <v>61</v>
      </c>
      <c r="AL469" t="s">
        <v>61</v>
      </c>
      <c r="AM469" t="s">
        <v>3928</v>
      </c>
      <c r="AN469" t="s">
        <v>61</v>
      </c>
      <c r="AO469" t="s">
        <v>61</v>
      </c>
      <c r="AP469" t="s">
        <v>61</v>
      </c>
      <c r="AQ469" t="s">
        <v>61</v>
      </c>
      <c r="AR469" t="s">
        <v>61</v>
      </c>
      <c r="AS469" t="s">
        <v>61</v>
      </c>
      <c r="AT469" t="s">
        <v>61</v>
      </c>
      <c r="AU469" t="s">
        <v>61</v>
      </c>
      <c r="AV469" t="s">
        <v>61</v>
      </c>
      <c r="AW469" t="s">
        <v>61</v>
      </c>
      <c r="AX469" t="s">
        <v>61</v>
      </c>
      <c r="AY469" t="s">
        <v>61</v>
      </c>
      <c r="AZ469" t="s">
        <v>61</v>
      </c>
      <c r="BA469" t="s">
        <v>61</v>
      </c>
      <c r="BB469" t="s">
        <v>61</v>
      </c>
      <c r="BC469" t="s">
        <v>61</v>
      </c>
      <c r="BD469" t="s">
        <v>61</v>
      </c>
      <c r="BE469" t="s">
        <v>61</v>
      </c>
      <c r="BF469" t="s">
        <v>61</v>
      </c>
    </row>
    <row r="470" spans="1:58">
      <c r="A470" t="s">
        <v>58</v>
      </c>
      <c r="B470" t="s">
        <v>3929</v>
      </c>
      <c r="C470" t="s">
        <v>3930</v>
      </c>
      <c r="D470" t="s">
        <v>3931</v>
      </c>
      <c r="E470" t="s">
        <v>61</v>
      </c>
      <c r="F470">
        <v>2009</v>
      </c>
      <c r="G470" t="s">
        <v>273</v>
      </c>
      <c r="H470">
        <v>18</v>
      </c>
      <c r="I470">
        <v>1</v>
      </c>
      <c r="J470">
        <v>90</v>
      </c>
      <c r="K470">
        <v>92</v>
      </c>
      <c r="L470" t="s">
        <v>3932</v>
      </c>
      <c r="M470" t="s">
        <v>3933</v>
      </c>
      <c r="N470" t="s">
        <v>3934</v>
      </c>
      <c r="O470" t="s">
        <v>61</v>
      </c>
      <c r="Q470" t="s">
        <v>61</v>
      </c>
      <c r="R470" t="s">
        <v>61</v>
      </c>
      <c r="S470" t="s">
        <v>61</v>
      </c>
      <c r="T470" t="s">
        <v>61</v>
      </c>
      <c r="X470" t="s">
        <v>61</v>
      </c>
      <c r="Y470" t="s">
        <v>3935</v>
      </c>
      <c r="Z470" t="s">
        <v>61</v>
      </c>
      <c r="AA470" t="s">
        <v>3936</v>
      </c>
      <c r="AB470">
        <v>19077570</v>
      </c>
      <c r="AC470" t="s">
        <v>67</v>
      </c>
      <c r="AD470" t="s">
        <v>61</v>
      </c>
      <c r="AE470" t="s">
        <v>61</v>
      </c>
      <c r="AF470" t="s">
        <v>61</v>
      </c>
      <c r="AG470" t="s">
        <v>3937</v>
      </c>
      <c r="AH470" t="s">
        <v>61</v>
      </c>
      <c r="AI470" t="s">
        <v>3938</v>
      </c>
      <c r="AJ470" t="s">
        <v>61</v>
      </c>
      <c r="AK470" t="s">
        <v>61</v>
      </c>
      <c r="AL470" t="s">
        <v>61</v>
      </c>
      <c r="AM470" t="s">
        <v>3939</v>
      </c>
      <c r="AN470" t="s">
        <v>61</v>
      </c>
      <c r="AO470" t="s">
        <v>61</v>
      </c>
      <c r="AP470" t="s">
        <v>61</v>
      </c>
      <c r="AQ470" t="s">
        <v>61</v>
      </c>
      <c r="AR470" t="s">
        <v>61</v>
      </c>
      <c r="AS470" t="s">
        <v>61</v>
      </c>
      <c r="AT470" t="s">
        <v>61</v>
      </c>
      <c r="AU470" t="s">
        <v>61</v>
      </c>
      <c r="AV470" t="s">
        <v>61</v>
      </c>
      <c r="AW470" t="s">
        <v>61</v>
      </c>
      <c r="AX470" t="s">
        <v>61</v>
      </c>
      <c r="AY470" t="s">
        <v>61</v>
      </c>
      <c r="AZ470" t="s">
        <v>61</v>
      </c>
      <c r="BA470" t="s">
        <v>61</v>
      </c>
      <c r="BB470" t="s">
        <v>61</v>
      </c>
      <c r="BC470" t="s">
        <v>61</v>
      </c>
      <c r="BD470" t="s">
        <v>61</v>
      </c>
      <c r="BE470" t="s">
        <v>61</v>
      </c>
      <c r="BF470" t="s">
        <v>61</v>
      </c>
    </row>
    <row r="471" spans="1:58">
      <c r="A471" t="s">
        <v>58</v>
      </c>
      <c r="B471" t="s">
        <v>3940</v>
      </c>
      <c r="C471" t="s">
        <v>3941</v>
      </c>
      <c r="D471" t="s">
        <v>408</v>
      </c>
      <c r="E471" t="s">
        <v>408</v>
      </c>
      <c r="F471">
        <v>2013</v>
      </c>
      <c r="G471" t="s">
        <v>645</v>
      </c>
      <c r="H471">
        <v>33</v>
      </c>
      <c r="I471">
        <v>10</v>
      </c>
      <c r="J471" t="s">
        <v>3942</v>
      </c>
      <c r="K471" t="s">
        <v>61</v>
      </c>
      <c r="L471" t="s">
        <v>3943</v>
      </c>
      <c r="M471" t="s">
        <v>3944</v>
      </c>
      <c r="N471" t="s">
        <v>3945</v>
      </c>
      <c r="O471" t="s">
        <v>61</v>
      </c>
      <c r="Q471" t="s">
        <v>61</v>
      </c>
      <c r="R471" t="s">
        <v>61</v>
      </c>
      <c r="S471" t="s">
        <v>61</v>
      </c>
      <c r="T471" t="s">
        <v>61</v>
      </c>
      <c r="X471" t="s">
        <v>61</v>
      </c>
      <c r="Y471" t="s">
        <v>414</v>
      </c>
      <c r="Z471" t="s">
        <v>61</v>
      </c>
      <c r="AA471" t="s">
        <v>61</v>
      </c>
      <c r="AB471" t="s">
        <v>61</v>
      </c>
      <c r="AC471" t="s">
        <v>67</v>
      </c>
      <c r="AD471" t="s">
        <v>61</v>
      </c>
      <c r="AE471" t="s">
        <v>61</v>
      </c>
      <c r="AF471" t="s">
        <v>61</v>
      </c>
      <c r="AG471" t="s">
        <v>61</v>
      </c>
      <c r="AH471" t="s">
        <v>61</v>
      </c>
      <c r="AI471" t="s">
        <v>61</v>
      </c>
      <c r="AJ471" t="s">
        <v>61</v>
      </c>
      <c r="AK471" t="s">
        <v>61</v>
      </c>
      <c r="AL471" t="s">
        <v>61</v>
      </c>
      <c r="AM471" t="s">
        <v>3941</v>
      </c>
      <c r="AN471" t="s">
        <v>61</v>
      </c>
      <c r="AO471" t="s">
        <v>61</v>
      </c>
      <c r="AP471" t="s">
        <v>61</v>
      </c>
      <c r="AQ471" t="s">
        <v>61</v>
      </c>
      <c r="AR471" t="s">
        <v>61</v>
      </c>
      <c r="AS471" t="s">
        <v>61</v>
      </c>
      <c r="AT471" t="s">
        <v>61</v>
      </c>
      <c r="AU471" t="s">
        <v>61</v>
      </c>
      <c r="AV471" t="s">
        <v>61</v>
      </c>
      <c r="AW471" t="s">
        <v>61</v>
      </c>
      <c r="AX471" t="s">
        <v>61</v>
      </c>
      <c r="AY471" t="s">
        <v>61</v>
      </c>
      <c r="AZ471" t="s">
        <v>61</v>
      </c>
      <c r="BA471" t="s">
        <v>61</v>
      </c>
      <c r="BB471" t="s">
        <v>61</v>
      </c>
      <c r="BC471" t="s">
        <v>61</v>
      </c>
      <c r="BD471" t="s">
        <v>61</v>
      </c>
      <c r="BE471" t="s">
        <v>61</v>
      </c>
      <c r="BF471" t="s">
        <v>61</v>
      </c>
    </row>
    <row r="472" spans="1:58">
      <c r="A472" t="s">
        <v>58</v>
      </c>
      <c r="B472" t="s">
        <v>3946</v>
      </c>
      <c r="C472" t="s">
        <v>3947</v>
      </c>
      <c r="D472" t="s">
        <v>1085</v>
      </c>
      <c r="E472" t="s">
        <v>1086</v>
      </c>
      <c r="F472">
        <v>2015</v>
      </c>
      <c r="G472" t="s">
        <v>119</v>
      </c>
      <c r="H472">
        <v>49</v>
      </c>
      <c r="I472">
        <v>6</v>
      </c>
      <c r="J472">
        <v>656</v>
      </c>
      <c r="K472">
        <v>669</v>
      </c>
      <c r="L472" t="s">
        <v>3948</v>
      </c>
      <c r="M472" t="s">
        <v>3949</v>
      </c>
      <c r="N472" t="s">
        <v>3950</v>
      </c>
      <c r="O472" t="s">
        <v>61</v>
      </c>
      <c r="Q472" t="s">
        <v>61</v>
      </c>
      <c r="R472" t="s">
        <v>61</v>
      </c>
      <c r="S472" t="s">
        <v>61</v>
      </c>
      <c r="T472" t="s">
        <v>61</v>
      </c>
      <c r="X472" t="s">
        <v>61</v>
      </c>
      <c r="Y472" t="s">
        <v>1090</v>
      </c>
      <c r="Z472" t="s">
        <v>61</v>
      </c>
      <c r="AA472" t="s">
        <v>3951</v>
      </c>
      <c r="AB472">
        <v>25780250</v>
      </c>
      <c r="AC472" t="s">
        <v>67</v>
      </c>
      <c r="AD472" t="s">
        <v>61</v>
      </c>
      <c r="AE472" t="s">
        <v>61</v>
      </c>
      <c r="AF472" t="s">
        <v>61</v>
      </c>
      <c r="AG472" t="s">
        <v>3952</v>
      </c>
      <c r="AH472" t="s">
        <v>61</v>
      </c>
      <c r="AI472" t="s">
        <v>3953</v>
      </c>
      <c r="AJ472" t="s">
        <v>61</v>
      </c>
      <c r="AK472" t="s">
        <v>61</v>
      </c>
      <c r="AL472" t="s">
        <v>61</v>
      </c>
      <c r="AM472" t="s">
        <v>3954</v>
      </c>
      <c r="AN472" t="s">
        <v>61</v>
      </c>
      <c r="AO472" t="s">
        <v>61</v>
      </c>
      <c r="AP472" t="s">
        <v>61</v>
      </c>
      <c r="AQ472" t="s">
        <v>61</v>
      </c>
      <c r="AR472" t="s">
        <v>61</v>
      </c>
      <c r="AS472" t="s">
        <v>61</v>
      </c>
      <c r="AT472" t="s">
        <v>61</v>
      </c>
      <c r="AU472" t="s">
        <v>61</v>
      </c>
      <c r="AV472" t="s">
        <v>61</v>
      </c>
      <c r="AW472" t="s">
        <v>61</v>
      </c>
      <c r="AX472" t="s">
        <v>61</v>
      </c>
      <c r="AY472" t="s">
        <v>61</v>
      </c>
      <c r="AZ472" t="s">
        <v>61</v>
      </c>
      <c r="BA472" t="s">
        <v>61</v>
      </c>
      <c r="BB472" t="s">
        <v>61</v>
      </c>
      <c r="BC472" t="s">
        <v>61</v>
      </c>
      <c r="BD472" t="s">
        <v>61</v>
      </c>
      <c r="BE472" t="s">
        <v>61</v>
      </c>
      <c r="BF472" t="s">
        <v>61</v>
      </c>
    </row>
    <row r="473" spans="1:58">
      <c r="A473" t="s">
        <v>58</v>
      </c>
      <c r="B473" t="s">
        <v>3955</v>
      </c>
      <c r="C473" t="s">
        <v>3956</v>
      </c>
      <c r="D473" t="s">
        <v>3957</v>
      </c>
      <c r="E473" t="s">
        <v>61</v>
      </c>
      <c r="F473">
        <v>2008</v>
      </c>
      <c r="G473" t="s">
        <v>119</v>
      </c>
      <c r="H473">
        <v>6</v>
      </c>
      <c r="I473">
        <v>2</v>
      </c>
      <c r="J473">
        <v>61</v>
      </c>
      <c r="K473">
        <v>81</v>
      </c>
      <c r="L473" t="s">
        <v>3958</v>
      </c>
      <c r="M473" t="s">
        <v>3959</v>
      </c>
      <c r="N473" t="s">
        <v>3960</v>
      </c>
      <c r="O473" t="s">
        <v>61</v>
      </c>
      <c r="Q473" t="s">
        <v>61</v>
      </c>
      <c r="R473" t="s">
        <v>61</v>
      </c>
      <c r="S473" t="s">
        <v>61</v>
      </c>
      <c r="T473" t="s">
        <v>61</v>
      </c>
      <c r="X473" t="s">
        <v>61</v>
      </c>
      <c r="Y473" t="s">
        <v>3961</v>
      </c>
      <c r="Z473" t="s">
        <v>61</v>
      </c>
      <c r="AA473" t="s">
        <v>3962</v>
      </c>
      <c r="AB473">
        <v>18675765</v>
      </c>
      <c r="AC473" t="s">
        <v>67</v>
      </c>
      <c r="AD473" t="s">
        <v>61</v>
      </c>
      <c r="AE473" t="s">
        <v>61</v>
      </c>
      <c r="AF473" t="s">
        <v>61</v>
      </c>
      <c r="AG473" t="s">
        <v>3963</v>
      </c>
      <c r="AH473" t="s">
        <v>61</v>
      </c>
      <c r="AI473" t="s">
        <v>3964</v>
      </c>
      <c r="AJ473" t="s">
        <v>61</v>
      </c>
      <c r="AK473" t="s">
        <v>61</v>
      </c>
      <c r="AL473" t="s">
        <v>61</v>
      </c>
      <c r="AM473" t="s">
        <v>3965</v>
      </c>
      <c r="AN473" t="s">
        <v>61</v>
      </c>
      <c r="AO473" t="s">
        <v>61</v>
      </c>
      <c r="AP473" t="s">
        <v>61</v>
      </c>
      <c r="AQ473" t="s">
        <v>61</v>
      </c>
      <c r="AR473" t="s">
        <v>61</v>
      </c>
      <c r="AS473" t="s">
        <v>61</v>
      </c>
      <c r="AT473" t="s">
        <v>61</v>
      </c>
      <c r="AU473" t="s">
        <v>61</v>
      </c>
      <c r="AV473" t="s">
        <v>61</v>
      </c>
      <c r="AW473" t="s">
        <v>61</v>
      </c>
      <c r="AX473" t="s">
        <v>61</v>
      </c>
      <c r="AY473" t="s">
        <v>61</v>
      </c>
      <c r="AZ473" t="s">
        <v>61</v>
      </c>
      <c r="BA473" t="s">
        <v>61</v>
      </c>
      <c r="BB473" t="s">
        <v>61</v>
      </c>
      <c r="BC473" t="s">
        <v>61</v>
      </c>
      <c r="BD473" t="s">
        <v>61</v>
      </c>
      <c r="BE473" t="s">
        <v>61</v>
      </c>
      <c r="BF473" t="s">
        <v>61</v>
      </c>
    </row>
    <row r="474" spans="1:58">
      <c r="A474" t="s">
        <v>58</v>
      </c>
      <c r="B474" t="s">
        <v>3966</v>
      </c>
      <c r="C474" t="s">
        <v>3967</v>
      </c>
      <c r="D474" t="s">
        <v>475</v>
      </c>
      <c r="E474" t="s">
        <v>61</v>
      </c>
      <c r="F474">
        <v>2011</v>
      </c>
      <c r="G474" t="s">
        <v>429</v>
      </c>
      <c r="H474">
        <v>33</v>
      </c>
      <c r="I474">
        <v>2</v>
      </c>
      <c r="J474">
        <v>303</v>
      </c>
      <c r="K474" t="s">
        <v>61</v>
      </c>
      <c r="L474" t="s">
        <v>3968</v>
      </c>
      <c r="M474" t="s">
        <v>3969</v>
      </c>
      <c r="N474" t="s">
        <v>3970</v>
      </c>
      <c r="O474" t="s">
        <v>61</v>
      </c>
      <c r="Q474" t="s">
        <v>61</v>
      </c>
      <c r="R474" t="s">
        <v>61</v>
      </c>
      <c r="S474" t="s">
        <v>61</v>
      </c>
      <c r="T474" t="s">
        <v>61</v>
      </c>
      <c r="X474" t="s">
        <v>61</v>
      </c>
      <c r="Y474" t="s">
        <v>308</v>
      </c>
      <c r="Z474" t="s">
        <v>61</v>
      </c>
      <c r="AA474" t="s">
        <v>61</v>
      </c>
      <c r="AB474" t="s">
        <v>61</v>
      </c>
      <c r="AC474" t="s">
        <v>67</v>
      </c>
      <c r="AD474" t="s">
        <v>61</v>
      </c>
      <c r="AE474" t="s">
        <v>61</v>
      </c>
      <c r="AF474" t="s">
        <v>61</v>
      </c>
      <c r="AG474" t="s">
        <v>61</v>
      </c>
      <c r="AH474" t="s">
        <v>61</v>
      </c>
      <c r="AI474" t="s">
        <v>61</v>
      </c>
      <c r="AJ474" t="s">
        <v>61</v>
      </c>
      <c r="AK474" t="s">
        <v>61</v>
      </c>
      <c r="AL474" t="s">
        <v>61</v>
      </c>
      <c r="AM474" t="s">
        <v>3967</v>
      </c>
      <c r="AN474" t="s">
        <v>61</v>
      </c>
      <c r="AO474" t="s">
        <v>61</v>
      </c>
      <c r="AP474" t="s">
        <v>61</v>
      </c>
      <c r="AQ474" t="s">
        <v>61</v>
      </c>
      <c r="AR474" t="s">
        <v>61</v>
      </c>
      <c r="AS474" t="s">
        <v>61</v>
      </c>
      <c r="AT474" t="s">
        <v>61</v>
      </c>
      <c r="AU474" t="s">
        <v>61</v>
      </c>
      <c r="AV474" t="s">
        <v>61</v>
      </c>
      <c r="AW474" t="s">
        <v>61</v>
      </c>
      <c r="AX474" t="s">
        <v>61</v>
      </c>
      <c r="AY474" t="s">
        <v>61</v>
      </c>
      <c r="AZ474" t="s">
        <v>61</v>
      </c>
      <c r="BA474" t="s">
        <v>61</v>
      </c>
      <c r="BB474" t="s">
        <v>61</v>
      </c>
      <c r="BC474" t="s">
        <v>61</v>
      </c>
      <c r="BD474" t="s">
        <v>61</v>
      </c>
      <c r="BE474" t="s">
        <v>61</v>
      </c>
      <c r="BF474" t="s">
        <v>61</v>
      </c>
    </row>
    <row r="475" spans="1:58">
      <c r="A475" t="s">
        <v>58</v>
      </c>
      <c r="B475" t="s">
        <v>3971</v>
      </c>
      <c r="C475" t="s">
        <v>3972</v>
      </c>
      <c r="D475" t="s">
        <v>876</v>
      </c>
      <c r="E475" t="s">
        <v>877</v>
      </c>
      <c r="F475">
        <v>2012</v>
      </c>
      <c r="G475" s="1">
        <v>42686</v>
      </c>
      <c r="H475">
        <v>76</v>
      </c>
      <c r="I475">
        <v>9</v>
      </c>
      <c r="J475">
        <v>164</v>
      </c>
      <c r="K475" t="s">
        <v>61</v>
      </c>
      <c r="L475" t="s">
        <v>3973</v>
      </c>
      <c r="M475" t="s">
        <v>61</v>
      </c>
      <c r="N475" t="s">
        <v>3974</v>
      </c>
      <c r="O475" t="s">
        <v>61</v>
      </c>
      <c r="Q475" t="s">
        <v>61</v>
      </c>
      <c r="R475" t="s">
        <v>61</v>
      </c>
      <c r="S475" t="s">
        <v>61</v>
      </c>
      <c r="T475" t="s">
        <v>61</v>
      </c>
      <c r="X475" t="s">
        <v>61</v>
      </c>
      <c r="Y475" t="s">
        <v>881</v>
      </c>
      <c r="Z475" t="s">
        <v>61</v>
      </c>
      <c r="AA475" t="s">
        <v>3975</v>
      </c>
      <c r="AB475">
        <v>23193328</v>
      </c>
      <c r="AC475" t="s">
        <v>67</v>
      </c>
      <c r="AD475" t="s">
        <v>61</v>
      </c>
      <c r="AE475" t="s">
        <v>61</v>
      </c>
      <c r="AF475" t="s">
        <v>61</v>
      </c>
      <c r="AG475" t="s">
        <v>3976</v>
      </c>
      <c r="AH475" t="s">
        <v>61</v>
      </c>
      <c r="AI475" t="s">
        <v>3977</v>
      </c>
      <c r="AJ475" t="s">
        <v>61</v>
      </c>
      <c r="AK475" t="s">
        <v>61</v>
      </c>
      <c r="AL475" t="s">
        <v>61</v>
      </c>
      <c r="AM475" t="s">
        <v>3978</v>
      </c>
      <c r="AN475" t="s">
        <v>61</v>
      </c>
      <c r="AO475" t="s">
        <v>61</v>
      </c>
      <c r="AP475" t="s">
        <v>61</v>
      </c>
      <c r="AQ475" t="s">
        <v>61</v>
      </c>
      <c r="AR475" t="s">
        <v>61</v>
      </c>
      <c r="AS475" t="s">
        <v>61</v>
      </c>
      <c r="AT475" t="s">
        <v>61</v>
      </c>
      <c r="AU475" t="s">
        <v>61</v>
      </c>
      <c r="AV475" t="s">
        <v>61</v>
      </c>
      <c r="AW475" t="s">
        <v>61</v>
      </c>
      <c r="AX475" t="s">
        <v>61</v>
      </c>
      <c r="AY475" t="s">
        <v>61</v>
      </c>
      <c r="AZ475" t="s">
        <v>61</v>
      </c>
      <c r="BA475" t="s">
        <v>61</v>
      </c>
      <c r="BB475" t="s">
        <v>61</v>
      </c>
      <c r="BC475" t="s">
        <v>61</v>
      </c>
      <c r="BD475" t="s">
        <v>61</v>
      </c>
      <c r="BE475" t="s">
        <v>61</v>
      </c>
      <c r="BF475" t="s">
        <v>61</v>
      </c>
    </row>
    <row r="476" spans="1:58">
      <c r="A476" t="s">
        <v>58</v>
      </c>
      <c r="B476" t="s">
        <v>3979</v>
      </c>
      <c r="C476" t="s">
        <v>3980</v>
      </c>
      <c r="D476" t="s">
        <v>3981</v>
      </c>
      <c r="E476" t="s">
        <v>61</v>
      </c>
      <c r="F476">
        <v>2007</v>
      </c>
      <c r="G476" t="s">
        <v>363</v>
      </c>
      <c r="H476">
        <v>20</v>
      </c>
      <c r="I476">
        <v>1</v>
      </c>
      <c r="J476">
        <v>5</v>
      </c>
      <c r="K476">
        <v>12</v>
      </c>
      <c r="L476" t="s">
        <v>61</v>
      </c>
      <c r="M476" t="s">
        <v>3982</v>
      </c>
      <c r="N476" t="s">
        <v>3983</v>
      </c>
      <c r="O476" t="s">
        <v>61</v>
      </c>
      <c r="Q476" t="s">
        <v>61</v>
      </c>
      <c r="R476" t="s">
        <v>61</v>
      </c>
      <c r="S476" t="s">
        <v>61</v>
      </c>
      <c r="T476" t="s">
        <v>61</v>
      </c>
      <c r="X476" t="s">
        <v>61</v>
      </c>
      <c r="Y476" t="s">
        <v>3984</v>
      </c>
      <c r="Z476" t="s">
        <v>61</v>
      </c>
      <c r="AA476" t="s">
        <v>3985</v>
      </c>
      <c r="AB476">
        <v>17256034</v>
      </c>
      <c r="AC476" t="s">
        <v>67</v>
      </c>
      <c r="AD476" t="s">
        <v>61</v>
      </c>
      <c r="AE476" t="s">
        <v>61</v>
      </c>
      <c r="AF476" t="s">
        <v>61</v>
      </c>
      <c r="AG476" t="s">
        <v>3986</v>
      </c>
      <c r="AH476" t="s">
        <v>61</v>
      </c>
      <c r="AI476" t="s">
        <v>61</v>
      </c>
      <c r="AJ476" t="s">
        <v>61</v>
      </c>
      <c r="AK476" t="s">
        <v>61</v>
      </c>
      <c r="AL476" t="s">
        <v>61</v>
      </c>
      <c r="AM476" t="s">
        <v>3987</v>
      </c>
      <c r="AN476" t="s">
        <v>61</v>
      </c>
      <c r="AO476" t="s">
        <v>61</v>
      </c>
      <c r="AP476" t="s">
        <v>61</v>
      </c>
      <c r="AQ476" t="s">
        <v>61</v>
      </c>
      <c r="AR476" t="s">
        <v>61</v>
      </c>
      <c r="AS476" t="s">
        <v>61</v>
      </c>
      <c r="AT476" t="s">
        <v>61</v>
      </c>
      <c r="AU476" t="s">
        <v>61</v>
      </c>
      <c r="AV476" t="s">
        <v>61</v>
      </c>
      <c r="AW476" t="s">
        <v>61</v>
      </c>
      <c r="AX476" t="s">
        <v>61</v>
      </c>
      <c r="AY476" t="s">
        <v>61</v>
      </c>
      <c r="AZ476" t="s">
        <v>61</v>
      </c>
      <c r="BA476" t="s">
        <v>61</v>
      </c>
      <c r="BB476" t="s">
        <v>61</v>
      </c>
      <c r="BC476" t="s">
        <v>61</v>
      </c>
      <c r="BD476" t="s">
        <v>61</v>
      </c>
      <c r="BE476" t="s">
        <v>61</v>
      </c>
      <c r="BF476" t="s">
        <v>61</v>
      </c>
    </row>
    <row r="477" spans="1:58">
      <c r="A477" t="s">
        <v>58</v>
      </c>
      <c r="B477" t="s">
        <v>3988</v>
      </c>
      <c r="C477" t="s">
        <v>3989</v>
      </c>
      <c r="D477" t="s">
        <v>3990</v>
      </c>
      <c r="E477" t="s">
        <v>3991</v>
      </c>
      <c r="F477">
        <v>2015</v>
      </c>
      <c r="G477" t="s">
        <v>85</v>
      </c>
      <c r="H477">
        <v>53</v>
      </c>
      <c r="I477">
        <v>4</v>
      </c>
      <c r="J477" t="s">
        <v>3992</v>
      </c>
      <c r="K477">
        <v>11</v>
      </c>
      <c r="L477" t="s">
        <v>3993</v>
      </c>
      <c r="M477" t="s">
        <v>3994</v>
      </c>
      <c r="N477" t="s">
        <v>3995</v>
      </c>
      <c r="O477" t="s">
        <v>61</v>
      </c>
      <c r="Q477" t="s">
        <v>61</v>
      </c>
      <c r="R477" t="s">
        <v>61</v>
      </c>
      <c r="S477" t="s">
        <v>61</v>
      </c>
      <c r="T477" t="s">
        <v>61</v>
      </c>
      <c r="X477" t="s">
        <v>61</v>
      </c>
      <c r="Y477" t="s">
        <v>3996</v>
      </c>
      <c r="Z477" t="s">
        <v>61</v>
      </c>
      <c r="AA477" t="s">
        <v>3997</v>
      </c>
      <c r="AB477">
        <v>25767963</v>
      </c>
      <c r="AC477" t="s">
        <v>67</v>
      </c>
      <c r="AD477" t="s">
        <v>61</v>
      </c>
      <c r="AE477" t="s">
        <v>61</v>
      </c>
      <c r="AF477" t="s">
        <v>61</v>
      </c>
      <c r="AG477" t="s">
        <v>3998</v>
      </c>
      <c r="AH477" t="s">
        <v>61</v>
      </c>
      <c r="AI477" t="s">
        <v>3999</v>
      </c>
      <c r="AJ477" t="s">
        <v>61</v>
      </c>
      <c r="AK477" t="s">
        <v>61</v>
      </c>
      <c r="AL477" t="s">
        <v>61</v>
      </c>
      <c r="AM477" t="s">
        <v>4000</v>
      </c>
      <c r="AN477" t="s">
        <v>61</v>
      </c>
      <c r="AO477" t="s">
        <v>61</v>
      </c>
      <c r="AP477" t="s">
        <v>61</v>
      </c>
      <c r="AQ477" t="s">
        <v>61</v>
      </c>
      <c r="AR477" t="s">
        <v>61</v>
      </c>
      <c r="AS477" t="s">
        <v>61</v>
      </c>
      <c r="AT477" t="s">
        <v>61</v>
      </c>
      <c r="AU477" t="s">
        <v>61</v>
      </c>
      <c r="AV477" t="s">
        <v>61</v>
      </c>
      <c r="AW477" t="s">
        <v>61</v>
      </c>
      <c r="AX477" t="s">
        <v>61</v>
      </c>
      <c r="AY477" t="s">
        <v>61</v>
      </c>
      <c r="AZ477" t="s">
        <v>61</v>
      </c>
      <c r="BA477" t="s">
        <v>61</v>
      </c>
      <c r="BB477" t="s">
        <v>61</v>
      </c>
      <c r="BC477" t="s">
        <v>61</v>
      </c>
      <c r="BD477" t="s">
        <v>61</v>
      </c>
      <c r="BE477" t="s">
        <v>61</v>
      </c>
      <c r="BF477" t="s">
        <v>61</v>
      </c>
    </row>
    <row r="478" spans="1:58">
      <c r="A478" t="s">
        <v>58</v>
      </c>
      <c r="B478" t="s">
        <v>4001</v>
      </c>
      <c r="C478" t="s">
        <v>4002</v>
      </c>
      <c r="D478" t="s">
        <v>937</v>
      </c>
      <c r="E478" t="s">
        <v>61</v>
      </c>
      <c r="F478">
        <v>2014</v>
      </c>
      <c r="G478" t="s">
        <v>457</v>
      </c>
      <c r="H478" t="s">
        <v>3514</v>
      </c>
      <c r="I478" t="s">
        <v>61</v>
      </c>
      <c r="J478" t="s">
        <v>4003</v>
      </c>
      <c r="K478" t="s">
        <v>61</v>
      </c>
      <c r="L478" t="s">
        <v>4004</v>
      </c>
      <c r="M478" t="s">
        <v>4005</v>
      </c>
      <c r="N478" t="s">
        <v>4006</v>
      </c>
      <c r="O478" t="s">
        <v>61</v>
      </c>
      <c r="Q478" t="s">
        <v>61</v>
      </c>
      <c r="R478" t="s">
        <v>61</v>
      </c>
      <c r="S478" t="s">
        <v>61</v>
      </c>
      <c r="T478" t="s">
        <v>61</v>
      </c>
      <c r="X478" t="s">
        <v>61</v>
      </c>
      <c r="Y478" t="s">
        <v>367</v>
      </c>
      <c r="Z478" t="s">
        <v>61</v>
      </c>
      <c r="AA478" t="s">
        <v>61</v>
      </c>
      <c r="AB478" t="s">
        <v>61</v>
      </c>
      <c r="AC478" t="s">
        <v>67</v>
      </c>
      <c r="AD478" t="s">
        <v>61</v>
      </c>
      <c r="AE478" t="s">
        <v>61</v>
      </c>
      <c r="AF478" t="s">
        <v>61</v>
      </c>
      <c r="AG478" t="s">
        <v>61</v>
      </c>
      <c r="AH478" t="s">
        <v>61</v>
      </c>
      <c r="AI478" t="s">
        <v>61</v>
      </c>
      <c r="AJ478" t="s">
        <v>61</v>
      </c>
      <c r="AK478" t="s">
        <v>61</v>
      </c>
      <c r="AL478" t="s">
        <v>61</v>
      </c>
      <c r="AM478" t="s">
        <v>4002</v>
      </c>
      <c r="AN478" t="s">
        <v>61</v>
      </c>
      <c r="AO478" t="s">
        <v>61</v>
      </c>
      <c r="AP478" t="s">
        <v>61</v>
      </c>
      <c r="AQ478" t="s">
        <v>61</v>
      </c>
      <c r="AR478" t="s">
        <v>61</v>
      </c>
      <c r="AS478" t="s">
        <v>61</v>
      </c>
      <c r="AT478" t="s">
        <v>61</v>
      </c>
      <c r="AU478" t="s">
        <v>61</v>
      </c>
      <c r="AV478" t="s">
        <v>61</v>
      </c>
      <c r="AW478" t="s">
        <v>61</v>
      </c>
      <c r="AX478" t="s">
        <v>61</v>
      </c>
      <c r="AY478" t="s">
        <v>61</v>
      </c>
      <c r="AZ478" t="s">
        <v>61</v>
      </c>
      <c r="BA478" t="s">
        <v>61</v>
      </c>
      <c r="BB478" t="s">
        <v>61</v>
      </c>
      <c r="BC478" t="s">
        <v>61</v>
      </c>
      <c r="BD478" t="s">
        <v>61</v>
      </c>
      <c r="BE478" t="s">
        <v>61</v>
      </c>
      <c r="BF478" t="s">
        <v>61</v>
      </c>
    </row>
    <row r="479" spans="1:58">
      <c r="A479" t="s">
        <v>58</v>
      </c>
      <c r="B479" t="s">
        <v>4007</v>
      </c>
      <c r="C479" t="s">
        <v>4008</v>
      </c>
      <c r="D479" t="s">
        <v>937</v>
      </c>
      <c r="E479" t="s">
        <v>61</v>
      </c>
      <c r="F479">
        <v>2014</v>
      </c>
      <c r="G479" t="s">
        <v>457</v>
      </c>
      <c r="H479" t="s">
        <v>3514</v>
      </c>
      <c r="I479" t="s">
        <v>61</v>
      </c>
      <c r="J479" t="s">
        <v>4003</v>
      </c>
      <c r="K479" t="s">
        <v>61</v>
      </c>
      <c r="L479" t="s">
        <v>4009</v>
      </c>
      <c r="M479" t="s">
        <v>4010</v>
      </c>
      <c r="N479" t="s">
        <v>4011</v>
      </c>
      <c r="O479" t="s">
        <v>61</v>
      </c>
      <c r="Q479" t="s">
        <v>61</v>
      </c>
      <c r="R479" t="s">
        <v>61</v>
      </c>
      <c r="S479" t="s">
        <v>61</v>
      </c>
      <c r="T479" t="s">
        <v>61</v>
      </c>
      <c r="X479" t="s">
        <v>61</v>
      </c>
      <c r="Y479" t="s">
        <v>367</v>
      </c>
      <c r="Z479" t="s">
        <v>61</v>
      </c>
      <c r="AA479" t="s">
        <v>61</v>
      </c>
      <c r="AB479" t="s">
        <v>61</v>
      </c>
      <c r="AC479" t="s">
        <v>67</v>
      </c>
      <c r="AD479" t="s">
        <v>61</v>
      </c>
      <c r="AE479" t="s">
        <v>61</v>
      </c>
      <c r="AF479" t="s">
        <v>61</v>
      </c>
      <c r="AG479" t="s">
        <v>61</v>
      </c>
      <c r="AH479" t="s">
        <v>61</v>
      </c>
      <c r="AI479" t="s">
        <v>61</v>
      </c>
      <c r="AJ479" t="s">
        <v>61</v>
      </c>
      <c r="AK479" t="s">
        <v>61</v>
      </c>
      <c r="AL479" t="s">
        <v>61</v>
      </c>
      <c r="AM479" t="s">
        <v>4008</v>
      </c>
      <c r="AN479" t="s">
        <v>61</v>
      </c>
      <c r="AO479" t="s">
        <v>61</v>
      </c>
      <c r="AP479" t="s">
        <v>61</v>
      </c>
      <c r="AQ479" t="s">
        <v>61</v>
      </c>
      <c r="AR479" t="s">
        <v>61</v>
      </c>
      <c r="AS479" t="s">
        <v>61</v>
      </c>
      <c r="AT479" t="s">
        <v>61</v>
      </c>
      <c r="AU479" t="s">
        <v>61</v>
      </c>
      <c r="AV479" t="s">
        <v>61</v>
      </c>
      <c r="AW479" t="s">
        <v>61</v>
      </c>
      <c r="AX479" t="s">
        <v>61</v>
      </c>
      <c r="AY479" t="s">
        <v>61</v>
      </c>
      <c r="AZ479" t="s">
        <v>61</v>
      </c>
      <c r="BA479" t="s">
        <v>61</v>
      </c>
      <c r="BB479" t="s">
        <v>61</v>
      </c>
      <c r="BC479" t="s">
        <v>61</v>
      </c>
      <c r="BD479" t="s">
        <v>61</v>
      </c>
      <c r="BE479" t="s">
        <v>61</v>
      </c>
      <c r="BF479" t="s">
        <v>61</v>
      </c>
    </row>
    <row r="480" spans="1:58">
      <c r="A480" t="s">
        <v>58</v>
      </c>
      <c r="B480" t="s">
        <v>4012</v>
      </c>
      <c r="C480" t="s">
        <v>4013</v>
      </c>
      <c r="D480" t="s">
        <v>627</v>
      </c>
      <c r="E480" t="s">
        <v>61</v>
      </c>
      <c r="F480">
        <v>2015</v>
      </c>
      <c r="G480" t="s">
        <v>628</v>
      </c>
      <c r="H480">
        <v>55</v>
      </c>
      <c r="I480">
        <v>2</v>
      </c>
      <c r="J480" t="s">
        <v>4014</v>
      </c>
      <c r="K480" t="s">
        <v>61</v>
      </c>
      <c r="L480" t="s">
        <v>4015</v>
      </c>
      <c r="M480" t="s">
        <v>4016</v>
      </c>
      <c r="N480" t="s">
        <v>4017</v>
      </c>
      <c r="O480" t="s">
        <v>61</v>
      </c>
      <c r="Q480" t="s">
        <v>61</v>
      </c>
      <c r="R480" t="s">
        <v>61</v>
      </c>
      <c r="S480" t="s">
        <v>61</v>
      </c>
      <c r="T480" t="s">
        <v>61</v>
      </c>
      <c r="X480" t="s">
        <v>61</v>
      </c>
      <c r="Y480" t="s">
        <v>632</v>
      </c>
      <c r="Z480" t="s">
        <v>61</v>
      </c>
      <c r="AA480" t="s">
        <v>61</v>
      </c>
      <c r="AB480" t="s">
        <v>61</v>
      </c>
      <c r="AC480" t="s">
        <v>67</v>
      </c>
      <c r="AD480" t="s">
        <v>61</v>
      </c>
      <c r="AE480" t="s">
        <v>61</v>
      </c>
      <c r="AF480" t="s">
        <v>61</v>
      </c>
      <c r="AG480" t="s">
        <v>61</v>
      </c>
      <c r="AH480" t="s">
        <v>61</v>
      </c>
      <c r="AI480" t="s">
        <v>61</v>
      </c>
      <c r="AJ480" t="s">
        <v>61</v>
      </c>
      <c r="AK480" t="s">
        <v>61</v>
      </c>
      <c r="AL480" t="s">
        <v>61</v>
      </c>
      <c r="AM480" t="s">
        <v>4013</v>
      </c>
      <c r="AN480" t="s">
        <v>61</v>
      </c>
      <c r="AO480" t="s">
        <v>61</v>
      </c>
      <c r="AP480" t="s">
        <v>61</v>
      </c>
      <c r="AQ480" t="s">
        <v>61</v>
      </c>
      <c r="AR480" t="s">
        <v>61</v>
      </c>
      <c r="AS480" t="s">
        <v>61</v>
      </c>
      <c r="AT480" t="s">
        <v>61</v>
      </c>
      <c r="AU480" t="s">
        <v>61</v>
      </c>
      <c r="AV480" t="s">
        <v>61</v>
      </c>
      <c r="AW480" t="s">
        <v>61</v>
      </c>
      <c r="AX480" t="s">
        <v>61</v>
      </c>
      <c r="AY480" t="s">
        <v>61</v>
      </c>
      <c r="AZ480" t="s">
        <v>61</v>
      </c>
      <c r="BA480" t="s">
        <v>61</v>
      </c>
      <c r="BB480" t="s">
        <v>61</v>
      </c>
      <c r="BC480" t="s">
        <v>61</v>
      </c>
      <c r="BD480" t="s">
        <v>61</v>
      </c>
      <c r="BE480" t="s">
        <v>61</v>
      </c>
      <c r="BF480" t="s">
        <v>61</v>
      </c>
    </row>
    <row r="481" spans="1:58">
      <c r="A481" t="s">
        <v>58</v>
      </c>
      <c r="B481" t="s">
        <v>4018</v>
      </c>
      <c r="C481" t="s">
        <v>4019</v>
      </c>
      <c r="D481" t="s">
        <v>188</v>
      </c>
      <c r="E481" t="s">
        <v>61</v>
      </c>
      <c r="F481">
        <v>2007</v>
      </c>
      <c r="G481" t="s">
        <v>61</v>
      </c>
      <c r="H481">
        <v>23</v>
      </c>
      <c r="I481">
        <v>1</v>
      </c>
      <c r="J481">
        <v>9</v>
      </c>
      <c r="K481" t="s">
        <v>4020</v>
      </c>
      <c r="L481" t="s">
        <v>4021</v>
      </c>
      <c r="M481" t="s">
        <v>4022</v>
      </c>
      <c r="N481" t="s">
        <v>4023</v>
      </c>
      <c r="O481" t="s">
        <v>61</v>
      </c>
      <c r="Q481" t="s">
        <v>61</v>
      </c>
      <c r="R481" t="s">
        <v>61</v>
      </c>
      <c r="S481" t="s">
        <v>61</v>
      </c>
      <c r="T481" t="s">
        <v>61</v>
      </c>
      <c r="X481" t="s">
        <v>61</v>
      </c>
      <c r="Y481" t="s">
        <v>192</v>
      </c>
      <c r="Z481" t="s">
        <v>61</v>
      </c>
      <c r="AA481" t="s">
        <v>4024</v>
      </c>
      <c r="AB481">
        <v>105889202</v>
      </c>
      <c r="AC481" t="s">
        <v>67</v>
      </c>
      <c r="AD481" t="s">
        <v>61</v>
      </c>
      <c r="AE481" t="s">
        <v>61</v>
      </c>
      <c r="AF481" t="s">
        <v>61</v>
      </c>
      <c r="AG481" t="s">
        <v>4025</v>
      </c>
      <c r="AH481" t="s">
        <v>61</v>
      </c>
      <c r="AI481" t="s">
        <v>61</v>
      </c>
      <c r="AJ481" t="s">
        <v>61</v>
      </c>
      <c r="AK481" t="s">
        <v>61</v>
      </c>
      <c r="AL481" t="s">
        <v>61</v>
      </c>
      <c r="AM481" t="s">
        <v>4026</v>
      </c>
      <c r="AN481" t="s">
        <v>61</v>
      </c>
      <c r="AO481" t="s">
        <v>61</v>
      </c>
      <c r="AP481" t="s">
        <v>61</v>
      </c>
      <c r="AQ481" t="s">
        <v>61</v>
      </c>
      <c r="AR481" t="s">
        <v>61</v>
      </c>
      <c r="AS481" t="s">
        <v>61</v>
      </c>
      <c r="AT481" t="s">
        <v>61</v>
      </c>
      <c r="AU481" t="s">
        <v>61</v>
      </c>
      <c r="AV481" t="s">
        <v>61</v>
      </c>
      <c r="AW481" t="s">
        <v>61</v>
      </c>
      <c r="AX481" t="s">
        <v>61</v>
      </c>
      <c r="AY481" t="s">
        <v>61</v>
      </c>
      <c r="AZ481" t="s">
        <v>61</v>
      </c>
      <c r="BA481" t="s">
        <v>61</v>
      </c>
      <c r="BB481" t="s">
        <v>61</v>
      </c>
      <c r="BC481" t="s">
        <v>61</v>
      </c>
      <c r="BD481" t="s">
        <v>61</v>
      </c>
      <c r="BE481" t="s">
        <v>61</v>
      </c>
      <c r="BF481" t="s">
        <v>61</v>
      </c>
    </row>
    <row r="482" spans="1:58">
      <c r="A482" t="s">
        <v>58</v>
      </c>
      <c r="B482" t="s">
        <v>4027</v>
      </c>
      <c r="C482" t="s">
        <v>4028</v>
      </c>
      <c r="D482" t="s">
        <v>417</v>
      </c>
      <c r="E482" t="s">
        <v>61</v>
      </c>
      <c r="F482">
        <v>2009</v>
      </c>
      <c r="G482" t="s">
        <v>85</v>
      </c>
      <c r="H482">
        <v>31</v>
      </c>
      <c r="I482">
        <v>2</v>
      </c>
      <c r="J482">
        <v>149</v>
      </c>
      <c r="K482">
        <v>153</v>
      </c>
      <c r="L482" t="s">
        <v>4029</v>
      </c>
      <c r="M482" t="s">
        <v>4030</v>
      </c>
      <c r="N482" t="s">
        <v>4031</v>
      </c>
      <c r="O482" t="s">
        <v>61</v>
      </c>
      <c r="Q482" t="s">
        <v>61</v>
      </c>
      <c r="R482" t="s">
        <v>61</v>
      </c>
      <c r="S482" t="s">
        <v>61</v>
      </c>
      <c r="T482" t="s">
        <v>61</v>
      </c>
      <c r="X482" t="s">
        <v>61</v>
      </c>
      <c r="Y482" t="s">
        <v>3673</v>
      </c>
      <c r="Z482" t="s">
        <v>61</v>
      </c>
      <c r="AA482" t="s">
        <v>4032</v>
      </c>
      <c r="AB482">
        <v>19199073</v>
      </c>
      <c r="AC482" t="s">
        <v>67</v>
      </c>
      <c r="AD482" t="s">
        <v>61</v>
      </c>
      <c r="AE482" t="s">
        <v>61</v>
      </c>
      <c r="AF482" t="s">
        <v>61</v>
      </c>
      <c r="AG482" t="s">
        <v>4033</v>
      </c>
      <c r="AH482" t="s">
        <v>61</v>
      </c>
      <c r="AI482" t="s">
        <v>4034</v>
      </c>
      <c r="AJ482" t="s">
        <v>61</v>
      </c>
      <c r="AK482" t="s">
        <v>61</v>
      </c>
      <c r="AL482" t="s">
        <v>61</v>
      </c>
      <c r="AM482" t="s">
        <v>4035</v>
      </c>
      <c r="AN482" t="s">
        <v>61</v>
      </c>
      <c r="AO482" t="s">
        <v>61</v>
      </c>
      <c r="AP482" t="s">
        <v>61</v>
      </c>
      <c r="AQ482" t="s">
        <v>61</v>
      </c>
      <c r="AR482" t="s">
        <v>61</v>
      </c>
      <c r="AS482" t="s">
        <v>61</v>
      </c>
      <c r="AT482" t="s">
        <v>61</v>
      </c>
      <c r="AU482" t="s">
        <v>61</v>
      </c>
      <c r="AV482" t="s">
        <v>61</v>
      </c>
      <c r="AW482" t="s">
        <v>61</v>
      </c>
      <c r="AX482" t="s">
        <v>61</v>
      </c>
      <c r="AY482" t="s">
        <v>61</v>
      </c>
      <c r="AZ482" t="s">
        <v>61</v>
      </c>
      <c r="BA482" t="s">
        <v>61</v>
      </c>
      <c r="BB482" t="s">
        <v>61</v>
      </c>
      <c r="BC482" t="s">
        <v>61</v>
      </c>
      <c r="BD482" t="s">
        <v>61</v>
      </c>
      <c r="BE482" t="s">
        <v>61</v>
      </c>
      <c r="BF482" t="s">
        <v>61</v>
      </c>
    </row>
    <row r="483" spans="1:58">
      <c r="A483" t="s">
        <v>58</v>
      </c>
      <c r="B483" t="s">
        <v>4036</v>
      </c>
      <c r="C483" t="s">
        <v>4037</v>
      </c>
      <c r="D483" t="s">
        <v>4038</v>
      </c>
      <c r="E483" t="s">
        <v>61</v>
      </c>
      <c r="F483">
        <v>2013</v>
      </c>
      <c r="G483" t="s">
        <v>61</v>
      </c>
      <c r="H483">
        <v>143</v>
      </c>
      <c r="I483" t="s">
        <v>61</v>
      </c>
      <c r="J483" t="s">
        <v>4039</v>
      </c>
      <c r="K483" t="s">
        <v>61</v>
      </c>
      <c r="L483" t="s">
        <v>4040</v>
      </c>
      <c r="M483" t="s">
        <v>4041</v>
      </c>
      <c r="N483" t="s">
        <v>4042</v>
      </c>
      <c r="O483" t="s">
        <v>61</v>
      </c>
      <c r="Q483" t="s">
        <v>61</v>
      </c>
      <c r="R483" t="s">
        <v>61</v>
      </c>
      <c r="S483" t="s">
        <v>61</v>
      </c>
      <c r="T483" t="s">
        <v>61</v>
      </c>
      <c r="X483" t="s">
        <v>61</v>
      </c>
      <c r="Y483" t="s">
        <v>4043</v>
      </c>
      <c r="Z483" t="s">
        <v>61</v>
      </c>
      <c r="AA483" t="s">
        <v>4044</v>
      </c>
      <c r="AB483">
        <v>23740165</v>
      </c>
      <c r="AC483" t="s">
        <v>67</v>
      </c>
      <c r="AD483" t="s">
        <v>61</v>
      </c>
      <c r="AE483" t="s">
        <v>61</v>
      </c>
      <c r="AF483" t="s">
        <v>61</v>
      </c>
      <c r="AG483" t="s">
        <v>4045</v>
      </c>
      <c r="AH483" t="s">
        <v>61</v>
      </c>
      <c r="AI483" t="s">
        <v>4046</v>
      </c>
      <c r="AJ483" t="s">
        <v>61</v>
      </c>
      <c r="AK483" t="s">
        <v>61</v>
      </c>
      <c r="AL483" t="s">
        <v>61</v>
      </c>
      <c r="AM483" t="s">
        <v>4047</v>
      </c>
      <c r="AN483" t="s">
        <v>61</v>
      </c>
      <c r="AO483" t="s">
        <v>61</v>
      </c>
      <c r="AP483" t="s">
        <v>61</v>
      </c>
      <c r="AQ483" t="s">
        <v>61</v>
      </c>
      <c r="AR483" t="s">
        <v>61</v>
      </c>
      <c r="AS483" t="s">
        <v>61</v>
      </c>
      <c r="AT483" t="s">
        <v>61</v>
      </c>
      <c r="AU483" t="s">
        <v>61</v>
      </c>
      <c r="AV483" t="s">
        <v>61</v>
      </c>
      <c r="AW483" t="s">
        <v>61</v>
      </c>
      <c r="AX483" t="s">
        <v>61</v>
      </c>
      <c r="AY483" t="s">
        <v>61</v>
      </c>
      <c r="AZ483" t="s">
        <v>61</v>
      </c>
      <c r="BA483" t="s">
        <v>61</v>
      </c>
      <c r="BB483" t="s">
        <v>61</v>
      </c>
      <c r="BC483" t="s">
        <v>61</v>
      </c>
      <c r="BD483" t="s">
        <v>61</v>
      </c>
      <c r="BE483" t="s">
        <v>61</v>
      </c>
      <c r="BF483" t="s">
        <v>61</v>
      </c>
    </row>
    <row r="484" spans="1:58">
      <c r="A484" t="s">
        <v>58</v>
      </c>
      <c r="B484" t="s">
        <v>4048</v>
      </c>
      <c r="C484" t="s">
        <v>4049</v>
      </c>
      <c r="D484" t="s">
        <v>1582</v>
      </c>
      <c r="E484" t="s">
        <v>1582</v>
      </c>
      <c r="F484">
        <v>1989</v>
      </c>
      <c r="G484" t="s">
        <v>559</v>
      </c>
      <c r="H484">
        <v>22</v>
      </c>
      <c r="I484">
        <v>3</v>
      </c>
      <c r="J484">
        <v>111</v>
      </c>
      <c r="K484">
        <v>114</v>
      </c>
      <c r="L484" t="s">
        <v>4050</v>
      </c>
      <c r="M484" t="s">
        <v>4051</v>
      </c>
      <c r="N484" t="s">
        <v>4052</v>
      </c>
      <c r="O484" t="s">
        <v>61</v>
      </c>
      <c r="Q484" t="s">
        <v>61</v>
      </c>
      <c r="R484" t="s">
        <v>61</v>
      </c>
      <c r="S484" t="s">
        <v>61</v>
      </c>
      <c r="T484" t="s">
        <v>61</v>
      </c>
      <c r="X484" t="s">
        <v>61</v>
      </c>
      <c r="Y484" t="s">
        <v>1587</v>
      </c>
      <c r="Z484" t="s">
        <v>61</v>
      </c>
      <c r="AA484" t="s">
        <v>4053</v>
      </c>
      <c r="AB484">
        <v>2568644</v>
      </c>
      <c r="AC484" t="s">
        <v>67</v>
      </c>
      <c r="AD484" t="s">
        <v>61</v>
      </c>
      <c r="AE484" t="s">
        <v>61</v>
      </c>
      <c r="AF484" t="s">
        <v>61</v>
      </c>
      <c r="AG484" t="s">
        <v>4054</v>
      </c>
      <c r="AH484" t="s">
        <v>61</v>
      </c>
      <c r="AI484" t="s">
        <v>61</v>
      </c>
      <c r="AJ484" t="s">
        <v>61</v>
      </c>
      <c r="AK484" t="s">
        <v>61</v>
      </c>
      <c r="AL484" t="s">
        <v>61</v>
      </c>
      <c r="AM484" t="s">
        <v>4055</v>
      </c>
      <c r="AN484" t="s">
        <v>61</v>
      </c>
      <c r="AO484" t="s">
        <v>61</v>
      </c>
      <c r="AP484" t="s">
        <v>61</v>
      </c>
      <c r="AQ484" t="s">
        <v>61</v>
      </c>
      <c r="AR484" t="s">
        <v>61</v>
      </c>
      <c r="AS484" t="s">
        <v>61</v>
      </c>
      <c r="AT484" t="s">
        <v>61</v>
      </c>
      <c r="AU484" t="s">
        <v>61</v>
      </c>
      <c r="AV484" t="s">
        <v>61</v>
      </c>
      <c r="AW484" t="s">
        <v>61</v>
      </c>
      <c r="AX484" t="s">
        <v>61</v>
      </c>
      <c r="AY484" t="s">
        <v>61</v>
      </c>
      <c r="AZ484" t="s">
        <v>61</v>
      </c>
      <c r="BA484" t="s">
        <v>61</v>
      </c>
      <c r="BB484" t="s">
        <v>61</v>
      </c>
      <c r="BC484" t="s">
        <v>61</v>
      </c>
      <c r="BD484" t="s">
        <v>61</v>
      </c>
      <c r="BE484" t="s">
        <v>61</v>
      </c>
      <c r="BF484" t="s">
        <v>61</v>
      </c>
    </row>
    <row r="485" spans="1:58">
      <c r="A485" t="s">
        <v>58</v>
      </c>
      <c r="B485" t="s">
        <v>4056</v>
      </c>
      <c r="C485" t="s">
        <v>4057</v>
      </c>
      <c r="D485" t="s">
        <v>4058</v>
      </c>
      <c r="E485" t="s">
        <v>61</v>
      </c>
      <c r="F485">
        <v>2009</v>
      </c>
      <c r="G485" t="s">
        <v>154</v>
      </c>
      <c r="H485">
        <v>22</v>
      </c>
      <c r="I485">
        <v>4</v>
      </c>
      <c r="J485">
        <v>387</v>
      </c>
      <c r="K485">
        <v>398</v>
      </c>
      <c r="L485" t="s">
        <v>4059</v>
      </c>
      <c r="M485" t="s">
        <v>4060</v>
      </c>
      <c r="N485" t="s">
        <v>4061</v>
      </c>
      <c r="O485" t="s">
        <v>61</v>
      </c>
      <c r="Q485" t="s">
        <v>61</v>
      </c>
      <c r="R485" t="s">
        <v>61</v>
      </c>
      <c r="S485" t="s">
        <v>61</v>
      </c>
      <c r="T485" t="s">
        <v>61</v>
      </c>
      <c r="X485" t="s">
        <v>61</v>
      </c>
      <c r="Y485" t="s">
        <v>4062</v>
      </c>
      <c r="Z485" t="s">
        <v>61</v>
      </c>
      <c r="AA485" t="s">
        <v>4063</v>
      </c>
      <c r="AB485">
        <v>19587253</v>
      </c>
      <c r="AC485" t="s">
        <v>67</v>
      </c>
      <c r="AD485" t="s">
        <v>61</v>
      </c>
      <c r="AE485" t="s">
        <v>61</v>
      </c>
      <c r="AF485" t="s">
        <v>61</v>
      </c>
      <c r="AG485" t="s">
        <v>4064</v>
      </c>
      <c r="AH485" t="s">
        <v>61</v>
      </c>
      <c r="AI485" t="s">
        <v>4065</v>
      </c>
      <c r="AJ485" t="s">
        <v>61</v>
      </c>
      <c r="AK485" t="s">
        <v>61</v>
      </c>
      <c r="AL485" t="s">
        <v>61</v>
      </c>
      <c r="AM485" t="s">
        <v>4066</v>
      </c>
      <c r="AN485" t="s">
        <v>61</v>
      </c>
      <c r="AO485" t="s">
        <v>61</v>
      </c>
      <c r="AP485" t="s">
        <v>61</v>
      </c>
      <c r="AQ485" t="s">
        <v>61</v>
      </c>
      <c r="AR485" t="s">
        <v>61</v>
      </c>
      <c r="AS485" t="s">
        <v>61</v>
      </c>
      <c r="AT485" t="s">
        <v>61</v>
      </c>
      <c r="AU485" t="s">
        <v>61</v>
      </c>
      <c r="AV485" t="s">
        <v>61</v>
      </c>
      <c r="AW485" t="s">
        <v>61</v>
      </c>
      <c r="AX485" t="s">
        <v>61</v>
      </c>
      <c r="AY485" t="s">
        <v>61</v>
      </c>
      <c r="AZ485" t="s">
        <v>61</v>
      </c>
      <c r="BA485" t="s">
        <v>61</v>
      </c>
      <c r="BB485" t="s">
        <v>61</v>
      </c>
      <c r="BC485" t="s">
        <v>61</v>
      </c>
      <c r="BD485" t="s">
        <v>61</v>
      </c>
      <c r="BE485" t="s">
        <v>61</v>
      </c>
      <c r="BF485" t="s">
        <v>61</v>
      </c>
    </row>
    <row r="486" spans="1:58">
      <c r="A486" t="s">
        <v>58</v>
      </c>
      <c r="B486" t="s">
        <v>4067</v>
      </c>
      <c r="C486" t="s">
        <v>4068</v>
      </c>
      <c r="D486" t="s">
        <v>153</v>
      </c>
      <c r="E486" t="s">
        <v>61</v>
      </c>
      <c r="F486">
        <v>2014</v>
      </c>
      <c r="G486" t="s">
        <v>1667</v>
      </c>
      <c r="H486">
        <v>54</v>
      </c>
      <c r="I486">
        <v>3</v>
      </c>
      <c r="J486">
        <v>241</v>
      </c>
      <c r="K486">
        <v>250</v>
      </c>
      <c r="L486" t="s">
        <v>4069</v>
      </c>
      <c r="M486" t="s">
        <v>4070</v>
      </c>
      <c r="N486" t="s">
        <v>4071</v>
      </c>
      <c r="O486" t="s">
        <v>61</v>
      </c>
      <c r="Q486" t="s">
        <v>61</v>
      </c>
      <c r="R486" t="s">
        <v>61</v>
      </c>
      <c r="S486" t="s">
        <v>61</v>
      </c>
      <c r="T486" t="s">
        <v>61</v>
      </c>
      <c r="X486" t="s">
        <v>61</v>
      </c>
      <c r="Y486" t="s">
        <v>157</v>
      </c>
      <c r="Z486" t="s">
        <v>61</v>
      </c>
      <c r="AA486" t="s">
        <v>61</v>
      </c>
      <c r="AB486">
        <v>24816350</v>
      </c>
      <c r="AC486" t="s">
        <v>67</v>
      </c>
      <c r="AD486" t="s">
        <v>61</v>
      </c>
      <c r="AE486" t="s">
        <v>61</v>
      </c>
      <c r="AF486" t="s">
        <v>61</v>
      </c>
      <c r="AG486" t="s">
        <v>4072</v>
      </c>
      <c r="AH486" t="s">
        <v>61</v>
      </c>
      <c r="AI486" t="s">
        <v>4073</v>
      </c>
      <c r="AJ486" t="s">
        <v>61</v>
      </c>
      <c r="AK486" t="s">
        <v>61</v>
      </c>
      <c r="AL486" t="s">
        <v>61</v>
      </c>
      <c r="AM486" t="s">
        <v>4074</v>
      </c>
      <c r="AN486" t="s">
        <v>61</v>
      </c>
      <c r="AO486" t="s">
        <v>61</v>
      </c>
      <c r="AP486" t="s">
        <v>61</v>
      </c>
      <c r="AQ486" t="s">
        <v>61</v>
      </c>
      <c r="AR486" t="s">
        <v>61</v>
      </c>
      <c r="AS486" t="s">
        <v>61</v>
      </c>
      <c r="AT486" t="s">
        <v>61</v>
      </c>
      <c r="AU486" t="s">
        <v>61</v>
      </c>
      <c r="AV486" t="s">
        <v>61</v>
      </c>
      <c r="AW486" t="s">
        <v>61</v>
      </c>
      <c r="AX486" t="s">
        <v>61</v>
      </c>
      <c r="AY486" t="s">
        <v>61</v>
      </c>
      <c r="AZ486" t="s">
        <v>61</v>
      </c>
      <c r="BA486" t="s">
        <v>61</v>
      </c>
      <c r="BB486" t="s">
        <v>61</v>
      </c>
      <c r="BC486" t="s">
        <v>61</v>
      </c>
      <c r="BD486" t="s">
        <v>61</v>
      </c>
      <c r="BE486" t="s">
        <v>61</v>
      </c>
      <c r="BF486" t="s">
        <v>61</v>
      </c>
    </row>
    <row r="487" spans="1:58">
      <c r="A487" t="s">
        <v>58</v>
      </c>
      <c r="B487" t="s">
        <v>4075</v>
      </c>
      <c r="C487" t="s">
        <v>4076</v>
      </c>
      <c r="D487" t="s">
        <v>2408</v>
      </c>
      <c r="E487" t="s">
        <v>2409</v>
      </c>
      <c r="F487">
        <v>2002</v>
      </c>
      <c r="G487" t="s">
        <v>237</v>
      </c>
      <c r="H487">
        <v>366</v>
      </c>
      <c r="I487">
        <v>1</v>
      </c>
      <c r="J487">
        <v>33</v>
      </c>
      <c r="K487">
        <v>43</v>
      </c>
      <c r="L487" t="s">
        <v>4077</v>
      </c>
      <c r="M487" t="s">
        <v>4078</v>
      </c>
      <c r="N487" t="s">
        <v>4079</v>
      </c>
      <c r="O487" t="s">
        <v>61</v>
      </c>
      <c r="Q487" t="s">
        <v>61</v>
      </c>
      <c r="R487" t="s">
        <v>61</v>
      </c>
      <c r="S487" t="s">
        <v>61</v>
      </c>
      <c r="T487" t="s">
        <v>61</v>
      </c>
      <c r="X487" t="s">
        <v>61</v>
      </c>
      <c r="Y487" t="s">
        <v>4080</v>
      </c>
      <c r="Z487" t="s">
        <v>61</v>
      </c>
      <c r="AA487" t="s">
        <v>4081</v>
      </c>
      <c r="AB487">
        <v>12107631</v>
      </c>
      <c r="AC487" t="s">
        <v>67</v>
      </c>
      <c r="AD487" t="s">
        <v>61</v>
      </c>
      <c r="AE487" t="s">
        <v>61</v>
      </c>
      <c r="AF487" t="s">
        <v>61</v>
      </c>
      <c r="AG487" t="s">
        <v>4082</v>
      </c>
      <c r="AH487" t="s">
        <v>61</v>
      </c>
      <c r="AI487" t="s">
        <v>61</v>
      </c>
      <c r="AJ487" t="s">
        <v>61</v>
      </c>
      <c r="AK487" t="s">
        <v>61</v>
      </c>
      <c r="AL487" t="s">
        <v>61</v>
      </c>
      <c r="AM487" t="s">
        <v>4083</v>
      </c>
      <c r="AN487" t="s">
        <v>61</v>
      </c>
      <c r="AO487" t="s">
        <v>61</v>
      </c>
      <c r="AP487" t="s">
        <v>61</v>
      </c>
      <c r="AQ487" t="s">
        <v>61</v>
      </c>
      <c r="AR487" t="s">
        <v>61</v>
      </c>
      <c r="AS487" t="s">
        <v>61</v>
      </c>
      <c r="AT487" t="s">
        <v>61</v>
      </c>
      <c r="AU487" t="s">
        <v>61</v>
      </c>
      <c r="AV487" t="s">
        <v>61</v>
      </c>
      <c r="AW487" t="s">
        <v>61</v>
      </c>
      <c r="AX487" t="s">
        <v>61</v>
      </c>
      <c r="AY487" t="s">
        <v>61</v>
      </c>
      <c r="AZ487" t="s">
        <v>61</v>
      </c>
      <c r="BA487" t="s">
        <v>61</v>
      </c>
      <c r="BB487" t="s">
        <v>61</v>
      </c>
      <c r="BC487" t="s">
        <v>61</v>
      </c>
      <c r="BD487" t="s">
        <v>61</v>
      </c>
      <c r="BE487" t="s">
        <v>61</v>
      </c>
      <c r="BF487" t="s">
        <v>61</v>
      </c>
    </row>
    <row r="488" spans="1:58">
      <c r="A488" t="s">
        <v>58</v>
      </c>
      <c r="B488" t="s">
        <v>4084</v>
      </c>
      <c r="C488" t="s">
        <v>4085</v>
      </c>
      <c r="D488" t="s">
        <v>1085</v>
      </c>
      <c r="E488" t="s">
        <v>1086</v>
      </c>
      <c r="F488">
        <v>2009</v>
      </c>
      <c r="G488" t="s">
        <v>851</v>
      </c>
      <c r="H488">
        <v>43</v>
      </c>
      <c r="I488">
        <v>11</v>
      </c>
      <c r="J488">
        <v>1787</v>
      </c>
      <c r="K488">
        <v>1794</v>
      </c>
      <c r="L488" t="s">
        <v>4086</v>
      </c>
      <c r="M488" t="s">
        <v>4087</v>
      </c>
      <c r="N488" t="s">
        <v>4088</v>
      </c>
      <c r="O488" t="s">
        <v>61</v>
      </c>
      <c r="Q488" t="s">
        <v>61</v>
      </c>
      <c r="R488" t="s">
        <v>61</v>
      </c>
      <c r="S488" t="s">
        <v>61</v>
      </c>
      <c r="T488" t="s">
        <v>61</v>
      </c>
      <c r="X488" t="s">
        <v>61</v>
      </c>
      <c r="Y488" t="s">
        <v>1090</v>
      </c>
      <c r="Z488" t="s">
        <v>61</v>
      </c>
      <c r="AA488" t="s">
        <v>4089</v>
      </c>
      <c r="AB488">
        <v>19843832</v>
      </c>
      <c r="AC488" t="s">
        <v>67</v>
      </c>
      <c r="AD488" t="s">
        <v>61</v>
      </c>
      <c r="AE488" t="s">
        <v>61</v>
      </c>
      <c r="AF488" t="s">
        <v>61</v>
      </c>
      <c r="AG488" t="s">
        <v>4090</v>
      </c>
      <c r="AH488" t="s">
        <v>61</v>
      </c>
      <c r="AI488" t="s">
        <v>4091</v>
      </c>
      <c r="AJ488" t="s">
        <v>61</v>
      </c>
      <c r="AK488" t="s">
        <v>61</v>
      </c>
      <c r="AL488" t="s">
        <v>61</v>
      </c>
      <c r="AM488" t="s">
        <v>4092</v>
      </c>
      <c r="AN488" t="s">
        <v>61</v>
      </c>
      <c r="AO488" t="s">
        <v>61</v>
      </c>
      <c r="AP488" t="s">
        <v>61</v>
      </c>
      <c r="AQ488" t="s">
        <v>61</v>
      </c>
      <c r="AR488" t="s">
        <v>61</v>
      </c>
      <c r="AS488" t="s">
        <v>61</v>
      </c>
      <c r="AT488" t="s">
        <v>61</v>
      </c>
      <c r="AU488" t="s">
        <v>61</v>
      </c>
      <c r="AV488" t="s">
        <v>61</v>
      </c>
      <c r="AW488" t="s">
        <v>61</v>
      </c>
      <c r="AX488" t="s">
        <v>61</v>
      </c>
      <c r="AY488" t="s">
        <v>61</v>
      </c>
      <c r="AZ488" t="s">
        <v>61</v>
      </c>
      <c r="BA488" t="s">
        <v>61</v>
      </c>
      <c r="BB488" t="s">
        <v>61</v>
      </c>
      <c r="BC488" t="s">
        <v>61</v>
      </c>
      <c r="BD488" t="s">
        <v>61</v>
      </c>
      <c r="BE488" t="s">
        <v>61</v>
      </c>
      <c r="BF488" t="s">
        <v>61</v>
      </c>
    </row>
    <row r="489" spans="1:58">
      <c r="A489" t="s">
        <v>58</v>
      </c>
      <c r="B489" t="s">
        <v>4093</v>
      </c>
      <c r="C489" t="s">
        <v>4094</v>
      </c>
      <c r="D489" t="s">
        <v>4095</v>
      </c>
      <c r="E489" t="s">
        <v>61</v>
      </c>
      <c r="F489">
        <v>2012</v>
      </c>
      <c r="G489" t="s">
        <v>429</v>
      </c>
      <c r="H489">
        <v>19</v>
      </c>
      <c r="I489">
        <v>2</v>
      </c>
      <c r="J489">
        <v>93</v>
      </c>
      <c r="K489" t="s">
        <v>61</v>
      </c>
      <c r="L489" t="s">
        <v>4096</v>
      </c>
      <c r="M489" t="s">
        <v>4097</v>
      </c>
      <c r="N489" t="s">
        <v>4098</v>
      </c>
      <c r="O489" t="s">
        <v>61</v>
      </c>
      <c r="Q489" t="s">
        <v>61</v>
      </c>
      <c r="R489" t="s">
        <v>61</v>
      </c>
      <c r="S489" t="s">
        <v>61</v>
      </c>
      <c r="T489" t="s">
        <v>61</v>
      </c>
      <c r="X489" t="s">
        <v>61</v>
      </c>
      <c r="Y489" t="s">
        <v>61</v>
      </c>
      <c r="Z489" t="s">
        <v>61</v>
      </c>
      <c r="AA489" t="s">
        <v>61</v>
      </c>
      <c r="AB489" t="s">
        <v>61</v>
      </c>
      <c r="AC489" t="s">
        <v>67</v>
      </c>
      <c r="AD489" t="s">
        <v>61</v>
      </c>
      <c r="AE489" t="s">
        <v>61</v>
      </c>
      <c r="AF489" t="s">
        <v>61</v>
      </c>
      <c r="AG489" t="s">
        <v>61</v>
      </c>
      <c r="AH489" t="s">
        <v>61</v>
      </c>
      <c r="AI489" t="s">
        <v>61</v>
      </c>
      <c r="AJ489" t="s">
        <v>61</v>
      </c>
      <c r="AK489" t="s">
        <v>61</v>
      </c>
      <c r="AL489" t="s">
        <v>61</v>
      </c>
      <c r="AM489" t="s">
        <v>4094</v>
      </c>
      <c r="AN489" t="s">
        <v>61</v>
      </c>
      <c r="AO489" t="s">
        <v>61</v>
      </c>
      <c r="AP489" t="s">
        <v>61</v>
      </c>
      <c r="AQ489" t="s">
        <v>61</v>
      </c>
      <c r="AR489" t="s">
        <v>61</v>
      </c>
      <c r="AS489" t="s">
        <v>61</v>
      </c>
      <c r="AT489" t="s">
        <v>61</v>
      </c>
      <c r="AU489" t="s">
        <v>61</v>
      </c>
      <c r="AV489" t="s">
        <v>61</v>
      </c>
      <c r="AW489" t="s">
        <v>61</v>
      </c>
      <c r="AX489" t="s">
        <v>61</v>
      </c>
      <c r="AY489" t="s">
        <v>61</v>
      </c>
      <c r="AZ489" t="s">
        <v>61</v>
      </c>
      <c r="BA489" t="s">
        <v>61</v>
      </c>
      <c r="BB489" t="s">
        <v>61</v>
      </c>
      <c r="BC489" t="s">
        <v>61</v>
      </c>
      <c r="BD489" t="s">
        <v>61</v>
      </c>
      <c r="BE489" t="s">
        <v>61</v>
      </c>
      <c r="BF489" t="s">
        <v>61</v>
      </c>
    </row>
    <row r="490" spans="1:58">
      <c r="A490" t="s">
        <v>58</v>
      </c>
      <c r="B490" t="s">
        <v>4099</v>
      </c>
      <c r="C490" t="s">
        <v>4100</v>
      </c>
      <c r="D490" t="s">
        <v>60</v>
      </c>
      <c r="E490" t="s">
        <v>61</v>
      </c>
      <c r="F490">
        <v>2000</v>
      </c>
      <c r="G490" s="1">
        <v>42675</v>
      </c>
      <c r="H490">
        <v>57</v>
      </c>
      <c r="I490">
        <v>21</v>
      </c>
      <c r="J490">
        <v>1990</v>
      </c>
      <c r="K490">
        <v>1993</v>
      </c>
      <c r="L490" t="s">
        <v>4101</v>
      </c>
      <c r="M490" t="s">
        <v>4102</v>
      </c>
      <c r="N490" t="s">
        <v>4103</v>
      </c>
      <c r="O490" t="s">
        <v>61</v>
      </c>
      <c r="Q490" t="s">
        <v>61</v>
      </c>
      <c r="R490" t="s">
        <v>61</v>
      </c>
      <c r="S490" t="s">
        <v>61</v>
      </c>
      <c r="T490" t="s">
        <v>61</v>
      </c>
      <c r="X490" t="s">
        <v>61</v>
      </c>
      <c r="Y490" t="s">
        <v>66</v>
      </c>
      <c r="Z490" t="s">
        <v>61</v>
      </c>
      <c r="AA490" t="s">
        <v>4104</v>
      </c>
      <c r="AB490">
        <v>11094653</v>
      </c>
      <c r="AC490" t="s">
        <v>67</v>
      </c>
      <c r="AD490" t="s">
        <v>61</v>
      </c>
      <c r="AE490" t="s">
        <v>61</v>
      </c>
      <c r="AF490" t="s">
        <v>61</v>
      </c>
      <c r="AG490" t="s">
        <v>4105</v>
      </c>
      <c r="AH490" t="s">
        <v>61</v>
      </c>
      <c r="AI490" t="s">
        <v>61</v>
      </c>
      <c r="AJ490" t="s">
        <v>61</v>
      </c>
      <c r="AK490" t="s">
        <v>61</v>
      </c>
      <c r="AL490" t="s">
        <v>61</v>
      </c>
      <c r="AM490" t="s">
        <v>4106</v>
      </c>
      <c r="AN490" t="s">
        <v>61</v>
      </c>
      <c r="AO490" t="s">
        <v>61</v>
      </c>
      <c r="AP490" t="s">
        <v>61</v>
      </c>
      <c r="AQ490" t="s">
        <v>61</v>
      </c>
      <c r="AR490" t="s">
        <v>61</v>
      </c>
      <c r="AS490" t="s">
        <v>61</v>
      </c>
      <c r="AT490" t="s">
        <v>61</v>
      </c>
      <c r="AU490" t="s">
        <v>61</v>
      </c>
      <c r="AV490" t="s">
        <v>61</v>
      </c>
      <c r="AW490" t="s">
        <v>61</v>
      </c>
      <c r="AX490" t="s">
        <v>61</v>
      </c>
      <c r="AY490" t="s">
        <v>61</v>
      </c>
      <c r="AZ490" t="s">
        <v>61</v>
      </c>
      <c r="BA490" t="s">
        <v>61</v>
      </c>
      <c r="BB490" t="s">
        <v>61</v>
      </c>
      <c r="BC490" t="s">
        <v>61</v>
      </c>
      <c r="BD490" t="s">
        <v>61</v>
      </c>
      <c r="BE490" t="s">
        <v>61</v>
      </c>
      <c r="BF490" t="s">
        <v>61</v>
      </c>
    </row>
    <row r="491" spans="1:58">
      <c r="A491" t="s">
        <v>58</v>
      </c>
      <c r="B491" t="s">
        <v>4107</v>
      </c>
      <c r="C491" t="s">
        <v>4108</v>
      </c>
      <c r="D491" t="s">
        <v>627</v>
      </c>
      <c r="E491" t="s">
        <v>61</v>
      </c>
      <c r="F491">
        <v>2010</v>
      </c>
      <c r="G491" t="s">
        <v>628</v>
      </c>
      <c r="H491">
        <v>50</v>
      </c>
      <c r="I491">
        <v>2</v>
      </c>
      <c r="J491">
        <v>283</v>
      </c>
      <c r="K491" t="s">
        <v>61</v>
      </c>
      <c r="L491" t="s">
        <v>4109</v>
      </c>
      <c r="M491" t="s">
        <v>4110</v>
      </c>
      <c r="N491" t="s">
        <v>4111</v>
      </c>
      <c r="O491" t="s">
        <v>61</v>
      </c>
      <c r="Q491" t="s">
        <v>61</v>
      </c>
      <c r="R491" t="s">
        <v>61</v>
      </c>
      <c r="S491" t="s">
        <v>61</v>
      </c>
      <c r="T491" t="s">
        <v>61</v>
      </c>
      <c r="X491" t="s">
        <v>61</v>
      </c>
      <c r="Y491" t="s">
        <v>632</v>
      </c>
      <c r="Z491" t="s">
        <v>61</v>
      </c>
      <c r="AA491" t="s">
        <v>61</v>
      </c>
      <c r="AB491" t="s">
        <v>61</v>
      </c>
      <c r="AC491" t="s">
        <v>67</v>
      </c>
      <c r="AD491" t="s">
        <v>61</v>
      </c>
      <c r="AE491" t="s">
        <v>61</v>
      </c>
      <c r="AF491" t="s">
        <v>61</v>
      </c>
      <c r="AG491" t="s">
        <v>61</v>
      </c>
      <c r="AH491" t="s">
        <v>61</v>
      </c>
      <c r="AI491" t="s">
        <v>61</v>
      </c>
      <c r="AJ491" t="s">
        <v>61</v>
      </c>
      <c r="AK491" t="s">
        <v>61</v>
      </c>
      <c r="AL491" t="s">
        <v>61</v>
      </c>
      <c r="AM491" t="s">
        <v>4108</v>
      </c>
      <c r="AN491" t="s">
        <v>61</v>
      </c>
      <c r="AO491" t="s">
        <v>61</v>
      </c>
      <c r="AP491" t="s">
        <v>61</v>
      </c>
      <c r="AQ491" t="s">
        <v>61</v>
      </c>
      <c r="AR491" t="s">
        <v>61</v>
      </c>
      <c r="AS491" t="s">
        <v>61</v>
      </c>
      <c r="AT491" t="s">
        <v>61</v>
      </c>
      <c r="AU491" t="s">
        <v>61</v>
      </c>
      <c r="AV491" t="s">
        <v>61</v>
      </c>
      <c r="AW491" t="s">
        <v>61</v>
      </c>
      <c r="AX491" t="s">
        <v>61</v>
      </c>
      <c r="AY491" t="s">
        <v>61</v>
      </c>
      <c r="AZ491" t="s">
        <v>61</v>
      </c>
      <c r="BA491" t="s">
        <v>61</v>
      </c>
      <c r="BB491" t="s">
        <v>61</v>
      </c>
      <c r="BC491" t="s">
        <v>61</v>
      </c>
      <c r="BD491" t="s">
        <v>61</v>
      </c>
      <c r="BE491" t="s">
        <v>61</v>
      </c>
      <c r="BF491" t="s">
        <v>61</v>
      </c>
    </row>
    <row r="492" spans="1:58">
      <c r="A492" t="s">
        <v>58</v>
      </c>
      <c r="B492" t="s">
        <v>4112</v>
      </c>
      <c r="C492" t="s">
        <v>4113</v>
      </c>
      <c r="D492" t="s">
        <v>4114</v>
      </c>
      <c r="E492" t="s">
        <v>61</v>
      </c>
      <c r="F492">
        <v>2015</v>
      </c>
      <c r="G492" t="s">
        <v>280</v>
      </c>
      <c r="H492">
        <v>21</v>
      </c>
      <c r="I492">
        <v>12</v>
      </c>
      <c r="J492">
        <v>1116</v>
      </c>
      <c r="K492">
        <v>1122</v>
      </c>
      <c r="L492" t="s">
        <v>61</v>
      </c>
      <c r="M492" t="s">
        <v>4115</v>
      </c>
      <c r="N492" t="s">
        <v>4116</v>
      </c>
      <c r="O492" t="s">
        <v>61</v>
      </c>
      <c r="Q492" t="s">
        <v>61</v>
      </c>
      <c r="R492" t="s">
        <v>61</v>
      </c>
      <c r="S492" t="s">
        <v>61</v>
      </c>
      <c r="T492" t="s">
        <v>61</v>
      </c>
      <c r="X492" t="s">
        <v>61</v>
      </c>
      <c r="Y492" t="s">
        <v>4117</v>
      </c>
      <c r="Z492" t="s">
        <v>61</v>
      </c>
      <c r="AA492" t="s">
        <v>61</v>
      </c>
      <c r="AB492">
        <v>26679961</v>
      </c>
      <c r="AC492" t="s">
        <v>67</v>
      </c>
      <c r="AD492" t="s">
        <v>61</v>
      </c>
      <c r="AE492" t="s">
        <v>61</v>
      </c>
      <c r="AF492" t="s">
        <v>61</v>
      </c>
      <c r="AG492" t="s">
        <v>4118</v>
      </c>
      <c r="AH492" t="s">
        <v>61</v>
      </c>
      <c r="AI492" t="s">
        <v>61</v>
      </c>
      <c r="AJ492" t="s">
        <v>61</v>
      </c>
      <c r="AK492" t="s">
        <v>61</v>
      </c>
      <c r="AL492" t="s">
        <v>61</v>
      </c>
      <c r="AM492" t="s">
        <v>4119</v>
      </c>
      <c r="AN492" t="s">
        <v>61</v>
      </c>
      <c r="AO492" t="s">
        <v>61</v>
      </c>
      <c r="AP492" t="s">
        <v>61</v>
      </c>
      <c r="AQ492" t="s">
        <v>61</v>
      </c>
      <c r="AR492" t="s">
        <v>61</v>
      </c>
      <c r="AS492" t="s">
        <v>61</v>
      </c>
      <c r="AT492" t="s">
        <v>61</v>
      </c>
      <c r="AU492" t="s">
        <v>61</v>
      </c>
      <c r="AV492" t="s">
        <v>61</v>
      </c>
      <c r="AW492" t="s">
        <v>61</v>
      </c>
      <c r="AX492" t="s">
        <v>61</v>
      </c>
      <c r="AY492" t="s">
        <v>61</v>
      </c>
      <c r="AZ492" t="s">
        <v>61</v>
      </c>
      <c r="BA492" t="s">
        <v>61</v>
      </c>
      <c r="BB492" t="s">
        <v>61</v>
      </c>
      <c r="BC492" t="s">
        <v>61</v>
      </c>
      <c r="BD492" t="s">
        <v>61</v>
      </c>
      <c r="BE492" t="s">
        <v>61</v>
      </c>
      <c r="BF492" t="s">
        <v>61</v>
      </c>
    </row>
    <row r="493" spans="1:58">
      <c r="A493" t="s">
        <v>58</v>
      </c>
      <c r="B493" t="s">
        <v>4120</v>
      </c>
      <c r="C493" t="s">
        <v>4121</v>
      </c>
      <c r="D493" t="s">
        <v>4122</v>
      </c>
      <c r="E493" t="s">
        <v>4123</v>
      </c>
      <c r="F493">
        <v>1998</v>
      </c>
      <c r="G493" t="s">
        <v>237</v>
      </c>
      <c r="H493">
        <v>4</v>
      </c>
      <c r="I493">
        <v>7</v>
      </c>
      <c r="J493">
        <v>1039</v>
      </c>
      <c r="K493" t="s">
        <v>4124</v>
      </c>
      <c r="L493" t="s">
        <v>4125</v>
      </c>
      <c r="M493" t="s">
        <v>4126</v>
      </c>
      <c r="N493" t="s">
        <v>4127</v>
      </c>
      <c r="O493" t="s">
        <v>61</v>
      </c>
      <c r="Q493" t="s">
        <v>61</v>
      </c>
      <c r="R493" t="s">
        <v>61</v>
      </c>
      <c r="S493" t="s">
        <v>61</v>
      </c>
      <c r="T493" t="s">
        <v>61</v>
      </c>
      <c r="X493" t="s">
        <v>61</v>
      </c>
      <c r="Y493" t="s">
        <v>4128</v>
      </c>
      <c r="Z493" t="s">
        <v>61</v>
      </c>
      <c r="AA493" t="s">
        <v>4129</v>
      </c>
      <c r="AB493">
        <v>10181993</v>
      </c>
      <c r="AC493" t="s">
        <v>67</v>
      </c>
      <c r="AD493" t="s">
        <v>61</v>
      </c>
      <c r="AE493" t="s">
        <v>61</v>
      </c>
      <c r="AF493" t="s">
        <v>61</v>
      </c>
      <c r="AG493" t="s">
        <v>4130</v>
      </c>
      <c r="AH493" t="s">
        <v>61</v>
      </c>
      <c r="AI493" t="s">
        <v>61</v>
      </c>
      <c r="AJ493" t="s">
        <v>61</v>
      </c>
      <c r="AK493" t="s">
        <v>61</v>
      </c>
      <c r="AL493" t="s">
        <v>61</v>
      </c>
      <c r="AM493" t="s">
        <v>4131</v>
      </c>
      <c r="AN493" t="s">
        <v>61</v>
      </c>
      <c r="AO493" t="s">
        <v>61</v>
      </c>
      <c r="AP493" t="s">
        <v>61</v>
      </c>
      <c r="AQ493" t="s">
        <v>61</v>
      </c>
      <c r="AR493" t="s">
        <v>61</v>
      </c>
      <c r="AS493" t="s">
        <v>61</v>
      </c>
      <c r="AT493" t="s">
        <v>61</v>
      </c>
      <c r="AU493" t="s">
        <v>61</v>
      </c>
      <c r="AV493" t="s">
        <v>61</v>
      </c>
      <c r="AW493" t="s">
        <v>61</v>
      </c>
      <c r="AX493" t="s">
        <v>61</v>
      </c>
      <c r="AY493" t="s">
        <v>61</v>
      </c>
      <c r="AZ493" t="s">
        <v>61</v>
      </c>
      <c r="BA493" t="s">
        <v>61</v>
      </c>
      <c r="BB493" t="s">
        <v>61</v>
      </c>
      <c r="BC493" t="s">
        <v>61</v>
      </c>
      <c r="BD493" t="s">
        <v>61</v>
      </c>
      <c r="BE493" t="s">
        <v>61</v>
      </c>
      <c r="BF493" t="s">
        <v>61</v>
      </c>
    </row>
    <row r="494" spans="1:58">
      <c r="A494" t="s">
        <v>58</v>
      </c>
      <c r="B494" t="s">
        <v>4132</v>
      </c>
      <c r="C494" t="s">
        <v>4133</v>
      </c>
      <c r="D494" t="s">
        <v>475</v>
      </c>
      <c r="E494" t="s">
        <v>61</v>
      </c>
      <c r="F494">
        <v>2011</v>
      </c>
      <c r="G494" t="s">
        <v>429</v>
      </c>
      <c r="H494">
        <v>33</v>
      </c>
      <c r="I494">
        <v>2</v>
      </c>
      <c r="J494">
        <v>339</v>
      </c>
      <c r="K494">
        <v>340</v>
      </c>
      <c r="L494" t="s">
        <v>4134</v>
      </c>
      <c r="M494" t="s">
        <v>4135</v>
      </c>
      <c r="N494" t="s">
        <v>4136</v>
      </c>
      <c r="O494" t="s">
        <v>61</v>
      </c>
      <c r="Q494" t="s">
        <v>61</v>
      </c>
      <c r="R494" t="s">
        <v>61</v>
      </c>
      <c r="S494" t="s">
        <v>61</v>
      </c>
      <c r="T494" t="s">
        <v>61</v>
      </c>
      <c r="X494" t="s">
        <v>61</v>
      </c>
      <c r="Y494" t="s">
        <v>308</v>
      </c>
      <c r="Z494" t="s">
        <v>61</v>
      </c>
      <c r="AA494" t="s">
        <v>61</v>
      </c>
      <c r="AB494" t="s">
        <v>61</v>
      </c>
      <c r="AC494" t="s">
        <v>67</v>
      </c>
      <c r="AD494" t="s">
        <v>61</v>
      </c>
      <c r="AE494" t="s">
        <v>61</v>
      </c>
      <c r="AF494" t="s">
        <v>61</v>
      </c>
      <c r="AG494" t="s">
        <v>61</v>
      </c>
      <c r="AH494" t="s">
        <v>61</v>
      </c>
      <c r="AI494" t="s">
        <v>61</v>
      </c>
      <c r="AJ494" t="s">
        <v>61</v>
      </c>
      <c r="AK494" t="s">
        <v>61</v>
      </c>
      <c r="AL494" t="s">
        <v>61</v>
      </c>
      <c r="AM494" t="s">
        <v>4133</v>
      </c>
      <c r="AN494" t="s">
        <v>61</v>
      </c>
      <c r="AO494" t="s">
        <v>61</v>
      </c>
      <c r="AP494" t="s">
        <v>61</v>
      </c>
      <c r="AQ494" t="s">
        <v>61</v>
      </c>
      <c r="AR494" t="s">
        <v>61</v>
      </c>
      <c r="AS494" t="s">
        <v>61</v>
      </c>
      <c r="AT494" t="s">
        <v>61</v>
      </c>
      <c r="AU494" t="s">
        <v>61</v>
      </c>
      <c r="AV494" t="s">
        <v>61</v>
      </c>
      <c r="AW494" t="s">
        <v>61</v>
      </c>
      <c r="AX494" t="s">
        <v>61</v>
      </c>
      <c r="AY494" t="s">
        <v>61</v>
      </c>
      <c r="AZ494" t="s">
        <v>61</v>
      </c>
      <c r="BA494" t="s">
        <v>61</v>
      </c>
      <c r="BB494" t="s">
        <v>61</v>
      </c>
      <c r="BC494" t="s">
        <v>61</v>
      </c>
      <c r="BD494" t="s">
        <v>61</v>
      </c>
      <c r="BE494" t="s">
        <v>61</v>
      </c>
      <c r="BF494" t="s">
        <v>61</v>
      </c>
    </row>
    <row r="495" spans="1:58">
      <c r="A495" t="s">
        <v>58</v>
      </c>
      <c r="B495" t="s">
        <v>4137</v>
      </c>
      <c r="C495" t="s">
        <v>4138</v>
      </c>
      <c r="D495" t="s">
        <v>4139</v>
      </c>
      <c r="E495" t="s">
        <v>4140</v>
      </c>
      <c r="F495">
        <v>2006</v>
      </c>
      <c r="G495" t="s">
        <v>418</v>
      </c>
      <c r="H495">
        <v>18</v>
      </c>
      <c r="I495">
        <v>4</v>
      </c>
      <c r="J495">
        <v>352</v>
      </c>
      <c r="K495">
        <v>358</v>
      </c>
      <c r="L495" t="s">
        <v>4141</v>
      </c>
      <c r="M495" t="s">
        <v>4142</v>
      </c>
      <c r="N495" t="s">
        <v>4143</v>
      </c>
      <c r="O495" t="s">
        <v>61</v>
      </c>
      <c r="Q495" t="s">
        <v>61</v>
      </c>
      <c r="R495" t="s">
        <v>61</v>
      </c>
      <c r="S495" t="s">
        <v>61</v>
      </c>
      <c r="T495" t="s">
        <v>61</v>
      </c>
      <c r="X495" t="s">
        <v>61</v>
      </c>
      <c r="Y495" t="s">
        <v>4144</v>
      </c>
      <c r="Z495" t="s">
        <v>61</v>
      </c>
      <c r="AA495" t="s">
        <v>4145</v>
      </c>
      <c r="AB495">
        <v>16914986</v>
      </c>
      <c r="AC495" t="s">
        <v>67</v>
      </c>
      <c r="AD495" t="s">
        <v>61</v>
      </c>
      <c r="AE495" t="s">
        <v>61</v>
      </c>
      <c r="AF495" t="s">
        <v>61</v>
      </c>
      <c r="AG495" t="s">
        <v>4146</v>
      </c>
      <c r="AH495" t="s">
        <v>61</v>
      </c>
      <c r="AI495" t="s">
        <v>61</v>
      </c>
      <c r="AJ495" t="s">
        <v>61</v>
      </c>
      <c r="AK495" t="s">
        <v>61</v>
      </c>
      <c r="AL495" t="s">
        <v>61</v>
      </c>
      <c r="AM495" t="s">
        <v>4147</v>
      </c>
      <c r="AN495" t="s">
        <v>61</v>
      </c>
      <c r="AO495" t="s">
        <v>61</v>
      </c>
      <c r="AP495" t="s">
        <v>61</v>
      </c>
      <c r="AQ495" t="s">
        <v>61</v>
      </c>
      <c r="AR495" t="s">
        <v>61</v>
      </c>
      <c r="AS495" t="s">
        <v>61</v>
      </c>
      <c r="AT495" t="s">
        <v>61</v>
      </c>
      <c r="AU495" t="s">
        <v>61</v>
      </c>
      <c r="AV495" t="s">
        <v>61</v>
      </c>
      <c r="AW495" t="s">
        <v>61</v>
      </c>
      <c r="AX495" t="s">
        <v>61</v>
      </c>
      <c r="AY495" t="s">
        <v>61</v>
      </c>
      <c r="AZ495" t="s">
        <v>61</v>
      </c>
      <c r="BA495" t="s">
        <v>61</v>
      </c>
      <c r="BB495" t="s">
        <v>61</v>
      </c>
      <c r="BC495" t="s">
        <v>61</v>
      </c>
      <c r="BD495" t="s">
        <v>61</v>
      </c>
      <c r="BE495" t="s">
        <v>61</v>
      </c>
      <c r="BF495" t="s">
        <v>61</v>
      </c>
    </row>
    <row r="496" spans="1:58">
      <c r="A496" t="s">
        <v>58</v>
      </c>
      <c r="B496" t="s">
        <v>4148</v>
      </c>
      <c r="C496" t="s">
        <v>4149</v>
      </c>
      <c r="D496" t="s">
        <v>428</v>
      </c>
      <c r="E496" t="s">
        <v>61</v>
      </c>
      <c r="F496">
        <v>2012</v>
      </c>
      <c r="G496" t="s">
        <v>429</v>
      </c>
      <c r="H496">
        <v>25</v>
      </c>
      <c r="I496">
        <v>2</v>
      </c>
      <c r="J496">
        <v>284</v>
      </c>
      <c r="K496" t="s">
        <v>61</v>
      </c>
      <c r="L496" t="s">
        <v>4150</v>
      </c>
      <c r="M496" t="s">
        <v>4151</v>
      </c>
      <c r="N496" t="s">
        <v>4152</v>
      </c>
      <c r="O496" t="s">
        <v>61</v>
      </c>
      <c r="Q496" t="s">
        <v>61</v>
      </c>
      <c r="R496" t="s">
        <v>61</v>
      </c>
      <c r="S496" t="s">
        <v>61</v>
      </c>
      <c r="T496" t="s">
        <v>61</v>
      </c>
      <c r="X496" t="s">
        <v>61</v>
      </c>
      <c r="Y496" t="s">
        <v>433</v>
      </c>
      <c r="Z496" t="s">
        <v>61</v>
      </c>
      <c r="AA496" t="s">
        <v>61</v>
      </c>
      <c r="AB496" t="s">
        <v>61</v>
      </c>
      <c r="AC496" t="s">
        <v>67</v>
      </c>
      <c r="AD496" t="s">
        <v>61</v>
      </c>
      <c r="AE496" t="s">
        <v>61</v>
      </c>
      <c r="AF496" t="s">
        <v>61</v>
      </c>
      <c r="AG496" t="s">
        <v>61</v>
      </c>
      <c r="AH496" t="s">
        <v>61</v>
      </c>
      <c r="AI496" t="s">
        <v>61</v>
      </c>
      <c r="AJ496" t="s">
        <v>61</v>
      </c>
      <c r="AK496" t="s">
        <v>61</v>
      </c>
      <c r="AL496" t="s">
        <v>61</v>
      </c>
      <c r="AM496" t="s">
        <v>4149</v>
      </c>
      <c r="AN496" t="s">
        <v>61</v>
      </c>
      <c r="AO496" t="s">
        <v>61</v>
      </c>
      <c r="AP496" t="s">
        <v>61</v>
      </c>
      <c r="AQ496" t="s">
        <v>61</v>
      </c>
      <c r="AR496" t="s">
        <v>61</v>
      </c>
      <c r="AS496" t="s">
        <v>61</v>
      </c>
      <c r="AT496" t="s">
        <v>61</v>
      </c>
      <c r="AU496" t="s">
        <v>61</v>
      </c>
      <c r="AV496" t="s">
        <v>61</v>
      </c>
      <c r="AW496" t="s">
        <v>61</v>
      </c>
      <c r="AX496" t="s">
        <v>61</v>
      </c>
      <c r="AY496" t="s">
        <v>61</v>
      </c>
      <c r="AZ496" t="s">
        <v>61</v>
      </c>
      <c r="BA496" t="s">
        <v>61</v>
      </c>
      <c r="BB496" t="s">
        <v>61</v>
      </c>
      <c r="BC496" t="s">
        <v>61</v>
      </c>
      <c r="BD496" t="s">
        <v>61</v>
      </c>
      <c r="BE496" t="s">
        <v>61</v>
      </c>
      <c r="BF496" t="s">
        <v>61</v>
      </c>
    </row>
    <row r="497" spans="1:58">
      <c r="A497" t="s">
        <v>58</v>
      </c>
      <c r="B497" t="s">
        <v>4153</v>
      </c>
      <c r="C497" t="s">
        <v>4154</v>
      </c>
      <c r="D497" t="s">
        <v>408</v>
      </c>
      <c r="E497" t="s">
        <v>408</v>
      </c>
      <c r="F497">
        <v>2015</v>
      </c>
      <c r="G497" t="s">
        <v>409</v>
      </c>
      <c r="H497">
        <v>35</v>
      </c>
      <c r="I497">
        <v>11</v>
      </c>
      <c r="J497" t="s">
        <v>4155</v>
      </c>
      <c r="K497" t="s">
        <v>61</v>
      </c>
      <c r="L497" t="s">
        <v>4156</v>
      </c>
      <c r="M497" t="s">
        <v>4157</v>
      </c>
      <c r="N497" t="s">
        <v>4158</v>
      </c>
      <c r="O497" t="s">
        <v>61</v>
      </c>
      <c r="Q497" t="s">
        <v>61</v>
      </c>
      <c r="R497" t="s">
        <v>61</v>
      </c>
      <c r="S497" t="s">
        <v>61</v>
      </c>
      <c r="T497" t="s">
        <v>61</v>
      </c>
      <c r="X497" t="s">
        <v>61</v>
      </c>
      <c r="Y497" t="s">
        <v>414</v>
      </c>
      <c r="Z497" t="s">
        <v>61</v>
      </c>
      <c r="AA497" t="s">
        <v>61</v>
      </c>
      <c r="AB497" t="s">
        <v>61</v>
      </c>
      <c r="AC497" t="s">
        <v>67</v>
      </c>
      <c r="AD497" t="s">
        <v>61</v>
      </c>
      <c r="AE497" t="s">
        <v>61</v>
      </c>
      <c r="AF497" t="s">
        <v>61</v>
      </c>
      <c r="AG497" t="s">
        <v>61</v>
      </c>
      <c r="AH497" t="s">
        <v>61</v>
      </c>
      <c r="AI497" t="s">
        <v>61</v>
      </c>
      <c r="AJ497" t="s">
        <v>61</v>
      </c>
      <c r="AK497" t="s">
        <v>61</v>
      </c>
      <c r="AL497" t="s">
        <v>61</v>
      </c>
      <c r="AM497" t="s">
        <v>4154</v>
      </c>
      <c r="AN497" t="s">
        <v>61</v>
      </c>
      <c r="AO497" t="s">
        <v>61</v>
      </c>
      <c r="AP497" t="s">
        <v>61</v>
      </c>
      <c r="AQ497" t="s">
        <v>61</v>
      </c>
      <c r="AR497" t="s">
        <v>61</v>
      </c>
      <c r="AS497" t="s">
        <v>61</v>
      </c>
      <c r="AT497" t="s">
        <v>61</v>
      </c>
      <c r="AU497" t="s">
        <v>61</v>
      </c>
      <c r="AV497" t="s">
        <v>61</v>
      </c>
      <c r="AW497" t="s">
        <v>61</v>
      </c>
      <c r="AX497" t="s">
        <v>61</v>
      </c>
      <c r="AY497" t="s">
        <v>61</v>
      </c>
      <c r="AZ497" t="s">
        <v>61</v>
      </c>
      <c r="BA497" t="s">
        <v>61</v>
      </c>
      <c r="BB497" t="s">
        <v>61</v>
      </c>
      <c r="BC497" t="s">
        <v>61</v>
      </c>
      <c r="BD497" t="s">
        <v>61</v>
      </c>
      <c r="BE497" t="s">
        <v>61</v>
      </c>
      <c r="BF497" t="s">
        <v>61</v>
      </c>
    </row>
    <row r="498" spans="1:58">
      <c r="A498" t="s">
        <v>58</v>
      </c>
      <c r="B498" t="s">
        <v>4159</v>
      </c>
      <c r="C498" t="s">
        <v>4160</v>
      </c>
      <c r="D498" t="s">
        <v>4161</v>
      </c>
      <c r="E498" t="s">
        <v>61</v>
      </c>
      <c r="F498">
        <v>2013</v>
      </c>
      <c r="G498" t="s">
        <v>344</v>
      </c>
      <c r="H498" t="s">
        <v>4162</v>
      </c>
      <c r="I498" t="s">
        <v>61</v>
      </c>
      <c r="J498" t="s">
        <v>4163</v>
      </c>
      <c r="K498" t="s">
        <v>4164</v>
      </c>
      <c r="L498" t="s">
        <v>4165</v>
      </c>
      <c r="M498" t="s">
        <v>4166</v>
      </c>
      <c r="N498" t="s">
        <v>4167</v>
      </c>
      <c r="O498" t="s">
        <v>61</v>
      </c>
      <c r="Q498" t="s">
        <v>61</v>
      </c>
      <c r="R498" t="s">
        <v>61</v>
      </c>
      <c r="S498" t="s">
        <v>61</v>
      </c>
      <c r="T498" t="s">
        <v>61</v>
      </c>
      <c r="X498" t="s">
        <v>61</v>
      </c>
      <c r="Y498" t="s">
        <v>4168</v>
      </c>
      <c r="Z498" t="s">
        <v>61</v>
      </c>
      <c r="AA498" t="s">
        <v>61</v>
      </c>
      <c r="AB498" t="s">
        <v>61</v>
      </c>
      <c r="AC498" t="s">
        <v>67</v>
      </c>
      <c r="AD498" t="s">
        <v>61</v>
      </c>
      <c r="AE498" t="s">
        <v>61</v>
      </c>
      <c r="AF498" t="s">
        <v>61</v>
      </c>
      <c r="AG498" t="s">
        <v>61</v>
      </c>
      <c r="AH498" t="s">
        <v>61</v>
      </c>
      <c r="AI498" t="s">
        <v>61</v>
      </c>
      <c r="AJ498" t="s">
        <v>61</v>
      </c>
      <c r="AK498" t="s">
        <v>61</v>
      </c>
      <c r="AL498" t="s">
        <v>61</v>
      </c>
      <c r="AM498" t="s">
        <v>4160</v>
      </c>
      <c r="AN498" t="s">
        <v>61</v>
      </c>
      <c r="AO498" t="s">
        <v>61</v>
      </c>
      <c r="AP498" t="s">
        <v>61</v>
      </c>
      <c r="AQ498" t="s">
        <v>61</v>
      </c>
      <c r="AR498" t="s">
        <v>61</v>
      </c>
      <c r="AS498" t="s">
        <v>61</v>
      </c>
      <c r="AT498" t="s">
        <v>61</v>
      </c>
      <c r="AU498" t="s">
        <v>61</v>
      </c>
      <c r="AV498" t="s">
        <v>61</v>
      </c>
      <c r="AW498" t="s">
        <v>61</v>
      </c>
      <c r="AX498" t="s">
        <v>61</v>
      </c>
      <c r="AY498" t="s">
        <v>61</v>
      </c>
      <c r="AZ498" t="s">
        <v>61</v>
      </c>
      <c r="BA498" t="s">
        <v>61</v>
      </c>
      <c r="BB498" t="s">
        <v>61</v>
      </c>
      <c r="BC498" t="s">
        <v>61</v>
      </c>
      <c r="BD498" t="s">
        <v>61</v>
      </c>
      <c r="BE498" t="s">
        <v>61</v>
      </c>
      <c r="BF498" t="s">
        <v>61</v>
      </c>
    </row>
    <row r="499" spans="1:58">
      <c r="A499" t="s">
        <v>58</v>
      </c>
      <c r="B499" t="s">
        <v>4169</v>
      </c>
      <c r="C499" t="s">
        <v>4170</v>
      </c>
      <c r="D499" t="s">
        <v>1582</v>
      </c>
      <c r="E499" t="s">
        <v>1582</v>
      </c>
      <c r="F499">
        <v>2011</v>
      </c>
      <c r="G499" t="s">
        <v>391</v>
      </c>
      <c r="H499">
        <v>44</v>
      </c>
      <c r="I499">
        <v>2</v>
      </c>
      <c r="J499">
        <v>60</v>
      </c>
      <c r="K499">
        <v>66</v>
      </c>
      <c r="L499" t="s">
        <v>4171</v>
      </c>
      <c r="M499" t="s">
        <v>4172</v>
      </c>
      <c r="N499" t="s">
        <v>4173</v>
      </c>
      <c r="O499" t="s">
        <v>61</v>
      </c>
      <c r="Q499" t="s">
        <v>61</v>
      </c>
      <c r="R499" t="s">
        <v>61</v>
      </c>
      <c r="S499" t="s">
        <v>61</v>
      </c>
      <c r="T499" t="s">
        <v>61</v>
      </c>
      <c r="X499" t="s">
        <v>61</v>
      </c>
      <c r="Y499" t="s">
        <v>1722</v>
      </c>
      <c r="Z499" t="s">
        <v>61</v>
      </c>
      <c r="AA499" t="s">
        <v>4174</v>
      </c>
      <c r="AB499">
        <v>21161883</v>
      </c>
      <c r="AC499" t="s">
        <v>67</v>
      </c>
      <c r="AD499" t="s">
        <v>61</v>
      </c>
      <c r="AE499" t="s">
        <v>61</v>
      </c>
      <c r="AF499" t="s">
        <v>61</v>
      </c>
      <c r="AG499" t="s">
        <v>4175</v>
      </c>
      <c r="AH499" t="s">
        <v>61</v>
      </c>
      <c r="AI499" t="s">
        <v>4176</v>
      </c>
      <c r="AJ499" t="s">
        <v>61</v>
      </c>
      <c r="AK499" t="s">
        <v>61</v>
      </c>
      <c r="AL499" t="s">
        <v>61</v>
      </c>
      <c r="AM499" t="s">
        <v>4177</v>
      </c>
      <c r="AN499" t="s">
        <v>61</v>
      </c>
      <c r="AO499" t="s">
        <v>61</v>
      </c>
      <c r="AP499" t="s">
        <v>61</v>
      </c>
      <c r="AQ499" t="s">
        <v>61</v>
      </c>
      <c r="AR499" t="s">
        <v>61</v>
      </c>
      <c r="AS499" t="s">
        <v>61</v>
      </c>
      <c r="AT499" t="s">
        <v>61</v>
      </c>
      <c r="AU499" t="s">
        <v>61</v>
      </c>
      <c r="AV499" t="s">
        <v>61</v>
      </c>
      <c r="AW499" t="s">
        <v>61</v>
      </c>
      <c r="AX499" t="s">
        <v>61</v>
      </c>
      <c r="AY499" t="s">
        <v>61</v>
      </c>
      <c r="AZ499" t="s">
        <v>61</v>
      </c>
      <c r="BA499" t="s">
        <v>61</v>
      </c>
      <c r="BB499" t="s">
        <v>61</v>
      </c>
      <c r="BC499" t="s">
        <v>61</v>
      </c>
      <c r="BD499" t="s">
        <v>61</v>
      </c>
      <c r="BE499" t="s">
        <v>61</v>
      </c>
      <c r="BF499" t="s">
        <v>61</v>
      </c>
    </row>
    <row r="500" spans="1:58">
      <c r="A500" t="s">
        <v>58</v>
      </c>
      <c r="B500" t="s">
        <v>4178</v>
      </c>
      <c r="C500" t="s">
        <v>4179</v>
      </c>
      <c r="D500" t="s">
        <v>4180</v>
      </c>
      <c r="E500" t="s">
        <v>61</v>
      </c>
      <c r="F500">
        <v>2012</v>
      </c>
      <c r="G500" t="s">
        <v>61</v>
      </c>
      <c r="H500">
        <v>10</v>
      </c>
      <c r="I500">
        <v>2</v>
      </c>
      <c r="J500">
        <v>92</v>
      </c>
      <c r="K500" t="s">
        <v>4181</v>
      </c>
      <c r="L500" t="s">
        <v>4182</v>
      </c>
      <c r="M500" t="s">
        <v>61</v>
      </c>
      <c r="N500" t="s">
        <v>4183</v>
      </c>
      <c r="O500" t="s">
        <v>61</v>
      </c>
      <c r="Q500" t="s">
        <v>61</v>
      </c>
      <c r="R500" t="s">
        <v>61</v>
      </c>
      <c r="S500" t="s">
        <v>61</v>
      </c>
      <c r="T500" t="s">
        <v>61</v>
      </c>
      <c r="X500" t="s">
        <v>61</v>
      </c>
      <c r="Y500" t="s">
        <v>4184</v>
      </c>
      <c r="Z500" t="s">
        <v>61</v>
      </c>
      <c r="AA500" t="s">
        <v>4185</v>
      </c>
      <c r="AB500">
        <v>104355730</v>
      </c>
      <c r="AC500" t="s">
        <v>67</v>
      </c>
      <c r="AD500" t="s">
        <v>61</v>
      </c>
      <c r="AE500" t="s">
        <v>61</v>
      </c>
      <c r="AF500" t="s">
        <v>61</v>
      </c>
      <c r="AG500" t="s">
        <v>4186</v>
      </c>
      <c r="AH500" t="s">
        <v>61</v>
      </c>
      <c r="AI500" t="s">
        <v>61</v>
      </c>
      <c r="AJ500" t="s">
        <v>61</v>
      </c>
      <c r="AK500" t="s">
        <v>61</v>
      </c>
      <c r="AL500" t="s">
        <v>61</v>
      </c>
      <c r="AM500" t="s">
        <v>4187</v>
      </c>
      <c r="AN500" t="s">
        <v>61</v>
      </c>
      <c r="AO500" t="s">
        <v>61</v>
      </c>
      <c r="AP500" t="s">
        <v>61</v>
      </c>
      <c r="AQ500" t="s">
        <v>61</v>
      </c>
      <c r="AR500" t="s">
        <v>61</v>
      </c>
      <c r="AS500" t="s">
        <v>61</v>
      </c>
      <c r="AT500" t="s">
        <v>61</v>
      </c>
      <c r="AU500" t="s">
        <v>61</v>
      </c>
      <c r="AV500" t="s">
        <v>61</v>
      </c>
      <c r="AW500" t="s">
        <v>61</v>
      </c>
      <c r="AX500" t="s">
        <v>61</v>
      </c>
      <c r="AY500" t="s">
        <v>61</v>
      </c>
      <c r="AZ500" t="s">
        <v>61</v>
      </c>
      <c r="BA500" t="s">
        <v>61</v>
      </c>
      <c r="BB500" t="s">
        <v>61</v>
      </c>
      <c r="BC500" t="s">
        <v>61</v>
      </c>
      <c r="BD500" t="s">
        <v>61</v>
      </c>
      <c r="BE500" t="s">
        <v>61</v>
      </c>
      <c r="BF500" t="s">
        <v>61</v>
      </c>
    </row>
    <row r="501" spans="1:58">
      <c r="A501" t="s">
        <v>58</v>
      </c>
      <c r="B501" t="s">
        <v>4188</v>
      </c>
      <c r="C501" t="s">
        <v>4189</v>
      </c>
      <c r="D501" t="s">
        <v>888</v>
      </c>
      <c r="E501" t="s">
        <v>889</v>
      </c>
      <c r="F501">
        <v>2004</v>
      </c>
      <c r="G501" t="s">
        <v>391</v>
      </c>
      <c r="H501">
        <v>68</v>
      </c>
      <c r="I501">
        <v>3</v>
      </c>
      <c r="J501">
        <v>370</v>
      </c>
      <c r="K501">
        <v>377</v>
      </c>
      <c r="L501" t="s">
        <v>4190</v>
      </c>
      <c r="M501" t="s">
        <v>4191</v>
      </c>
      <c r="N501" t="s">
        <v>4192</v>
      </c>
      <c r="O501" t="s">
        <v>61</v>
      </c>
      <c r="Q501" t="s">
        <v>61</v>
      </c>
      <c r="R501" t="s">
        <v>61</v>
      </c>
      <c r="S501" t="s">
        <v>61</v>
      </c>
      <c r="T501" t="s">
        <v>61</v>
      </c>
      <c r="X501" t="s">
        <v>61</v>
      </c>
      <c r="Y501" t="s">
        <v>4193</v>
      </c>
      <c r="Z501" t="s">
        <v>61</v>
      </c>
      <c r="AA501" t="s">
        <v>4194</v>
      </c>
      <c r="AB501">
        <v>15038638</v>
      </c>
      <c r="AC501" t="s">
        <v>67</v>
      </c>
      <c r="AD501" t="s">
        <v>61</v>
      </c>
      <c r="AE501" t="s">
        <v>61</v>
      </c>
      <c r="AF501" t="s">
        <v>61</v>
      </c>
      <c r="AG501" t="s">
        <v>4195</v>
      </c>
      <c r="AH501" t="s">
        <v>61</v>
      </c>
      <c r="AI501" t="s">
        <v>61</v>
      </c>
      <c r="AJ501" t="s">
        <v>61</v>
      </c>
      <c r="AK501" t="s">
        <v>61</v>
      </c>
      <c r="AL501" t="s">
        <v>61</v>
      </c>
      <c r="AM501" t="s">
        <v>4196</v>
      </c>
      <c r="AN501" t="s">
        <v>61</v>
      </c>
      <c r="AO501" t="s">
        <v>61</v>
      </c>
      <c r="AP501" t="s">
        <v>61</v>
      </c>
      <c r="AQ501" t="s">
        <v>61</v>
      </c>
      <c r="AR501" t="s">
        <v>61</v>
      </c>
      <c r="AS501" t="s">
        <v>61</v>
      </c>
      <c r="AT501" t="s">
        <v>61</v>
      </c>
      <c r="AU501" t="s">
        <v>61</v>
      </c>
      <c r="AV501" t="s">
        <v>61</v>
      </c>
      <c r="AW501" t="s">
        <v>61</v>
      </c>
      <c r="AX501" t="s">
        <v>61</v>
      </c>
      <c r="AY501" t="s">
        <v>61</v>
      </c>
      <c r="AZ501" t="s">
        <v>61</v>
      </c>
      <c r="BA501" t="s">
        <v>61</v>
      </c>
      <c r="BB501" t="s">
        <v>61</v>
      </c>
      <c r="BC501" t="s">
        <v>61</v>
      </c>
      <c r="BD501" t="s">
        <v>61</v>
      </c>
      <c r="BE501" t="s">
        <v>61</v>
      </c>
      <c r="BF501" t="s">
        <v>61</v>
      </c>
    </row>
    <row r="502" spans="1:58">
      <c r="A502" t="s">
        <v>58</v>
      </c>
      <c r="B502" t="s">
        <v>4197</v>
      </c>
      <c r="C502" t="s">
        <v>4198</v>
      </c>
      <c r="D502" t="s">
        <v>4199</v>
      </c>
      <c r="E502" t="s">
        <v>61</v>
      </c>
      <c r="F502">
        <v>2005</v>
      </c>
      <c r="G502" t="s">
        <v>119</v>
      </c>
      <c r="H502">
        <v>20</v>
      </c>
      <c r="I502">
        <v>6</v>
      </c>
      <c r="J502">
        <v>546</v>
      </c>
      <c r="K502">
        <v>548</v>
      </c>
      <c r="L502" t="s">
        <v>4200</v>
      </c>
      <c r="M502" t="s">
        <v>4201</v>
      </c>
      <c r="N502" t="s">
        <v>4202</v>
      </c>
      <c r="O502" t="s">
        <v>61</v>
      </c>
      <c r="Q502" t="s">
        <v>61</v>
      </c>
      <c r="R502" t="s">
        <v>61</v>
      </c>
      <c r="S502" t="s">
        <v>61</v>
      </c>
      <c r="T502" t="s">
        <v>61</v>
      </c>
      <c r="X502" t="s">
        <v>61</v>
      </c>
      <c r="Y502" t="s">
        <v>4203</v>
      </c>
      <c r="Z502" t="s">
        <v>61</v>
      </c>
      <c r="AA502" t="s">
        <v>4204</v>
      </c>
      <c r="AB502">
        <v>15987332</v>
      </c>
      <c r="AC502" t="s">
        <v>67</v>
      </c>
      <c r="AD502" t="s">
        <v>61</v>
      </c>
      <c r="AE502" t="s">
        <v>61</v>
      </c>
      <c r="AF502" t="s">
        <v>61</v>
      </c>
      <c r="AG502" t="s">
        <v>4205</v>
      </c>
      <c r="AH502" t="s">
        <v>61</v>
      </c>
      <c r="AI502" t="s">
        <v>61</v>
      </c>
      <c r="AJ502" t="s">
        <v>61</v>
      </c>
      <c r="AK502" t="s">
        <v>61</v>
      </c>
      <c r="AL502" t="s">
        <v>61</v>
      </c>
      <c r="AM502" t="s">
        <v>4206</v>
      </c>
      <c r="AN502" t="s">
        <v>61</v>
      </c>
      <c r="AO502" t="s">
        <v>61</v>
      </c>
      <c r="AP502" t="s">
        <v>61</v>
      </c>
      <c r="AQ502" t="s">
        <v>61</v>
      </c>
      <c r="AR502" t="s">
        <v>61</v>
      </c>
      <c r="AS502" t="s">
        <v>61</v>
      </c>
      <c r="AT502" t="s">
        <v>61</v>
      </c>
      <c r="AU502" t="s">
        <v>61</v>
      </c>
      <c r="AV502" t="s">
        <v>61</v>
      </c>
      <c r="AW502" t="s">
        <v>61</v>
      </c>
      <c r="AX502" t="s">
        <v>61</v>
      </c>
      <c r="AY502" t="s">
        <v>61</v>
      </c>
      <c r="AZ502" t="s">
        <v>61</v>
      </c>
      <c r="BA502" t="s">
        <v>61</v>
      </c>
      <c r="BB502" t="s">
        <v>61</v>
      </c>
      <c r="BC502" t="s">
        <v>61</v>
      </c>
      <c r="BD502" t="s">
        <v>61</v>
      </c>
      <c r="BE502" t="s">
        <v>61</v>
      </c>
      <c r="BF502" t="s">
        <v>61</v>
      </c>
    </row>
    <row r="503" spans="1:58">
      <c r="A503" t="s">
        <v>58</v>
      </c>
      <c r="B503" t="s">
        <v>4207</v>
      </c>
      <c r="C503" t="s">
        <v>4208</v>
      </c>
      <c r="D503" t="s">
        <v>4209</v>
      </c>
      <c r="E503" t="s">
        <v>4210</v>
      </c>
      <c r="F503">
        <v>2004</v>
      </c>
      <c r="G503" t="s">
        <v>129</v>
      </c>
      <c r="H503">
        <v>57</v>
      </c>
      <c r="I503">
        <v>4</v>
      </c>
      <c r="J503">
        <v>339</v>
      </c>
      <c r="K503">
        <v>351</v>
      </c>
      <c r="L503" t="s">
        <v>4211</v>
      </c>
      <c r="M503" t="s">
        <v>4212</v>
      </c>
      <c r="N503" t="s">
        <v>4213</v>
      </c>
      <c r="O503" t="s">
        <v>61</v>
      </c>
      <c r="Q503" t="s">
        <v>61</v>
      </c>
      <c r="R503" t="s">
        <v>61</v>
      </c>
      <c r="S503" t="s">
        <v>61</v>
      </c>
      <c r="T503" t="s">
        <v>61</v>
      </c>
      <c r="X503" t="s">
        <v>61</v>
      </c>
      <c r="Y503" t="s">
        <v>4214</v>
      </c>
      <c r="Z503" t="s">
        <v>61</v>
      </c>
      <c r="AA503" t="s">
        <v>4215</v>
      </c>
      <c r="AB503">
        <v>15518668</v>
      </c>
      <c r="AC503" t="s">
        <v>67</v>
      </c>
      <c r="AD503" t="s">
        <v>61</v>
      </c>
      <c r="AE503" t="s">
        <v>61</v>
      </c>
      <c r="AF503" t="s">
        <v>61</v>
      </c>
      <c r="AG503" t="s">
        <v>4216</v>
      </c>
      <c r="AH503" t="s">
        <v>61</v>
      </c>
      <c r="AI503" t="s">
        <v>61</v>
      </c>
      <c r="AJ503" t="s">
        <v>61</v>
      </c>
      <c r="AK503" t="s">
        <v>61</v>
      </c>
      <c r="AL503" t="s">
        <v>61</v>
      </c>
      <c r="AM503" t="s">
        <v>4217</v>
      </c>
      <c r="AN503" t="s">
        <v>61</v>
      </c>
      <c r="AO503" t="s">
        <v>61</v>
      </c>
      <c r="AP503" t="s">
        <v>61</v>
      </c>
      <c r="AQ503" t="s">
        <v>61</v>
      </c>
      <c r="AR503" t="s">
        <v>61</v>
      </c>
      <c r="AS503" t="s">
        <v>61</v>
      </c>
      <c r="AT503" t="s">
        <v>61</v>
      </c>
      <c r="AU503" t="s">
        <v>61</v>
      </c>
      <c r="AV503" t="s">
        <v>61</v>
      </c>
      <c r="AW503" t="s">
        <v>61</v>
      </c>
      <c r="AX503" t="s">
        <v>61</v>
      </c>
      <c r="AY503" t="s">
        <v>61</v>
      </c>
      <c r="AZ503" t="s">
        <v>61</v>
      </c>
      <c r="BA503" t="s">
        <v>61</v>
      </c>
      <c r="BB503" t="s">
        <v>61</v>
      </c>
      <c r="BC503" t="s">
        <v>61</v>
      </c>
      <c r="BD503" t="s">
        <v>61</v>
      </c>
      <c r="BE503" t="s">
        <v>61</v>
      </c>
      <c r="BF503" t="s">
        <v>61</v>
      </c>
    </row>
    <row r="504" spans="1:58">
      <c r="A504" t="s">
        <v>58</v>
      </c>
      <c r="B504" t="s">
        <v>4218</v>
      </c>
      <c r="C504" t="s">
        <v>4219</v>
      </c>
      <c r="D504" t="s">
        <v>2704</v>
      </c>
      <c r="E504" t="s">
        <v>61</v>
      </c>
      <c r="F504">
        <v>2004</v>
      </c>
      <c r="G504" t="s">
        <v>61</v>
      </c>
      <c r="H504">
        <v>27</v>
      </c>
      <c r="I504">
        <v>5</v>
      </c>
      <c r="J504">
        <v>293</v>
      </c>
      <c r="K504">
        <v>306</v>
      </c>
      <c r="L504" t="s">
        <v>4220</v>
      </c>
      <c r="M504" t="s">
        <v>4221</v>
      </c>
      <c r="N504" t="s">
        <v>4222</v>
      </c>
      <c r="O504" t="s">
        <v>61</v>
      </c>
      <c r="Q504" t="s">
        <v>61</v>
      </c>
      <c r="R504" t="s">
        <v>61</v>
      </c>
      <c r="S504" t="s">
        <v>61</v>
      </c>
      <c r="T504" t="s">
        <v>61</v>
      </c>
      <c r="X504" t="s">
        <v>61</v>
      </c>
      <c r="Y504" t="s">
        <v>313</v>
      </c>
      <c r="Z504" t="s">
        <v>61</v>
      </c>
      <c r="AA504" t="s">
        <v>4223</v>
      </c>
      <c r="AB504">
        <v>15061684</v>
      </c>
      <c r="AC504" t="s">
        <v>67</v>
      </c>
      <c r="AD504" t="s">
        <v>61</v>
      </c>
      <c r="AE504" t="s">
        <v>61</v>
      </c>
      <c r="AF504" t="s">
        <v>61</v>
      </c>
      <c r="AG504" t="s">
        <v>4224</v>
      </c>
      <c r="AH504" t="s">
        <v>61</v>
      </c>
      <c r="AI504" t="s">
        <v>61</v>
      </c>
      <c r="AJ504" t="s">
        <v>61</v>
      </c>
      <c r="AK504" t="s">
        <v>61</v>
      </c>
      <c r="AL504" t="s">
        <v>61</v>
      </c>
      <c r="AM504" t="s">
        <v>4225</v>
      </c>
      <c r="AN504" t="s">
        <v>61</v>
      </c>
      <c r="AO504" t="s">
        <v>61</v>
      </c>
      <c r="AP504" t="s">
        <v>61</v>
      </c>
      <c r="AQ504" t="s">
        <v>61</v>
      </c>
      <c r="AR504" t="s">
        <v>61</v>
      </c>
      <c r="AS504" t="s">
        <v>61</v>
      </c>
      <c r="AT504" t="s">
        <v>61</v>
      </c>
      <c r="AU504" t="s">
        <v>61</v>
      </c>
      <c r="AV504" t="s">
        <v>61</v>
      </c>
      <c r="AW504" t="s">
        <v>61</v>
      </c>
      <c r="AX504" t="s">
        <v>61</v>
      </c>
      <c r="AY504" t="s">
        <v>61</v>
      </c>
      <c r="AZ504" t="s">
        <v>61</v>
      </c>
      <c r="BA504" t="s">
        <v>61</v>
      </c>
      <c r="BB504" t="s">
        <v>61</v>
      </c>
      <c r="BC504" t="s">
        <v>61</v>
      </c>
      <c r="BD504" t="s">
        <v>61</v>
      </c>
      <c r="BE504" t="s">
        <v>61</v>
      </c>
      <c r="BF504" t="s">
        <v>61</v>
      </c>
    </row>
    <row r="505" spans="1:58">
      <c r="A505" t="s">
        <v>58</v>
      </c>
      <c r="B505" t="s">
        <v>4226</v>
      </c>
      <c r="C505" t="s">
        <v>4227</v>
      </c>
      <c r="D505" t="s">
        <v>408</v>
      </c>
      <c r="E505" t="s">
        <v>408</v>
      </c>
      <c r="F505">
        <v>2015</v>
      </c>
      <c r="G505" t="s">
        <v>409</v>
      </c>
      <c r="H505">
        <v>35</v>
      </c>
      <c r="I505">
        <v>11</v>
      </c>
      <c r="J505" t="s">
        <v>4228</v>
      </c>
      <c r="K505" t="s">
        <v>4229</v>
      </c>
      <c r="L505" t="s">
        <v>4230</v>
      </c>
      <c r="M505" t="s">
        <v>4231</v>
      </c>
      <c r="N505" t="s">
        <v>4232</v>
      </c>
      <c r="O505" t="s">
        <v>61</v>
      </c>
      <c r="Q505" t="s">
        <v>61</v>
      </c>
      <c r="R505" t="s">
        <v>61</v>
      </c>
      <c r="S505" t="s">
        <v>61</v>
      </c>
      <c r="T505" t="s">
        <v>61</v>
      </c>
      <c r="X505" t="s">
        <v>61</v>
      </c>
      <c r="Y505" t="s">
        <v>414</v>
      </c>
      <c r="Z505" t="s">
        <v>61</v>
      </c>
      <c r="AA505" t="s">
        <v>61</v>
      </c>
      <c r="AB505" t="s">
        <v>61</v>
      </c>
      <c r="AC505" t="s">
        <v>67</v>
      </c>
      <c r="AD505" t="s">
        <v>61</v>
      </c>
      <c r="AE505" t="s">
        <v>61</v>
      </c>
      <c r="AF505" t="s">
        <v>61</v>
      </c>
      <c r="AG505" t="s">
        <v>61</v>
      </c>
      <c r="AH505" t="s">
        <v>61</v>
      </c>
      <c r="AI505" t="s">
        <v>61</v>
      </c>
      <c r="AJ505" t="s">
        <v>61</v>
      </c>
      <c r="AK505" t="s">
        <v>61</v>
      </c>
      <c r="AL505" t="s">
        <v>61</v>
      </c>
      <c r="AM505" t="s">
        <v>4227</v>
      </c>
      <c r="AN505" t="s">
        <v>61</v>
      </c>
      <c r="AO505" t="s">
        <v>61</v>
      </c>
      <c r="AP505" t="s">
        <v>61</v>
      </c>
      <c r="AQ505" t="s">
        <v>61</v>
      </c>
      <c r="AR505" t="s">
        <v>61</v>
      </c>
      <c r="AS505" t="s">
        <v>61</v>
      </c>
      <c r="AT505" t="s">
        <v>61</v>
      </c>
      <c r="AU505" t="s">
        <v>61</v>
      </c>
      <c r="AV505" t="s">
        <v>61</v>
      </c>
      <c r="AW505" t="s">
        <v>61</v>
      </c>
      <c r="AX505" t="s">
        <v>61</v>
      </c>
      <c r="AY505" t="s">
        <v>61</v>
      </c>
      <c r="AZ505" t="s">
        <v>61</v>
      </c>
      <c r="BA505" t="s">
        <v>61</v>
      </c>
      <c r="BB505" t="s">
        <v>61</v>
      </c>
      <c r="BC505" t="s">
        <v>61</v>
      </c>
      <c r="BD505" t="s">
        <v>61</v>
      </c>
      <c r="BE505" t="s">
        <v>61</v>
      </c>
      <c r="BF505" t="s">
        <v>61</v>
      </c>
    </row>
    <row r="506" spans="1:58">
      <c r="A506" t="s">
        <v>58</v>
      </c>
      <c r="B506" t="s">
        <v>4233</v>
      </c>
      <c r="C506" t="s">
        <v>4234</v>
      </c>
      <c r="D506" t="s">
        <v>4235</v>
      </c>
      <c r="E506" t="s">
        <v>61</v>
      </c>
      <c r="F506">
        <v>2015</v>
      </c>
      <c r="G506" t="s">
        <v>61</v>
      </c>
      <c r="H506">
        <v>5</v>
      </c>
      <c r="I506" t="s">
        <v>61</v>
      </c>
      <c r="J506" t="s">
        <v>4236</v>
      </c>
      <c r="K506" t="s">
        <v>61</v>
      </c>
      <c r="L506" t="s">
        <v>61</v>
      </c>
      <c r="M506" t="s">
        <v>4237</v>
      </c>
      <c r="N506" t="s">
        <v>4238</v>
      </c>
      <c r="O506" t="s">
        <v>61</v>
      </c>
      <c r="Q506" t="s">
        <v>61</v>
      </c>
      <c r="R506" t="s">
        <v>61</v>
      </c>
      <c r="S506" t="s">
        <v>61</v>
      </c>
      <c r="T506" t="s">
        <v>61</v>
      </c>
      <c r="X506" t="s">
        <v>61</v>
      </c>
      <c r="Y506" t="s">
        <v>4239</v>
      </c>
      <c r="Z506" t="s">
        <v>61</v>
      </c>
      <c r="AA506" t="s">
        <v>4240</v>
      </c>
      <c r="AB506">
        <v>26327688</v>
      </c>
      <c r="AC506" t="s">
        <v>67</v>
      </c>
      <c r="AD506" t="s">
        <v>61</v>
      </c>
      <c r="AE506" t="s">
        <v>61</v>
      </c>
      <c r="AF506" t="s">
        <v>61</v>
      </c>
      <c r="AG506" t="s">
        <v>4241</v>
      </c>
      <c r="AH506" t="s">
        <v>61</v>
      </c>
      <c r="AI506" t="s">
        <v>4242</v>
      </c>
      <c r="AJ506" t="s">
        <v>61</v>
      </c>
      <c r="AK506" t="s">
        <v>61</v>
      </c>
      <c r="AL506" t="s">
        <v>61</v>
      </c>
      <c r="AM506" t="s">
        <v>4243</v>
      </c>
      <c r="AN506" t="s">
        <v>61</v>
      </c>
      <c r="AO506" t="s">
        <v>61</v>
      </c>
      <c r="AP506" t="s">
        <v>61</v>
      </c>
      <c r="AQ506" t="s">
        <v>61</v>
      </c>
      <c r="AR506" t="s">
        <v>61</v>
      </c>
      <c r="AS506" t="s">
        <v>61</v>
      </c>
      <c r="AT506" t="s">
        <v>61</v>
      </c>
      <c r="AU506" t="s">
        <v>61</v>
      </c>
      <c r="AV506" t="s">
        <v>61</v>
      </c>
      <c r="AW506" t="s">
        <v>61</v>
      </c>
      <c r="AX506" t="s">
        <v>61</v>
      </c>
      <c r="AY506" t="s">
        <v>61</v>
      </c>
      <c r="AZ506" t="s">
        <v>61</v>
      </c>
      <c r="BA506" t="s">
        <v>61</v>
      </c>
      <c r="BB506" t="s">
        <v>61</v>
      </c>
      <c r="BC506" t="s">
        <v>61</v>
      </c>
      <c r="BD506" t="s">
        <v>61</v>
      </c>
      <c r="BE506" t="s">
        <v>61</v>
      </c>
      <c r="BF506" t="s">
        <v>61</v>
      </c>
    </row>
    <row r="507" spans="1:58">
      <c r="A507" t="s">
        <v>58</v>
      </c>
      <c r="B507" t="s">
        <v>4244</v>
      </c>
      <c r="C507" t="s">
        <v>4245</v>
      </c>
      <c r="D507" t="s">
        <v>428</v>
      </c>
      <c r="E507" t="s">
        <v>61</v>
      </c>
      <c r="F507">
        <v>2013</v>
      </c>
      <c r="G507" t="s">
        <v>457</v>
      </c>
      <c r="H507">
        <v>26</v>
      </c>
      <c r="I507">
        <v>3</v>
      </c>
      <c r="J507">
        <v>341</v>
      </c>
      <c r="K507" t="s">
        <v>61</v>
      </c>
      <c r="L507" t="s">
        <v>4246</v>
      </c>
      <c r="M507" t="s">
        <v>4247</v>
      </c>
      <c r="N507" t="s">
        <v>4248</v>
      </c>
      <c r="O507" t="s">
        <v>61</v>
      </c>
      <c r="Q507" t="s">
        <v>61</v>
      </c>
      <c r="R507" t="s">
        <v>61</v>
      </c>
      <c r="S507" t="s">
        <v>61</v>
      </c>
      <c r="T507" t="s">
        <v>61</v>
      </c>
      <c r="X507" t="s">
        <v>61</v>
      </c>
      <c r="Y507" t="s">
        <v>433</v>
      </c>
      <c r="Z507" t="s">
        <v>61</v>
      </c>
      <c r="AA507" t="s">
        <v>61</v>
      </c>
      <c r="AB507" t="s">
        <v>61</v>
      </c>
      <c r="AC507" t="s">
        <v>67</v>
      </c>
      <c r="AD507" t="s">
        <v>61</v>
      </c>
      <c r="AE507" t="s">
        <v>61</v>
      </c>
      <c r="AF507" t="s">
        <v>61</v>
      </c>
      <c r="AG507" t="s">
        <v>61</v>
      </c>
      <c r="AH507" t="s">
        <v>61</v>
      </c>
      <c r="AI507" t="s">
        <v>61</v>
      </c>
      <c r="AJ507" t="s">
        <v>61</v>
      </c>
      <c r="AK507" t="s">
        <v>61</v>
      </c>
      <c r="AL507" t="s">
        <v>61</v>
      </c>
      <c r="AM507" t="s">
        <v>4245</v>
      </c>
      <c r="AN507" t="s">
        <v>61</v>
      </c>
      <c r="AO507" t="s">
        <v>61</v>
      </c>
      <c r="AP507" t="s">
        <v>61</v>
      </c>
      <c r="AQ507" t="s">
        <v>61</v>
      </c>
      <c r="AR507" t="s">
        <v>61</v>
      </c>
      <c r="AS507" t="s">
        <v>61</v>
      </c>
      <c r="AT507" t="s">
        <v>61</v>
      </c>
      <c r="AU507" t="s">
        <v>61</v>
      </c>
      <c r="AV507" t="s">
        <v>61</v>
      </c>
      <c r="AW507" t="s">
        <v>61</v>
      </c>
      <c r="AX507" t="s">
        <v>61</v>
      </c>
      <c r="AY507" t="s">
        <v>61</v>
      </c>
      <c r="AZ507" t="s">
        <v>61</v>
      </c>
      <c r="BA507" t="s">
        <v>61</v>
      </c>
      <c r="BB507" t="s">
        <v>61</v>
      </c>
      <c r="BC507" t="s">
        <v>61</v>
      </c>
      <c r="BD507" t="s">
        <v>61</v>
      </c>
      <c r="BE507" t="s">
        <v>61</v>
      </c>
      <c r="BF507" t="s">
        <v>61</v>
      </c>
    </row>
    <row r="508" spans="1:58">
      <c r="A508" t="s">
        <v>58</v>
      </c>
      <c r="B508" t="s">
        <v>4249</v>
      </c>
      <c r="C508" t="s">
        <v>4250</v>
      </c>
      <c r="D508" t="s">
        <v>4251</v>
      </c>
      <c r="E508" t="s">
        <v>61</v>
      </c>
      <c r="F508">
        <v>2012</v>
      </c>
      <c r="G508" t="s">
        <v>344</v>
      </c>
      <c r="H508" t="s">
        <v>4162</v>
      </c>
      <c r="I508" t="s">
        <v>61</v>
      </c>
      <c r="J508">
        <v>113</v>
      </c>
      <c r="K508" t="s">
        <v>61</v>
      </c>
      <c r="L508" t="s">
        <v>4252</v>
      </c>
      <c r="M508" t="s">
        <v>4253</v>
      </c>
      <c r="N508" t="s">
        <v>4254</v>
      </c>
      <c r="O508" t="s">
        <v>61</v>
      </c>
      <c r="Q508" t="s">
        <v>61</v>
      </c>
      <c r="R508" t="s">
        <v>61</v>
      </c>
      <c r="S508" t="s">
        <v>61</v>
      </c>
      <c r="T508" t="s">
        <v>61</v>
      </c>
      <c r="X508" t="s">
        <v>61</v>
      </c>
      <c r="Y508" t="s">
        <v>4255</v>
      </c>
      <c r="Z508" t="s">
        <v>61</v>
      </c>
      <c r="AA508" t="s">
        <v>61</v>
      </c>
      <c r="AB508" t="s">
        <v>61</v>
      </c>
      <c r="AC508" t="s">
        <v>67</v>
      </c>
      <c r="AD508" t="s">
        <v>61</v>
      </c>
      <c r="AE508" t="s">
        <v>61</v>
      </c>
      <c r="AF508" t="s">
        <v>61</v>
      </c>
      <c r="AG508" t="s">
        <v>61</v>
      </c>
      <c r="AH508" t="s">
        <v>61</v>
      </c>
      <c r="AI508" t="s">
        <v>61</v>
      </c>
      <c r="AJ508" t="s">
        <v>61</v>
      </c>
      <c r="AK508" t="s">
        <v>61</v>
      </c>
      <c r="AL508" t="s">
        <v>61</v>
      </c>
      <c r="AM508" t="s">
        <v>4250</v>
      </c>
      <c r="AN508" t="s">
        <v>61</v>
      </c>
      <c r="AO508" t="s">
        <v>61</v>
      </c>
      <c r="AP508" t="s">
        <v>61</v>
      </c>
      <c r="AQ508" t="s">
        <v>61</v>
      </c>
      <c r="AR508" t="s">
        <v>61</v>
      </c>
      <c r="AS508" t="s">
        <v>61</v>
      </c>
      <c r="AT508" t="s">
        <v>61</v>
      </c>
      <c r="AU508" t="s">
        <v>61</v>
      </c>
      <c r="AV508" t="s">
        <v>61</v>
      </c>
      <c r="AW508" t="s">
        <v>61</v>
      </c>
      <c r="AX508" t="s">
        <v>61</v>
      </c>
      <c r="AY508" t="s">
        <v>61</v>
      </c>
      <c r="AZ508" t="s">
        <v>61</v>
      </c>
      <c r="BA508" t="s">
        <v>61</v>
      </c>
      <c r="BB508" t="s">
        <v>61</v>
      </c>
      <c r="BC508" t="s">
        <v>61</v>
      </c>
      <c r="BD508" t="s">
        <v>61</v>
      </c>
      <c r="BE508" t="s">
        <v>61</v>
      </c>
      <c r="BF508" t="s">
        <v>61</v>
      </c>
    </row>
    <row r="509" spans="1:58">
      <c r="A509" t="s">
        <v>58</v>
      </c>
      <c r="B509" t="s">
        <v>4256</v>
      </c>
      <c r="C509" t="s">
        <v>4257</v>
      </c>
      <c r="D509" t="s">
        <v>162</v>
      </c>
      <c r="E509" t="s">
        <v>163</v>
      </c>
      <c r="F509">
        <v>2013</v>
      </c>
      <c r="G509" t="s">
        <v>476</v>
      </c>
      <c r="H509">
        <v>53</v>
      </c>
      <c r="I509">
        <v>12</v>
      </c>
      <c r="J509">
        <v>1328</v>
      </c>
      <c r="K509">
        <v>1333</v>
      </c>
      <c r="L509" t="s">
        <v>4258</v>
      </c>
      <c r="M509" t="s">
        <v>4259</v>
      </c>
      <c r="N509" t="s">
        <v>4260</v>
      </c>
      <c r="O509" t="s">
        <v>61</v>
      </c>
      <c r="Q509" t="s">
        <v>61</v>
      </c>
      <c r="R509" t="s">
        <v>61</v>
      </c>
      <c r="S509" t="s">
        <v>61</v>
      </c>
      <c r="T509" t="s">
        <v>61</v>
      </c>
      <c r="X509" t="s">
        <v>61</v>
      </c>
      <c r="Y509" t="s">
        <v>902</v>
      </c>
      <c r="Z509" t="s">
        <v>61</v>
      </c>
      <c r="AA509" t="s">
        <v>61</v>
      </c>
      <c r="AB509">
        <v>2014066597</v>
      </c>
      <c r="AC509" t="s">
        <v>67</v>
      </c>
      <c r="AD509" t="s">
        <v>61</v>
      </c>
      <c r="AE509" t="s">
        <v>61</v>
      </c>
      <c r="AF509" t="s">
        <v>61</v>
      </c>
      <c r="AG509" t="s">
        <v>4261</v>
      </c>
      <c r="AH509" t="s">
        <v>61</v>
      </c>
      <c r="AI509" t="s">
        <v>61</v>
      </c>
      <c r="AJ509" t="s">
        <v>61</v>
      </c>
      <c r="AK509" t="s">
        <v>61</v>
      </c>
      <c r="AL509" t="s">
        <v>61</v>
      </c>
      <c r="AM509" t="s">
        <v>4262</v>
      </c>
      <c r="AN509" t="s">
        <v>61</v>
      </c>
      <c r="AO509" t="s">
        <v>61</v>
      </c>
      <c r="AP509" t="s">
        <v>61</v>
      </c>
      <c r="AQ509" t="s">
        <v>61</v>
      </c>
      <c r="AR509" t="s">
        <v>61</v>
      </c>
      <c r="AS509" t="s">
        <v>61</v>
      </c>
      <c r="AT509" t="s">
        <v>61</v>
      </c>
      <c r="AU509" t="s">
        <v>61</v>
      </c>
      <c r="AV509" t="s">
        <v>61</v>
      </c>
      <c r="AW509" t="s">
        <v>61</v>
      </c>
      <c r="AX509" t="s">
        <v>61</v>
      </c>
      <c r="AY509" t="s">
        <v>61</v>
      </c>
      <c r="AZ509" t="s">
        <v>61</v>
      </c>
      <c r="BA509" t="s">
        <v>61</v>
      </c>
      <c r="BB509" t="s">
        <v>61</v>
      </c>
      <c r="BC509" t="s">
        <v>61</v>
      </c>
      <c r="BD509" t="s">
        <v>61</v>
      </c>
      <c r="BE509" t="s">
        <v>61</v>
      </c>
      <c r="BF509" t="s">
        <v>61</v>
      </c>
    </row>
    <row r="510" spans="1:58">
      <c r="A510" t="s">
        <v>58</v>
      </c>
      <c r="B510" t="s">
        <v>4263</v>
      </c>
      <c r="C510" t="s">
        <v>4264</v>
      </c>
      <c r="D510" t="s">
        <v>4265</v>
      </c>
      <c r="E510" t="s">
        <v>61</v>
      </c>
      <c r="F510">
        <v>1998</v>
      </c>
      <c r="G510" t="s">
        <v>61</v>
      </c>
      <c r="H510">
        <v>7</v>
      </c>
      <c r="I510">
        <v>1</v>
      </c>
      <c r="J510">
        <v>7</v>
      </c>
      <c r="K510">
        <v>13</v>
      </c>
      <c r="L510" t="s">
        <v>4266</v>
      </c>
      <c r="M510" t="s">
        <v>4267</v>
      </c>
      <c r="N510" t="s">
        <v>4268</v>
      </c>
      <c r="O510" t="s">
        <v>61</v>
      </c>
      <c r="Q510" t="s">
        <v>61</v>
      </c>
      <c r="R510" t="s">
        <v>61</v>
      </c>
      <c r="S510" t="s">
        <v>61</v>
      </c>
      <c r="T510" t="s">
        <v>61</v>
      </c>
      <c r="X510" t="s">
        <v>61</v>
      </c>
      <c r="Y510" t="s">
        <v>4269</v>
      </c>
      <c r="Z510" t="s">
        <v>61</v>
      </c>
      <c r="AA510" t="s">
        <v>4270</v>
      </c>
      <c r="AB510">
        <v>9522002</v>
      </c>
      <c r="AC510" t="s">
        <v>67</v>
      </c>
      <c r="AD510" t="s">
        <v>61</v>
      </c>
      <c r="AE510" t="s">
        <v>61</v>
      </c>
      <c r="AF510" t="s">
        <v>61</v>
      </c>
      <c r="AG510" t="s">
        <v>4271</v>
      </c>
      <c r="AH510" t="s">
        <v>61</v>
      </c>
      <c r="AI510" t="s">
        <v>61</v>
      </c>
      <c r="AJ510" t="s">
        <v>61</v>
      </c>
      <c r="AK510" t="s">
        <v>61</v>
      </c>
      <c r="AL510" t="s">
        <v>61</v>
      </c>
      <c r="AM510" t="s">
        <v>4272</v>
      </c>
      <c r="AN510" t="s">
        <v>61</v>
      </c>
      <c r="AO510" t="s">
        <v>61</v>
      </c>
      <c r="AP510" t="s">
        <v>61</v>
      </c>
      <c r="AQ510" t="s">
        <v>61</v>
      </c>
      <c r="AR510" t="s">
        <v>61</v>
      </c>
      <c r="AS510" t="s">
        <v>61</v>
      </c>
      <c r="AT510" t="s">
        <v>61</v>
      </c>
      <c r="AU510" t="s">
        <v>61</v>
      </c>
      <c r="AV510" t="s">
        <v>61</v>
      </c>
      <c r="AW510" t="s">
        <v>61</v>
      </c>
      <c r="AX510" t="s">
        <v>61</v>
      </c>
      <c r="AY510" t="s">
        <v>61</v>
      </c>
      <c r="AZ510" t="s">
        <v>61</v>
      </c>
      <c r="BA510" t="s">
        <v>61</v>
      </c>
      <c r="BB510" t="s">
        <v>61</v>
      </c>
      <c r="BC510" t="s">
        <v>61</v>
      </c>
      <c r="BD510" t="s">
        <v>61</v>
      </c>
      <c r="BE510" t="s">
        <v>61</v>
      </c>
      <c r="BF510" t="s">
        <v>61</v>
      </c>
    </row>
    <row r="511" spans="1:58">
      <c r="A511" t="s">
        <v>58</v>
      </c>
      <c r="B511" t="s">
        <v>4273</v>
      </c>
      <c r="C511" t="s">
        <v>4274</v>
      </c>
      <c r="D511" t="s">
        <v>4275</v>
      </c>
      <c r="E511" t="s">
        <v>61</v>
      </c>
      <c r="F511">
        <v>2005</v>
      </c>
      <c r="G511" t="s">
        <v>85</v>
      </c>
      <c r="H511">
        <v>93</v>
      </c>
      <c r="I511">
        <v>2</v>
      </c>
      <c r="J511">
        <v>229</v>
      </c>
      <c r="K511">
        <v>236</v>
      </c>
      <c r="L511" t="s">
        <v>4276</v>
      </c>
      <c r="M511" t="s">
        <v>4277</v>
      </c>
      <c r="N511" t="s">
        <v>4278</v>
      </c>
      <c r="O511" t="s">
        <v>61</v>
      </c>
      <c r="Q511" t="s">
        <v>61</v>
      </c>
      <c r="R511" t="s">
        <v>61</v>
      </c>
      <c r="S511" t="s">
        <v>61</v>
      </c>
      <c r="T511" t="s">
        <v>61</v>
      </c>
      <c r="X511" t="s">
        <v>61</v>
      </c>
      <c r="Y511" t="s">
        <v>4279</v>
      </c>
      <c r="Z511" t="s">
        <v>61</v>
      </c>
      <c r="AA511" t="s">
        <v>4280</v>
      </c>
      <c r="AB511">
        <v>15858626</v>
      </c>
      <c r="AC511" t="s">
        <v>67</v>
      </c>
      <c r="AD511" t="s">
        <v>61</v>
      </c>
      <c r="AE511" t="s">
        <v>61</v>
      </c>
      <c r="AF511" t="s">
        <v>61</v>
      </c>
      <c r="AG511" t="s">
        <v>4281</v>
      </c>
      <c r="AH511" t="s">
        <v>61</v>
      </c>
      <c r="AI511" t="s">
        <v>61</v>
      </c>
      <c r="AJ511" t="s">
        <v>61</v>
      </c>
      <c r="AK511" t="s">
        <v>61</v>
      </c>
      <c r="AL511" t="s">
        <v>61</v>
      </c>
      <c r="AM511" t="s">
        <v>4282</v>
      </c>
      <c r="AN511" t="s">
        <v>61</v>
      </c>
      <c r="AO511" t="s">
        <v>61</v>
      </c>
      <c r="AP511" t="s">
        <v>61</v>
      </c>
      <c r="AQ511" t="s">
        <v>61</v>
      </c>
      <c r="AR511" t="s">
        <v>61</v>
      </c>
      <c r="AS511" t="s">
        <v>61</v>
      </c>
      <c r="AT511" t="s">
        <v>61</v>
      </c>
      <c r="AU511" t="s">
        <v>61</v>
      </c>
      <c r="AV511" t="s">
        <v>61</v>
      </c>
      <c r="AW511" t="s">
        <v>61</v>
      </c>
      <c r="AX511" t="s">
        <v>61</v>
      </c>
      <c r="AY511" t="s">
        <v>61</v>
      </c>
      <c r="AZ511" t="s">
        <v>61</v>
      </c>
      <c r="BA511" t="s">
        <v>61</v>
      </c>
      <c r="BB511" t="s">
        <v>61</v>
      </c>
      <c r="BC511" t="s">
        <v>61</v>
      </c>
      <c r="BD511" t="s">
        <v>61</v>
      </c>
      <c r="BE511" t="s">
        <v>61</v>
      </c>
      <c r="BF511" t="s">
        <v>61</v>
      </c>
    </row>
    <row r="512" spans="1:58">
      <c r="A512" t="s">
        <v>58</v>
      </c>
      <c r="B512" t="s">
        <v>4283</v>
      </c>
      <c r="C512" t="s">
        <v>4284</v>
      </c>
      <c r="D512" t="s">
        <v>4285</v>
      </c>
      <c r="E512" t="s">
        <v>61</v>
      </c>
      <c r="F512">
        <v>2000</v>
      </c>
      <c r="G512" t="s">
        <v>280</v>
      </c>
      <c r="H512">
        <v>1</v>
      </c>
      <c r="I512">
        <v>4</v>
      </c>
      <c r="J512">
        <v>317</v>
      </c>
      <c r="K512">
        <v>331</v>
      </c>
      <c r="L512" t="s">
        <v>61</v>
      </c>
      <c r="M512" t="s">
        <v>4286</v>
      </c>
      <c r="N512" t="s">
        <v>4287</v>
      </c>
      <c r="O512" t="s">
        <v>61</v>
      </c>
      <c r="Q512" t="s">
        <v>61</v>
      </c>
      <c r="R512" t="s">
        <v>61</v>
      </c>
      <c r="S512" t="s">
        <v>61</v>
      </c>
      <c r="T512" t="s">
        <v>61</v>
      </c>
      <c r="X512" t="s">
        <v>61</v>
      </c>
      <c r="Y512" t="s">
        <v>4288</v>
      </c>
      <c r="Z512" t="s">
        <v>61</v>
      </c>
      <c r="AA512" t="s">
        <v>4289</v>
      </c>
      <c r="AB512">
        <v>15101878</v>
      </c>
      <c r="AC512" t="s">
        <v>67</v>
      </c>
      <c r="AD512" t="s">
        <v>61</v>
      </c>
      <c r="AE512" t="s">
        <v>61</v>
      </c>
      <c r="AF512" t="s">
        <v>61</v>
      </c>
      <c r="AG512" t="s">
        <v>4290</v>
      </c>
      <c r="AH512" t="s">
        <v>61</v>
      </c>
      <c r="AI512" t="s">
        <v>61</v>
      </c>
      <c r="AJ512" t="s">
        <v>61</v>
      </c>
      <c r="AK512" t="s">
        <v>61</v>
      </c>
      <c r="AL512" t="s">
        <v>61</v>
      </c>
      <c r="AM512" t="s">
        <v>4291</v>
      </c>
      <c r="AN512" t="s">
        <v>61</v>
      </c>
      <c r="AO512" t="s">
        <v>61</v>
      </c>
      <c r="AP512" t="s">
        <v>61</v>
      </c>
      <c r="AQ512" t="s">
        <v>61</v>
      </c>
      <c r="AR512" t="s">
        <v>61</v>
      </c>
      <c r="AS512" t="s">
        <v>61</v>
      </c>
      <c r="AT512" t="s">
        <v>61</v>
      </c>
      <c r="AU512" t="s">
        <v>61</v>
      </c>
      <c r="AV512" t="s">
        <v>61</v>
      </c>
      <c r="AW512" t="s">
        <v>61</v>
      </c>
      <c r="AX512" t="s">
        <v>61</v>
      </c>
      <c r="AY512" t="s">
        <v>61</v>
      </c>
      <c r="AZ512" t="s">
        <v>61</v>
      </c>
      <c r="BA512" t="s">
        <v>61</v>
      </c>
      <c r="BB512" t="s">
        <v>61</v>
      </c>
      <c r="BC512" t="s">
        <v>61</v>
      </c>
      <c r="BD512" t="s">
        <v>61</v>
      </c>
      <c r="BE512" t="s">
        <v>61</v>
      </c>
      <c r="BF512" t="s">
        <v>61</v>
      </c>
    </row>
    <row r="513" spans="1:58">
      <c r="A513" t="s">
        <v>58</v>
      </c>
      <c r="B513" t="s">
        <v>4292</v>
      </c>
      <c r="C513" t="s">
        <v>4293</v>
      </c>
      <c r="D513" t="s">
        <v>4294</v>
      </c>
      <c r="E513" t="s">
        <v>61</v>
      </c>
      <c r="F513">
        <v>2014</v>
      </c>
      <c r="G513" t="s">
        <v>61</v>
      </c>
      <c r="H513">
        <v>14</v>
      </c>
      <c r="I513">
        <v>3</v>
      </c>
      <c r="J513">
        <v>539</v>
      </c>
      <c r="K513">
        <v>550</v>
      </c>
      <c r="L513" t="s">
        <v>4295</v>
      </c>
      <c r="M513" t="s">
        <v>4296</v>
      </c>
      <c r="N513" t="s">
        <v>4297</v>
      </c>
      <c r="O513" t="s">
        <v>61</v>
      </c>
      <c r="Q513" t="s">
        <v>61</v>
      </c>
      <c r="R513" t="s">
        <v>61</v>
      </c>
      <c r="S513" t="s">
        <v>61</v>
      </c>
      <c r="T513" t="s">
        <v>61</v>
      </c>
      <c r="X513" t="s">
        <v>61</v>
      </c>
      <c r="Y513" t="s">
        <v>4298</v>
      </c>
      <c r="Z513" t="s">
        <v>61</v>
      </c>
      <c r="AA513" t="s">
        <v>61</v>
      </c>
      <c r="AB513">
        <v>2014793658</v>
      </c>
      <c r="AC513" t="s">
        <v>67</v>
      </c>
      <c r="AD513" t="s">
        <v>61</v>
      </c>
      <c r="AE513" t="s">
        <v>61</v>
      </c>
      <c r="AF513" t="s">
        <v>61</v>
      </c>
      <c r="AG513" t="s">
        <v>4299</v>
      </c>
      <c r="AH513" t="s">
        <v>61</v>
      </c>
      <c r="AI513" t="s">
        <v>61</v>
      </c>
      <c r="AJ513" t="s">
        <v>61</v>
      </c>
      <c r="AK513" t="s">
        <v>61</v>
      </c>
      <c r="AL513" t="s">
        <v>61</v>
      </c>
      <c r="AM513" t="s">
        <v>4300</v>
      </c>
      <c r="AN513" t="s">
        <v>61</v>
      </c>
      <c r="AO513" t="s">
        <v>61</v>
      </c>
      <c r="AP513" t="s">
        <v>61</v>
      </c>
      <c r="AQ513" t="s">
        <v>61</v>
      </c>
      <c r="AR513" t="s">
        <v>61</v>
      </c>
      <c r="AS513" t="s">
        <v>61</v>
      </c>
      <c r="AT513" t="s">
        <v>61</v>
      </c>
      <c r="AU513" t="s">
        <v>61</v>
      </c>
      <c r="AV513" t="s">
        <v>61</v>
      </c>
      <c r="AW513" t="s">
        <v>61</v>
      </c>
      <c r="AX513" t="s">
        <v>61</v>
      </c>
      <c r="AY513" t="s">
        <v>61</v>
      </c>
      <c r="AZ513" t="s">
        <v>61</v>
      </c>
      <c r="BA513" t="s">
        <v>61</v>
      </c>
      <c r="BB513" t="s">
        <v>61</v>
      </c>
      <c r="BC513" t="s">
        <v>61</v>
      </c>
      <c r="BD513" t="s">
        <v>61</v>
      </c>
      <c r="BE513" t="s">
        <v>61</v>
      </c>
      <c r="BF513" t="s">
        <v>61</v>
      </c>
    </row>
    <row r="514" spans="1:58">
      <c r="A514" t="s">
        <v>58</v>
      </c>
      <c r="B514" t="s">
        <v>4301</v>
      </c>
      <c r="C514" t="s">
        <v>4302</v>
      </c>
      <c r="D514" t="s">
        <v>4303</v>
      </c>
      <c r="E514" t="s">
        <v>61</v>
      </c>
      <c r="F514">
        <v>2014</v>
      </c>
      <c r="G514" t="s">
        <v>418</v>
      </c>
      <c r="H514">
        <v>59</v>
      </c>
      <c r="I514">
        <v>8</v>
      </c>
      <c r="J514">
        <v>406</v>
      </c>
      <c r="K514">
        <v>411</v>
      </c>
      <c r="L514" t="s">
        <v>4304</v>
      </c>
      <c r="M514" t="s">
        <v>4305</v>
      </c>
      <c r="N514" t="s">
        <v>4306</v>
      </c>
      <c r="O514" t="s">
        <v>61</v>
      </c>
      <c r="Q514" t="s">
        <v>61</v>
      </c>
      <c r="R514" t="s">
        <v>61</v>
      </c>
      <c r="S514" t="s">
        <v>61</v>
      </c>
      <c r="T514" t="s">
        <v>61</v>
      </c>
      <c r="X514" t="s">
        <v>61</v>
      </c>
      <c r="Y514" t="s">
        <v>4307</v>
      </c>
      <c r="Z514" t="s">
        <v>61</v>
      </c>
      <c r="AA514" t="s">
        <v>4308</v>
      </c>
      <c r="AB514">
        <v>25161064</v>
      </c>
      <c r="AC514" t="s">
        <v>67</v>
      </c>
      <c r="AD514" t="s">
        <v>61</v>
      </c>
      <c r="AE514" t="s">
        <v>61</v>
      </c>
      <c r="AF514" t="s">
        <v>61</v>
      </c>
      <c r="AG514" t="s">
        <v>4309</v>
      </c>
      <c r="AH514" t="s">
        <v>61</v>
      </c>
      <c r="AI514" t="s">
        <v>61</v>
      </c>
      <c r="AJ514" t="s">
        <v>61</v>
      </c>
      <c r="AK514" t="s">
        <v>61</v>
      </c>
      <c r="AL514" t="s">
        <v>61</v>
      </c>
      <c r="AM514" t="s">
        <v>4310</v>
      </c>
      <c r="AN514" t="s">
        <v>61</v>
      </c>
      <c r="AO514" t="s">
        <v>61</v>
      </c>
      <c r="AP514" t="s">
        <v>61</v>
      </c>
      <c r="AQ514" t="s">
        <v>61</v>
      </c>
      <c r="AR514" t="s">
        <v>61</v>
      </c>
      <c r="AS514" t="s">
        <v>61</v>
      </c>
      <c r="AT514" t="s">
        <v>61</v>
      </c>
      <c r="AU514" t="s">
        <v>61</v>
      </c>
      <c r="AV514" t="s">
        <v>61</v>
      </c>
      <c r="AW514" t="s">
        <v>61</v>
      </c>
      <c r="AX514" t="s">
        <v>61</v>
      </c>
      <c r="AY514" t="s">
        <v>61</v>
      </c>
      <c r="AZ514" t="s">
        <v>61</v>
      </c>
      <c r="BA514" t="s">
        <v>61</v>
      </c>
      <c r="BB514" t="s">
        <v>61</v>
      </c>
      <c r="BC514" t="s">
        <v>61</v>
      </c>
      <c r="BD514" t="s">
        <v>61</v>
      </c>
      <c r="BE514" t="s">
        <v>61</v>
      </c>
      <c r="BF514" t="s">
        <v>61</v>
      </c>
    </row>
    <row r="515" spans="1:58">
      <c r="A515" t="s">
        <v>58</v>
      </c>
      <c r="B515" t="s">
        <v>4311</v>
      </c>
      <c r="C515" t="s">
        <v>4312</v>
      </c>
      <c r="D515" t="s">
        <v>1465</v>
      </c>
      <c r="E515" t="s">
        <v>61</v>
      </c>
      <c r="F515">
        <v>2010</v>
      </c>
      <c r="G515" t="s">
        <v>237</v>
      </c>
      <c r="H515">
        <v>87</v>
      </c>
      <c r="I515">
        <v>4</v>
      </c>
      <c r="J515">
        <v>576</v>
      </c>
      <c r="K515">
        <v>585</v>
      </c>
      <c r="L515" t="s">
        <v>4313</v>
      </c>
      <c r="M515" t="s">
        <v>4314</v>
      </c>
      <c r="N515" t="s">
        <v>4315</v>
      </c>
      <c r="O515" t="s">
        <v>61</v>
      </c>
      <c r="Q515" t="s">
        <v>61</v>
      </c>
      <c r="R515" t="s">
        <v>61</v>
      </c>
      <c r="S515" t="s">
        <v>61</v>
      </c>
      <c r="T515" t="s">
        <v>61</v>
      </c>
      <c r="X515" t="s">
        <v>61</v>
      </c>
      <c r="Y515" t="s">
        <v>1469</v>
      </c>
      <c r="Z515" t="s">
        <v>61</v>
      </c>
      <c r="AA515" t="s">
        <v>4316</v>
      </c>
      <c r="AB515">
        <v>20535641</v>
      </c>
      <c r="AC515" t="s">
        <v>67</v>
      </c>
      <c r="AD515" t="s">
        <v>61</v>
      </c>
      <c r="AE515" t="s">
        <v>61</v>
      </c>
      <c r="AF515" t="s">
        <v>61</v>
      </c>
      <c r="AG515" t="s">
        <v>4317</v>
      </c>
      <c r="AH515" t="s">
        <v>61</v>
      </c>
      <c r="AI515" t="s">
        <v>4318</v>
      </c>
      <c r="AJ515" t="s">
        <v>61</v>
      </c>
      <c r="AK515" t="s">
        <v>61</v>
      </c>
      <c r="AL515" t="s">
        <v>61</v>
      </c>
      <c r="AM515" t="s">
        <v>4319</v>
      </c>
      <c r="AN515" t="s">
        <v>61</v>
      </c>
      <c r="AO515" t="s">
        <v>61</v>
      </c>
      <c r="AP515" t="s">
        <v>61</v>
      </c>
      <c r="AQ515" t="s">
        <v>61</v>
      </c>
      <c r="AR515" t="s">
        <v>61</v>
      </c>
      <c r="AS515" t="s">
        <v>61</v>
      </c>
      <c r="AT515" t="s">
        <v>61</v>
      </c>
      <c r="AU515" t="s">
        <v>61</v>
      </c>
      <c r="AV515" t="s">
        <v>61</v>
      </c>
      <c r="AW515" t="s">
        <v>61</v>
      </c>
      <c r="AX515" t="s">
        <v>61</v>
      </c>
      <c r="AY515" t="s">
        <v>61</v>
      </c>
      <c r="AZ515" t="s">
        <v>61</v>
      </c>
      <c r="BA515" t="s">
        <v>61</v>
      </c>
      <c r="BB515" t="s">
        <v>61</v>
      </c>
      <c r="BC515" t="s">
        <v>61</v>
      </c>
      <c r="BD515" t="s">
        <v>61</v>
      </c>
      <c r="BE515" t="s">
        <v>61</v>
      </c>
      <c r="BF515" t="s">
        <v>61</v>
      </c>
    </row>
    <row r="516" spans="1:58">
      <c r="A516" t="s">
        <v>58</v>
      </c>
      <c r="B516" t="s">
        <v>4320</v>
      </c>
      <c r="C516" t="s">
        <v>4321</v>
      </c>
      <c r="D516" t="s">
        <v>4322</v>
      </c>
      <c r="E516" t="s">
        <v>4323</v>
      </c>
      <c r="F516">
        <v>2010</v>
      </c>
      <c r="G516" t="s">
        <v>61</v>
      </c>
      <c r="H516">
        <v>31</v>
      </c>
      <c r="I516">
        <v>3</v>
      </c>
      <c r="J516">
        <v>214</v>
      </c>
      <c r="K516" t="s">
        <v>4324</v>
      </c>
      <c r="L516" t="s">
        <v>4325</v>
      </c>
      <c r="M516" t="s">
        <v>4326</v>
      </c>
      <c r="N516" t="s">
        <v>4327</v>
      </c>
      <c r="O516" t="s">
        <v>61</v>
      </c>
      <c r="Q516" t="s">
        <v>61</v>
      </c>
      <c r="R516" t="s">
        <v>61</v>
      </c>
      <c r="S516" t="s">
        <v>61</v>
      </c>
      <c r="T516" t="s">
        <v>61</v>
      </c>
      <c r="X516" t="s">
        <v>61</v>
      </c>
      <c r="Y516" t="s">
        <v>4328</v>
      </c>
      <c r="Z516" t="s">
        <v>61</v>
      </c>
      <c r="AA516" t="s">
        <v>4329</v>
      </c>
      <c r="AB516">
        <v>105039127</v>
      </c>
      <c r="AC516" t="s">
        <v>67</v>
      </c>
      <c r="AD516" t="s">
        <v>61</v>
      </c>
      <c r="AE516" t="s">
        <v>61</v>
      </c>
      <c r="AF516" t="s">
        <v>61</v>
      </c>
      <c r="AG516" t="s">
        <v>4330</v>
      </c>
      <c r="AH516" t="s">
        <v>61</v>
      </c>
      <c r="AI516" t="s">
        <v>4331</v>
      </c>
      <c r="AJ516" t="s">
        <v>61</v>
      </c>
      <c r="AK516" t="s">
        <v>61</v>
      </c>
      <c r="AL516" t="s">
        <v>61</v>
      </c>
      <c r="AM516" t="s">
        <v>4332</v>
      </c>
      <c r="AN516" t="s">
        <v>61</v>
      </c>
      <c r="AO516" t="s">
        <v>61</v>
      </c>
      <c r="AP516" t="s">
        <v>61</v>
      </c>
      <c r="AQ516" t="s">
        <v>61</v>
      </c>
      <c r="AR516" t="s">
        <v>61</v>
      </c>
      <c r="AS516" t="s">
        <v>61</v>
      </c>
      <c r="AT516" t="s">
        <v>61</v>
      </c>
      <c r="AU516" t="s">
        <v>61</v>
      </c>
      <c r="AV516" t="s">
        <v>61</v>
      </c>
      <c r="AW516" t="s">
        <v>61</v>
      </c>
      <c r="AX516" t="s">
        <v>61</v>
      </c>
      <c r="AY516" t="s">
        <v>61</v>
      </c>
      <c r="AZ516" t="s">
        <v>61</v>
      </c>
      <c r="BA516" t="s">
        <v>61</v>
      </c>
      <c r="BB516" t="s">
        <v>61</v>
      </c>
      <c r="BC516" t="s">
        <v>61</v>
      </c>
      <c r="BD516" t="s">
        <v>61</v>
      </c>
      <c r="BE516" t="s">
        <v>61</v>
      </c>
      <c r="BF516" t="s">
        <v>61</v>
      </c>
    </row>
    <row r="517" spans="1:58">
      <c r="A517" t="s">
        <v>58</v>
      </c>
      <c r="B517" t="s">
        <v>4333</v>
      </c>
      <c r="C517" t="s">
        <v>4334</v>
      </c>
      <c r="D517" t="s">
        <v>4335</v>
      </c>
      <c r="E517" t="s">
        <v>61</v>
      </c>
      <c r="F517">
        <v>2013</v>
      </c>
      <c r="G517" t="s">
        <v>61</v>
      </c>
      <c r="H517">
        <v>4</v>
      </c>
      <c r="I517" t="s">
        <v>61</v>
      </c>
      <c r="J517">
        <v>46</v>
      </c>
      <c r="K517" t="s">
        <v>61</v>
      </c>
      <c r="L517" t="s">
        <v>61</v>
      </c>
      <c r="M517" t="s">
        <v>4336</v>
      </c>
      <c r="N517" t="s">
        <v>4337</v>
      </c>
      <c r="O517" t="s">
        <v>61</v>
      </c>
      <c r="Q517" t="s">
        <v>61</v>
      </c>
      <c r="R517" t="s">
        <v>61</v>
      </c>
      <c r="S517" t="s">
        <v>61</v>
      </c>
      <c r="T517" t="s">
        <v>61</v>
      </c>
      <c r="X517" t="s">
        <v>61</v>
      </c>
      <c r="Y517" t="s">
        <v>4338</v>
      </c>
      <c r="Z517" t="s">
        <v>61</v>
      </c>
      <c r="AA517" t="s">
        <v>4339</v>
      </c>
      <c r="AB517">
        <v>23750137</v>
      </c>
      <c r="AC517" t="s">
        <v>67</v>
      </c>
      <c r="AD517" t="s">
        <v>61</v>
      </c>
      <c r="AE517" t="s">
        <v>61</v>
      </c>
      <c r="AF517" t="s">
        <v>61</v>
      </c>
      <c r="AG517" t="s">
        <v>4340</v>
      </c>
      <c r="AH517" t="s">
        <v>61</v>
      </c>
      <c r="AI517" t="s">
        <v>4341</v>
      </c>
      <c r="AJ517" t="s">
        <v>61</v>
      </c>
      <c r="AK517" t="s">
        <v>61</v>
      </c>
      <c r="AL517" t="s">
        <v>61</v>
      </c>
      <c r="AM517" t="s">
        <v>4342</v>
      </c>
      <c r="AN517" t="s">
        <v>61</v>
      </c>
      <c r="AO517" t="s">
        <v>61</v>
      </c>
      <c r="AP517" t="s">
        <v>61</v>
      </c>
      <c r="AQ517" t="s">
        <v>61</v>
      </c>
      <c r="AR517" t="s">
        <v>61</v>
      </c>
      <c r="AS517" t="s">
        <v>61</v>
      </c>
      <c r="AT517" t="s">
        <v>61</v>
      </c>
      <c r="AU517" t="s">
        <v>61</v>
      </c>
      <c r="AV517" t="s">
        <v>61</v>
      </c>
      <c r="AW517" t="s">
        <v>61</v>
      </c>
      <c r="AX517" t="s">
        <v>61</v>
      </c>
      <c r="AY517" t="s">
        <v>61</v>
      </c>
      <c r="AZ517" t="s">
        <v>61</v>
      </c>
      <c r="BA517" t="s">
        <v>61</v>
      </c>
      <c r="BB517" t="s">
        <v>61</v>
      </c>
      <c r="BC517" t="s">
        <v>61</v>
      </c>
      <c r="BD517" t="s">
        <v>61</v>
      </c>
      <c r="BE517" t="s">
        <v>61</v>
      </c>
      <c r="BF517" t="s">
        <v>61</v>
      </c>
    </row>
    <row r="518" spans="1:58">
      <c r="A518" t="s">
        <v>58</v>
      </c>
      <c r="B518" t="s">
        <v>4343</v>
      </c>
      <c r="C518" t="s">
        <v>4344</v>
      </c>
      <c r="D518" t="s">
        <v>4345</v>
      </c>
      <c r="E518" t="s">
        <v>61</v>
      </c>
      <c r="F518">
        <v>2009</v>
      </c>
      <c r="G518" t="s">
        <v>637</v>
      </c>
      <c r="H518">
        <v>31</v>
      </c>
      <c r="I518">
        <v>4</v>
      </c>
      <c r="J518">
        <v>500</v>
      </c>
      <c r="K518" t="s">
        <v>61</v>
      </c>
      <c r="L518" t="s">
        <v>4346</v>
      </c>
      <c r="M518" t="s">
        <v>4347</v>
      </c>
      <c r="N518" t="s">
        <v>4348</v>
      </c>
      <c r="O518" t="s">
        <v>61</v>
      </c>
      <c r="Q518" t="s">
        <v>61</v>
      </c>
      <c r="R518" t="s">
        <v>61</v>
      </c>
      <c r="S518" t="s">
        <v>61</v>
      </c>
      <c r="T518" t="s">
        <v>61</v>
      </c>
      <c r="X518" t="s">
        <v>61</v>
      </c>
      <c r="Y518" t="s">
        <v>422</v>
      </c>
      <c r="Z518" t="s">
        <v>61</v>
      </c>
      <c r="AA518" t="s">
        <v>61</v>
      </c>
      <c r="AB518" t="s">
        <v>61</v>
      </c>
      <c r="AC518" t="s">
        <v>67</v>
      </c>
      <c r="AD518" t="s">
        <v>61</v>
      </c>
      <c r="AE518" t="s">
        <v>61</v>
      </c>
      <c r="AF518" t="s">
        <v>61</v>
      </c>
      <c r="AG518" t="s">
        <v>61</v>
      </c>
      <c r="AH518" t="s">
        <v>61</v>
      </c>
      <c r="AI518" t="s">
        <v>61</v>
      </c>
      <c r="AJ518" t="s">
        <v>61</v>
      </c>
      <c r="AK518" t="s">
        <v>61</v>
      </c>
      <c r="AL518" t="s">
        <v>61</v>
      </c>
      <c r="AM518" t="s">
        <v>4344</v>
      </c>
      <c r="AN518" t="s">
        <v>61</v>
      </c>
      <c r="AO518" t="s">
        <v>61</v>
      </c>
      <c r="AP518" t="s">
        <v>61</v>
      </c>
      <c r="AQ518" t="s">
        <v>61</v>
      </c>
      <c r="AR518" t="s">
        <v>61</v>
      </c>
      <c r="AS518" t="s">
        <v>61</v>
      </c>
      <c r="AT518" t="s">
        <v>61</v>
      </c>
      <c r="AU518" t="s">
        <v>61</v>
      </c>
      <c r="AV518" t="s">
        <v>61</v>
      </c>
      <c r="AW518" t="s">
        <v>61</v>
      </c>
      <c r="AX518" t="s">
        <v>61</v>
      </c>
      <c r="AY518" t="s">
        <v>61</v>
      </c>
      <c r="AZ518" t="s">
        <v>61</v>
      </c>
      <c r="BA518" t="s">
        <v>61</v>
      </c>
      <c r="BB518" t="s">
        <v>61</v>
      </c>
      <c r="BC518" t="s">
        <v>61</v>
      </c>
      <c r="BD518" t="s">
        <v>61</v>
      </c>
      <c r="BE518" t="s">
        <v>61</v>
      </c>
      <c r="BF518" t="s">
        <v>61</v>
      </c>
    </row>
    <row r="519" spans="1:58">
      <c r="A519" t="s">
        <v>58</v>
      </c>
      <c r="B519" t="s">
        <v>4349</v>
      </c>
      <c r="C519" t="s">
        <v>4350</v>
      </c>
      <c r="D519" t="s">
        <v>917</v>
      </c>
      <c r="E519" t="s">
        <v>61</v>
      </c>
      <c r="F519">
        <v>2003</v>
      </c>
      <c r="G519" t="s">
        <v>61</v>
      </c>
      <c r="H519" t="s">
        <v>86</v>
      </c>
      <c r="I519" t="s">
        <v>61</v>
      </c>
      <c r="J519">
        <v>95</v>
      </c>
      <c r="K519">
        <v>111</v>
      </c>
      <c r="L519" t="s">
        <v>4351</v>
      </c>
      <c r="M519" t="s">
        <v>4352</v>
      </c>
      <c r="N519" t="s">
        <v>4353</v>
      </c>
      <c r="O519" t="s">
        <v>61</v>
      </c>
      <c r="Q519" t="s">
        <v>61</v>
      </c>
      <c r="R519" t="s">
        <v>61</v>
      </c>
      <c r="S519" t="s">
        <v>61</v>
      </c>
      <c r="T519" t="s">
        <v>61</v>
      </c>
      <c r="X519" t="s">
        <v>61</v>
      </c>
      <c r="Y519" t="s">
        <v>4354</v>
      </c>
      <c r="Z519" t="s">
        <v>61</v>
      </c>
      <c r="AA519" t="s">
        <v>4355</v>
      </c>
      <c r="AB519">
        <v>15991592</v>
      </c>
      <c r="AC519" t="s">
        <v>67</v>
      </c>
      <c r="AD519" t="s">
        <v>61</v>
      </c>
      <c r="AE519" t="s">
        <v>61</v>
      </c>
      <c r="AF519" t="s">
        <v>61</v>
      </c>
      <c r="AG519" t="s">
        <v>4356</v>
      </c>
      <c r="AH519" t="s">
        <v>61</v>
      </c>
      <c r="AI519" t="s">
        <v>61</v>
      </c>
      <c r="AJ519" t="s">
        <v>61</v>
      </c>
      <c r="AK519" t="s">
        <v>61</v>
      </c>
      <c r="AL519" t="s">
        <v>61</v>
      </c>
      <c r="AM519" t="s">
        <v>4357</v>
      </c>
      <c r="AN519" t="s">
        <v>61</v>
      </c>
      <c r="AO519" t="s">
        <v>61</v>
      </c>
      <c r="AP519" t="s">
        <v>61</v>
      </c>
      <c r="AQ519" t="s">
        <v>61</v>
      </c>
      <c r="AR519" t="s">
        <v>61</v>
      </c>
      <c r="AS519" t="s">
        <v>61</v>
      </c>
      <c r="AT519" t="s">
        <v>61</v>
      </c>
      <c r="AU519" t="s">
        <v>61</v>
      </c>
      <c r="AV519" t="s">
        <v>61</v>
      </c>
      <c r="AW519" t="s">
        <v>61</v>
      </c>
      <c r="AX519" t="s">
        <v>61</v>
      </c>
      <c r="AY519" t="s">
        <v>61</v>
      </c>
      <c r="AZ519" t="s">
        <v>61</v>
      </c>
      <c r="BA519" t="s">
        <v>61</v>
      </c>
      <c r="BB519" t="s">
        <v>61</v>
      </c>
      <c r="BC519" t="s">
        <v>61</v>
      </c>
      <c r="BD519" t="s">
        <v>61</v>
      </c>
      <c r="BE519" t="s">
        <v>61</v>
      </c>
      <c r="BF519" t="s">
        <v>61</v>
      </c>
    </row>
    <row r="520" spans="1:58">
      <c r="A520" t="s">
        <v>58</v>
      </c>
      <c r="B520" t="s">
        <v>4358</v>
      </c>
      <c r="C520" t="s">
        <v>4359</v>
      </c>
      <c r="D520" t="s">
        <v>4360</v>
      </c>
      <c r="E520" t="s">
        <v>4361</v>
      </c>
      <c r="F520">
        <v>1998</v>
      </c>
      <c r="G520" t="s">
        <v>418</v>
      </c>
      <c r="H520">
        <v>22</v>
      </c>
      <c r="I520">
        <v>6</v>
      </c>
      <c r="J520">
        <v>917</v>
      </c>
      <c r="K520">
        <v>944</v>
      </c>
      <c r="L520" t="s">
        <v>4362</v>
      </c>
      <c r="M520" t="s">
        <v>4363</v>
      </c>
      <c r="N520" t="s">
        <v>4364</v>
      </c>
      <c r="O520" t="s">
        <v>61</v>
      </c>
      <c r="Q520" t="s">
        <v>61</v>
      </c>
      <c r="R520" t="s">
        <v>61</v>
      </c>
      <c r="S520" t="s">
        <v>61</v>
      </c>
      <c r="T520" t="s">
        <v>61</v>
      </c>
      <c r="X520" t="s">
        <v>61</v>
      </c>
      <c r="Y520" t="s">
        <v>4365</v>
      </c>
      <c r="Z520" t="s">
        <v>61</v>
      </c>
      <c r="AA520" t="s">
        <v>4366</v>
      </c>
      <c r="AB520">
        <v>9789878</v>
      </c>
      <c r="AC520" t="s">
        <v>67</v>
      </c>
      <c r="AD520" t="s">
        <v>61</v>
      </c>
      <c r="AE520" t="s">
        <v>61</v>
      </c>
      <c r="AF520" t="s">
        <v>61</v>
      </c>
      <c r="AG520" t="s">
        <v>4367</v>
      </c>
      <c r="AH520" t="s">
        <v>61</v>
      </c>
      <c r="AI520" t="s">
        <v>61</v>
      </c>
      <c r="AJ520" t="s">
        <v>61</v>
      </c>
      <c r="AK520" t="s">
        <v>61</v>
      </c>
      <c r="AL520" t="s">
        <v>61</v>
      </c>
      <c r="AM520" t="s">
        <v>4368</v>
      </c>
      <c r="AN520" t="s">
        <v>61</v>
      </c>
      <c r="AO520" t="s">
        <v>61</v>
      </c>
      <c r="AP520" t="s">
        <v>61</v>
      </c>
      <c r="AQ520" t="s">
        <v>61</v>
      </c>
      <c r="AR520" t="s">
        <v>61</v>
      </c>
      <c r="AS520" t="s">
        <v>61</v>
      </c>
      <c r="AT520" t="s">
        <v>61</v>
      </c>
      <c r="AU520" t="s">
        <v>61</v>
      </c>
      <c r="AV520" t="s">
        <v>61</v>
      </c>
      <c r="AW520" t="s">
        <v>61</v>
      </c>
      <c r="AX520" t="s">
        <v>61</v>
      </c>
      <c r="AY520" t="s">
        <v>61</v>
      </c>
      <c r="AZ520" t="s">
        <v>61</v>
      </c>
      <c r="BA520" t="s">
        <v>61</v>
      </c>
      <c r="BB520" t="s">
        <v>61</v>
      </c>
      <c r="BC520" t="s">
        <v>61</v>
      </c>
      <c r="BD520" t="s">
        <v>61</v>
      </c>
      <c r="BE520" t="s">
        <v>61</v>
      </c>
      <c r="BF520" t="s">
        <v>61</v>
      </c>
    </row>
    <row r="521" spans="1:58">
      <c r="A521" t="s">
        <v>58</v>
      </c>
      <c r="B521" t="s">
        <v>4369</v>
      </c>
      <c r="C521" t="s">
        <v>4370</v>
      </c>
      <c r="D521" t="s">
        <v>627</v>
      </c>
      <c r="E521" t="s">
        <v>61</v>
      </c>
      <c r="F521">
        <v>2010</v>
      </c>
      <c r="G521" t="s">
        <v>628</v>
      </c>
      <c r="H521">
        <v>50</v>
      </c>
      <c r="I521">
        <v>2</v>
      </c>
      <c r="J521">
        <v>268</v>
      </c>
      <c r="K521">
        <v>269</v>
      </c>
      <c r="L521" t="s">
        <v>4371</v>
      </c>
      <c r="M521" t="s">
        <v>4372</v>
      </c>
      <c r="N521" t="s">
        <v>4373</v>
      </c>
      <c r="O521" t="s">
        <v>61</v>
      </c>
      <c r="Q521" t="s">
        <v>61</v>
      </c>
      <c r="R521" t="s">
        <v>61</v>
      </c>
      <c r="S521" t="s">
        <v>61</v>
      </c>
      <c r="T521" t="s">
        <v>61</v>
      </c>
      <c r="X521" t="s">
        <v>61</v>
      </c>
      <c r="Y521" t="s">
        <v>632</v>
      </c>
      <c r="Z521" t="s">
        <v>61</v>
      </c>
      <c r="AA521" t="s">
        <v>61</v>
      </c>
      <c r="AB521" t="s">
        <v>61</v>
      </c>
      <c r="AC521" t="s">
        <v>67</v>
      </c>
      <c r="AD521" t="s">
        <v>61</v>
      </c>
      <c r="AE521" t="s">
        <v>61</v>
      </c>
      <c r="AF521" t="s">
        <v>61</v>
      </c>
      <c r="AG521" t="s">
        <v>61</v>
      </c>
      <c r="AH521" t="s">
        <v>61</v>
      </c>
      <c r="AI521" t="s">
        <v>61</v>
      </c>
      <c r="AJ521" t="s">
        <v>61</v>
      </c>
      <c r="AK521" t="s">
        <v>61</v>
      </c>
      <c r="AL521" t="s">
        <v>61</v>
      </c>
      <c r="AM521" t="s">
        <v>4370</v>
      </c>
      <c r="AN521" t="s">
        <v>61</v>
      </c>
      <c r="AO521" t="s">
        <v>61</v>
      </c>
      <c r="AP521" t="s">
        <v>61</v>
      </c>
      <c r="AQ521" t="s">
        <v>61</v>
      </c>
      <c r="AR521" t="s">
        <v>61</v>
      </c>
      <c r="AS521" t="s">
        <v>61</v>
      </c>
      <c r="AT521" t="s">
        <v>61</v>
      </c>
      <c r="AU521" t="s">
        <v>61</v>
      </c>
      <c r="AV521" t="s">
        <v>61</v>
      </c>
      <c r="AW521" t="s">
        <v>61</v>
      </c>
      <c r="AX521" t="s">
        <v>61</v>
      </c>
      <c r="AY521" t="s">
        <v>61</v>
      </c>
      <c r="AZ521" t="s">
        <v>61</v>
      </c>
      <c r="BA521" t="s">
        <v>61</v>
      </c>
      <c r="BB521" t="s">
        <v>61</v>
      </c>
      <c r="BC521" t="s">
        <v>61</v>
      </c>
      <c r="BD521" t="s">
        <v>61</v>
      </c>
      <c r="BE521" t="s">
        <v>61</v>
      </c>
      <c r="BF521" t="s">
        <v>61</v>
      </c>
    </row>
    <row r="522" spans="1:58">
      <c r="A522" t="s">
        <v>58</v>
      </c>
      <c r="B522" t="s">
        <v>4374</v>
      </c>
      <c r="C522" t="s">
        <v>4375</v>
      </c>
      <c r="D522" t="s">
        <v>4376</v>
      </c>
      <c r="E522" t="s">
        <v>61</v>
      </c>
      <c r="F522">
        <v>2012</v>
      </c>
      <c r="G522" t="s">
        <v>129</v>
      </c>
      <c r="H522">
        <v>12</v>
      </c>
      <c r="I522">
        <v>4</v>
      </c>
      <c r="J522">
        <v>2125</v>
      </c>
      <c r="K522" t="s">
        <v>61</v>
      </c>
      <c r="L522" t="s">
        <v>4377</v>
      </c>
      <c r="M522" t="s">
        <v>4378</v>
      </c>
      <c r="N522" t="s">
        <v>4379</v>
      </c>
      <c r="O522" t="s">
        <v>61</v>
      </c>
      <c r="Q522" t="s">
        <v>61</v>
      </c>
      <c r="R522" t="s">
        <v>61</v>
      </c>
      <c r="S522" t="s">
        <v>61</v>
      </c>
      <c r="T522" t="s">
        <v>61</v>
      </c>
      <c r="X522" t="s">
        <v>61</v>
      </c>
      <c r="Y522" t="s">
        <v>4380</v>
      </c>
      <c r="Z522" t="s">
        <v>61</v>
      </c>
      <c r="AA522" t="s">
        <v>4381</v>
      </c>
      <c r="AB522">
        <v>23140593</v>
      </c>
      <c r="AC522" t="s">
        <v>67</v>
      </c>
      <c r="AD522" t="s">
        <v>61</v>
      </c>
      <c r="AE522" t="s">
        <v>61</v>
      </c>
      <c r="AF522" t="s">
        <v>61</v>
      </c>
      <c r="AG522" t="s">
        <v>4382</v>
      </c>
      <c r="AH522" t="s">
        <v>61</v>
      </c>
      <c r="AI522" t="s">
        <v>61</v>
      </c>
      <c r="AJ522" t="s">
        <v>61</v>
      </c>
      <c r="AK522" t="s">
        <v>61</v>
      </c>
      <c r="AL522" t="s">
        <v>61</v>
      </c>
      <c r="AM522" t="s">
        <v>4383</v>
      </c>
      <c r="AN522" t="s">
        <v>61</v>
      </c>
      <c r="AO522" t="s">
        <v>61</v>
      </c>
      <c r="AP522" t="s">
        <v>61</v>
      </c>
      <c r="AQ522" t="s">
        <v>61</v>
      </c>
      <c r="AR522" t="s">
        <v>61</v>
      </c>
      <c r="AS522" t="s">
        <v>61</v>
      </c>
      <c r="AT522" t="s">
        <v>61</v>
      </c>
      <c r="AU522" t="s">
        <v>61</v>
      </c>
      <c r="AV522" t="s">
        <v>61</v>
      </c>
      <c r="AW522" t="s">
        <v>61</v>
      </c>
      <c r="AX522" t="s">
        <v>61</v>
      </c>
      <c r="AY522" t="s">
        <v>61</v>
      </c>
      <c r="AZ522" t="s">
        <v>61</v>
      </c>
      <c r="BA522" t="s">
        <v>61</v>
      </c>
      <c r="BB522" t="s">
        <v>61</v>
      </c>
      <c r="BC522" t="s">
        <v>61</v>
      </c>
      <c r="BD522" t="s">
        <v>61</v>
      </c>
      <c r="BE522" t="s">
        <v>61</v>
      </c>
      <c r="BF522" t="s">
        <v>61</v>
      </c>
    </row>
    <row r="523" spans="1:58">
      <c r="A523" t="s">
        <v>58</v>
      </c>
      <c r="B523" t="s">
        <v>4384</v>
      </c>
      <c r="C523" t="s">
        <v>4385</v>
      </c>
      <c r="D523" t="s">
        <v>4386</v>
      </c>
      <c r="E523" t="s">
        <v>61</v>
      </c>
      <c r="F523">
        <v>2015</v>
      </c>
      <c r="G523" t="s">
        <v>429</v>
      </c>
      <c r="H523">
        <v>34</v>
      </c>
      <c r="I523">
        <v>4</v>
      </c>
      <c r="J523" t="s">
        <v>4387</v>
      </c>
      <c r="K523" t="s">
        <v>4388</v>
      </c>
      <c r="L523" t="s">
        <v>4389</v>
      </c>
      <c r="M523" t="s">
        <v>4390</v>
      </c>
      <c r="N523" t="s">
        <v>4391</v>
      </c>
      <c r="O523" t="s">
        <v>61</v>
      </c>
      <c r="Q523" t="s">
        <v>61</v>
      </c>
      <c r="R523" t="s">
        <v>61</v>
      </c>
      <c r="S523" t="s">
        <v>61</v>
      </c>
      <c r="T523" t="s">
        <v>61</v>
      </c>
      <c r="X523" t="s">
        <v>61</v>
      </c>
      <c r="Y523" t="s">
        <v>4392</v>
      </c>
      <c r="Z523" t="s">
        <v>61</v>
      </c>
      <c r="AA523" t="s">
        <v>61</v>
      </c>
      <c r="AB523" t="s">
        <v>61</v>
      </c>
      <c r="AC523" t="s">
        <v>67</v>
      </c>
      <c r="AD523" t="s">
        <v>61</v>
      </c>
      <c r="AE523" t="s">
        <v>61</v>
      </c>
      <c r="AF523" t="s">
        <v>61</v>
      </c>
      <c r="AG523" t="s">
        <v>61</v>
      </c>
      <c r="AH523" t="s">
        <v>61</v>
      </c>
      <c r="AI523" t="s">
        <v>61</v>
      </c>
      <c r="AJ523" t="s">
        <v>61</v>
      </c>
      <c r="AK523" t="s">
        <v>61</v>
      </c>
      <c r="AL523" t="s">
        <v>61</v>
      </c>
      <c r="AM523" t="s">
        <v>4385</v>
      </c>
      <c r="AN523" t="s">
        <v>61</v>
      </c>
      <c r="AO523" t="s">
        <v>61</v>
      </c>
      <c r="AP523" t="s">
        <v>61</v>
      </c>
      <c r="AQ523" t="s">
        <v>61</v>
      </c>
      <c r="AR523" t="s">
        <v>61</v>
      </c>
      <c r="AS523" t="s">
        <v>61</v>
      </c>
      <c r="AT523" t="s">
        <v>61</v>
      </c>
      <c r="AU523" t="s">
        <v>61</v>
      </c>
      <c r="AV523" t="s">
        <v>61</v>
      </c>
      <c r="AW523" t="s">
        <v>61</v>
      </c>
      <c r="AX523" t="s">
        <v>61</v>
      </c>
      <c r="AY523" t="s">
        <v>61</v>
      </c>
      <c r="AZ523" t="s">
        <v>61</v>
      </c>
      <c r="BA523" t="s">
        <v>61</v>
      </c>
      <c r="BB523" t="s">
        <v>61</v>
      </c>
      <c r="BC523" t="s">
        <v>61</v>
      </c>
      <c r="BD523" t="s">
        <v>61</v>
      </c>
      <c r="BE523" t="s">
        <v>61</v>
      </c>
      <c r="BF523" t="s">
        <v>61</v>
      </c>
    </row>
    <row r="524" spans="1:58">
      <c r="A524" t="s">
        <v>58</v>
      </c>
      <c r="B524" t="s">
        <v>4393</v>
      </c>
      <c r="C524" t="s">
        <v>4394</v>
      </c>
      <c r="D524" t="s">
        <v>4395</v>
      </c>
      <c r="E524" t="s">
        <v>4396</v>
      </c>
      <c r="F524">
        <v>1979</v>
      </c>
      <c r="G524" t="s">
        <v>61</v>
      </c>
      <c r="H524">
        <v>5</v>
      </c>
      <c r="I524">
        <v>1</v>
      </c>
      <c r="J524">
        <v>44</v>
      </c>
      <c r="K524">
        <v>51</v>
      </c>
      <c r="L524" t="s">
        <v>4397</v>
      </c>
      <c r="M524" t="s">
        <v>4398</v>
      </c>
      <c r="N524" t="s">
        <v>4399</v>
      </c>
      <c r="O524" t="s">
        <v>61</v>
      </c>
      <c r="Q524" t="s">
        <v>61</v>
      </c>
      <c r="R524" t="s">
        <v>61</v>
      </c>
      <c r="S524" t="s">
        <v>61</v>
      </c>
      <c r="T524" t="s">
        <v>61</v>
      </c>
      <c r="X524" t="s">
        <v>61</v>
      </c>
      <c r="Y524" t="s">
        <v>4400</v>
      </c>
      <c r="Z524" t="s">
        <v>61</v>
      </c>
      <c r="AA524" t="s">
        <v>61</v>
      </c>
      <c r="AB524">
        <v>1980013217</v>
      </c>
      <c r="AC524" t="s">
        <v>67</v>
      </c>
      <c r="AD524" t="s">
        <v>61</v>
      </c>
      <c r="AE524" t="s">
        <v>61</v>
      </c>
      <c r="AF524" t="s">
        <v>61</v>
      </c>
      <c r="AG524" t="s">
        <v>61</v>
      </c>
      <c r="AH524" t="s">
        <v>61</v>
      </c>
      <c r="AI524" t="s">
        <v>61</v>
      </c>
      <c r="AJ524" t="s">
        <v>61</v>
      </c>
      <c r="AK524" t="s">
        <v>61</v>
      </c>
      <c r="AL524" t="s">
        <v>61</v>
      </c>
      <c r="AM524" t="s">
        <v>4394</v>
      </c>
      <c r="AN524" t="s">
        <v>61</v>
      </c>
      <c r="AO524" t="s">
        <v>61</v>
      </c>
      <c r="AP524" t="s">
        <v>61</v>
      </c>
      <c r="AQ524" t="s">
        <v>61</v>
      </c>
      <c r="AR524" t="s">
        <v>61</v>
      </c>
      <c r="AS524" t="s">
        <v>61</v>
      </c>
      <c r="AT524" t="s">
        <v>61</v>
      </c>
      <c r="AU524" t="s">
        <v>61</v>
      </c>
      <c r="AV524" t="s">
        <v>61</v>
      </c>
      <c r="AW524" t="s">
        <v>61</v>
      </c>
      <c r="AX524" t="s">
        <v>61</v>
      </c>
      <c r="AY524" t="s">
        <v>61</v>
      </c>
      <c r="AZ524" t="s">
        <v>61</v>
      </c>
      <c r="BA524" t="s">
        <v>61</v>
      </c>
      <c r="BB524" t="s">
        <v>61</v>
      </c>
      <c r="BC524" t="s">
        <v>61</v>
      </c>
      <c r="BD524" t="s">
        <v>61</v>
      </c>
      <c r="BE524" t="s">
        <v>61</v>
      </c>
      <c r="BF524" t="s">
        <v>61</v>
      </c>
    </row>
    <row r="525" spans="1:58">
      <c r="A525" t="s">
        <v>58</v>
      </c>
      <c r="B525" t="s">
        <v>4401</v>
      </c>
      <c r="C525" t="s">
        <v>4402</v>
      </c>
      <c r="D525" t="s">
        <v>1362</v>
      </c>
      <c r="E525" t="s">
        <v>61</v>
      </c>
      <c r="F525">
        <v>2010</v>
      </c>
      <c r="G525" t="s">
        <v>429</v>
      </c>
      <c r="H525" t="s">
        <v>929</v>
      </c>
      <c r="I525" t="s">
        <v>61</v>
      </c>
      <c r="J525">
        <v>96</v>
      </c>
      <c r="K525" t="s">
        <v>61</v>
      </c>
      <c r="L525" t="s">
        <v>4403</v>
      </c>
      <c r="M525" t="s">
        <v>4404</v>
      </c>
      <c r="N525" t="s">
        <v>4405</v>
      </c>
      <c r="O525" t="s">
        <v>61</v>
      </c>
      <c r="Q525" t="s">
        <v>61</v>
      </c>
      <c r="R525" t="s">
        <v>61</v>
      </c>
      <c r="S525" t="s">
        <v>61</v>
      </c>
      <c r="T525" t="s">
        <v>61</v>
      </c>
      <c r="X525" t="s">
        <v>61</v>
      </c>
      <c r="Y525" t="s">
        <v>1367</v>
      </c>
      <c r="Z525" t="s">
        <v>61</v>
      </c>
      <c r="AA525" t="s">
        <v>61</v>
      </c>
      <c r="AB525" t="s">
        <v>61</v>
      </c>
      <c r="AC525" t="s">
        <v>67</v>
      </c>
      <c r="AD525" t="s">
        <v>61</v>
      </c>
      <c r="AE525" t="s">
        <v>61</v>
      </c>
      <c r="AF525" t="s">
        <v>61</v>
      </c>
      <c r="AG525" t="s">
        <v>61</v>
      </c>
      <c r="AH525" t="s">
        <v>61</v>
      </c>
      <c r="AI525" t="s">
        <v>61</v>
      </c>
      <c r="AJ525" t="s">
        <v>61</v>
      </c>
      <c r="AK525" t="s">
        <v>61</v>
      </c>
      <c r="AL525" t="s">
        <v>61</v>
      </c>
      <c r="AM525" t="s">
        <v>4402</v>
      </c>
      <c r="AN525" t="s">
        <v>61</v>
      </c>
      <c r="AO525" t="s">
        <v>61</v>
      </c>
      <c r="AP525" t="s">
        <v>61</v>
      </c>
      <c r="AQ525" t="s">
        <v>61</v>
      </c>
      <c r="AR525" t="s">
        <v>61</v>
      </c>
      <c r="AS525" t="s">
        <v>61</v>
      </c>
      <c r="AT525" t="s">
        <v>61</v>
      </c>
      <c r="AU525" t="s">
        <v>61</v>
      </c>
      <c r="AV525" t="s">
        <v>61</v>
      </c>
      <c r="AW525" t="s">
        <v>61</v>
      </c>
      <c r="AX525" t="s">
        <v>61</v>
      </c>
      <c r="AY525" t="s">
        <v>61</v>
      </c>
      <c r="AZ525" t="s">
        <v>61</v>
      </c>
      <c r="BA525" t="s">
        <v>61</v>
      </c>
      <c r="BB525" t="s">
        <v>61</v>
      </c>
      <c r="BC525" t="s">
        <v>61</v>
      </c>
      <c r="BD525" t="s">
        <v>61</v>
      </c>
      <c r="BE525" t="s">
        <v>61</v>
      </c>
      <c r="BF525" t="s">
        <v>61</v>
      </c>
    </row>
    <row r="526" spans="1:58">
      <c r="A526" t="s">
        <v>58</v>
      </c>
      <c r="B526" t="s">
        <v>4406</v>
      </c>
      <c r="C526" t="s">
        <v>4407</v>
      </c>
      <c r="D526" t="s">
        <v>188</v>
      </c>
      <c r="E526" t="s">
        <v>61</v>
      </c>
      <c r="F526">
        <v>2013</v>
      </c>
      <c r="G526" t="s">
        <v>628</v>
      </c>
      <c r="H526">
        <v>29</v>
      </c>
      <c r="I526">
        <v>2</v>
      </c>
      <c r="J526">
        <v>66</v>
      </c>
      <c r="K526">
        <v>71</v>
      </c>
      <c r="L526" t="s">
        <v>4408</v>
      </c>
      <c r="M526" t="s">
        <v>4409</v>
      </c>
      <c r="N526" t="s">
        <v>4410</v>
      </c>
      <c r="O526" t="s">
        <v>61</v>
      </c>
      <c r="Q526" t="s">
        <v>61</v>
      </c>
      <c r="R526" t="s">
        <v>61</v>
      </c>
      <c r="S526" t="s">
        <v>61</v>
      </c>
      <c r="T526" t="s">
        <v>61</v>
      </c>
      <c r="X526" t="s">
        <v>61</v>
      </c>
      <c r="Y526" t="s">
        <v>192</v>
      </c>
      <c r="Z526" t="s">
        <v>61</v>
      </c>
      <c r="AA526" t="s">
        <v>61</v>
      </c>
      <c r="AB526">
        <v>2013355346</v>
      </c>
      <c r="AC526" t="s">
        <v>67</v>
      </c>
      <c r="AD526" t="s">
        <v>61</v>
      </c>
      <c r="AE526" t="s">
        <v>61</v>
      </c>
      <c r="AF526" t="s">
        <v>61</v>
      </c>
      <c r="AG526" t="s">
        <v>61</v>
      </c>
      <c r="AH526" t="s">
        <v>61</v>
      </c>
      <c r="AI526" t="s">
        <v>61</v>
      </c>
      <c r="AJ526" t="s">
        <v>61</v>
      </c>
      <c r="AK526" t="s">
        <v>61</v>
      </c>
      <c r="AL526" t="s">
        <v>61</v>
      </c>
      <c r="AM526" t="s">
        <v>4407</v>
      </c>
      <c r="AN526" t="s">
        <v>61</v>
      </c>
      <c r="AO526" t="s">
        <v>61</v>
      </c>
      <c r="AP526" t="s">
        <v>61</v>
      </c>
      <c r="AQ526" t="s">
        <v>61</v>
      </c>
      <c r="AR526" t="s">
        <v>61</v>
      </c>
      <c r="AS526" t="s">
        <v>61</v>
      </c>
      <c r="AT526" t="s">
        <v>61</v>
      </c>
      <c r="AU526" t="s">
        <v>61</v>
      </c>
      <c r="AV526" t="s">
        <v>61</v>
      </c>
      <c r="AW526" t="s">
        <v>61</v>
      </c>
      <c r="AX526" t="s">
        <v>61</v>
      </c>
      <c r="AY526" t="s">
        <v>61</v>
      </c>
      <c r="AZ526" t="s">
        <v>61</v>
      </c>
      <c r="BA526" t="s">
        <v>61</v>
      </c>
      <c r="BB526" t="s">
        <v>61</v>
      </c>
      <c r="BC526" t="s">
        <v>61</v>
      </c>
      <c r="BD526" t="s">
        <v>61</v>
      </c>
      <c r="BE526" t="s">
        <v>61</v>
      </c>
      <c r="BF526" t="s">
        <v>61</v>
      </c>
    </row>
    <row r="527" spans="1:58">
      <c r="A527" t="s">
        <v>58</v>
      </c>
      <c r="B527" t="s">
        <v>4411</v>
      </c>
      <c r="C527" t="s">
        <v>4412</v>
      </c>
      <c r="D527" t="s">
        <v>60</v>
      </c>
      <c r="E527" t="s">
        <v>61</v>
      </c>
      <c r="F527">
        <v>2012</v>
      </c>
      <c r="G527" t="s">
        <v>61</v>
      </c>
      <c r="H527">
        <v>69</v>
      </c>
      <c r="I527">
        <v>17</v>
      </c>
      <c r="J527">
        <v>1464</v>
      </c>
      <c r="K527" t="s">
        <v>4413</v>
      </c>
      <c r="L527" t="s">
        <v>4414</v>
      </c>
      <c r="M527" t="s">
        <v>61</v>
      </c>
      <c r="N527" t="s">
        <v>4415</v>
      </c>
      <c r="O527" t="s">
        <v>61</v>
      </c>
      <c r="Q527" t="s">
        <v>61</v>
      </c>
      <c r="R527" t="s">
        <v>61</v>
      </c>
      <c r="S527" t="s">
        <v>61</v>
      </c>
      <c r="T527" t="s">
        <v>61</v>
      </c>
      <c r="X527" t="s">
        <v>61</v>
      </c>
      <c r="Y527" t="s">
        <v>66</v>
      </c>
      <c r="Z527" t="s">
        <v>61</v>
      </c>
      <c r="AA527" t="s">
        <v>4416</v>
      </c>
      <c r="AB527">
        <v>104496631</v>
      </c>
      <c r="AC527" t="s">
        <v>67</v>
      </c>
      <c r="AD527" t="s">
        <v>61</v>
      </c>
      <c r="AE527" t="s">
        <v>61</v>
      </c>
      <c r="AF527" t="s">
        <v>61</v>
      </c>
      <c r="AG527" t="s">
        <v>4417</v>
      </c>
      <c r="AH527" t="s">
        <v>61</v>
      </c>
      <c r="AI527" t="s">
        <v>4418</v>
      </c>
      <c r="AJ527" t="s">
        <v>61</v>
      </c>
      <c r="AK527" t="s">
        <v>61</v>
      </c>
      <c r="AL527" t="s">
        <v>61</v>
      </c>
      <c r="AM527" t="s">
        <v>4419</v>
      </c>
      <c r="AN527" t="s">
        <v>61</v>
      </c>
      <c r="AO527" t="s">
        <v>61</v>
      </c>
      <c r="AP527" t="s">
        <v>61</v>
      </c>
      <c r="AQ527" t="s">
        <v>61</v>
      </c>
      <c r="AR527" t="s">
        <v>61</v>
      </c>
      <c r="AS527" t="s">
        <v>61</v>
      </c>
      <c r="AT527" t="s">
        <v>61</v>
      </c>
      <c r="AU527" t="s">
        <v>61</v>
      </c>
      <c r="AV527" t="s">
        <v>61</v>
      </c>
      <c r="AW527" t="s">
        <v>61</v>
      </c>
      <c r="AX527" t="s">
        <v>61</v>
      </c>
      <c r="AY527" t="s">
        <v>61</v>
      </c>
      <c r="AZ527" t="s">
        <v>61</v>
      </c>
      <c r="BA527" t="s">
        <v>61</v>
      </c>
      <c r="BB527" t="s">
        <v>61</v>
      </c>
      <c r="BC527" t="s">
        <v>61</v>
      </c>
      <c r="BD527" t="s">
        <v>61</v>
      </c>
      <c r="BE527" t="s">
        <v>61</v>
      </c>
      <c r="BF527" t="s">
        <v>61</v>
      </c>
    </row>
    <row r="528" spans="1:58">
      <c r="A528" t="s">
        <v>58</v>
      </c>
      <c r="B528" t="s">
        <v>4420</v>
      </c>
      <c r="C528" t="s">
        <v>4421</v>
      </c>
      <c r="D528" t="s">
        <v>4422</v>
      </c>
      <c r="E528" t="s">
        <v>61</v>
      </c>
      <c r="F528">
        <v>2006</v>
      </c>
      <c r="G528" t="s">
        <v>85</v>
      </c>
      <c r="H528">
        <v>22</v>
      </c>
      <c r="I528">
        <v>2</v>
      </c>
      <c r="J528">
        <v>66</v>
      </c>
      <c r="K528">
        <v>73</v>
      </c>
      <c r="L528" t="s">
        <v>4423</v>
      </c>
      <c r="M528" t="s">
        <v>4424</v>
      </c>
      <c r="N528" t="s">
        <v>4425</v>
      </c>
      <c r="O528" t="s">
        <v>61</v>
      </c>
      <c r="Q528" t="s">
        <v>61</v>
      </c>
      <c r="R528" t="s">
        <v>61</v>
      </c>
      <c r="S528" t="s">
        <v>61</v>
      </c>
      <c r="T528" t="s">
        <v>61</v>
      </c>
      <c r="X528" t="s">
        <v>61</v>
      </c>
      <c r="Y528" t="s">
        <v>4426</v>
      </c>
      <c r="Z528" t="s">
        <v>61</v>
      </c>
      <c r="AA528" t="s">
        <v>4427</v>
      </c>
      <c r="AB528">
        <v>16563028</v>
      </c>
      <c r="AC528" t="s">
        <v>67</v>
      </c>
      <c r="AD528" t="s">
        <v>61</v>
      </c>
      <c r="AE528" t="s">
        <v>61</v>
      </c>
      <c r="AF528" t="s">
        <v>61</v>
      </c>
      <c r="AG528" t="s">
        <v>4428</v>
      </c>
      <c r="AH528" t="s">
        <v>61</v>
      </c>
      <c r="AI528" t="s">
        <v>61</v>
      </c>
      <c r="AJ528" t="s">
        <v>61</v>
      </c>
      <c r="AK528" t="s">
        <v>61</v>
      </c>
      <c r="AL528" t="s">
        <v>61</v>
      </c>
      <c r="AM528" t="s">
        <v>4429</v>
      </c>
      <c r="AN528" t="s">
        <v>61</v>
      </c>
      <c r="AO528" t="s">
        <v>61</v>
      </c>
      <c r="AP528" t="s">
        <v>61</v>
      </c>
      <c r="AQ528" t="s">
        <v>61</v>
      </c>
      <c r="AR528" t="s">
        <v>61</v>
      </c>
      <c r="AS528" t="s">
        <v>61</v>
      </c>
      <c r="AT528" t="s">
        <v>61</v>
      </c>
      <c r="AU528" t="s">
        <v>61</v>
      </c>
      <c r="AV528" t="s">
        <v>61</v>
      </c>
      <c r="AW528" t="s">
        <v>61</v>
      </c>
      <c r="AX528" t="s">
        <v>61</v>
      </c>
      <c r="AY528" t="s">
        <v>61</v>
      </c>
      <c r="AZ528" t="s">
        <v>61</v>
      </c>
      <c r="BA528" t="s">
        <v>61</v>
      </c>
      <c r="BB528" t="s">
        <v>61</v>
      </c>
      <c r="BC528" t="s">
        <v>61</v>
      </c>
      <c r="BD528" t="s">
        <v>61</v>
      </c>
      <c r="BE528" t="s">
        <v>61</v>
      </c>
      <c r="BF528" t="s">
        <v>61</v>
      </c>
    </row>
    <row r="529" spans="1:58">
      <c r="A529" t="s">
        <v>58</v>
      </c>
      <c r="B529" t="s">
        <v>4430</v>
      </c>
      <c r="C529" t="s">
        <v>4431</v>
      </c>
      <c r="D529" t="s">
        <v>436</v>
      </c>
      <c r="E529" t="s">
        <v>436</v>
      </c>
      <c r="F529">
        <v>2011</v>
      </c>
      <c r="G529" t="s">
        <v>85</v>
      </c>
      <c r="H529">
        <v>36</v>
      </c>
      <c r="I529">
        <v>5</v>
      </c>
      <c r="J529">
        <v>950</v>
      </c>
      <c r="K529">
        <v>959</v>
      </c>
      <c r="L529" t="s">
        <v>4432</v>
      </c>
      <c r="M529" t="s">
        <v>4433</v>
      </c>
      <c r="N529" t="s">
        <v>4434</v>
      </c>
      <c r="O529" t="s">
        <v>61</v>
      </c>
      <c r="Q529" t="s">
        <v>61</v>
      </c>
      <c r="R529" t="s">
        <v>61</v>
      </c>
      <c r="S529" t="s">
        <v>61</v>
      </c>
      <c r="T529" t="s">
        <v>61</v>
      </c>
      <c r="X529" t="s">
        <v>61</v>
      </c>
      <c r="Y529" t="s">
        <v>440</v>
      </c>
      <c r="Z529" t="s">
        <v>61</v>
      </c>
      <c r="AA529" t="s">
        <v>4435</v>
      </c>
      <c r="AB529">
        <v>21289606</v>
      </c>
      <c r="AC529" t="s">
        <v>67</v>
      </c>
      <c r="AD529" t="s">
        <v>61</v>
      </c>
      <c r="AE529" t="s">
        <v>61</v>
      </c>
      <c r="AF529" t="s">
        <v>61</v>
      </c>
      <c r="AG529" t="s">
        <v>4436</v>
      </c>
      <c r="AH529" t="s">
        <v>61</v>
      </c>
      <c r="AI529" t="s">
        <v>4437</v>
      </c>
      <c r="AJ529" t="s">
        <v>61</v>
      </c>
      <c r="AK529" t="s">
        <v>61</v>
      </c>
      <c r="AL529" t="s">
        <v>61</v>
      </c>
      <c r="AM529" t="s">
        <v>4438</v>
      </c>
      <c r="AN529" t="s">
        <v>61</v>
      </c>
      <c r="AO529" t="s">
        <v>61</v>
      </c>
      <c r="AP529" t="s">
        <v>61</v>
      </c>
      <c r="AQ529" t="s">
        <v>61</v>
      </c>
      <c r="AR529" t="s">
        <v>61</v>
      </c>
      <c r="AS529" t="s">
        <v>61</v>
      </c>
      <c r="AT529" t="s">
        <v>61</v>
      </c>
      <c r="AU529" t="s">
        <v>61</v>
      </c>
      <c r="AV529" t="s">
        <v>61</v>
      </c>
      <c r="AW529" t="s">
        <v>61</v>
      </c>
      <c r="AX529" t="s">
        <v>61</v>
      </c>
      <c r="AY529" t="s">
        <v>61</v>
      </c>
      <c r="AZ529" t="s">
        <v>61</v>
      </c>
      <c r="BA529" t="s">
        <v>61</v>
      </c>
      <c r="BB529" t="s">
        <v>61</v>
      </c>
      <c r="BC529" t="s">
        <v>61</v>
      </c>
      <c r="BD529" t="s">
        <v>61</v>
      </c>
      <c r="BE529" t="s">
        <v>61</v>
      </c>
      <c r="BF529" t="s">
        <v>61</v>
      </c>
    </row>
    <row r="530" spans="1:58">
      <c r="A530" t="s">
        <v>58</v>
      </c>
      <c r="B530" t="s">
        <v>4439</v>
      </c>
      <c r="C530" t="s">
        <v>4440</v>
      </c>
      <c r="D530" t="s">
        <v>2601</v>
      </c>
      <c r="E530" t="s">
        <v>2602</v>
      </c>
      <c r="F530">
        <v>2014</v>
      </c>
      <c r="G530" t="s">
        <v>851</v>
      </c>
      <c r="H530">
        <v>31</v>
      </c>
      <c r="I530">
        <v>11</v>
      </c>
      <c r="J530">
        <v>825</v>
      </c>
      <c r="K530">
        <v>835</v>
      </c>
      <c r="L530" t="s">
        <v>4441</v>
      </c>
      <c r="M530" t="s">
        <v>4442</v>
      </c>
      <c r="N530" t="s">
        <v>4443</v>
      </c>
      <c r="O530" t="s">
        <v>61</v>
      </c>
      <c r="Q530" t="s">
        <v>61</v>
      </c>
      <c r="R530" t="s">
        <v>61</v>
      </c>
      <c r="S530" t="s">
        <v>61</v>
      </c>
      <c r="T530" t="s">
        <v>61</v>
      </c>
      <c r="X530" t="s">
        <v>61</v>
      </c>
      <c r="Y530" t="s">
        <v>2605</v>
      </c>
      <c r="Z530" t="s">
        <v>61</v>
      </c>
      <c r="AA530" t="s">
        <v>4444</v>
      </c>
      <c r="AB530">
        <v>25187228</v>
      </c>
      <c r="AC530" t="s">
        <v>67</v>
      </c>
      <c r="AD530" t="s">
        <v>61</v>
      </c>
      <c r="AE530" t="s">
        <v>61</v>
      </c>
      <c r="AF530" t="s">
        <v>61</v>
      </c>
      <c r="AG530" t="s">
        <v>4445</v>
      </c>
      <c r="AH530" t="s">
        <v>61</v>
      </c>
      <c r="AI530" t="s">
        <v>4446</v>
      </c>
      <c r="AJ530" t="s">
        <v>61</v>
      </c>
      <c r="AK530" t="s">
        <v>61</v>
      </c>
      <c r="AL530" t="s">
        <v>61</v>
      </c>
      <c r="AM530" t="s">
        <v>4447</v>
      </c>
      <c r="AN530" t="s">
        <v>61</v>
      </c>
      <c r="AO530" t="s">
        <v>61</v>
      </c>
      <c r="AP530" t="s">
        <v>61</v>
      </c>
      <c r="AQ530" t="s">
        <v>61</v>
      </c>
      <c r="AR530" t="s">
        <v>61</v>
      </c>
      <c r="AS530" t="s">
        <v>61</v>
      </c>
      <c r="AT530" t="s">
        <v>61</v>
      </c>
      <c r="AU530" t="s">
        <v>61</v>
      </c>
      <c r="AV530" t="s">
        <v>61</v>
      </c>
      <c r="AW530" t="s">
        <v>61</v>
      </c>
      <c r="AX530" t="s">
        <v>61</v>
      </c>
      <c r="AY530" t="s">
        <v>61</v>
      </c>
      <c r="AZ530" t="s">
        <v>61</v>
      </c>
      <c r="BA530" t="s">
        <v>61</v>
      </c>
      <c r="BB530" t="s">
        <v>61</v>
      </c>
      <c r="BC530" t="s">
        <v>61</v>
      </c>
      <c r="BD530" t="s">
        <v>61</v>
      </c>
      <c r="BE530" t="s">
        <v>61</v>
      </c>
      <c r="BF530" t="s">
        <v>61</v>
      </c>
    </row>
    <row r="531" spans="1:58">
      <c r="A531" t="s">
        <v>58</v>
      </c>
      <c r="B531" t="s">
        <v>4448</v>
      </c>
      <c r="C531" t="s">
        <v>4449</v>
      </c>
      <c r="D531" t="s">
        <v>4450</v>
      </c>
      <c r="E531" t="s">
        <v>61</v>
      </c>
      <c r="F531">
        <v>2009</v>
      </c>
      <c r="G531" t="s">
        <v>237</v>
      </c>
      <c r="H531">
        <v>35</v>
      </c>
      <c r="I531">
        <v>3</v>
      </c>
      <c r="J531">
        <v>159</v>
      </c>
      <c r="K531">
        <v>164</v>
      </c>
      <c r="L531" t="s">
        <v>61</v>
      </c>
      <c r="M531" t="s">
        <v>4451</v>
      </c>
      <c r="N531" t="s">
        <v>4452</v>
      </c>
      <c r="O531" t="s">
        <v>61</v>
      </c>
      <c r="Q531" t="s">
        <v>61</v>
      </c>
      <c r="R531" t="s">
        <v>61</v>
      </c>
      <c r="S531" t="s">
        <v>61</v>
      </c>
      <c r="T531" t="s">
        <v>61</v>
      </c>
      <c r="X531" t="s">
        <v>61</v>
      </c>
      <c r="Y531" t="s">
        <v>4453</v>
      </c>
      <c r="Z531" t="s">
        <v>61</v>
      </c>
      <c r="AA531" t="s">
        <v>4454</v>
      </c>
      <c r="AB531">
        <v>24778818</v>
      </c>
      <c r="AC531" t="s">
        <v>67</v>
      </c>
      <c r="AD531" t="s">
        <v>61</v>
      </c>
      <c r="AE531" t="s">
        <v>61</v>
      </c>
      <c r="AF531" t="s">
        <v>61</v>
      </c>
      <c r="AG531" t="s">
        <v>4455</v>
      </c>
      <c r="AH531" t="s">
        <v>61</v>
      </c>
      <c r="AI531" t="s">
        <v>61</v>
      </c>
      <c r="AJ531" t="s">
        <v>61</v>
      </c>
      <c r="AK531" t="s">
        <v>61</v>
      </c>
      <c r="AL531" t="s">
        <v>61</v>
      </c>
      <c r="AM531" t="s">
        <v>4456</v>
      </c>
      <c r="AN531" t="s">
        <v>61</v>
      </c>
      <c r="AO531" t="s">
        <v>61</v>
      </c>
      <c r="AP531" t="s">
        <v>61</v>
      </c>
      <c r="AQ531" t="s">
        <v>61</v>
      </c>
      <c r="AR531" t="s">
        <v>61</v>
      </c>
      <c r="AS531" t="s">
        <v>61</v>
      </c>
      <c r="AT531" t="s">
        <v>61</v>
      </c>
      <c r="AU531" t="s">
        <v>61</v>
      </c>
      <c r="AV531" t="s">
        <v>61</v>
      </c>
      <c r="AW531" t="s">
        <v>61</v>
      </c>
      <c r="AX531" t="s">
        <v>61</v>
      </c>
      <c r="AY531" t="s">
        <v>61</v>
      </c>
      <c r="AZ531" t="s">
        <v>61</v>
      </c>
      <c r="BA531" t="s">
        <v>61</v>
      </c>
      <c r="BB531" t="s">
        <v>61</v>
      </c>
      <c r="BC531" t="s">
        <v>61</v>
      </c>
      <c r="BD531" t="s">
        <v>61</v>
      </c>
      <c r="BE531" t="s">
        <v>61</v>
      </c>
      <c r="BF531" t="s">
        <v>61</v>
      </c>
    </row>
    <row r="532" spans="1:58">
      <c r="A532" t="s">
        <v>58</v>
      </c>
      <c r="B532" t="s">
        <v>4457</v>
      </c>
      <c r="C532" t="s">
        <v>4458</v>
      </c>
      <c r="D532" t="s">
        <v>373</v>
      </c>
      <c r="E532" t="s">
        <v>61</v>
      </c>
      <c r="F532">
        <v>2013</v>
      </c>
      <c r="G532" t="s">
        <v>61</v>
      </c>
      <c r="H532">
        <v>12</v>
      </c>
      <c r="I532">
        <v>2</v>
      </c>
      <c r="J532">
        <v>401</v>
      </c>
      <c r="K532">
        <v>406</v>
      </c>
      <c r="L532" t="s">
        <v>4459</v>
      </c>
      <c r="M532" t="s">
        <v>4460</v>
      </c>
      <c r="N532" t="s">
        <v>4461</v>
      </c>
      <c r="O532" t="s">
        <v>61</v>
      </c>
      <c r="Q532" t="s">
        <v>61</v>
      </c>
      <c r="R532" t="s">
        <v>61</v>
      </c>
      <c r="S532" t="s">
        <v>61</v>
      </c>
      <c r="T532" t="s">
        <v>61</v>
      </c>
      <c r="X532" t="s">
        <v>61</v>
      </c>
      <c r="Y532" t="s">
        <v>377</v>
      </c>
      <c r="Z532" t="s">
        <v>61</v>
      </c>
      <c r="AA532" t="s">
        <v>61</v>
      </c>
      <c r="AB532">
        <v>2013373739</v>
      </c>
      <c r="AC532" t="s">
        <v>67</v>
      </c>
      <c r="AD532" t="s">
        <v>61</v>
      </c>
      <c r="AE532" t="s">
        <v>61</v>
      </c>
      <c r="AF532" t="s">
        <v>61</v>
      </c>
      <c r="AG532" t="s">
        <v>61</v>
      </c>
      <c r="AH532" t="s">
        <v>61</v>
      </c>
      <c r="AI532" t="s">
        <v>61</v>
      </c>
      <c r="AJ532" t="s">
        <v>61</v>
      </c>
      <c r="AK532" t="s">
        <v>61</v>
      </c>
      <c r="AL532" t="s">
        <v>61</v>
      </c>
      <c r="AM532" t="s">
        <v>4458</v>
      </c>
      <c r="AN532" t="s">
        <v>61</v>
      </c>
      <c r="AO532" t="s">
        <v>61</v>
      </c>
      <c r="AP532" t="s">
        <v>61</v>
      </c>
      <c r="AQ532" t="s">
        <v>61</v>
      </c>
      <c r="AR532" t="s">
        <v>61</v>
      </c>
      <c r="AS532" t="s">
        <v>61</v>
      </c>
      <c r="AT532" t="s">
        <v>61</v>
      </c>
      <c r="AU532" t="s">
        <v>61</v>
      </c>
      <c r="AV532" t="s">
        <v>61</v>
      </c>
      <c r="AW532" t="s">
        <v>61</v>
      </c>
      <c r="AX532" t="s">
        <v>61</v>
      </c>
      <c r="AY532" t="s">
        <v>61</v>
      </c>
      <c r="AZ532" t="s">
        <v>61</v>
      </c>
      <c r="BA532" t="s">
        <v>61</v>
      </c>
      <c r="BB532" t="s">
        <v>61</v>
      </c>
      <c r="BC532" t="s">
        <v>61</v>
      </c>
      <c r="BD532" t="s">
        <v>61</v>
      </c>
      <c r="BE532" t="s">
        <v>61</v>
      </c>
      <c r="BF532" t="s">
        <v>61</v>
      </c>
    </row>
    <row r="533" spans="1:58">
      <c r="A533" t="s">
        <v>58</v>
      </c>
      <c r="B533" t="s">
        <v>4462</v>
      </c>
      <c r="C533" t="s">
        <v>4463</v>
      </c>
      <c r="D533" t="s">
        <v>428</v>
      </c>
      <c r="E533" t="s">
        <v>61</v>
      </c>
      <c r="F533">
        <v>2013</v>
      </c>
      <c r="G533" t="s">
        <v>457</v>
      </c>
      <c r="H533">
        <v>26</v>
      </c>
      <c r="I533">
        <v>3</v>
      </c>
      <c r="J533">
        <v>333</v>
      </c>
      <c r="K533" t="s">
        <v>61</v>
      </c>
      <c r="L533" t="s">
        <v>4464</v>
      </c>
      <c r="M533" t="s">
        <v>4465</v>
      </c>
      <c r="N533" t="s">
        <v>4466</v>
      </c>
      <c r="O533" t="s">
        <v>61</v>
      </c>
      <c r="Q533" t="s">
        <v>61</v>
      </c>
      <c r="R533" t="s">
        <v>61</v>
      </c>
      <c r="S533" t="s">
        <v>61</v>
      </c>
      <c r="T533" t="s">
        <v>61</v>
      </c>
      <c r="X533" t="s">
        <v>61</v>
      </c>
      <c r="Y533" t="s">
        <v>433</v>
      </c>
      <c r="Z533" t="s">
        <v>61</v>
      </c>
      <c r="AA533" t="s">
        <v>61</v>
      </c>
      <c r="AB533" t="s">
        <v>61</v>
      </c>
      <c r="AC533" t="s">
        <v>67</v>
      </c>
      <c r="AD533" t="s">
        <v>61</v>
      </c>
      <c r="AE533" t="s">
        <v>61</v>
      </c>
      <c r="AF533" t="s">
        <v>61</v>
      </c>
      <c r="AG533" t="s">
        <v>61</v>
      </c>
      <c r="AH533" t="s">
        <v>61</v>
      </c>
      <c r="AI533" t="s">
        <v>61</v>
      </c>
      <c r="AJ533" t="s">
        <v>61</v>
      </c>
      <c r="AK533" t="s">
        <v>61</v>
      </c>
      <c r="AL533" t="s">
        <v>61</v>
      </c>
      <c r="AM533" t="s">
        <v>4463</v>
      </c>
      <c r="AN533" t="s">
        <v>61</v>
      </c>
      <c r="AO533" t="s">
        <v>61</v>
      </c>
      <c r="AP533" t="s">
        <v>61</v>
      </c>
      <c r="AQ533" t="s">
        <v>61</v>
      </c>
      <c r="AR533" t="s">
        <v>61</v>
      </c>
      <c r="AS533" t="s">
        <v>61</v>
      </c>
      <c r="AT533" t="s">
        <v>61</v>
      </c>
      <c r="AU533" t="s">
        <v>61</v>
      </c>
      <c r="AV533" t="s">
        <v>61</v>
      </c>
      <c r="AW533" t="s">
        <v>61</v>
      </c>
      <c r="AX533" t="s">
        <v>61</v>
      </c>
      <c r="AY533" t="s">
        <v>61</v>
      </c>
      <c r="AZ533" t="s">
        <v>61</v>
      </c>
      <c r="BA533" t="s">
        <v>61</v>
      </c>
      <c r="BB533" t="s">
        <v>61</v>
      </c>
      <c r="BC533" t="s">
        <v>61</v>
      </c>
      <c r="BD533" t="s">
        <v>61</v>
      </c>
      <c r="BE533" t="s">
        <v>61</v>
      </c>
      <c r="BF533" t="s">
        <v>61</v>
      </c>
    </row>
    <row r="534" spans="1:58">
      <c r="A534" t="s">
        <v>58</v>
      </c>
      <c r="B534" t="s">
        <v>4467</v>
      </c>
      <c r="C534" t="s">
        <v>4468</v>
      </c>
      <c r="D534" t="s">
        <v>876</v>
      </c>
      <c r="E534" t="s">
        <v>877</v>
      </c>
      <c r="F534">
        <v>1990</v>
      </c>
      <c r="G534" t="s">
        <v>1179</v>
      </c>
      <c r="H534">
        <v>54</v>
      </c>
      <c r="I534">
        <v>3</v>
      </c>
      <c r="J534">
        <v>275</v>
      </c>
      <c r="K534">
        <v>281</v>
      </c>
      <c r="L534" t="s">
        <v>4469</v>
      </c>
      <c r="M534" t="s">
        <v>4470</v>
      </c>
      <c r="N534" t="s">
        <v>4471</v>
      </c>
      <c r="O534" t="s">
        <v>61</v>
      </c>
      <c r="Q534" t="s">
        <v>61</v>
      </c>
      <c r="R534" t="s">
        <v>61</v>
      </c>
      <c r="S534" t="s">
        <v>61</v>
      </c>
      <c r="T534" t="s">
        <v>61</v>
      </c>
      <c r="X534" t="s">
        <v>61</v>
      </c>
      <c r="Y534" s="2">
        <v>2760901</v>
      </c>
      <c r="Z534" t="s">
        <v>61</v>
      </c>
      <c r="AA534" t="s">
        <v>61</v>
      </c>
      <c r="AB534" t="s">
        <v>4472</v>
      </c>
      <c r="AC534" t="s">
        <v>67</v>
      </c>
      <c r="AD534" t="s">
        <v>61</v>
      </c>
      <c r="AE534" t="s">
        <v>61</v>
      </c>
      <c r="AF534" t="s">
        <v>61</v>
      </c>
      <c r="AG534" t="s">
        <v>61</v>
      </c>
      <c r="AH534" t="s">
        <v>61</v>
      </c>
      <c r="AI534" t="s">
        <v>61</v>
      </c>
      <c r="AJ534" t="s">
        <v>61</v>
      </c>
      <c r="AK534" t="s">
        <v>61</v>
      </c>
      <c r="AL534" t="s">
        <v>61</v>
      </c>
      <c r="AM534" t="s">
        <v>4473</v>
      </c>
      <c r="AN534" t="s">
        <v>61</v>
      </c>
      <c r="AO534" t="s">
        <v>61</v>
      </c>
      <c r="AP534" t="s">
        <v>61</v>
      </c>
      <c r="AQ534" t="s">
        <v>61</v>
      </c>
      <c r="AR534" t="s">
        <v>61</v>
      </c>
      <c r="AS534" t="s">
        <v>61</v>
      </c>
      <c r="AT534" t="s">
        <v>61</v>
      </c>
      <c r="AU534" t="s">
        <v>61</v>
      </c>
      <c r="AV534" t="s">
        <v>61</v>
      </c>
      <c r="AW534" t="s">
        <v>61</v>
      </c>
      <c r="AX534" t="s">
        <v>61</v>
      </c>
      <c r="AY534" t="s">
        <v>61</v>
      </c>
      <c r="AZ534" t="s">
        <v>61</v>
      </c>
      <c r="BA534" t="s">
        <v>61</v>
      </c>
      <c r="BB534" t="s">
        <v>61</v>
      </c>
      <c r="BC534" t="s">
        <v>61</v>
      </c>
      <c r="BD534" t="s">
        <v>61</v>
      </c>
      <c r="BE534" t="s">
        <v>61</v>
      </c>
      <c r="BF534" t="s">
        <v>61</v>
      </c>
    </row>
    <row r="535" spans="1:58">
      <c r="A535" t="s">
        <v>58</v>
      </c>
      <c r="B535" t="s">
        <v>4474</v>
      </c>
      <c r="C535" t="s">
        <v>4475</v>
      </c>
      <c r="D535" t="s">
        <v>162</v>
      </c>
      <c r="E535" t="s">
        <v>163</v>
      </c>
      <c r="F535">
        <v>1993</v>
      </c>
      <c r="G535" t="s">
        <v>280</v>
      </c>
      <c r="H535">
        <v>33</v>
      </c>
      <c r="I535">
        <v>12</v>
      </c>
      <c r="J535">
        <v>1139</v>
      </c>
      <c r="K535">
        <v>1146</v>
      </c>
      <c r="L535" t="s">
        <v>4476</v>
      </c>
      <c r="M535" t="s">
        <v>4477</v>
      </c>
      <c r="N535" t="s">
        <v>4478</v>
      </c>
      <c r="O535" t="s">
        <v>61</v>
      </c>
      <c r="Q535" t="s">
        <v>61</v>
      </c>
      <c r="R535" t="s">
        <v>61</v>
      </c>
      <c r="S535" t="s">
        <v>61</v>
      </c>
      <c r="T535" t="s">
        <v>61</v>
      </c>
      <c r="X535" t="s">
        <v>61</v>
      </c>
      <c r="Y535" t="s">
        <v>167</v>
      </c>
      <c r="Z535" t="s">
        <v>61</v>
      </c>
      <c r="AA535" t="s">
        <v>4479</v>
      </c>
      <c r="AB535">
        <v>7510314</v>
      </c>
      <c r="AC535" t="s">
        <v>67</v>
      </c>
      <c r="AD535" t="s">
        <v>61</v>
      </c>
      <c r="AE535" t="s">
        <v>61</v>
      </c>
      <c r="AF535" t="s">
        <v>61</v>
      </c>
      <c r="AG535" t="s">
        <v>4480</v>
      </c>
      <c r="AH535" t="s">
        <v>61</v>
      </c>
      <c r="AI535" t="s">
        <v>61</v>
      </c>
      <c r="AJ535" t="s">
        <v>61</v>
      </c>
      <c r="AK535" t="s">
        <v>61</v>
      </c>
      <c r="AL535" t="s">
        <v>61</v>
      </c>
      <c r="AM535" t="s">
        <v>4481</v>
      </c>
      <c r="AN535" t="s">
        <v>61</v>
      </c>
      <c r="AO535" t="s">
        <v>61</v>
      </c>
      <c r="AP535" t="s">
        <v>61</v>
      </c>
      <c r="AQ535" t="s">
        <v>61</v>
      </c>
      <c r="AR535" t="s">
        <v>61</v>
      </c>
      <c r="AS535" t="s">
        <v>61</v>
      </c>
      <c r="AT535" t="s">
        <v>61</v>
      </c>
      <c r="AU535" t="s">
        <v>61</v>
      </c>
      <c r="AV535" t="s">
        <v>61</v>
      </c>
      <c r="AW535" t="s">
        <v>61</v>
      </c>
      <c r="AX535" t="s">
        <v>61</v>
      </c>
      <c r="AY535" t="s">
        <v>61</v>
      </c>
      <c r="AZ535" t="s">
        <v>61</v>
      </c>
      <c r="BA535" t="s">
        <v>61</v>
      </c>
      <c r="BB535" t="s">
        <v>61</v>
      </c>
      <c r="BC535" t="s">
        <v>61</v>
      </c>
      <c r="BD535" t="s">
        <v>61</v>
      </c>
      <c r="BE535" t="s">
        <v>61</v>
      </c>
      <c r="BF535" t="s">
        <v>61</v>
      </c>
    </row>
    <row r="536" spans="1:58">
      <c r="A536" t="s">
        <v>58</v>
      </c>
      <c r="B536" t="s">
        <v>4482</v>
      </c>
      <c r="C536" t="s">
        <v>4483</v>
      </c>
      <c r="D536" t="s">
        <v>162</v>
      </c>
      <c r="E536" t="s">
        <v>163</v>
      </c>
      <c r="F536">
        <v>2000</v>
      </c>
      <c r="G536" t="s">
        <v>237</v>
      </c>
      <c r="H536">
        <v>40</v>
      </c>
      <c r="I536">
        <v>7</v>
      </c>
      <c r="J536">
        <v>708</v>
      </c>
      <c r="K536">
        <v>712</v>
      </c>
      <c r="L536" t="s">
        <v>4484</v>
      </c>
      <c r="M536" t="s">
        <v>4485</v>
      </c>
      <c r="N536" t="s">
        <v>4486</v>
      </c>
      <c r="O536" t="s">
        <v>61</v>
      </c>
      <c r="Q536" t="s">
        <v>61</v>
      </c>
      <c r="R536" t="s">
        <v>61</v>
      </c>
      <c r="S536" t="s">
        <v>61</v>
      </c>
      <c r="T536" t="s">
        <v>61</v>
      </c>
      <c r="X536" t="s">
        <v>61</v>
      </c>
      <c r="Y536" t="s">
        <v>167</v>
      </c>
      <c r="Z536" t="s">
        <v>61</v>
      </c>
      <c r="AA536" t="s">
        <v>4487</v>
      </c>
      <c r="AB536">
        <v>10883411</v>
      </c>
      <c r="AC536" t="s">
        <v>67</v>
      </c>
      <c r="AD536" t="s">
        <v>61</v>
      </c>
      <c r="AE536" t="s">
        <v>61</v>
      </c>
      <c r="AF536" t="s">
        <v>61</v>
      </c>
      <c r="AG536" t="s">
        <v>4488</v>
      </c>
      <c r="AH536" t="s">
        <v>61</v>
      </c>
      <c r="AI536" t="s">
        <v>61</v>
      </c>
      <c r="AJ536" t="s">
        <v>61</v>
      </c>
      <c r="AK536" t="s">
        <v>61</v>
      </c>
      <c r="AL536" t="s">
        <v>61</v>
      </c>
      <c r="AM536" t="s">
        <v>4489</v>
      </c>
      <c r="AN536" t="s">
        <v>61</v>
      </c>
      <c r="AO536" t="s">
        <v>61</v>
      </c>
      <c r="AP536" t="s">
        <v>61</v>
      </c>
      <c r="AQ536" t="s">
        <v>61</v>
      </c>
      <c r="AR536" t="s">
        <v>61</v>
      </c>
      <c r="AS536" t="s">
        <v>61</v>
      </c>
      <c r="AT536" t="s">
        <v>61</v>
      </c>
      <c r="AU536" t="s">
        <v>61</v>
      </c>
      <c r="AV536" t="s">
        <v>61</v>
      </c>
      <c r="AW536" t="s">
        <v>61</v>
      </c>
      <c r="AX536" t="s">
        <v>61</v>
      </c>
      <c r="AY536" t="s">
        <v>61</v>
      </c>
      <c r="AZ536" t="s">
        <v>61</v>
      </c>
      <c r="BA536" t="s">
        <v>61</v>
      </c>
      <c r="BB536" t="s">
        <v>61</v>
      </c>
      <c r="BC536" t="s">
        <v>61</v>
      </c>
      <c r="BD536" t="s">
        <v>61</v>
      </c>
      <c r="BE536" t="s">
        <v>61</v>
      </c>
      <c r="BF536" t="s">
        <v>61</v>
      </c>
    </row>
    <row r="537" spans="1:58">
      <c r="A537" t="s">
        <v>58</v>
      </c>
      <c r="B537" t="s">
        <v>4490</v>
      </c>
      <c r="C537" t="s">
        <v>4491</v>
      </c>
      <c r="D537" t="s">
        <v>162</v>
      </c>
      <c r="E537" t="s">
        <v>163</v>
      </c>
      <c r="F537">
        <v>1997</v>
      </c>
      <c r="G537" t="s">
        <v>237</v>
      </c>
      <c r="H537">
        <v>37</v>
      </c>
      <c r="I537">
        <v>7</v>
      </c>
      <c r="J537">
        <v>559</v>
      </c>
      <c r="K537">
        <v>565</v>
      </c>
      <c r="L537" t="s">
        <v>4492</v>
      </c>
      <c r="M537" t="s">
        <v>4493</v>
      </c>
      <c r="N537" t="s">
        <v>4494</v>
      </c>
      <c r="O537" t="s">
        <v>61</v>
      </c>
      <c r="Q537" t="s">
        <v>61</v>
      </c>
      <c r="R537" t="s">
        <v>61</v>
      </c>
      <c r="S537" t="s">
        <v>61</v>
      </c>
      <c r="T537" t="s">
        <v>61</v>
      </c>
      <c r="X537" t="s">
        <v>61</v>
      </c>
      <c r="Y537" t="s">
        <v>167</v>
      </c>
      <c r="Z537" t="s">
        <v>61</v>
      </c>
      <c r="AA537" t="s">
        <v>4495</v>
      </c>
      <c r="AB537">
        <v>9243348</v>
      </c>
      <c r="AC537" t="s">
        <v>67</v>
      </c>
      <c r="AD537" t="s">
        <v>61</v>
      </c>
      <c r="AE537" t="s">
        <v>61</v>
      </c>
      <c r="AF537" t="s">
        <v>61</v>
      </c>
      <c r="AG537" t="s">
        <v>4496</v>
      </c>
      <c r="AH537" t="s">
        <v>61</v>
      </c>
      <c r="AI537" t="s">
        <v>61</v>
      </c>
      <c r="AJ537" t="s">
        <v>61</v>
      </c>
      <c r="AK537" t="s">
        <v>61</v>
      </c>
      <c r="AL537" t="s">
        <v>61</v>
      </c>
      <c r="AM537" t="s">
        <v>4497</v>
      </c>
      <c r="AN537" t="s">
        <v>61</v>
      </c>
      <c r="AO537" t="s">
        <v>61</v>
      </c>
      <c r="AP537" t="s">
        <v>61</v>
      </c>
      <c r="AQ537" t="s">
        <v>61</v>
      </c>
      <c r="AR537" t="s">
        <v>61</v>
      </c>
      <c r="AS537" t="s">
        <v>61</v>
      </c>
      <c r="AT537" t="s">
        <v>61</v>
      </c>
      <c r="AU537" t="s">
        <v>61</v>
      </c>
      <c r="AV537" t="s">
        <v>61</v>
      </c>
      <c r="AW537" t="s">
        <v>61</v>
      </c>
      <c r="AX537" t="s">
        <v>61</v>
      </c>
      <c r="AY537" t="s">
        <v>61</v>
      </c>
      <c r="AZ537" t="s">
        <v>61</v>
      </c>
      <c r="BA537" t="s">
        <v>61</v>
      </c>
      <c r="BB537" t="s">
        <v>61</v>
      </c>
      <c r="BC537" t="s">
        <v>61</v>
      </c>
      <c r="BD537" t="s">
        <v>61</v>
      </c>
      <c r="BE537" t="s">
        <v>61</v>
      </c>
      <c r="BF537" t="s">
        <v>61</v>
      </c>
    </row>
    <row r="538" spans="1:58">
      <c r="A538" t="s">
        <v>58</v>
      </c>
      <c r="B538" t="s">
        <v>4498</v>
      </c>
      <c r="C538" t="s">
        <v>4499</v>
      </c>
      <c r="D538" t="s">
        <v>84</v>
      </c>
      <c r="E538" t="s">
        <v>61</v>
      </c>
      <c r="F538">
        <v>2011</v>
      </c>
      <c r="G538" t="s">
        <v>645</v>
      </c>
      <c r="H538" t="s">
        <v>646</v>
      </c>
      <c r="I538" t="s">
        <v>61</v>
      </c>
      <c r="J538">
        <v>29</v>
      </c>
      <c r="K538">
        <v>30</v>
      </c>
      <c r="L538" t="s">
        <v>4500</v>
      </c>
      <c r="M538" t="s">
        <v>4501</v>
      </c>
      <c r="N538" t="s">
        <v>4502</v>
      </c>
      <c r="O538" t="s">
        <v>61</v>
      </c>
      <c r="Q538" t="s">
        <v>61</v>
      </c>
      <c r="R538" t="s">
        <v>61</v>
      </c>
      <c r="S538" t="s">
        <v>61</v>
      </c>
      <c r="T538" t="s">
        <v>61</v>
      </c>
      <c r="X538" t="s">
        <v>61</v>
      </c>
      <c r="Y538" t="s">
        <v>303</v>
      </c>
      <c r="Z538" t="s">
        <v>61</v>
      </c>
      <c r="AA538" t="s">
        <v>61</v>
      </c>
      <c r="AB538" t="s">
        <v>61</v>
      </c>
      <c r="AC538" t="s">
        <v>67</v>
      </c>
      <c r="AD538" t="s">
        <v>61</v>
      </c>
      <c r="AE538" t="s">
        <v>61</v>
      </c>
      <c r="AF538" t="s">
        <v>61</v>
      </c>
      <c r="AG538" t="s">
        <v>61</v>
      </c>
      <c r="AH538" t="s">
        <v>61</v>
      </c>
      <c r="AI538" t="s">
        <v>61</v>
      </c>
      <c r="AJ538" t="s">
        <v>61</v>
      </c>
      <c r="AK538" t="s">
        <v>61</v>
      </c>
      <c r="AL538" t="s">
        <v>61</v>
      </c>
      <c r="AM538" t="s">
        <v>4499</v>
      </c>
      <c r="AN538" t="s">
        <v>61</v>
      </c>
      <c r="AO538" t="s">
        <v>61</v>
      </c>
      <c r="AP538" t="s">
        <v>61</v>
      </c>
      <c r="AQ538" t="s">
        <v>61</v>
      </c>
      <c r="AR538" t="s">
        <v>61</v>
      </c>
      <c r="AS538" t="s">
        <v>61</v>
      </c>
      <c r="AT538" t="s">
        <v>61</v>
      </c>
      <c r="AU538" t="s">
        <v>61</v>
      </c>
      <c r="AV538" t="s">
        <v>61</v>
      </c>
      <c r="AW538" t="s">
        <v>61</v>
      </c>
      <c r="AX538" t="s">
        <v>61</v>
      </c>
      <c r="AY538" t="s">
        <v>61</v>
      </c>
      <c r="AZ538" t="s">
        <v>61</v>
      </c>
      <c r="BA538" t="s">
        <v>61</v>
      </c>
      <c r="BB538" t="s">
        <v>61</v>
      </c>
      <c r="BC538" t="s">
        <v>61</v>
      </c>
      <c r="BD538" t="s">
        <v>61</v>
      </c>
      <c r="BE538" t="s">
        <v>61</v>
      </c>
      <c r="BF538" t="s">
        <v>61</v>
      </c>
    </row>
    <row r="539" spans="1:58">
      <c r="A539" t="s">
        <v>58</v>
      </c>
      <c r="B539" t="s">
        <v>4503</v>
      </c>
      <c r="C539" t="s">
        <v>4504</v>
      </c>
      <c r="D539" t="s">
        <v>1000</v>
      </c>
      <c r="E539" t="s">
        <v>1000</v>
      </c>
      <c r="F539">
        <v>2013</v>
      </c>
      <c r="G539" t="s">
        <v>119</v>
      </c>
      <c r="H539">
        <v>108</v>
      </c>
      <c r="I539">
        <v>6</v>
      </c>
      <c r="J539">
        <v>1127</v>
      </c>
      <c r="K539">
        <v>1135</v>
      </c>
      <c r="L539" t="s">
        <v>4505</v>
      </c>
      <c r="M539" t="s">
        <v>4506</v>
      </c>
      <c r="N539" t="s">
        <v>4507</v>
      </c>
      <c r="O539" t="s">
        <v>61</v>
      </c>
      <c r="Q539" t="s">
        <v>61</v>
      </c>
      <c r="R539" t="s">
        <v>61</v>
      </c>
      <c r="S539" t="s">
        <v>61</v>
      </c>
      <c r="T539" t="s">
        <v>61</v>
      </c>
      <c r="X539" t="s">
        <v>61</v>
      </c>
      <c r="Y539" t="s">
        <v>4508</v>
      </c>
      <c r="Z539" t="s">
        <v>61</v>
      </c>
      <c r="AA539" t="s">
        <v>4509</v>
      </c>
      <c r="AB539">
        <v>23297756</v>
      </c>
      <c r="AC539" t="s">
        <v>67</v>
      </c>
      <c r="AD539" t="s">
        <v>61</v>
      </c>
      <c r="AE539" t="s">
        <v>61</v>
      </c>
      <c r="AF539" t="s">
        <v>61</v>
      </c>
      <c r="AG539" t="s">
        <v>4510</v>
      </c>
      <c r="AH539" t="s">
        <v>61</v>
      </c>
      <c r="AI539" t="s">
        <v>4511</v>
      </c>
      <c r="AJ539" t="s">
        <v>61</v>
      </c>
      <c r="AK539" t="s">
        <v>61</v>
      </c>
      <c r="AL539" t="s">
        <v>61</v>
      </c>
      <c r="AM539" t="s">
        <v>4512</v>
      </c>
      <c r="AN539" t="s">
        <v>61</v>
      </c>
      <c r="AO539" t="s">
        <v>61</v>
      </c>
      <c r="AP539" t="s">
        <v>61</v>
      </c>
      <c r="AQ539" t="s">
        <v>61</v>
      </c>
      <c r="AR539" t="s">
        <v>61</v>
      </c>
      <c r="AS539" t="s">
        <v>61</v>
      </c>
      <c r="AT539" t="s">
        <v>61</v>
      </c>
      <c r="AU539" t="s">
        <v>61</v>
      </c>
      <c r="AV539" t="s">
        <v>61</v>
      </c>
      <c r="AW539" t="s">
        <v>61</v>
      </c>
      <c r="AX539" t="s">
        <v>61</v>
      </c>
      <c r="AY539" t="s">
        <v>61</v>
      </c>
      <c r="AZ539" t="s">
        <v>61</v>
      </c>
      <c r="BA539" t="s">
        <v>61</v>
      </c>
      <c r="BB539" t="s">
        <v>61</v>
      </c>
      <c r="BC539" t="s">
        <v>61</v>
      </c>
      <c r="BD539" t="s">
        <v>61</v>
      </c>
      <c r="BE539" t="s">
        <v>61</v>
      </c>
      <c r="BF539" t="s">
        <v>61</v>
      </c>
    </row>
    <row r="540" spans="1:58">
      <c r="A540" t="s">
        <v>58</v>
      </c>
      <c r="B540" t="s">
        <v>4513</v>
      </c>
      <c r="C540" t="s">
        <v>4514</v>
      </c>
      <c r="D540" t="s">
        <v>3593</v>
      </c>
      <c r="E540" t="s">
        <v>61</v>
      </c>
      <c r="F540">
        <v>2011</v>
      </c>
      <c r="G540" t="s">
        <v>645</v>
      </c>
      <c r="H540" t="s">
        <v>4515</v>
      </c>
      <c r="I540" t="s">
        <v>61</v>
      </c>
      <c r="J540">
        <v>65</v>
      </c>
      <c r="K540" t="s">
        <v>61</v>
      </c>
      <c r="L540" t="s">
        <v>4516</v>
      </c>
      <c r="M540" t="s">
        <v>4517</v>
      </c>
      <c r="N540" t="s">
        <v>4518</v>
      </c>
      <c r="O540" t="s">
        <v>61</v>
      </c>
      <c r="Q540" t="s">
        <v>61</v>
      </c>
      <c r="R540" t="s">
        <v>61</v>
      </c>
      <c r="S540" t="s">
        <v>61</v>
      </c>
      <c r="T540" t="s">
        <v>61</v>
      </c>
      <c r="X540" t="s">
        <v>61</v>
      </c>
      <c r="Y540" t="s">
        <v>3598</v>
      </c>
      <c r="Z540" t="s">
        <v>61</v>
      </c>
      <c r="AA540" t="s">
        <v>61</v>
      </c>
      <c r="AB540" t="s">
        <v>61</v>
      </c>
      <c r="AC540" t="s">
        <v>67</v>
      </c>
      <c r="AD540" t="s">
        <v>61</v>
      </c>
      <c r="AE540" t="s">
        <v>61</v>
      </c>
      <c r="AF540" t="s">
        <v>61</v>
      </c>
      <c r="AG540" t="s">
        <v>61</v>
      </c>
      <c r="AH540" t="s">
        <v>61</v>
      </c>
      <c r="AI540" t="s">
        <v>61</v>
      </c>
      <c r="AJ540" t="s">
        <v>61</v>
      </c>
      <c r="AK540" t="s">
        <v>61</v>
      </c>
      <c r="AL540" t="s">
        <v>61</v>
      </c>
      <c r="AM540" t="s">
        <v>4514</v>
      </c>
      <c r="AN540" t="s">
        <v>61</v>
      </c>
      <c r="AO540" t="s">
        <v>61</v>
      </c>
      <c r="AP540" t="s">
        <v>61</v>
      </c>
      <c r="AQ540" t="s">
        <v>61</v>
      </c>
      <c r="AR540" t="s">
        <v>61</v>
      </c>
      <c r="AS540" t="s">
        <v>61</v>
      </c>
      <c r="AT540" t="s">
        <v>61</v>
      </c>
      <c r="AU540" t="s">
        <v>61</v>
      </c>
      <c r="AV540" t="s">
        <v>61</v>
      </c>
      <c r="AW540" t="s">
        <v>61</v>
      </c>
      <c r="AX540" t="s">
        <v>61</v>
      </c>
      <c r="AY540" t="s">
        <v>61</v>
      </c>
      <c r="AZ540" t="s">
        <v>61</v>
      </c>
      <c r="BA540" t="s">
        <v>61</v>
      </c>
      <c r="BB540" t="s">
        <v>61</v>
      </c>
      <c r="BC540" t="s">
        <v>61</v>
      </c>
      <c r="BD540" t="s">
        <v>61</v>
      </c>
      <c r="BE540" t="s">
        <v>61</v>
      </c>
      <c r="BF540" t="s">
        <v>61</v>
      </c>
    </row>
    <row r="541" spans="1:58">
      <c r="A541" t="s">
        <v>58</v>
      </c>
      <c r="B541" t="s">
        <v>4519</v>
      </c>
      <c r="C541" t="s">
        <v>4520</v>
      </c>
      <c r="D541" t="s">
        <v>4521</v>
      </c>
      <c r="E541" t="s">
        <v>4522</v>
      </c>
      <c r="F541">
        <v>1985</v>
      </c>
      <c r="G541" t="s">
        <v>61</v>
      </c>
      <c r="H541">
        <v>85</v>
      </c>
      <c r="I541">
        <v>7</v>
      </c>
      <c r="J541">
        <v>299</v>
      </c>
      <c r="K541">
        <v>301</v>
      </c>
      <c r="L541" t="s">
        <v>4523</v>
      </c>
      <c r="M541" t="s">
        <v>4524</v>
      </c>
      <c r="N541" t="s">
        <v>4525</v>
      </c>
      <c r="O541" t="s">
        <v>61</v>
      </c>
      <c r="Q541" t="s">
        <v>61</v>
      </c>
      <c r="R541" t="s">
        <v>61</v>
      </c>
      <c r="S541" t="s">
        <v>61</v>
      </c>
      <c r="T541" t="s">
        <v>61</v>
      </c>
      <c r="X541" t="s">
        <v>61</v>
      </c>
      <c r="Y541" t="s">
        <v>4526</v>
      </c>
      <c r="Z541" t="s">
        <v>61</v>
      </c>
      <c r="AA541" t="s">
        <v>61</v>
      </c>
      <c r="AB541">
        <v>1986004181</v>
      </c>
      <c r="AC541" t="s">
        <v>67</v>
      </c>
      <c r="AD541" t="s">
        <v>61</v>
      </c>
      <c r="AE541" t="s">
        <v>61</v>
      </c>
      <c r="AF541" t="s">
        <v>61</v>
      </c>
      <c r="AG541" t="s">
        <v>4527</v>
      </c>
      <c r="AH541" t="s">
        <v>61</v>
      </c>
      <c r="AI541" t="s">
        <v>61</v>
      </c>
      <c r="AJ541" t="s">
        <v>61</v>
      </c>
      <c r="AK541" t="s">
        <v>61</v>
      </c>
      <c r="AL541" t="s">
        <v>61</v>
      </c>
      <c r="AM541" t="s">
        <v>4528</v>
      </c>
      <c r="AN541" t="s">
        <v>61</v>
      </c>
      <c r="AO541" t="s">
        <v>61</v>
      </c>
      <c r="AP541" t="s">
        <v>61</v>
      </c>
      <c r="AQ541" t="s">
        <v>61</v>
      </c>
      <c r="AR541" t="s">
        <v>61</v>
      </c>
      <c r="AS541" t="s">
        <v>61</v>
      </c>
      <c r="AT541" t="s">
        <v>61</v>
      </c>
      <c r="AU541" t="s">
        <v>61</v>
      </c>
      <c r="AV541" t="s">
        <v>61</v>
      </c>
      <c r="AW541" t="s">
        <v>61</v>
      </c>
      <c r="AX541" t="s">
        <v>61</v>
      </c>
      <c r="AY541" t="s">
        <v>61</v>
      </c>
      <c r="AZ541" t="s">
        <v>61</v>
      </c>
      <c r="BA541" t="s">
        <v>61</v>
      </c>
      <c r="BB541" t="s">
        <v>61</v>
      </c>
      <c r="BC541" t="s">
        <v>61</v>
      </c>
      <c r="BD541" t="s">
        <v>61</v>
      </c>
      <c r="BE541" t="s">
        <v>61</v>
      </c>
      <c r="BF541" t="s">
        <v>61</v>
      </c>
    </row>
    <row r="542" spans="1:58">
      <c r="A542" t="s">
        <v>58</v>
      </c>
      <c r="B542" t="s">
        <v>4529</v>
      </c>
      <c r="C542" t="s">
        <v>4530</v>
      </c>
      <c r="D542" t="s">
        <v>4531</v>
      </c>
      <c r="E542" t="s">
        <v>61</v>
      </c>
      <c r="F542">
        <v>1998</v>
      </c>
      <c r="G542">
        <v>1</v>
      </c>
      <c r="H542">
        <v>18</v>
      </c>
      <c r="I542" t="s">
        <v>61</v>
      </c>
      <c r="J542" t="s">
        <v>2314</v>
      </c>
      <c r="K542" t="s">
        <v>4532</v>
      </c>
      <c r="L542" t="s">
        <v>4533</v>
      </c>
      <c r="M542" t="s">
        <v>4534</v>
      </c>
      <c r="N542" t="s">
        <v>4535</v>
      </c>
      <c r="O542" t="s">
        <v>61</v>
      </c>
      <c r="Q542" t="s">
        <v>61</v>
      </c>
      <c r="R542" t="s">
        <v>61</v>
      </c>
      <c r="S542" t="s">
        <v>61</v>
      </c>
      <c r="T542" t="s">
        <v>61</v>
      </c>
      <c r="X542" t="s">
        <v>61</v>
      </c>
      <c r="Y542" t="s">
        <v>2340</v>
      </c>
      <c r="Z542" t="s">
        <v>61</v>
      </c>
      <c r="AA542" t="s">
        <v>61</v>
      </c>
      <c r="AB542">
        <v>1998221144</v>
      </c>
      <c r="AC542" t="s">
        <v>67</v>
      </c>
      <c r="AD542" t="s">
        <v>61</v>
      </c>
      <c r="AE542" t="s">
        <v>61</v>
      </c>
      <c r="AF542" t="s">
        <v>61</v>
      </c>
      <c r="AG542" t="s">
        <v>4536</v>
      </c>
      <c r="AH542" t="s">
        <v>61</v>
      </c>
      <c r="AI542" t="s">
        <v>61</v>
      </c>
      <c r="AJ542" t="s">
        <v>61</v>
      </c>
      <c r="AK542" t="s">
        <v>61</v>
      </c>
      <c r="AL542" t="s">
        <v>61</v>
      </c>
      <c r="AM542" t="s">
        <v>4537</v>
      </c>
      <c r="AN542" t="s">
        <v>61</v>
      </c>
      <c r="AO542" t="s">
        <v>61</v>
      </c>
      <c r="AP542" t="s">
        <v>61</v>
      </c>
      <c r="AQ542" t="s">
        <v>61</v>
      </c>
      <c r="AR542" t="s">
        <v>61</v>
      </c>
      <c r="AS542" t="s">
        <v>61</v>
      </c>
      <c r="AT542" t="s">
        <v>61</v>
      </c>
      <c r="AU542" t="s">
        <v>61</v>
      </c>
      <c r="AV542" t="s">
        <v>61</v>
      </c>
      <c r="AW542" t="s">
        <v>61</v>
      </c>
      <c r="AX542" t="s">
        <v>61</v>
      </c>
      <c r="AY542" t="s">
        <v>61</v>
      </c>
      <c r="AZ542" t="s">
        <v>61</v>
      </c>
      <c r="BA542" t="s">
        <v>61</v>
      </c>
      <c r="BB542" t="s">
        <v>61</v>
      </c>
      <c r="BC542" t="s">
        <v>61</v>
      </c>
      <c r="BD542" t="s">
        <v>61</v>
      </c>
      <c r="BE542" t="s">
        <v>61</v>
      </c>
      <c r="BF542" t="s">
        <v>61</v>
      </c>
    </row>
    <row r="543" spans="1:58">
      <c r="A543" t="s">
        <v>58</v>
      </c>
      <c r="B543" t="s">
        <v>4538</v>
      </c>
      <c r="C543" t="s">
        <v>4539</v>
      </c>
      <c r="D543" t="s">
        <v>162</v>
      </c>
      <c r="E543" t="s">
        <v>163</v>
      </c>
      <c r="F543">
        <v>2007</v>
      </c>
      <c r="G543" t="s">
        <v>409</v>
      </c>
      <c r="H543">
        <v>47</v>
      </c>
      <c r="I543">
        <v>11</v>
      </c>
      <c r="J543">
        <v>1440</v>
      </c>
      <c r="K543">
        <v>1449</v>
      </c>
      <c r="L543" t="s">
        <v>4540</v>
      </c>
      <c r="M543" t="s">
        <v>4541</v>
      </c>
      <c r="N543" t="s">
        <v>4542</v>
      </c>
      <c r="O543" t="s">
        <v>61</v>
      </c>
      <c r="Q543" t="s">
        <v>61</v>
      </c>
      <c r="R543" t="s">
        <v>61</v>
      </c>
      <c r="S543" t="s">
        <v>61</v>
      </c>
      <c r="T543" t="s">
        <v>61</v>
      </c>
      <c r="X543" t="s">
        <v>61</v>
      </c>
      <c r="Y543" t="s">
        <v>902</v>
      </c>
      <c r="Z543" t="s">
        <v>61</v>
      </c>
      <c r="AA543" t="s">
        <v>61</v>
      </c>
      <c r="AB543">
        <v>2007517410</v>
      </c>
      <c r="AC543" t="s">
        <v>67</v>
      </c>
      <c r="AD543" t="s">
        <v>61</v>
      </c>
      <c r="AE543" t="s">
        <v>61</v>
      </c>
      <c r="AF543" t="s">
        <v>61</v>
      </c>
      <c r="AG543" t="s">
        <v>4543</v>
      </c>
      <c r="AH543" t="s">
        <v>61</v>
      </c>
      <c r="AI543" t="s">
        <v>61</v>
      </c>
      <c r="AJ543" t="s">
        <v>61</v>
      </c>
      <c r="AK543" t="s">
        <v>61</v>
      </c>
      <c r="AL543" t="s">
        <v>61</v>
      </c>
      <c r="AM543" t="s">
        <v>4544</v>
      </c>
      <c r="AN543" t="s">
        <v>61</v>
      </c>
      <c r="AO543" t="s">
        <v>61</v>
      </c>
      <c r="AP543" t="s">
        <v>61</v>
      </c>
      <c r="AQ543" t="s">
        <v>61</v>
      </c>
      <c r="AR543" t="s">
        <v>61</v>
      </c>
      <c r="AS543" t="s">
        <v>61</v>
      </c>
      <c r="AT543" t="s">
        <v>61</v>
      </c>
      <c r="AU543" t="s">
        <v>61</v>
      </c>
      <c r="AV543" t="s">
        <v>61</v>
      </c>
      <c r="AW543" t="s">
        <v>61</v>
      </c>
      <c r="AX543" t="s">
        <v>61</v>
      </c>
      <c r="AY543" t="s">
        <v>61</v>
      </c>
      <c r="AZ543" t="s">
        <v>61</v>
      </c>
      <c r="BA543" t="s">
        <v>61</v>
      </c>
      <c r="BB543" t="s">
        <v>61</v>
      </c>
      <c r="BC543" t="s">
        <v>61</v>
      </c>
      <c r="BD543" t="s">
        <v>61</v>
      </c>
      <c r="BE543" t="s">
        <v>61</v>
      </c>
      <c r="BF543" t="s">
        <v>61</v>
      </c>
    </row>
    <row r="544" spans="1:58">
      <c r="A544" t="s">
        <v>58</v>
      </c>
      <c r="B544" t="s">
        <v>4545</v>
      </c>
      <c r="C544" t="s">
        <v>4546</v>
      </c>
      <c r="D544" t="s">
        <v>1454</v>
      </c>
      <c r="E544" t="s">
        <v>1455</v>
      </c>
      <c r="F544">
        <v>1989</v>
      </c>
      <c r="G544" t="s">
        <v>61</v>
      </c>
      <c r="H544">
        <v>19</v>
      </c>
      <c r="I544">
        <v>1</v>
      </c>
      <c r="J544">
        <v>1</v>
      </c>
      <c r="K544">
        <v>19</v>
      </c>
      <c r="L544" t="s">
        <v>4547</v>
      </c>
      <c r="M544" t="s">
        <v>4548</v>
      </c>
      <c r="N544" t="s">
        <v>4549</v>
      </c>
      <c r="O544" t="s">
        <v>61</v>
      </c>
      <c r="Q544" t="s">
        <v>61</v>
      </c>
      <c r="R544" t="s">
        <v>61</v>
      </c>
      <c r="S544" t="s">
        <v>61</v>
      </c>
      <c r="T544" t="s">
        <v>61</v>
      </c>
      <c r="X544" t="s">
        <v>61</v>
      </c>
      <c r="Y544" t="s">
        <v>1459</v>
      </c>
      <c r="Z544" t="s">
        <v>61</v>
      </c>
      <c r="AA544" t="s">
        <v>61</v>
      </c>
      <c r="AB544">
        <v>2656965</v>
      </c>
      <c r="AC544" t="s">
        <v>67</v>
      </c>
      <c r="AD544" t="s">
        <v>61</v>
      </c>
      <c r="AE544" t="s">
        <v>61</v>
      </c>
      <c r="AF544" t="s">
        <v>61</v>
      </c>
      <c r="AG544" t="s">
        <v>4550</v>
      </c>
      <c r="AH544" t="s">
        <v>61</v>
      </c>
      <c r="AI544" t="s">
        <v>61</v>
      </c>
      <c r="AJ544" t="s">
        <v>61</v>
      </c>
      <c r="AK544" t="s">
        <v>61</v>
      </c>
      <c r="AL544" t="s">
        <v>61</v>
      </c>
      <c r="AM544" t="s">
        <v>4551</v>
      </c>
      <c r="AN544" t="s">
        <v>61</v>
      </c>
      <c r="AO544" t="s">
        <v>61</v>
      </c>
      <c r="AP544" t="s">
        <v>61</v>
      </c>
      <c r="AQ544" t="s">
        <v>61</v>
      </c>
      <c r="AR544" t="s">
        <v>61</v>
      </c>
      <c r="AS544" t="s">
        <v>61</v>
      </c>
      <c r="AT544" t="s">
        <v>61</v>
      </c>
      <c r="AU544" t="s">
        <v>61</v>
      </c>
      <c r="AV544" t="s">
        <v>61</v>
      </c>
      <c r="AW544" t="s">
        <v>61</v>
      </c>
      <c r="AX544" t="s">
        <v>61</v>
      </c>
      <c r="AY544" t="s">
        <v>61</v>
      </c>
      <c r="AZ544" t="s">
        <v>61</v>
      </c>
      <c r="BA544" t="s">
        <v>61</v>
      </c>
      <c r="BB544" t="s">
        <v>61</v>
      </c>
      <c r="BC544" t="s">
        <v>61</v>
      </c>
      <c r="BD544" t="s">
        <v>61</v>
      </c>
      <c r="BE544" t="s">
        <v>61</v>
      </c>
      <c r="BF544" t="s">
        <v>61</v>
      </c>
    </row>
    <row r="545" spans="1:58">
      <c r="A545" t="s">
        <v>58</v>
      </c>
      <c r="B545" t="s">
        <v>4552</v>
      </c>
      <c r="C545" t="s">
        <v>4553</v>
      </c>
      <c r="D545" t="s">
        <v>937</v>
      </c>
      <c r="E545" t="s">
        <v>61</v>
      </c>
      <c r="F545">
        <v>2012</v>
      </c>
      <c r="G545" t="s">
        <v>457</v>
      </c>
      <c r="H545" t="s">
        <v>1500</v>
      </c>
      <c r="I545" t="s">
        <v>61</v>
      </c>
      <c r="J545" t="s">
        <v>4554</v>
      </c>
      <c r="K545" t="s">
        <v>61</v>
      </c>
      <c r="L545" t="s">
        <v>4555</v>
      </c>
      <c r="M545" t="s">
        <v>4556</v>
      </c>
      <c r="N545" t="s">
        <v>4557</v>
      </c>
      <c r="O545" t="s">
        <v>61</v>
      </c>
      <c r="Q545" t="s">
        <v>61</v>
      </c>
      <c r="R545" t="s">
        <v>61</v>
      </c>
      <c r="S545" t="s">
        <v>61</v>
      </c>
      <c r="T545" t="s">
        <v>61</v>
      </c>
      <c r="X545" t="s">
        <v>61</v>
      </c>
      <c r="Y545" t="s">
        <v>367</v>
      </c>
      <c r="Z545" t="s">
        <v>61</v>
      </c>
      <c r="AA545" t="s">
        <v>61</v>
      </c>
      <c r="AB545" t="s">
        <v>61</v>
      </c>
      <c r="AC545" t="s">
        <v>67</v>
      </c>
      <c r="AD545" t="s">
        <v>61</v>
      </c>
      <c r="AE545" t="s">
        <v>61</v>
      </c>
      <c r="AF545" t="s">
        <v>61</v>
      </c>
      <c r="AG545" t="s">
        <v>61</v>
      </c>
      <c r="AH545" t="s">
        <v>61</v>
      </c>
      <c r="AI545" t="s">
        <v>61</v>
      </c>
      <c r="AJ545" t="s">
        <v>61</v>
      </c>
      <c r="AK545" t="s">
        <v>61</v>
      </c>
      <c r="AL545" t="s">
        <v>61</v>
      </c>
      <c r="AM545" t="s">
        <v>4553</v>
      </c>
      <c r="AN545" t="s">
        <v>61</v>
      </c>
      <c r="AO545" t="s">
        <v>61</v>
      </c>
      <c r="AP545" t="s">
        <v>61</v>
      </c>
      <c r="AQ545" t="s">
        <v>61</v>
      </c>
      <c r="AR545" t="s">
        <v>61</v>
      </c>
      <c r="AS545" t="s">
        <v>61</v>
      </c>
      <c r="AT545" t="s">
        <v>61</v>
      </c>
      <c r="AU545" t="s">
        <v>61</v>
      </c>
      <c r="AV545" t="s">
        <v>61</v>
      </c>
      <c r="AW545" t="s">
        <v>61</v>
      </c>
      <c r="AX545" t="s">
        <v>61</v>
      </c>
      <c r="AY545" t="s">
        <v>61</v>
      </c>
      <c r="AZ545" t="s">
        <v>61</v>
      </c>
      <c r="BA545" t="s">
        <v>61</v>
      </c>
      <c r="BB545" t="s">
        <v>61</v>
      </c>
      <c r="BC545" t="s">
        <v>61</v>
      </c>
      <c r="BD545" t="s">
        <v>61</v>
      </c>
      <c r="BE545" t="s">
        <v>61</v>
      </c>
      <c r="BF545" t="s">
        <v>61</v>
      </c>
    </row>
    <row r="546" spans="1:58">
      <c r="A546" t="s">
        <v>58</v>
      </c>
      <c r="B546" t="s">
        <v>4558</v>
      </c>
      <c r="C546" t="s">
        <v>4559</v>
      </c>
      <c r="D546" t="s">
        <v>627</v>
      </c>
      <c r="E546" t="s">
        <v>61</v>
      </c>
      <c r="F546">
        <v>2015</v>
      </c>
      <c r="G546" t="s">
        <v>628</v>
      </c>
      <c r="H546">
        <v>55</v>
      </c>
      <c r="I546">
        <v>2</v>
      </c>
      <c r="J546" t="s">
        <v>4560</v>
      </c>
      <c r="K546" t="s">
        <v>4561</v>
      </c>
      <c r="L546" t="s">
        <v>4562</v>
      </c>
      <c r="M546" t="s">
        <v>4563</v>
      </c>
      <c r="N546" t="s">
        <v>4564</v>
      </c>
      <c r="O546" t="s">
        <v>61</v>
      </c>
      <c r="Q546" t="s">
        <v>61</v>
      </c>
      <c r="R546" t="s">
        <v>61</v>
      </c>
      <c r="S546" t="s">
        <v>61</v>
      </c>
      <c r="T546" t="s">
        <v>61</v>
      </c>
      <c r="X546" t="s">
        <v>61</v>
      </c>
      <c r="Y546" t="s">
        <v>632</v>
      </c>
      <c r="Z546" t="s">
        <v>61</v>
      </c>
      <c r="AA546" t="s">
        <v>61</v>
      </c>
      <c r="AB546" t="s">
        <v>61</v>
      </c>
      <c r="AC546" t="s">
        <v>67</v>
      </c>
      <c r="AD546" t="s">
        <v>61</v>
      </c>
      <c r="AE546" t="s">
        <v>61</v>
      </c>
      <c r="AF546" t="s">
        <v>61</v>
      </c>
      <c r="AG546" t="s">
        <v>61</v>
      </c>
      <c r="AH546" t="s">
        <v>61</v>
      </c>
      <c r="AI546" t="s">
        <v>61</v>
      </c>
      <c r="AJ546" t="s">
        <v>61</v>
      </c>
      <c r="AK546" t="s">
        <v>61</v>
      </c>
      <c r="AL546" t="s">
        <v>61</v>
      </c>
      <c r="AM546" t="s">
        <v>4559</v>
      </c>
      <c r="AN546" t="s">
        <v>61</v>
      </c>
      <c r="AO546" t="s">
        <v>61</v>
      </c>
      <c r="AP546" t="s">
        <v>61</v>
      </c>
      <c r="AQ546" t="s">
        <v>61</v>
      </c>
      <c r="AR546" t="s">
        <v>61</v>
      </c>
      <c r="AS546" t="s">
        <v>61</v>
      </c>
      <c r="AT546" t="s">
        <v>61</v>
      </c>
      <c r="AU546" t="s">
        <v>61</v>
      </c>
      <c r="AV546" t="s">
        <v>61</v>
      </c>
      <c r="AW546" t="s">
        <v>61</v>
      </c>
      <c r="AX546" t="s">
        <v>61</v>
      </c>
      <c r="AY546" t="s">
        <v>61</v>
      </c>
      <c r="AZ546" t="s">
        <v>61</v>
      </c>
      <c r="BA546" t="s">
        <v>61</v>
      </c>
      <c r="BB546" t="s">
        <v>61</v>
      </c>
      <c r="BC546" t="s">
        <v>61</v>
      </c>
      <c r="BD546" t="s">
        <v>61</v>
      </c>
      <c r="BE546" t="s">
        <v>61</v>
      </c>
      <c r="BF546" t="s">
        <v>61</v>
      </c>
    </row>
    <row r="547" spans="1:58">
      <c r="A547" t="s">
        <v>58</v>
      </c>
      <c r="B547" t="s">
        <v>4565</v>
      </c>
      <c r="C547" t="s">
        <v>4566</v>
      </c>
      <c r="D547" t="s">
        <v>4567</v>
      </c>
      <c r="E547" t="s">
        <v>4568</v>
      </c>
      <c r="F547">
        <v>1999</v>
      </c>
      <c r="G547" t="s">
        <v>851</v>
      </c>
      <c r="H547">
        <v>6</v>
      </c>
      <c r="I547">
        <v>6</v>
      </c>
      <c r="J547">
        <v>341</v>
      </c>
      <c r="K547">
        <v>348</v>
      </c>
      <c r="L547" t="s">
        <v>4569</v>
      </c>
      <c r="M547" t="s">
        <v>4570</v>
      </c>
      <c r="N547" t="s">
        <v>4571</v>
      </c>
      <c r="O547" t="s">
        <v>61</v>
      </c>
      <c r="Q547" t="s">
        <v>61</v>
      </c>
      <c r="R547" t="s">
        <v>61</v>
      </c>
      <c r="S547" t="s">
        <v>61</v>
      </c>
      <c r="T547" t="s">
        <v>61</v>
      </c>
      <c r="X547" t="s">
        <v>61</v>
      </c>
      <c r="Y547" t="s">
        <v>4572</v>
      </c>
      <c r="Z547" t="s">
        <v>61</v>
      </c>
      <c r="AA547" t="s">
        <v>4573</v>
      </c>
      <c r="AB547">
        <v>11329119</v>
      </c>
      <c r="AC547" t="s">
        <v>67</v>
      </c>
      <c r="AD547" t="s">
        <v>61</v>
      </c>
      <c r="AE547" t="s">
        <v>61</v>
      </c>
      <c r="AF547" t="s">
        <v>61</v>
      </c>
      <c r="AG547" t="s">
        <v>4574</v>
      </c>
      <c r="AH547" t="s">
        <v>61</v>
      </c>
      <c r="AI547" t="s">
        <v>61</v>
      </c>
      <c r="AJ547" t="s">
        <v>61</v>
      </c>
      <c r="AK547" t="s">
        <v>61</v>
      </c>
      <c r="AL547" t="s">
        <v>61</v>
      </c>
      <c r="AM547" t="s">
        <v>4575</v>
      </c>
      <c r="AN547" t="s">
        <v>61</v>
      </c>
      <c r="AO547" t="s">
        <v>61</v>
      </c>
      <c r="AP547" t="s">
        <v>61</v>
      </c>
      <c r="AQ547" t="s">
        <v>61</v>
      </c>
      <c r="AR547" t="s">
        <v>61</v>
      </c>
      <c r="AS547" t="s">
        <v>61</v>
      </c>
      <c r="AT547" t="s">
        <v>61</v>
      </c>
      <c r="AU547" t="s">
        <v>61</v>
      </c>
      <c r="AV547" t="s">
        <v>61</v>
      </c>
      <c r="AW547" t="s">
        <v>61</v>
      </c>
      <c r="AX547" t="s">
        <v>61</v>
      </c>
      <c r="AY547" t="s">
        <v>61</v>
      </c>
      <c r="AZ547" t="s">
        <v>61</v>
      </c>
      <c r="BA547" t="s">
        <v>61</v>
      </c>
      <c r="BB547" t="s">
        <v>61</v>
      </c>
      <c r="BC547" t="s">
        <v>61</v>
      </c>
      <c r="BD547" t="s">
        <v>61</v>
      </c>
      <c r="BE547" t="s">
        <v>61</v>
      </c>
      <c r="BF547" t="s">
        <v>61</v>
      </c>
    </row>
    <row r="548" spans="1:58">
      <c r="A548" t="s">
        <v>58</v>
      </c>
      <c r="B548" t="s">
        <v>4576</v>
      </c>
      <c r="C548" t="s">
        <v>4577</v>
      </c>
      <c r="D548" t="s">
        <v>1000</v>
      </c>
      <c r="E548" t="s">
        <v>1000</v>
      </c>
      <c r="F548">
        <v>1997</v>
      </c>
      <c r="G548" t="s">
        <v>61</v>
      </c>
      <c r="H548">
        <v>92</v>
      </c>
      <c r="I548">
        <v>10</v>
      </c>
      <c r="J548">
        <v>1241</v>
      </c>
      <c r="K548">
        <v>1254</v>
      </c>
      <c r="L548" t="s">
        <v>4578</v>
      </c>
      <c r="M548" t="s">
        <v>4579</v>
      </c>
      <c r="N548" t="s">
        <v>4580</v>
      </c>
      <c r="O548" t="s">
        <v>61</v>
      </c>
      <c r="Q548" t="s">
        <v>61</v>
      </c>
      <c r="R548" t="s">
        <v>61</v>
      </c>
      <c r="S548" t="s">
        <v>61</v>
      </c>
      <c r="T548" t="s">
        <v>61</v>
      </c>
      <c r="X548" t="s">
        <v>61</v>
      </c>
      <c r="Y548" t="s">
        <v>1004</v>
      </c>
      <c r="Z548" t="s">
        <v>61</v>
      </c>
      <c r="AA548" t="s">
        <v>61</v>
      </c>
      <c r="AB548">
        <v>1997338803</v>
      </c>
      <c r="AC548" t="s">
        <v>67</v>
      </c>
      <c r="AD548" t="s">
        <v>61</v>
      </c>
      <c r="AE548" t="s">
        <v>61</v>
      </c>
      <c r="AF548" t="s">
        <v>61</v>
      </c>
      <c r="AG548" t="s">
        <v>4581</v>
      </c>
      <c r="AH548" t="s">
        <v>61</v>
      </c>
      <c r="AI548" t="s">
        <v>61</v>
      </c>
      <c r="AJ548" t="s">
        <v>61</v>
      </c>
      <c r="AK548" t="s">
        <v>61</v>
      </c>
      <c r="AL548" t="s">
        <v>61</v>
      </c>
      <c r="AM548" t="s">
        <v>4582</v>
      </c>
      <c r="AN548" t="s">
        <v>61</v>
      </c>
      <c r="AO548" t="s">
        <v>61</v>
      </c>
      <c r="AP548" t="s">
        <v>61</v>
      </c>
      <c r="AQ548" t="s">
        <v>61</v>
      </c>
      <c r="AR548" t="s">
        <v>61</v>
      </c>
      <c r="AS548" t="s">
        <v>61</v>
      </c>
      <c r="AT548" t="s">
        <v>61</v>
      </c>
      <c r="AU548" t="s">
        <v>61</v>
      </c>
      <c r="AV548" t="s">
        <v>61</v>
      </c>
      <c r="AW548" t="s">
        <v>61</v>
      </c>
      <c r="AX548" t="s">
        <v>61</v>
      </c>
      <c r="AY548" t="s">
        <v>61</v>
      </c>
      <c r="AZ548" t="s">
        <v>61</v>
      </c>
      <c r="BA548" t="s">
        <v>61</v>
      </c>
      <c r="BB548" t="s">
        <v>61</v>
      </c>
      <c r="BC548" t="s">
        <v>61</v>
      </c>
      <c r="BD548" t="s">
        <v>61</v>
      </c>
      <c r="BE548" t="s">
        <v>61</v>
      </c>
      <c r="BF548" t="s">
        <v>61</v>
      </c>
    </row>
    <row r="549" spans="1:58">
      <c r="A549" t="s">
        <v>58</v>
      </c>
      <c r="B549" t="s">
        <v>4583</v>
      </c>
      <c r="C549" t="s">
        <v>4584</v>
      </c>
      <c r="D549" t="s">
        <v>4585</v>
      </c>
      <c r="E549" t="s">
        <v>4586</v>
      </c>
      <c r="F549">
        <v>2010</v>
      </c>
      <c r="G549" t="s">
        <v>61</v>
      </c>
      <c r="H549">
        <v>33</v>
      </c>
      <c r="I549">
        <v>1</v>
      </c>
      <c r="J549">
        <v>81</v>
      </c>
      <c r="K549" t="s">
        <v>4587</v>
      </c>
      <c r="L549" t="s">
        <v>4588</v>
      </c>
      <c r="M549" t="s">
        <v>4589</v>
      </c>
      <c r="N549" t="s">
        <v>4590</v>
      </c>
      <c r="O549" t="s">
        <v>61</v>
      </c>
      <c r="Q549" t="s">
        <v>61</v>
      </c>
      <c r="R549" t="s">
        <v>61</v>
      </c>
      <c r="S549" t="s">
        <v>61</v>
      </c>
      <c r="T549" t="s">
        <v>61</v>
      </c>
      <c r="X549" t="s">
        <v>61</v>
      </c>
      <c r="Y549" t="s">
        <v>4591</v>
      </c>
      <c r="Z549" t="s">
        <v>61</v>
      </c>
      <c r="AA549" t="s">
        <v>4592</v>
      </c>
      <c r="AB549">
        <v>105128520</v>
      </c>
      <c r="AC549" t="s">
        <v>67</v>
      </c>
      <c r="AD549" t="s">
        <v>61</v>
      </c>
      <c r="AE549" t="s">
        <v>61</v>
      </c>
      <c r="AF549" t="s">
        <v>61</v>
      </c>
      <c r="AG549" t="s">
        <v>4593</v>
      </c>
      <c r="AH549" t="s">
        <v>61</v>
      </c>
      <c r="AI549" t="s">
        <v>4594</v>
      </c>
      <c r="AJ549" t="s">
        <v>61</v>
      </c>
      <c r="AK549" t="s">
        <v>61</v>
      </c>
      <c r="AL549" t="s">
        <v>61</v>
      </c>
      <c r="AM549" t="s">
        <v>4595</v>
      </c>
      <c r="AN549" t="s">
        <v>61</v>
      </c>
      <c r="AO549" t="s">
        <v>61</v>
      </c>
      <c r="AP549" t="s">
        <v>61</v>
      </c>
      <c r="AQ549" t="s">
        <v>61</v>
      </c>
      <c r="AR549" t="s">
        <v>61</v>
      </c>
      <c r="AS549" t="s">
        <v>61</v>
      </c>
      <c r="AT549" t="s">
        <v>61</v>
      </c>
      <c r="AU549" t="s">
        <v>61</v>
      </c>
      <c r="AV549" t="s">
        <v>61</v>
      </c>
      <c r="AW549" t="s">
        <v>61</v>
      </c>
      <c r="AX549" t="s">
        <v>61</v>
      </c>
      <c r="AY549" t="s">
        <v>61</v>
      </c>
      <c r="AZ549" t="s">
        <v>61</v>
      </c>
      <c r="BA549" t="s">
        <v>61</v>
      </c>
      <c r="BB549" t="s">
        <v>61</v>
      </c>
      <c r="BC549" t="s">
        <v>61</v>
      </c>
      <c r="BD549" t="s">
        <v>61</v>
      </c>
      <c r="BE549" t="s">
        <v>61</v>
      </c>
      <c r="BF549" t="s">
        <v>61</v>
      </c>
    </row>
    <row r="550" spans="1:58">
      <c r="A550" t="s">
        <v>58</v>
      </c>
      <c r="B550" t="s">
        <v>4596</v>
      </c>
      <c r="C550" t="s">
        <v>4597</v>
      </c>
      <c r="D550" t="s">
        <v>428</v>
      </c>
      <c r="E550" t="s">
        <v>61</v>
      </c>
      <c r="F550">
        <v>2012</v>
      </c>
      <c r="G550" t="s">
        <v>429</v>
      </c>
      <c r="H550">
        <v>25</v>
      </c>
      <c r="I550">
        <v>2</v>
      </c>
      <c r="J550">
        <v>300</v>
      </c>
      <c r="K550">
        <v>301</v>
      </c>
      <c r="L550" t="s">
        <v>4598</v>
      </c>
      <c r="M550" t="s">
        <v>4599</v>
      </c>
      <c r="N550" t="s">
        <v>4600</v>
      </c>
      <c r="O550" t="s">
        <v>61</v>
      </c>
      <c r="Q550" t="s">
        <v>61</v>
      </c>
      <c r="R550" t="s">
        <v>61</v>
      </c>
      <c r="S550" t="s">
        <v>61</v>
      </c>
      <c r="T550" t="s">
        <v>61</v>
      </c>
      <c r="X550" t="s">
        <v>61</v>
      </c>
      <c r="Y550" t="s">
        <v>433</v>
      </c>
      <c r="Z550" t="s">
        <v>61</v>
      </c>
      <c r="AA550" t="s">
        <v>61</v>
      </c>
      <c r="AB550" t="s">
        <v>61</v>
      </c>
      <c r="AC550" t="s">
        <v>67</v>
      </c>
      <c r="AD550" t="s">
        <v>61</v>
      </c>
      <c r="AE550" t="s">
        <v>61</v>
      </c>
      <c r="AF550" t="s">
        <v>61</v>
      </c>
      <c r="AG550" t="s">
        <v>61</v>
      </c>
      <c r="AH550" t="s">
        <v>61</v>
      </c>
      <c r="AI550" t="s">
        <v>61</v>
      </c>
      <c r="AJ550" t="s">
        <v>61</v>
      </c>
      <c r="AK550" t="s">
        <v>61</v>
      </c>
      <c r="AL550" t="s">
        <v>61</v>
      </c>
      <c r="AM550" t="s">
        <v>4597</v>
      </c>
      <c r="AN550" t="s">
        <v>61</v>
      </c>
      <c r="AO550" t="s">
        <v>61</v>
      </c>
      <c r="AP550" t="s">
        <v>61</v>
      </c>
      <c r="AQ550" t="s">
        <v>61</v>
      </c>
      <c r="AR550" t="s">
        <v>61</v>
      </c>
      <c r="AS550" t="s">
        <v>61</v>
      </c>
      <c r="AT550" t="s">
        <v>61</v>
      </c>
      <c r="AU550" t="s">
        <v>61</v>
      </c>
      <c r="AV550" t="s">
        <v>61</v>
      </c>
      <c r="AW550" t="s">
        <v>61</v>
      </c>
      <c r="AX550" t="s">
        <v>61</v>
      </c>
      <c r="AY550" t="s">
        <v>61</v>
      </c>
      <c r="AZ550" t="s">
        <v>61</v>
      </c>
      <c r="BA550" t="s">
        <v>61</v>
      </c>
      <c r="BB550" t="s">
        <v>61</v>
      </c>
      <c r="BC550" t="s">
        <v>61</v>
      </c>
      <c r="BD550" t="s">
        <v>61</v>
      </c>
      <c r="BE550" t="s">
        <v>61</v>
      </c>
      <c r="BF550" t="s">
        <v>61</v>
      </c>
    </row>
    <row r="551" spans="1:58">
      <c r="A551" t="s">
        <v>58</v>
      </c>
      <c r="B551" t="s">
        <v>4601</v>
      </c>
      <c r="C551" t="s">
        <v>4602</v>
      </c>
      <c r="D551" t="s">
        <v>4603</v>
      </c>
      <c r="E551" t="s">
        <v>4604</v>
      </c>
      <c r="F551">
        <v>2009</v>
      </c>
      <c r="G551" t="s">
        <v>418</v>
      </c>
      <c r="H551">
        <v>54</v>
      </c>
      <c r="I551">
        <v>8</v>
      </c>
      <c r="J551">
        <v>1082</v>
      </c>
      <c r="K551">
        <v>1090</v>
      </c>
      <c r="L551" t="s">
        <v>4605</v>
      </c>
      <c r="M551" t="s">
        <v>4606</v>
      </c>
      <c r="N551" t="s">
        <v>4607</v>
      </c>
      <c r="O551" t="s">
        <v>61</v>
      </c>
      <c r="Q551" t="s">
        <v>61</v>
      </c>
      <c r="R551" t="s">
        <v>61</v>
      </c>
      <c r="S551" t="s">
        <v>61</v>
      </c>
      <c r="T551" t="s">
        <v>61</v>
      </c>
      <c r="X551" t="s">
        <v>61</v>
      </c>
      <c r="Y551" t="s">
        <v>4608</v>
      </c>
      <c r="Z551" t="s">
        <v>61</v>
      </c>
      <c r="AA551" t="s">
        <v>4609</v>
      </c>
      <c r="AB551">
        <v>19650948</v>
      </c>
      <c r="AC551" t="s">
        <v>67</v>
      </c>
      <c r="AD551" t="s">
        <v>61</v>
      </c>
      <c r="AE551" t="s">
        <v>61</v>
      </c>
      <c r="AF551" t="s">
        <v>61</v>
      </c>
      <c r="AG551" t="s">
        <v>4610</v>
      </c>
      <c r="AH551" t="s">
        <v>61</v>
      </c>
      <c r="AI551" t="s">
        <v>61</v>
      </c>
      <c r="AJ551" t="s">
        <v>61</v>
      </c>
      <c r="AK551" t="s">
        <v>61</v>
      </c>
      <c r="AL551" t="s">
        <v>61</v>
      </c>
      <c r="AM551" t="s">
        <v>4611</v>
      </c>
      <c r="AN551" t="s">
        <v>61</v>
      </c>
      <c r="AO551" t="s">
        <v>61</v>
      </c>
      <c r="AP551" t="s">
        <v>61</v>
      </c>
      <c r="AQ551" t="s">
        <v>61</v>
      </c>
      <c r="AR551" t="s">
        <v>61</v>
      </c>
      <c r="AS551" t="s">
        <v>61</v>
      </c>
      <c r="AT551" t="s">
        <v>61</v>
      </c>
      <c r="AU551" t="s">
        <v>61</v>
      </c>
      <c r="AV551" t="s">
        <v>61</v>
      </c>
      <c r="AW551" t="s">
        <v>61</v>
      </c>
      <c r="AX551" t="s">
        <v>61</v>
      </c>
      <c r="AY551" t="s">
        <v>61</v>
      </c>
      <c r="AZ551" t="s">
        <v>61</v>
      </c>
      <c r="BA551" t="s">
        <v>61</v>
      </c>
      <c r="BB551" t="s">
        <v>61</v>
      </c>
      <c r="BC551" t="s">
        <v>61</v>
      </c>
      <c r="BD551" t="s">
        <v>61</v>
      </c>
      <c r="BE551" t="s">
        <v>61</v>
      </c>
      <c r="BF551" t="s">
        <v>61</v>
      </c>
    </row>
    <row r="552" spans="1:58">
      <c r="A552" t="s">
        <v>58</v>
      </c>
      <c r="B552" t="s">
        <v>4612</v>
      </c>
      <c r="C552" t="s">
        <v>4613</v>
      </c>
      <c r="D552" t="s">
        <v>1637</v>
      </c>
      <c r="E552" t="s">
        <v>1638</v>
      </c>
      <c r="F552">
        <v>2013</v>
      </c>
      <c r="G552" t="s">
        <v>61</v>
      </c>
      <c r="H552">
        <v>66</v>
      </c>
      <c r="I552">
        <v>4</v>
      </c>
      <c r="J552">
        <v>266</v>
      </c>
      <c r="K552" t="s">
        <v>61</v>
      </c>
      <c r="L552" t="s">
        <v>4614</v>
      </c>
      <c r="M552" t="s">
        <v>4615</v>
      </c>
      <c r="N552" t="s">
        <v>4616</v>
      </c>
      <c r="O552" t="s">
        <v>61</v>
      </c>
      <c r="Q552" t="s">
        <v>61</v>
      </c>
      <c r="R552" t="s">
        <v>61</v>
      </c>
      <c r="S552" t="s">
        <v>61</v>
      </c>
      <c r="T552" t="s">
        <v>61</v>
      </c>
      <c r="X552" t="s">
        <v>61</v>
      </c>
      <c r="Y552" s="2">
        <v>812148</v>
      </c>
      <c r="Z552" t="s">
        <v>61</v>
      </c>
      <c r="AA552" t="s">
        <v>61</v>
      </c>
      <c r="AB552" t="s">
        <v>61</v>
      </c>
      <c r="AC552" t="s">
        <v>67</v>
      </c>
      <c r="AD552" t="s">
        <v>61</v>
      </c>
      <c r="AE552" t="s">
        <v>61</v>
      </c>
      <c r="AF552" t="s">
        <v>61</v>
      </c>
      <c r="AG552" t="s">
        <v>61</v>
      </c>
      <c r="AH552" t="s">
        <v>61</v>
      </c>
      <c r="AI552" t="s">
        <v>61</v>
      </c>
      <c r="AJ552" t="s">
        <v>61</v>
      </c>
      <c r="AK552" t="s">
        <v>61</v>
      </c>
      <c r="AL552" t="s">
        <v>61</v>
      </c>
      <c r="AM552" t="s">
        <v>4613</v>
      </c>
      <c r="AN552" t="s">
        <v>61</v>
      </c>
      <c r="AO552" t="s">
        <v>61</v>
      </c>
      <c r="AP552" t="s">
        <v>61</v>
      </c>
      <c r="AQ552" t="s">
        <v>61</v>
      </c>
      <c r="AR552" t="s">
        <v>61</v>
      </c>
      <c r="AS552" t="s">
        <v>61</v>
      </c>
      <c r="AT552" t="s">
        <v>61</v>
      </c>
      <c r="AU552" t="s">
        <v>61</v>
      </c>
      <c r="AV552" t="s">
        <v>61</v>
      </c>
      <c r="AW552" t="s">
        <v>61</v>
      </c>
      <c r="AX552" t="s">
        <v>61</v>
      </c>
      <c r="AY552" t="s">
        <v>61</v>
      </c>
      <c r="AZ552" t="s">
        <v>61</v>
      </c>
      <c r="BA552" t="s">
        <v>61</v>
      </c>
      <c r="BB552" t="s">
        <v>61</v>
      </c>
      <c r="BC552" t="s">
        <v>61</v>
      </c>
      <c r="BD552" t="s">
        <v>61</v>
      </c>
      <c r="BE552" t="s">
        <v>61</v>
      </c>
      <c r="BF552" t="s">
        <v>61</v>
      </c>
    </row>
    <row r="553" spans="1:58">
      <c r="A553" t="s">
        <v>58</v>
      </c>
      <c r="B553" t="s">
        <v>4617</v>
      </c>
      <c r="C553" t="s">
        <v>4618</v>
      </c>
      <c r="D553" t="s">
        <v>1321</v>
      </c>
      <c r="E553" t="s">
        <v>61</v>
      </c>
      <c r="F553">
        <v>2012</v>
      </c>
      <c r="G553" s="1">
        <v>42415</v>
      </c>
      <c r="H553">
        <v>32</v>
      </c>
      <c r="I553">
        <v>7</v>
      </c>
      <c r="J553">
        <v>2314</v>
      </c>
      <c r="K553">
        <v>2323</v>
      </c>
      <c r="L553" t="s">
        <v>4619</v>
      </c>
      <c r="M553" t="s">
        <v>4620</v>
      </c>
      <c r="N553" t="s">
        <v>4621</v>
      </c>
      <c r="O553" t="s">
        <v>61</v>
      </c>
      <c r="Q553" t="s">
        <v>61</v>
      </c>
      <c r="R553" t="s">
        <v>61</v>
      </c>
      <c r="S553" t="s">
        <v>61</v>
      </c>
      <c r="T553" t="s">
        <v>61</v>
      </c>
      <c r="X553" t="s">
        <v>61</v>
      </c>
      <c r="Y553" t="s">
        <v>1325</v>
      </c>
      <c r="Z553" t="s">
        <v>61</v>
      </c>
      <c r="AA553" t="s">
        <v>4622</v>
      </c>
      <c r="AB553">
        <v>22396406</v>
      </c>
      <c r="AC553" t="s">
        <v>67</v>
      </c>
      <c r="AD553" t="s">
        <v>61</v>
      </c>
      <c r="AE553" t="s">
        <v>61</v>
      </c>
      <c r="AF553" t="s">
        <v>61</v>
      </c>
      <c r="AG553" t="s">
        <v>4623</v>
      </c>
      <c r="AH553" t="s">
        <v>61</v>
      </c>
      <c r="AI553" t="s">
        <v>4624</v>
      </c>
      <c r="AJ553" t="s">
        <v>61</v>
      </c>
      <c r="AK553" t="s">
        <v>61</v>
      </c>
      <c r="AL553" t="s">
        <v>61</v>
      </c>
      <c r="AM553" t="s">
        <v>4625</v>
      </c>
      <c r="AN553" t="s">
        <v>61</v>
      </c>
      <c r="AO553" t="s">
        <v>61</v>
      </c>
      <c r="AP553" t="s">
        <v>61</v>
      </c>
      <c r="AQ553" t="s">
        <v>61</v>
      </c>
      <c r="AR553" t="s">
        <v>61</v>
      </c>
      <c r="AS553" t="s">
        <v>61</v>
      </c>
      <c r="AT553" t="s">
        <v>61</v>
      </c>
      <c r="AU553" t="s">
        <v>61</v>
      </c>
      <c r="AV553" t="s">
        <v>61</v>
      </c>
      <c r="AW553" t="s">
        <v>61</v>
      </c>
      <c r="AX553" t="s">
        <v>61</v>
      </c>
      <c r="AY553" t="s">
        <v>61</v>
      </c>
      <c r="AZ553" t="s">
        <v>61</v>
      </c>
      <c r="BA553" t="s">
        <v>61</v>
      </c>
      <c r="BB553" t="s">
        <v>61</v>
      </c>
      <c r="BC553" t="s">
        <v>61</v>
      </c>
      <c r="BD553" t="s">
        <v>61</v>
      </c>
      <c r="BE553" t="s">
        <v>61</v>
      </c>
      <c r="BF553" t="s">
        <v>61</v>
      </c>
    </row>
    <row r="554" spans="1:58">
      <c r="A554" t="s">
        <v>58</v>
      </c>
      <c r="B554" t="s">
        <v>4626</v>
      </c>
      <c r="C554" t="s">
        <v>4627</v>
      </c>
      <c r="D554" t="s">
        <v>876</v>
      </c>
      <c r="E554" t="s">
        <v>877</v>
      </c>
      <c r="F554">
        <v>1998</v>
      </c>
      <c r="G554" t="s">
        <v>1179</v>
      </c>
      <c r="H554">
        <v>62</v>
      </c>
      <c r="I554">
        <v>3</v>
      </c>
      <c r="J554">
        <v>279</v>
      </c>
      <c r="K554">
        <v>284</v>
      </c>
      <c r="L554" t="s">
        <v>4628</v>
      </c>
      <c r="M554" t="s">
        <v>4629</v>
      </c>
      <c r="N554" t="s">
        <v>4630</v>
      </c>
      <c r="O554" t="s">
        <v>61</v>
      </c>
      <c r="Q554" t="s">
        <v>61</v>
      </c>
      <c r="R554" t="s">
        <v>61</v>
      </c>
      <c r="S554" t="s">
        <v>61</v>
      </c>
      <c r="T554" t="s">
        <v>61</v>
      </c>
      <c r="X554" t="s">
        <v>61</v>
      </c>
      <c r="Y554" s="2">
        <v>2760901</v>
      </c>
      <c r="Z554" t="s">
        <v>61</v>
      </c>
      <c r="AA554" t="s">
        <v>61</v>
      </c>
      <c r="AB554" t="s">
        <v>4631</v>
      </c>
      <c r="AC554" t="s">
        <v>67</v>
      </c>
      <c r="AD554" t="s">
        <v>61</v>
      </c>
      <c r="AE554" t="s">
        <v>61</v>
      </c>
      <c r="AF554" t="s">
        <v>61</v>
      </c>
      <c r="AG554" t="s">
        <v>61</v>
      </c>
      <c r="AH554" t="s">
        <v>61</v>
      </c>
      <c r="AI554" t="s">
        <v>61</v>
      </c>
      <c r="AJ554" t="s">
        <v>61</v>
      </c>
      <c r="AK554" t="s">
        <v>61</v>
      </c>
      <c r="AL554" t="s">
        <v>61</v>
      </c>
      <c r="AM554" t="s">
        <v>4632</v>
      </c>
      <c r="AN554" t="s">
        <v>61</v>
      </c>
      <c r="AO554" t="s">
        <v>61</v>
      </c>
      <c r="AP554" t="s">
        <v>61</v>
      </c>
      <c r="AQ554" t="s">
        <v>61</v>
      </c>
      <c r="AR554" t="s">
        <v>61</v>
      </c>
      <c r="AS554" t="s">
        <v>61</v>
      </c>
      <c r="AT554" t="s">
        <v>61</v>
      </c>
      <c r="AU554" t="s">
        <v>61</v>
      </c>
      <c r="AV554" t="s">
        <v>61</v>
      </c>
      <c r="AW554" t="s">
        <v>61</v>
      </c>
      <c r="AX554" t="s">
        <v>61</v>
      </c>
      <c r="AY554" t="s">
        <v>61</v>
      </c>
      <c r="AZ554" t="s">
        <v>61</v>
      </c>
      <c r="BA554" t="s">
        <v>61</v>
      </c>
      <c r="BB554" t="s">
        <v>61</v>
      </c>
      <c r="BC554" t="s">
        <v>61</v>
      </c>
      <c r="BD554" t="s">
        <v>61</v>
      </c>
      <c r="BE554" t="s">
        <v>61</v>
      </c>
      <c r="BF554" t="s">
        <v>61</v>
      </c>
    </row>
    <row r="555" spans="1:58">
      <c r="A555" t="s">
        <v>58</v>
      </c>
      <c r="B555" t="s">
        <v>4633</v>
      </c>
      <c r="C555" t="s">
        <v>4634</v>
      </c>
      <c r="D555" t="s">
        <v>4635</v>
      </c>
      <c r="E555" t="s">
        <v>4636</v>
      </c>
      <c r="F555">
        <v>2014</v>
      </c>
      <c r="G555" t="s">
        <v>381</v>
      </c>
      <c r="H555" t="s">
        <v>4637</v>
      </c>
      <c r="I555" t="s">
        <v>61</v>
      </c>
      <c r="J555" t="s">
        <v>4638</v>
      </c>
      <c r="K555" t="s">
        <v>61</v>
      </c>
      <c r="L555" t="s">
        <v>4639</v>
      </c>
      <c r="M555" t="s">
        <v>4640</v>
      </c>
      <c r="N555" t="s">
        <v>4641</v>
      </c>
      <c r="O555" t="s">
        <v>61</v>
      </c>
      <c r="Q555" t="s">
        <v>61</v>
      </c>
      <c r="R555" t="s">
        <v>61</v>
      </c>
      <c r="S555" t="s">
        <v>61</v>
      </c>
      <c r="T555" t="s">
        <v>61</v>
      </c>
      <c r="X555" t="s">
        <v>61</v>
      </c>
      <c r="Y555" t="s">
        <v>4080</v>
      </c>
      <c r="Z555" t="s">
        <v>61</v>
      </c>
      <c r="AA555" t="s">
        <v>61</v>
      </c>
      <c r="AB555" t="s">
        <v>61</v>
      </c>
      <c r="AC555" t="s">
        <v>67</v>
      </c>
      <c r="AD555" t="s">
        <v>61</v>
      </c>
      <c r="AE555" t="s">
        <v>61</v>
      </c>
      <c r="AF555" t="s">
        <v>61</v>
      </c>
      <c r="AG555" t="s">
        <v>61</v>
      </c>
      <c r="AH555" t="s">
        <v>61</v>
      </c>
      <c r="AI555" t="s">
        <v>61</v>
      </c>
      <c r="AJ555" t="s">
        <v>61</v>
      </c>
      <c r="AK555" t="s">
        <v>61</v>
      </c>
      <c r="AL555" t="s">
        <v>61</v>
      </c>
      <c r="AM555" t="s">
        <v>4634</v>
      </c>
      <c r="AN555" t="s">
        <v>61</v>
      </c>
      <c r="AO555" t="s">
        <v>61</v>
      </c>
      <c r="AP555" t="s">
        <v>61</v>
      </c>
      <c r="AQ555" t="s">
        <v>61</v>
      </c>
      <c r="AR555" t="s">
        <v>61</v>
      </c>
      <c r="AS555" t="s">
        <v>61</v>
      </c>
      <c r="AT555" t="s">
        <v>61</v>
      </c>
      <c r="AU555" t="s">
        <v>61</v>
      </c>
      <c r="AV555" t="s">
        <v>61</v>
      </c>
      <c r="AW555" t="s">
        <v>61</v>
      </c>
      <c r="AX555" t="s">
        <v>61</v>
      </c>
      <c r="AY555" t="s">
        <v>61</v>
      </c>
      <c r="AZ555" t="s">
        <v>61</v>
      </c>
      <c r="BA555" t="s">
        <v>61</v>
      </c>
      <c r="BB555" t="s">
        <v>61</v>
      </c>
      <c r="BC555" t="s">
        <v>61</v>
      </c>
      <c r="BD555" t="s">
        <v>61</v>
      </c>
      <c r="BE555" t="s">
        <v>61</v>
      </c>
      <c r="BF555" t="s">
        <v>61</v>
      </c>
    </row>
    <row r="556" spans="1:58">
      <c r="A556" t="s">
        <v>58</v>
      </c>
      <c r="B556" t="s">
        <v>4642</v>
      </c>
      <c r="C556" t="s">
        <v>4643</v>
      </c>
      <c r="D556" t="s">
        <v>1151</v>
      </c>
      <c r="E556" t="s">
        <v>61</v>
      </c>
      <c r="F556">
        <v>1999</v>
      </c>
      <c r="G556" t="s">
        <v>61</v>
      </c>
      <c r="H556">
        <v>20</v>
      </c>
      <c r="I556">
        <v>1</v>
      </c>
      <c r="J556">
        <v>33</v>
      </c>
      <c r="K556" t="s">
        <v>4644</v>
      </c>
      <c r="L556" t="s">
        <v>4645</v>
      </c>
      <c r="M556" t="s">
        <v>4646</v>
      </c>
      <c r="N556" t="s">
        <v>4647</v>
      </c>
      <c r="O556" t="s">
        <v>61</v>
      </c>
      <c r="Q556" t="s">
        <v>61</v>
      </c>
      <c r="R556" t="s">
        <v>61</v>
      </c>
      <c r="S556" t="s">
        <v>61</v>
      </c>
      <c r="T556" t="s">
        <v>61</v>
      </c>
      <c r="X556" t="s">
        <v>61</v>
      </c>
      <c r="Y556" t="s">
        <v>1156</v>
      </c>
      <c r="Z556" t="s">
        <v>61</v>
      </c>
      <c r="AA556" t="s">
        <v>4648</v>
      </c>
      <c r="AB556">
        <v>107202174</v>
      </c>
      <c r="AC556" t="s">
        <v>67</v>
      </c>
      <c r="AD556" t="s">
        <v>61</v>
      </c>
      <c r="AE556" t="s">
        <v>61</v>
      </c>
      <c r="AF556" t="s">
        <v>61</v>
      </c>
      <c r="AG556" t="s">
        <v>4649</v>
      </c>
      <c r="AH556" t="s">
        <v>61</v>
      </c>
      <c r="AI556" t="s">
        <v>61</v>
      </c>
      <c r="AJ556" t="s">
        <v>61</v>
      </c>
      <c r="AK556" t="s">
        <v>61</v>
      </c>
      <c r="AL556" t="s">
        <v>61</v>
      </c>
      <c r="AM556" t="s">
        <v>4650</v>
      </c>
      <c r="AN556" t="s">
        <v>61</v>
      </c>
      <c r="AO556" t="s">
        <v>61</v>
      </c>
      <c r="AP556" t="s">
        <v>61</v>
      </c>
      <c r="AQ556" t="s">
        <v>61</v>
      </c>
      <c r="AR556" t="s">
        <v>61</v>
      </c>
      <c r="AS556" t="s">
        <v>61</v>
      </c>
      <c r="AT556" t="s">
        <v>61</v>
      </c>
      <c r="AU556" t="s">
        <v>61</v>
      </c>
      <c r="AV556" t="s">
        <v>61</v>
      </c>
      <c r="AW556" t="s">
        <v>61</v>
      </c>
      <c r="AX556" t="s">
        <v>61</v>
      </c>
      <c r="AY556" t="s">
        <v>61</v>
      </c>
      <c r="AZ556" t="s">
        <v>61</v>
      </c>
      <c r="BA556" t="s">
        <v>61</v>
      </c>
      <c r="BB556" t="s">
        <v>61</v>
      </c>
      <c r="BC556" t="s">
        <v>61</v>
      </c>
      <c r="BD556" t="s">
        <v>61</v>
      </c>
      <c r="BE556" t="s">
        <v>61</v>
      </c>
      <c r="BF556" t="s">
        <v>61</v>
      </c>
    </row>
    <row r="557" spans="1:58">
      <c r="A557" t="s">
        <v>58</v>
      </c>
      <c r="B557" t="s">
        <v>4651</v>
      </c>
      <c r="C557" t="s">
        <v>4652</v>
      </c>
      <c r="D557" t="s">
        <v>428</v>
      </c>
      <c r="E557" t="s">
        <v>61</v>
      </c>
      <c r="F557">
        <v>2012</v>
      </c>
      <c r="G557" t="s">
        <v>429</v>
      </c>
      <c r="H557">
        <v>25</v>
      </c>
      <c r="I557">
        <v>2</v>
      </c>
      <c r="J557">
        <v>278</v>
      </c>
      <c r="K557" t="s">
        <v>61</v>
      </c>
      <c r="L557" t="s">
        <v>4653</v>
      </c>
      <c r="M557" t="s">
        <v>4654</v>
      </c>
      <c r="N557" t="s">
        <v>4655</v>
      </c>
      <c r="O557" t="s">
        <v>61</v>
      </c>
      <c r="Q557" t="s">
        <v>61</v>
      </c>
      <c r="R557" t="s">
        <v>61</v>
      </c>
      <c r="S557" t="s">
        <v>61</v>
      </c>
      <c r="T557" t="s">
        <v>61</v>
      </c>
      <c r="X557" t="s">
        <v>61</v>
      </c>
      <c r="Y557" t="s">
        <v>433</v>
      </c>
      <c r="Z557" t="s">
        <v>61</v>
      </c>
      <c r="AA557" t="s">
        <v>61</v>
      </c>
      <c r="AB557" t="s">
        <v>61</v>
      </c>
      <c r="AC557" t="s">
        <v>67</v>
      </c>
      <c r="AD557" t="s">
        <v>61</v>
      </c>
      <c r="AE557" t="s">
        <v>61</v>
      </c>
      <c r="AF557" t="s">
        <v>61</v>
      </c>
      <c r="AG557" t="s">
        <v>61</v>
      </c>
      <c r="AH557" t="s">
        <v>61</v>
      </c>
      <c r="AI557" t="s">
        <v>61</v>
      </c>
      <c r="AJ557" t="s">
        <v>61</v>
      </c>
      <c r="AK557" t="s">
        <v>61</v>
      </c>
      <c r="AL557" t="s">
        <v>61</v>
      </c>
      <c r="AM557" t="s">
        <v>4652</v>
      </c>
      <c r="AN557" t="s">
        <v>61</v>
      </c>
      <c r="AO557" t="s">
        <v>61</v>
      </c>
      <c r="AP557" t="s">
        <v>61</v>
      </c>
      <c r="AQ557" t="s">
        <v>61</v>
      </c>
      <c r="AR557" t="s">
        <v>61</v>
      </c>
      <c r="AS557" t="s">
        <v>61</v>
      </c>
      <c r="AT557" t="s">
        <v>61</v>
      </c>
      <c r="AU557" t="s">
        <v>61</v>
      </c>
      <c r="AV557" t="s">
        <v>61</v>
      </c>
      <c r="AW557" t="s">
        <v>61</v>
      </c>
      <c r="AX557" t="s">
        <v>61</v>
      </c>
      <c r="AY557" t="s">
        <v>61</v>
      </c>
      <c r="AZ557" t="s">
        <v>61</v>
      </c>
      <c r="BA557" t="s">
        <v>61</v>
      </c>
      <c r="BB557" t="s">
        <v>61</v>
      </c>
      <c r="BC557" t="s">
        <v>61</v>
      </c>
      <c r="BD557" t="s">
        <v>61</v>
      </c>
      <c r="BE557" t="s">
        <v>61</v>
      </c>
      <c r="BF557" t="s">
        <v>61</v>
      </c>
    </row>
    <row r="558" spans="1:58">
      <c r="A558" t="s">
        <v>58</v>
      </c>
      <c r="B558" t="s">
        <v>4656</v>
      </c>
      <c r="C558" t="s">
        <v>4657</v>
      </c>
      <c r="D558" t="s">
        <v>4658</v>
      </c>
      <c r="E558" t="s">
        <v>4659</v>
      </c>
      <c r="F558">
        <v>2015</v>
      </c>
      <c r="G558">
        <v>1</v>
      </c>
      <c r="H558">
        <v>146</v>
      </c>
      <c r="I558" t="s">
        <v>61</v>
      </c>
      <c r="J558" t="s">
        <v>4660</v>
      </c>
      <c r="K558" t="s">
        <v>4661</v>
      </c>
      <c r="L558" t="s">
        <v>4662</v>
      </c>
      <c r="M558" t="s">
        <v>4663</v>
      </c>
      <c r="N558" t="s">
        <v>4664</v>
      </c>
      <c r="O558" t="s">
        <v>61</v>
      </c>
      <c r="Q558" t="s">
        <v>61</v>
      </c>
      <c r="R558" t="s">
        <v>61</v>
      </c>
      <c r="S558" t="s">
        <v>61</v>
      </c>
      <c r="T558" t="s">
        <v>61</v>
      </c>
      <c r="X558" t="s">
        <v>61</v>
      </c>
      <c r="Y558" t="s">
        <v>486</v>
      </c>
      <c r="Z558" t="s">
        <v>61</v>
      </c>
      <c r="AA558" t="s">
        <v>61</v>
      </c>
      <c r="AB558" t="s">
        <v>61</v>
      </c>
      <c r="AC558" t="s">
        <v>67</v>
      </c>
      <c r="AD558" t="s">
        <v>61</v>
      </c>
      <c r="AE558" t="s">
        <v>61</v>
      </c>
      <c r="AF558" t="s">
        <v>61</v>
      </c>
      <c r="AG558" t="s">
        <v>61</v>
      </c>
      <c r="AH558" t="s">
        <v>61</v>
      </c>
      <c r="AI558" t="s">
        <v>61</v>
      </c>
      <c r="AJ558" t="s">
        <v>61</v>
      </c>
      <c r="AK558" t="s">
        <v>61</v>
      </c>
      <c r="AL558" t="s">
        <v>61</v>
      </c>
      <c r="AM558" t="s">
        <v>4657</v>
      </c>
      <c r="AN558" t="s">
        <v>61</v>
      </c>
      <c r="AO558" t="s">
        <v>61</v>
      </c>
      <c r="AP558" t="s">
        <v>61</v>
      </c>
      <c r="AQ558" t="s">
        <v>61</v>
      </c>
      <c r="AR558" t="s">
        <v>61</v>
      </c>
      <c r="AS558" t="s">
        <v>61</v>
      </c>
      <c r="AT558" t="s">
        <v>61</v>
      </c>
      <c r="AU558" t="s">
        <v>61</v>
      </c>
      <c r="AV558" t="s">
        <v>61</v>
      </c>
      <c r="AW558" t="s">
        <v>61</v>
      </c>
      <c r="AX558" t="s">
        <v>61</v>
      </c>
      <c r="AY558" t="s">
        <v>61</v>
      </c>
      <c r="AZ558" t="s">
        <v>61</v>
      </c>
      <c r="BA558" t="s">
        <v>61</v>
      </c>
      <c r="BB558" t="s">
        <v>61</v>
      </c>
      <c r="BC558" t="s">
        <v>61</v>
      </c>
      <c r="BD558" t="s">
        <v>61</v>
      </c>
      <c r="BE558" t="s">
        <v>61</v>
      </c>
      <c r="BF558" t="s">
        <v>61</v>
      </c>
    </row>
    <row r="559" spans="1:58">
      <c r="A559" t="s">
        <v>142</v>
      </c>
      <c r="B559" t="s">
        <v>4665</v>
      </c>
      <c r="C559" t="s">
        <v>4666</v>
      </c>
      <c r="D559" t="s">
        <v>61</v>
      </c>
      <c r="E559" t="s">
        <v>61</v>
      </c>
      <c r="F559">
        <v>1993</v>
      </c>
      <c r="G559" t="s">
        <v>61</v>
      </c>
      <c r="H559" t="s">
        <v>61</v>
      </c>
      <c r="I559" t="s">
        <v>61</v>
      </c>
      <c r="J559">
        <v>20</v>
      </c>
      <c r="K559" t="s">
        <v>61</v>
      </c>
      <c r="L559" t="s">
        <v>4667</v>
      </c>
      <c r="M559" t="s">
        <v>4668</v>
      </c>
      <c r="N559" t="s">
        <v>4669</v>
      </c>
      <c r="O559" t="s">
        <v>61</v>
      </c>
      <c r="Q559" t="s">
        <v>61</v>
      </c>
      <c r="R559" t="s">
        <v>61</v>
      </c>
      <c r="S559" t="s">
        <v>61</v>
      </c>
      <c r="T559" t="s">
        <v>61</v>
      </c>
      <c r="X559" t="s">
        <v>61</v>
      </c>
      <c r="Y559" t="s">
        <v>61</v>
      </c>
      <c r="Z559" t="s">
        <v>61</v>
      </c>
      <c r="AA559" t="s">
        <v>61</v>
      </c>
      <c r="AB559" t="s">
        <v>4670</v>
      </c>
      <c r="AC559" t="s">
        <v>67</v>
      </c>
      <c r="AD559" t="s">
        <v>61</v>
      </c>
      <c r="AE559" t="s">
        <v>61</v>
      </c>
      <c r="AF559" t="s">
        <v>61</v>
      </c>
      <c r="AG559" t="s">
        <v>61</v>
      </c>
      <c r="AH559" t="s">
        <v>61</v>
      </c>
      <c r="AI559" t="s">
        <v>61</v>
      </c>
      <c r="AJ559" t="s">
        <v>61</v>
      </c>
      <c r="AK559" t="s">
        <v>61</v>
      </c>
      <c r="AL559" t="s">
        <v>61</v>
      </c>
      <c r="AM559" t="s">
        <v>4671</v>
      </c>
      <c r="AN559" t="s">
        <v>61</v>
      </c>
      <c r="AO559" t="s">
        <v>61</v>
      </c>
      <c r="AP559" t="s">
        <v>61</v>
      </c>
      <c r="AQ559" t="s">
        <v>61</v>
      </c>
      <c r="AR559" t="s">
        <v>61</v>
      </c>
      <c r="AS559" t="s">
        <v>61</v>
      </c>
      <c r="AT559" t="s">
        <v>61</v>
      </c>
      <c r="AU559" t="s">
        <v>61</v>
      </c>
      <c r="AV559" t="s">
        <v>61</v>
      </c>
      <c r="AW559" t="s">
        <v>61</v>
      </c>
      <c r="AX559" t="s">
        <v>61</v>
      </c>
      <c r="AY559" t="s">
        <v>61</v>
      </c>
      <c r="AZ559" t="s">
        <v>61</v>
      </c>
      <c r="BA559" t="s">
        <v>61</v>
      </c>
      <c r="BB559" t="s">
        <v>61</v>
      </c>
      <c r="BC559" t="s">
        <v>61</v>
      </c>
      <c r="BD559" t="s">
        <v>61</v>
      </c>
      <c r="BE559" t="s">
        <v>61</v>
      </c>
      <c r="BF559" t="s">
        <v>61</v>
      </c>
    </row>
    <row r="560" spans="1:58">
      <c r="A560" t="s">
        <v>58</v>
      </c>
      <c r="B560" t="s">
        <v>4672</v>
      </c>
      <c r="C560" t="s">
        <v>4673</v>
      </c>
      <c r="D560" t="s">
        <v>4674</v>
      </c>
      <c r="E560" t="s">
        <v>61</v>
      </c>
      <c r="F560">
        <v>2012</v>
      </c>
      <c r="G560" t="s">
        <v>273</v>
      </c>
      <c r="H560">
        <v>17</v>
      </c>
      <c r="I560">
        <v>2</v>
      </c>
      <c r="J560">
        <v>389</v>
      </c>
      <c r="K560">
        <v>396</v>
      </c>
      <c r="L560" t="s">
        <v>4675</v>
      </c>
      <c r="M560" t="s">
        <v>4676</v>
      </c>
      <c r="N560" t="s">
        <v>4677</v>
      </c>
      <c r="O560" t="s">
        <v>61</v>
      </c>
      <c r="Q560" t="s">
        <v>61</v>
      </c>
      <c r="R560" t="s">
        <v>61</v>
      </c>
      <c r="S560" t="s">
        <v>61</v>
      </c>
      <c r="T560" t="s">
        <v>61</v>
      </c>
      <c r="X560" t="s">
        <v>61</v>
      </c>
      <c r="Y560" t="s">
        <v>4678</v>
      </c>
      <c r="Z560" t="s">
        <v>61</v>
      </c>
      <c r="AA560" t="s">
        <v>4679</v>
      </c>
      <c r="AB560">
        <v>22267034</v>
      </c>
      <c r="AC560" t="s">
        <v>67</v>
      </c>
      <c r="AD560" t="s">
        <v>61</v>
      </c>
      <c r="AE560" t="s">
        <v>61</v>
      </c>
      <c r="AF560" t="s">
        <v>61</v>
      </c>
      <c r="AG560" t="s">
        <v>4680</v>
      </c>
      <c r="AH560" t="s">
        <v>61</v>
      </c>
      <c r="AI560" t="s">
        <v>61</v>
      </c>
      <c r="AJ560" t="s">
        <v>61</v>
      </c>
      <c r="AK560" t="s">
        <v>61</v>
      </c>
      <c r="AL560" t="s">
        <v>61</v>
      </c>
      <c r="AM560" t="s">
        <v>4681</v>
      </c>
      <c r="AN560" t="s">
        <v>61</v>
      </c>
      <c r="AO560" t="s">
        <v>61</v>
      </c>
      <c r="AP560" t="s">
        <v>61</v>
      </c>
      <c r="AQ560" t="s">
        <v>61</v>
      </c>
      <c r="AR560" t="s">
        <v>61</v>
      </c>
      <c r="AS560" t="s">
        <v>61</v>
      </c>
      <c r="AT560" t="s">
        <v>61</v>
      </c>
      <c r="AU560" t="s">
        <v>61</v>
      </c>
      <c r="AV560" t="s">
        <v>61</v>
      </c>
      <c r="AW560" t="s">
        <v>61</v>
      </c>
      <c r="AX560" t="s">
        <v>61</v>
      </c>
      <c r="AY560" t="s">
        <v>61</v>
      </c>
      <c r="AZ560" t="s">
        <v>61</v>
      </c>
      <c r="BA560" t="s">
        <v>61</v>
      </c>
      <c r="BB560" t="s">
        <v>61</v>
      </c>
      <c r="BC560" t="s">
        <v>61</v>
      </c>
      <c r="BD560" t="s">
        <v>61</v>
      </c>
      <c r="BE560" t="s">
        <v>61</v>
      </c>
      <c r="BF560" t="s">
        <v>61</v>
      </c>
    </row>
    <row r="561" spans="1:58">
      <c r="A561" t="s">
        <v>58</v>
      </c>
      <c r="B561" t="s">
        <v>4682</v>
      </c>
      <c r="C561" t="s">
        <v>4683</v>
      </c>
      <c r="D561" t="s">
        <v>4684</v>
      </c>
      <c r="E561" t="s">
        <v>4685</v>
      </c>
      <c r="F561">
        <v>1979</v>
      </c>
      <c r="G561" t="s">
        <v>61</v>
      </c>
      <c r="H561">
        <v>2</v>
      </c>
      <c r="I561">
        <v>3</v>
      </c>
      <c r="J561">
        <v>108</v>
      </c>
      <c r="K561">
        <v>116</v>
      </c>
      <c r="L561" t="s">
        <v>4686</v>
      </c>
      <c r="M561" t="s">
        <v>4687</v>
      </c>
      <c r="N561" t="s">
        <v>4688</v>
      </c>
      <c r="O561" t="s">
        <v>61</v>
      </c>
      <c r="Q561" t="s">
        <v>61</v>
      </c>
      <c r="R561" t="s">
        <v>61</v>
      </c>
      <c r="S561" t="s">
        <v>61</v>
      </c>
      <c r="T561" t="s">
        <v>61</v>
      </c>
      <c r="X561" t="s">
        <v>61</v>
      </c>
      <c r="Y561" t="s">
        <v>4689</v>
      </c>
      <c r="Z561" t="s">
        <v>61</v>
      </c>
      <c r="AA561" t="s">
        <v>61</v>
      </c>
      <c r="AB561" t="s">
        <v>61</v>
      </c>
      <c r="AC561" t="s">
        <v>67</v>
      </c>
      <c r="AD561" t="s">
        <v>61</v>
      </c>
      <c r="AE561" t="s">
        <v>61</v>
      </c>
      <c r="AF561" t="s">
        <v>61</v>
      </c>
      <c r="AG561" t="s">
        <v>4690</v>
      </c>
      <c r="AH561" t="s">
        <v>61</v>
      </c>
      <c r="AI561" t="s">
        <v>61</v>
      </c>
      <c r="AJ561" t="s">
        <v>61</v>
      </c>
      <c r="AK561" t="s">
        <v>61</v>
      </c>
      <c r="AL561" t="s">
        <v>61</v>
      </c>
      <c r="AM561" t="s">
        <v>4691</v>
      </c>
      <c r="AN561" t="s">
        <v>61</v>
      </c>
      <c r="AO561" t="s">
        <v>61</v>
      </c>
      <c r="AP561" t="s">
        <v>61</v>
      </c>
      <c r="AQ561" t="s">
        <v>61</v>
      </c>
      <c r="AR561" t="s">
        <v>61</v>
      </c>
      <c r="AS561" t="s">
        <v>61</v>
      </c>
      <c r="AT561" t="s">
        <v>61</v>
      </c>
      <c r="AU561" t="s">
        <v>61</v>
      </c>
      <c r="AV561" t="s">
        <v>61</v>
      </c>
      <c r="AW561" t="s">
        <v>61</v>
      </c>
      <c r="AX561" t="s">
        <v>61</v>
      </c>
      <c r="AY561" t="s">
        <v>61</v>
      </c>
      <c r="AZ561" t="s">
        <v>61</v>
      </c>
      <c r="BA561" t="s">
        <v>61</v>
      </c>
      <c r="BB561" t="s">
        <v>61</v>
      </c>
      <c r="BC561" t="s">
        <v>61</v>
      </c>
      <c r="BD561" t="s">
        <v>61</v>
      </c>
      <c r="BE561" t="s">
        <v>61</v>
      </c>
      <c r="BF561" t="s">
        <v>61</v>
      </c>
    </row>
    <row r="562" spans="1:58">
      <c r="A562" t="s">
        <v>58</v>
      </c>
      <c r="B562" t="s">
        <v>4692</v>
      </c>
      <c r="C562" t="s">
        <v>4693</v>
      </c>
      <c r="D562" t="s">
        <v>428</v>
      </c>
      <c r="E562" t="s">
        <v>61</v>
      </c>
      <c r="F562">
        <v>2013</v>
      </c>
      <c r="G562" t="s">
        <v>457</v>
      </c>
      <c r="H562">
        <v>26</v>
      </c>
      <c r="I562">
        <v>3</v>
      </c>
      <c r="J562">
        <v>322</v>
      </c>
      <c r="K562" t="s">
        <v>61</v>
      </c>
      <c r="L562" t="s">
        <v>4694</v>
      </c>
      <c r="M562" t="s">
        <v>4695</v>
      </c>
      <c r="N562" t="s">
        <v>4696</v>
      </c>
      <c r="O562" t="s">
        <v>61</v>
      </c>
      <c r="Q562" t="s">
        <v>61</v>
      </c>
      <c r="R562" t="s">
        <v>61</v>
      </c>
      <c r="S562" t="s">
        <v>61</v>
      </c>
      <c r="T562" t="s">
        <v>61</v>
      </c>
      <c r="X562" t="s">
        <v>61</v>
      </c>
      <c r="Y562" t="s">
        <v>433</v>
      </c>
      <c r="Z562" t="s">
        <v>61</v>
      </c>
      <c r="AA562" t="s">
        <v>61</v>
      </c>
      <c r="AB562" t="s">
        <v>61</v>
      </c>
      <c r="AC562" t="s">
        <v>67</v>
      </c>
      <c r="AD562" t="s">
        <v>61</v>
      </c>
      <c r="AE562" t="s">
        <v>61</v>
      </c>
      <c r="AF562" t="s">
        <v>61</v>
      </c>
      <c r="AG562" t="s">
        <v>61</v>
      </c>
      <c r="AH562" t="s">
        <v>61</v>
      </c>
      <c r="AI562" t="s">
        <v>61</v>
      </c>
      <c r="AJ562" t="s">
        <v>61</v>
      </c>
      <c r="AK562" t="s">
        <v>61</v>
      </c>
      <c r="AL562" t="s">
        <v>61</v>
      </c>
      <c r="AM562" t="s">
        <v>4693</v>
      </c>
      <c r="AN562" t="s">
        <v>61</v>
      </c>
      <c r="AO562" t="s">
        <v>61</v>
      </c>
      <c r="AP562" t="s">
        <v>61</v>
      </c>
      <c r="AQ562" t="s">
        <v>61</v>
      </c>
      <c r="AR562" t="s">
        <v>61</v>
      </c>
      <c r="AS562" t="s">
        <v>61</v>
      </c>
      <c r="AT562" t="s">
        <v>61</v>
      </c>
      <c r="AU562" t="s">
        <v>61</v>
      </c>
      <c r="AV562" t="s">
        <v>61</v>
      </c>
      <c r="AW562" t="s">
        <v>61</v>
      </c>
      <c r="AX562" t="s">
        <v>61</v>
      </c>
      <c r="AY562" t="s">
        <v>61</v>
      </c>
      <c r="AZ562" t="s">
        <v>61</v>
      </c>
      <c r="BA562" t="s">
        <v>61</v>
      </c>
      <c r="BB562" t="s">
        <v>61</v>
      </c>
      <c r="BC562" t="s">
        <v>61</v>
      </c>
      <c r="BD562" t="s">
        <v>61</v>
      </c>
      <c r="BE562" t="s">
        <v>61</v>
      </c>
      <c r="BF562" t="s">
        <v>61</v>
      </c>
    </row>
    <row r="563" spans="1:58">
      <c r="A563" t="s">
        <v>58</v>
      </c>
      <c r="B563" t="s">
        <v>4697</v>
      </c>
      <c r="C563" t="s">
        <v>4698</v>
      </c>
      <c r="D563" t="s">
        <v>4699</v>
      </c>
      <c r="E563" t="s">
        <v>61</v>
      </c>
      <c r="F563">
        <v>2015</v>
      </c>
      <c r="G563" t="s">
        <v>559</v>
      </c>
      <c r="H563" t="s">
        <v>4700</v>
      </c>
      <c r="I563" t="s">
        <v>61</v>
      </c>
      <c r="J563">
        <v>169</v>
      </c>
      <c r="K563">
        <v>171</v>
      </c>
      <c r="L563" t="s">
        <v>4701</v>
      </c>
      <c r="M563" t="s">
        <v>4702</v>
      </c>
      <c r="N563" t="s">
        <v>4703</v>
      </c>
      <c r="O563" t="s">
        <v>61</v>
      </c>
      <c r="Q563" t="s">
        <v>61</v>
      </c>
      <c r="R563" t="s">
        <v>61</v>
      </c>
      <c r="S563" t="s">
        <v>61</v>
      </c>
      <c r="T563" t="s">
        <v>61</v>
      </c>
      <c r="X563" t="s">
        <v>61</v>
      </c>
      <c r="Y563" t="s">
        <v>4704</v>
      </c>
      <c r="Z563" t="s">
        <v>61</v>
      </c>
      <c r="AA563" t="s">
        <v>4705</v>
      </c>
      <c r="AB563">
        <v>26017536</v>
      </c>
      <c r="AC563" t="s">
        <v>67</v>
      </c>
      <c r="AD563" t="s">
        <v>61</v>
      </c>
      <c r="AE563" t="s">
        <v>61</v>
      </c>
      <c r="AF563" t="s">
        <v>61</v>
      </c>
      <c r="AG563" t="s">
        <v>4706</v>
      </c>
      <c r="AH563" t="s">
        <v>61</v>
      </c>
      <c r="AI563" t="s">
        <v>4707</v>
      </c>
      <c r="AJ563" t="s">
        <v>61</v>
      </c>
      <c r="AK563" t="s">
        <v>61</v>
      </c>
      <c r="AL563" t="s">
        <v>61</v>
      </c>
      <c r="AM563" t="s">
        <v>4708</v>
      </c>
      <c r="AN563" t="s">
        <v>61</v>
      </c>
      <c r="AO563" t="s">
        <v>61</v>
      </c>
      <c r="AP563" t="s">
        <v>61</v>
      </c>
      <c r="AQ563" t="s">
        <v>61</v>
      </c>
      <c r="AR563" t="s">
        <v>61</v>
      </c>
      <c r="AS563" t="s">
        <v>61</v>
      </c>
      <c r="AT563" t="s">
        <v>61</v>
      </c>
      <c r="AU563" t="s">
        <v>61</v>
      </c>
      <c r="AV563" t="s">
        <v>61</v>
      </c>
      <c r="AW563" t="s">
        <v>61</v>
      </c>
      <c r="AX563" t="s">
        <v>61</v>
      </c>
      <c r="AY563" t="s">
        <v>61</v>
      </c>
      <c r="AZ563" t="s">
        <v>61</v>
      </c>
      <c r="BA563" t="s">
        <v>61</v>
      </c>
      <c r="BB563" t="s">
        <v>61</v>
      </c>
      <c r="BC563" t="s">
        <v>61</v>
      </c>
      <c r="BD563" t="s">
        <v>61</v>
      </c>
      <c r="BE563" t="s">
        <v>61</v>
      </c>
      <c r="BF563" t="s">
        <v>61</v>
      </c>
    </row>
    <row r="564" spans="1:58">
      <c r="A564" t="s">
        <v>58</v>
      </c>
      <c r="B564" t="s">
        <v>4709</v>
      </c>
      <c r="C564" t="s">
        <v>4710</v>
      </c>
      <c r="D564" t="s">
        <v>475</v>
      </c>
      <c r="E564" t="s">
        <v>61</v>
      </c>
      <c r="F564">
        <v>2014</v>
      </c>
      <c r="G564" t="s">
        <v>637</v>
      </c>
      <c r="H564">
        <v>36</v>
      </c>
      <c r="I564">
        <v>4</v>
      </c>
      <c r="J564">
        <v>853</v>
      </c>
      <c r="K564">
        <v>854</v>
      </c>
      <c r="L564" t="s">
        <v>4711</v>
      </c>
      <c r="M564" t="s">
        <v>4712</v>
      </c>
      <c r="N564" t="s">
        <v>4713</v>
      </c>
      <c r="O564" t="s">
        <v>61</v>
      </c>
      <c r="Q564" t="s">
        <v>61</v>
      </c>
      <c r="R564" t="s">
        <v>61</v>
      </c>
      <c r="S564" t="s">
        <v>61</v>
      </c>
      <c r="T564" t="s">
        <v>61</v>
      </c>
      <c r="X564" t="s">
        <v>61</v>
      </c>
      <c r="Y564" t="s">
        <v>308</v>
      </c>
      <c r="Z564" t="s">
        <v>61</v>
      </c>
      <c r="AA564" t="s">
        <v>61</v>
      </c>
      <c r="AB564" t="s">
        <v>61</v>
      </c>
      <c r="AC564" t="s">
        <v>67</v>
      </c>
      <c r="AD564" t="s">
        <v>61</v>
      </c>
      <c r="AE564" t="s">
        <v>61</v>
      </c>
      <c r="AF564" t="s">
        <v>61</v>
      </c>
      <c r="AG564" t="s">
        <v>61</v>
      </c>
      <c r="AH564" t="s">
        <v>61</v>
      </c>
      <c r="AI564" t="s">
        <v>61</v>
      </c>
      <c r="AJ564" t="s">
        <v>61</v>
      </c>
      <c r="AK564" t="s">
        <v>61</v>
      </c>
      <c r="AL564" t="s">
        <v>61</v>
      </c>
      <c r="AM564" t="s">
        <v>4710</v>
      </c>
      <c r="AN564" t="s">
        <v>61</v>
      </c>
      <c r="AO564" t="s">
        <v>61</v>
      </c>
      <c r="AP564" t="s">
        <v>61</v>
      </c>
      <c r="AQ564" t="s">
        <v>61</v>
      </c>
      <c r="AR564" t="s">
        <v>61</v>
      </c>
      <c r="AS564" t="s">
        <v>61</v>
      </c>
      <c r="AT564" t="s">
        <v>61</v>
      </c>
      <c r="AU564" t="s">
        <v>61</v>
      </c>
      <c r="AV564" t="s">
        <v>61</v>
      </c>
      <c r="AW564" t="s">
        <v>61</v>
      </c>
      <c r="AX564" t="s">
        <v>61</v>
      </c>
      <c r="AY564" t="s">
        <v>61</v>
      </c>
      <c r="AZ564" t="s">
        <v>61</v>
      </c>
      <c r="BA564" t="s">
        <v>61</v>
      </c>
      <c r="BB564" t="s">
        <v>61</v>
      </c>
      <c r="BC564" t="s">
        <v>61</v>
      </c>
      <c r="BD564" t="s">
        <v>61</v>
      </c>
      <c r="BE564" t="s">
        <v>61</v>
      </c>
      <c r="BF564" t="s">
        <v>61</v>
      </c>
    </row>
    <row r="565" spans="1:58">
      <c r="A565" t="s">
        <v>58</v>
      </c>
      <c r="B565" t="s">
        <v>4714</v>
      </c>
      <c r="C565" t="s">
        <v>4715</v>
      </c>
      <c r="D565" t="s">
        <v>153</v>
      </c>
      <c r="E565" t="s">
        <v>61</v>
      </c>
      <c r="F565">
        <v>2013</v>
      </c>
      <c r="G565" t="s">
        <v>1667</v>
      </c>
      <c r="H565">
        <v>53</v>
      </c>
      <c r="I565">
        <v>3</v>
      </c>
      <c r="J565">
        <v>273</v>
      </c>
      <c r="K565">
        <v>281</v>
      </c>
      <c r="L565" t="s">
        <v>4716</v>
      </c>
      <c r="M565" t="s">
        <v>4717</v>
      </c>
      <c r="N565" t="s">
        <v>4718</v>
      </c>
      <c r="O565" t="s">
        <v>61</v>
      </c>
      <c r="Q565" t="s">
        <v>61</v>
      </c>
      <c r="R565" t="s">
        <v>61</v>
      </c>
      <c r="S565" t="s">
        <v>61</v>
      </c>
      <c r="T565" t="s">
        <v>61</v>
      </c>
      <c r="X565" t="s">
        <v>61</v>
      </c>
      <c r="Y565" t="s">
        <v>157</v>
      </c>
      <c r="Z565" t="s">
        <v>61</v>
      </c>
      <c r="AA565" t="s">
        <v>4719</v>
      </c>
      <c r="AB565">
        <v>23699676</v>
      </c>
      <c r="AC565" t="s">
        <v>67</v>
      </c>
      <c r="AD565" t="s">
        <v>61</v>
      </c>
      <c r="AE565" t="s">
        <v>61</v>
      </c>
      <c r="AF565" t="s">
        <v>61</v>
      </c>
      <c r="AG565" t="s">
        <v>4720</v>
      </c>
      <c r="AH565" t="s">
        <v>61</v>
      </c>
      <c r="AI565" t="s">
        <v>4721</v>
      </c>
      <c r="AJ565" t="s">
        <v>61</v>
      </c>
      <c r="AK565" t="s">
        <v>61</v>
      </c>
      <c r="AL565" t="s">
        <v>61</v>
      </c>
      <c r="AM565" t="s">
        <v>4722</v>
      </c>
      <c r="AN565" t="s">
        <v>61</v>
      </c>
      <c r="AO565" t="s">
        <v>61</v>
      </c>
      <c r="AP565" t="s">
        <v>61</v>
      </c>
      <c r="AQ565" t="s">
        <v>61</v>
      </c>
      <c r="AR565" t="s">
        <v>61</v>
      </c>
      <c r="AS565" t="s">
        <v>61</v>
      </c>
      <c r="AT565" t="s">
        <v>61</v>
      </c>
      <c r="AU565" t="s">
        <v>61</v>
      </c>
      <c r="AV565" t="s">
        <v>61</v>
      </c>
      <c r="AW565" t="s">
        <v>61</v>
      </c>
      <c r="AX565" t="s">
        <v>61</v>
      </c>
      <c r="AY565" t="s">
        <v>61</v>
      </c>
      <c r="AZ565" t="s">
        <v>61</v>
      </c>
      <c r="BA565" t="s">
        <v>61</v>
      </c>
      <c r="BB565" t="s">
        <v>61</v>
      </c>
      <c r="BC565" t="s">
        <v>61</v>
      </c>
      <c r="BD565" t="s">
        <v>61</v>
      </c>
      <c r="BE565" t="s">
        <v>61</v>
      </c>
      <c r="BF565" t="s">
        <v>61</v>
      </c>
    </row>
    <row r="566" spans="1:58">
      <c r="A566" t="s">
        <v>58</v>
      </c>
      <c r="B566" t="s">
        <v>4723</v>
      </c>
      <c r="C566" t="s">
        <v>4724</v>
      </c>
      <c r="D566" t="s">
        <v>4725</v>
      </c>
      <c r="E566" t="s">
        <v>4726</v>
      </c>
      <c r="F566">
        <v>2006</v>
      </c>
      <c r="G566" t="s">
        <v>418</v>
      </c>
      <c r="H566">
        <v>82</v>
      </c>
      <c r="I566">
        <v>970</v>
      </c>
      <c r="J566">
        <v>520</v>
      </c>
      <c r="K566">
        <v>523</v>
      </c>
      <c r="L566" t="s">
        <v>4727</v>
      </c>
      <c r="M566" t="s">
        <v>4728</v>
      </c>
      <c r="N566" t="s">
        <v>4729</v>
      </c>
      <c r="O566" t="s">
        <v>61</v>
      </c>
      <c r="Q566" t="s">
        <v>61</v>
      </c>
      <c r="R566" t="s">
        <v>61</v>
      </c>
      <c r="S566" t="s">
        <v>61</v>
      </c>
      <c r="T566" t="s">
        <v>61</v>
      </c>
      <c r="X566" t="s">
        <v>61</v>
      </c>
      <c r="Y566" t="s">
        <v>4730</v>
      </c>
      <c r="Z566" t="s">
        <v>61</v>
      </c>
      <c r="AA566" t="s">
        <v>4731</v>
      </c>
      <c r="AB566">
        <v>16891443</v>
      </c>
      <c r="AC566" t="s">
        <v>67</v>
      </c>
      <c r="AD566" t="s">
        <v>61</v>
      </c>
      <c r="AE566" t="s">
        <v>61</v>
      </c>
      <c r="AF566" t="s">
        <v>61</v>
      </c>
      <c r="AG566" t="s">
        <v>4732</v>
      </c>
      <c r="AH566" t="s">
        <v>61</v>
      </c>
      <c r="AI566" t="s">
        <v>61</v>
      </c>
      <c r="AJ566" t="s">
        <v>61</v>
      </c>
      <c r="AK566" t="s">
        <v>61</v>
      </c>
      <c r="AL566" t="s">
        <v>61</v>
      </c>
      <c r="AM566" t="s">
        <v>4733</v>
      </c>
      <c r="AN566" t="s">
        <v>61</v>
      </c>
      <c r="AO566" t="s">
        <v>61</v>
      </c>
      <c r="AP566" t="s">
        <v>61</v>
      </c>
      <c r="AQ566" t="s">
        <v>61</v>
      </c>
      <c r="AR566" t="s">
        <v>61</v>
      </c>
      <c r="AS566" t="s">
        <v>61</v>
      </c>
      <c r="AT566" t="s">
        <v>61</v>
      </c>
      <c r="AU566" t="s">
        <v>61</v>
      </c>
      <c r="AV566" t="s">
        <v>61</v>
      </c>
      <c r="AW566" t="s">
        <v>61</v>
      </c>
      <c r="AX566" t="s">
        <v>61</v>
      </c>
      <c r="AY566" t="s">
        <v>61</v>
      </c>
      <c r="AZ566" t="s">
        <v>61</v>
      </c>
      <c r="BA566" t="s">
        <v>61</v>
      </c>
      <c r="BB566" t="s">
        <v>61</v>
      </c>
      <c r="BC566" t="s">
        <v>61</v>
      </c>
      <c r="BD566" t="s">
        <v>61</v>
      </c>
      <c r="BE566" t="s">
        <v>61</v>
      </c>
      <c r="BF566" t="s">
        <v>61</v>
      </c>
    </row>
    <row r="567" spans="1:58">
      <c r="A567" t="s">
        <v>58</v>
      </c>
      <c r="B567" t="s">
        <v>4734</v>
      </c>
      <c r="C567" t="s">
        <v>4735</v>
      </c>
      <c r="D567" t="s">
        <v>4736</v>
      </c>
      <c r="E567" t="s">
        <v>61</v>
      </c>
      <c r="F567">
        <v>2014</v>
      </c>
      <c r="G567" t="s">
        <v>381</v>
      </c>
      <c r="H567">
        <v>23</v>
      </c>
      <c r="I567">
        <v>1</v>
      </c>
      <c r="J567">
        <v>31</v>
      </c>
      <c r="K567">
        <v>37</v>
      </c>
      <c r="L567" t="s">
        <v>4737</v>
      </c>
      <c r="M567" t="s">
        <v>4738</v>
      </c>
      <c r="N567" t="s">
        <v>4739</v>
      </c>
      <c r="O567" t="s">
        <v>61</v>
      </c>
      <c r="Q567" t="s">
        <v>61</v>
      </c>
      <c r="R567" t="s">
        <v>61</v>
      </c>
      <c r="S567" t="s">
        <v>61</v>
      </c>
      <c r="T567" t="s">
        <v>61</v>
      </c>
      <c r="X567" t="s">
        <v>61</v>
      </c>
      <c r="Y567" t="s">
        <v>4740</v>
      </c>
      <c r="Z567" t="s">
        <v>61</v>
      </c>
      <c r="AA567" t="s">
        <v>61</v>
      </c>
      <c r="AB567">
        <v>2014094643</v>
      </c>
      <c r="AC567" t="s">
        <v>67</v>
      </c>
      <c r="AD567" t="s">
        <v>61</v>
      </c>
      <c r="AE567" t="s">
        <v>61</v>
      </c>
      <c r="AF567" t="s">
        <v>61</v>
      </c>
      <c r="AG567" t="s">
        <v>61</v>
      </c>
      <c r="AH567" t="s">
        <v>61</v>
      </c>
      <c r="AI567" t="s">
        <v>61</v>
      </c>
      <c r="AJ567" t="s">
        <v>61</v>
      </c>
      <c r="AK567" t="s">
        <v>61</v>
      </c>
      <c r="AL567" t="s">
        <v>61</v>
      </c>
      <c r="AM567" t="s">
        <v>4735</v>
      </c>
      <c r="AN567" t="s">
        <v>61</v>
      </c>
      <c r="AO567" t="s">
        <v>61</v>
      </c>
      <c r="AP567" t="s">
        <v>61</v>
      </c>
      <c r="AQ567" t="s">
        <v>61</v>
      </c>
      <c r="AR567" t="s">
        <v>61</v>
      </c>
      <c r="AS567" t="s">
        <v>61</v>
      </c>
      <c r="AT567" t="s">
        <v>61</v>
      </c>
      <c r="AU567" t="s">
        <v>61</v>
      </c>
      <c r="AV567" t="s">
        <v>61</v>
      </c>
      <c r="AW567" t="s">
        <v>61</v>
      </c>
      <c r="AX567" t="s">
        <v>61</v>
      </c>
      <c r="AY567" t="s">
        <v>61</v>
      </c>
      <c r="AZ567" t="s">
        <v>61</v>
      </c>
      <c r="BA567" t="s">
        <v>61</v>
      </c>
      <c r="BB567" t="s">
        <v>61</v>
      </c>
      <c r="BC567" t="s">
        <v>61</v>
      </c>
      <c r="BD567" t="s">
        <v>61</v>
      </c>
      <c r="BE567" t="s">
        <v>61</v>
      </c>
      <c r="BF567" t="s">
        <v>61</v>
      </c>
    </row>
    <row r="568" spans="1:58">
      <c r="A568" t="s">
        <v>58</v>
      </c>
      <c r="B568" t="s">
        <v>4741</v>
      </c>
      <c r="C568" t="s">
        <v>4742</v>
      </c>
      <c r="D568" t="s">
        <v>4743</v>
      </c>
      <c r="E568" t="s">
        <v>4744</v>
      </c>
      <c r="F568">
        <v>2006</v>
      </c>
      <c r="G568" t="s">
        <v>418</v>
      </c>
      <c r="H568">
        <v>35</v>
      </c>
      <c r="I568">
        <v>8</v>
      </c>
      <c r="J568">
        <v>552</v>
      </c>
      <c r="K568">
        <v>556</v>
      </c>
      <c r="L568" t="s">
        <v>4745</v>
      </c>
      <c r="M568" t="s">
        <v>4746</v>
      </c>
      <c r="N568" t="s">
        <v>4747</v>
      </c>
      <c r="O568" t="s">
        <v>61</v>
      </c>
      <c r="Q568" t="s">
        <v>61</v>
      </c>
      <c r="R568" t="s">
        <v>61</v>
      </c>
      <c r="S568" t="s">
        <v>61</v>
      </c>
      <c r="T568" t="s">
        <v>61</v>
      </c>
      <c r="X568" t="s">
        <v>61</v>
      </c>
      <c r="Y568" t="s">
        <v>4748</v>
      </c>
      <c r="Z568" t="s">
        <v>61</v>
      </c>
      <c r="AA568" t="s">
        <v>4749</v>
      </c>
      <c r="AB568">
        <v>16986449</v>
      </c>
      <c r="AC568" t="s">
        <v>67</v>
      </c>
      <c r="AD568" t="s">
        <v>61</v>
      </c>
      <c r="AE568" t="s">
        <v>61</v>
      </c>
      <c r="AF568" t="s">
        <v>61</v>
      </c>
      <c r="AG568" t="s">
        <v>4750</v>
      </c>
      <c r="AH568" t="s">
        <v>61</v>
      </c>
      <c r="AI568" t="s">
        <v>61</v>
      </c>
      <c r="AJ568" t="s">
        <v>61</v>
      </c>
      <c r="AK568" t="s">
        <v>61</v>
      </c>
      <c r="AL568" t="s">
        <v>61</v>
      </c>
      <c r="AM568" t="s">
        <v>4751</v>
      </c>
      <c r="AN568" t="s">
        <v>61</v>
      </c>
      <c r="AO568" t="s">
        <v>61</v>
      </c>
      <c r="AP568" t="s">
        <v>61</v>
      </c>
      <c r="AQ568" t="s">
        <v>61</v>
      </c>
      <c r="AR568" t="s">
        <v>61</v>
      </c>
      <c r="AS568" t="s">
        <v>61</v>
      </c>
      <c r="AT568" t="s">
        <v>61</v>
      </c>
      <c r="AU568" t="s">
        <v>61</v>
      </c>
      <c r="AV568" t="s">
        <v>61</v>
      </c>
      <c r="AW568" t="s">
        <v>61</v>
      </c>
      <c r="AX568" t="s">
        <v>61</v>
      </c>
      <c r="AY568" t="s">
        <v>61</v>
      </c>
      <c r="AZ568" t="s">
        <v>61</v>
      </c>
      <c r="BA568" t="s">
        <v>61</v>
      </c>
      <c r="BB568" t="s">
        <v>61</v>
      </c>
      <c r="BC568" t="s">
        <v>61</v>
      </c>
      <c r="BD568" t="s">
        <v>61</v>
      </c>
      <c r="BE568" t="s">
        <v>61</v>
      </c>
      <c r="BF568" t="s">
        <v>61</v>
      </c>
    </row>
    <row r="569" spans="1:58">
      <c r="A569" t="s">
        <v>58</v>
      </c>
      <c r="B569" t="s">
        <v>4752</v>
      </c>
      <c r="C569" t="s">
        <v>4753</v>
      </c>
      <c r="D569" t="s">
        <v>4754</v>
      </c>
      <c r="E569" t="s">
        <v>61</v>
      </c>
      <c r="F569">
        <v>2007</v>
      </c>
      <c r="G569" t="s">
        <v>273</v>
      </c>
      <c r="H569">
        <v>53</v>
      </c>
      <c r="I569">
        <v>2</v>
      </c>
      <c r="J569">
        <v>70</v>
      </c>
      <c r="K569">
        <v>131</v>
      </c>
      <c r="L569" t="s">
        <v>4755</v>
      </c>
      <c r="M569" t="s">
        <v>4756</v>
      </c>
      <c r="N569" t="s">
        <v>4757</v>
      </c>
      <c r="O569" t="s">
        <v>61</v>
      </c>
      <c r="Q569" t="s">
        <v>61</v>
      </c>
      <c r="R569" t="s">
        <v>61</v>
      </c>
      <c r="S569" t="s">
        <v>61</v>
      </c>
      <c r="T569" t="s">
        <v>61</v>
      </c>
      <c r="X569" t="s">
        <v>61</v>
      </c>
      <c r="Y569" s="2">
        <v>1143150</v>
      </c>
      <c r="Z569" t="s">
        <v>61</v>
      </c>
      <c r="AA569" t="s">
        <v>4758</v>
      </c>
      <c r="AB569">
        <v>17386306</v>
      </c>
      <c r="AC569" t="s">
        <v>67</v>
      </c>
      <c r="AD569" t="s">
        <v>61</v>
      </c>
      <c r="AE569" t="s">
        <v>61</v>
      </c>
      <c r="AF569" t="s">
        <v>61</v>
      </c>
      <c r="AG569" t="s">
        <v>4759</v>
      </c>
      <c r="AH569" t="s">
        <v>61</v>
      </c>
      <c r="AI569" t="s">
        <v>61</v>
      </c>
      <c r="AJ569" t="s">
        <v>61</v>
      </c>
      <c r="AK569" t="s">
        <v>61</v>
      </c>
      <c r="AL569" t="s">
        <v>61</v>
      </c>
      <c r="AM569" t="s">
        <v>4760</v>
      </c>
      <c r="AN569" t="s">
        <v>61</v>
      </c>
      <c r="AO569" t="s">
        <v>61</v>
      </c>
      <c r="AP569" t="s">
        <v>61</v>
      </c>
      <c r="AQ569" t="s">
        <v>61</v>
      </c>
      <c r="AR569" t="s">
        <v>61</v>
      </c>
      <c r="AS569" t="s">
        <v>61</v>
      </c>
      <c r="AT569" t="s">
        <v>61</v>
      </c>
      <c r="AU569" t="s">
        <v>61</v>
      </c>
      <c r="AV569" t="s">
        <v>61</v>
      </c>
      <c r="AW569" t="s">
        <v>61</v>
      </c>
      <c r="AX569" t="s">
        <v>61</v>
      </c>
      <c r="AY569" t="s">
        <v>61</v>
      </c>
      <c r="AZ569" t="s">
        <v>61</v>
      </c>
      <c r="BA569" t="s">
        <v>61</v>
      </c>
      <c r="BB569" t="s">
        <v>61</v>
      </c>
      <c r="BC569" t="s">
        <v>61</v>
      </c>
      <c r="BD569" t="s">
        <v>61</v>
      </c>
      <c r="BE569" t="s">
        <v>61</v>
      </c>
      <c r="BF569" t="s">
        <v>61</v>
      </c>
    </row>
    <row r="570" spans="1:58">
      <c r="A570" t="s">
        <v>58</v>
      </c>
      <c r="B570" t="s">
        <v>4761</v>
      </c>
      <c r="C570" t="s">
        <v>4762</v>
      </c>
      <c r="D570" t="s">
        <v>428</v>
      </c>
      <c r="E570" t="s">
        <v>61</v>
      </c>
      <c r="F570">
        <v>2011</v>
      </c>
      <c r="G570" t="s">
        <v>429</v>
      </c>
      <c r="H570">
        <v>24</v>
      </c>
      <c r="I570">
        <v>2</v>
      </c>
      <c r="J570">
        <v>249</v>
      </c>
      <c r="K570">
        <v>250</v>
      </c>
      <c r="L570" t="s">
        <v>4763</v>
      </c>
      <c r="M570" t="s">
        <v>4764</v>
      </c>
      <c r="N570" t="s">
        <v>4765</v>
      </c>
      <c r="O570" t="s">
        <v>61</v>
      </c>
      <c r="Q570" t="s">
        <v>61</v>
      </c>
      <c r="R570" t="s">
        <v>61</v>
      </c>
      <c r="S570" t="s">
        <v>61</v>
      </c>
      <c r="T570" t="s">
        <v>61</v>
      </c>
      <c r="X570" t="s">
        <v>61</v>
      </c>
      <c r="Y570" t="s">
        <v>433</v>
      </c>
      <c r="Z570" t="s">
        <v>61</v>
      </c>
      <c r="AA570" t="s">
        <v>61</v>
      </c>
      <c r="AB570" t="s">
        <v>61</v>
      </c>
      <c r="AC570" t="s">
        <v>67</v>
      </c>
      <c r="AD570" t="s">
        <v>61</v>
      </c>
      <c r="AE570" t="s">
        <v>61</v>
      </c>
      <c r="AF570" t="s">
        <v>61</v>
      </c>
      <c r="AG570" t="s">
        <v>61</v>
      </c>
      <c r="AH570" t="s">
        <v>61</v>
      </c>
      <c r="AI570" t="s">
        <v>61</v>
      </c>
      <c r="AJ570" t="s">
        <v>61</v>
      </c>
      <c r="AK570" t="s">
        <v>61</v>
      </c>
      <c r="AL570" t="s">
        <v>61</v>
      </c>
      <c r="AM570" t="s">
        <v>4762</v>
      </c>
      <c r="AN570" t="s">
        <v>61</v>
      </c>
      <c r="AO570" t="s">
        <v>61</v>
      </c>
      <c r="AP570" t="s">
        <v>61</v>
      </c>
      <c r="AQ570" t="s">
        <v>61</v>
      </c>
      <c r="AR570" t="s">
        <v>61</v>
      </c>
      <c r="AS570" t="s">
        <v>61</v>
      </c>
      <c r="AT570" t="s">
        <v>61</v>
      </c>
      <c r="AU570" t="s">
        <v>61</v>
      </c>
      <c r="AV570" t="s">
        <v>61</v>
      </c>
      <c r="AW570" t="s">
        <v>61</v>
      </c>
      <c r="AX570" t="s">
        <v>61</v>
      </c>
      <c r="AY570" t="s">
        <v>61</v>
      </c>
      <c r="AZ570" t="s">
        <v>61</v>
      </c>
      <c r="BA570" t="s">
        <v>61</v>
      </c>
      <c r="BB570" t="s">
        <v>61</v>
      </c>
      <c r="BC570" t="s">
        <v>61</v>
      </c>
      <c r="BD570" t="s">
        <v>61</v>
      </c>
      <c r="BE570" t="s">
        <v>61</v>
      </c>
      <c r="BF570" t="s">
        <v>61</v>
      </c>
    </row>
    <row r="571" spans="1:58">
      <c r="A571" t="s">
        <v>58</v>
      </c>
      <c r="B571" t="s">
        <v>4766</v>
      </c>
      <c r="C571" t="s">
        <v>4767</v>
      </c>
      <c r="D571" t="s">
        <v>428</v>
      </c>
      <c r="E571" t="s">
        <v>61</v>
      </c>
      <c r="F571">
        <v>2013</v>
      </c>
      <c r="G571" t="s">
        <v>457</v>
      </c>
      <c r="H571">
        <v>26</v>
      </c>
      <c r="I571">
        <v>3</v>
      </c>
      <c r="J571">
        <v>339</v>
      </c>
      <c r="K571" t="s">
        <v>61</v>
      </c>
      <c r="L571" t="s">
        <v>4768</v>
      </c>
      <c r="M571" t="s">
        <v>4769</v>
      </c>
      <c r="N571" t="s">
        <v>4770</v>
      </c>
      <c r="O571" t="s">
        <v>61</v>
      </c>
      <c r="Q571" t="s">
        <v>61</v>
      </c>
      <c r="R571" t="s">
        <v>61</v>
      </c>
      <c r="S571" t="s">
        <v>61</v>
      </c>
      <c r="T571" t="s">
        <v>61</v>
      </c>
      <c r="X571" t="s">
        <v>61</v>
      </c>
      <c r="Y571" t="s">
        <v>433</v>
      </c>
      <c r="Z571" t="s">
        <v>61</v>
      </c>
      <c r="AA571" t="s">
        <v>61</v>
      </c>
      <c r="AB571" t="s">
        <v>61</v>
      </c>
      <c r="AC571" t="s">
        <v>67</v>
      </c>
      <c r="AD571" t="s">
        <v>61</v>
      </c>
      <c r="AE571" t="s">
        <v>61</v>
      </c>
      <c r="AF571" t="s">
        <v>61</v>
      </c>
      <c r="AG571" t="s">
        <v>61</v>
      </c>
      <c r="AH571" t="s">
        <v>61</v>
      </c>
      <c r="AI571" t="s">
        <v>61</v>
      </c>
      <c r="AJ571" t="s">
        <v>61</v>
      </c>
      <c r="AK571" t="s">
        <v>61</v>
      </c>
      <c r="AL571" t="s">
        <v>61</v>
      </c>
      <c r="AM571" t="s">
        <v>4767</v>
      </c>
      <c r="AN571" t="s">
        <v>61</v>
      </c>
      <c r="AO571" t="s">
        <v>61</v>
      </c>
      <c r="AP571" t="s">
        <v>61</v>
      </c>
      <c r="AQ571" t="s">
        <v>61</v>
      </c>
      <c r="AR571" t="s">
        <v>61</v>
      </c>
      <c r="AS571" t="s">
        <v>61</v>
      </c>
      <c r="AT571" t="s">
        <v>61</v>
      </c>
      <c r="AU571" t="s">
        <v>61</v>
      </c>
      <c r="AV571" t="s">
        <v>61</v>
      </c>
      <c r="AW571" t="s">
        <v>61</v>
      </c>
      <c r="AX571" t="s">
        <v>61</v>
      </c>
      <c r="AY571" t="s">
        <v>61</v>
      </c>
      <c r="AZ571" t="s">
        <v>61</v>
      </c>
      <c r="BA571" t="s">
        <v>61</v>
      </c>
      <c r="BB571" t="s">
        <v>61</v>
      </c>
      <c r="BC571" t="s">
        <v>61</v>
      </c>
      <c r="BD571" t="s">
        <v>61</v>
      </c>
      <c r="BE571" t="s">
        <v>61</v>
      </c>
      <c r="BF571" t="s">
        <v>61</v>
      </c>
    </row>
    <row r="572" spans="1:58">
      <c r="A572" t="s">
        <v>58</v>
      </c>
      <c r="B572" t="s">
        <v>4771</v>
      </c>
      <c r="C572" t="s">
        <v>4772</v>
      </c>
      <c r="D572" t="s">
        <v>4773</v>
      </c>
      <c r="E572" t="s">
        <v>4774</v>
      </c>
      <c r="F572">
        <v>1983</v>
      </c>
      <c r="G572" t="s">
        <v>851</v>
      </c>
      <c r="H572">
        <v>58</v>
      </c>
      <c r="I572">
        <v>11</v>
      </c>
      <c r="J572">
        <v>859</v>
      </c>
      <c r="K572">
        <v>863</v>
      </c>
      <c r="L572" t="s">
        <v>4775</v>
      </c>
      <c r="M572" t="s">
        <v>4776</v>
      </c>
      <c r="N572" t="s">
        <v>4777</v>
      </c>
      <c r="O572" t="s">
        <v>61</v>
      </c>
      <c r="Q572" t="s">
        <v>61</v>
      </c>
      <c r="R572" t="s">
        <v>61</v>
      </c>
      <c r="S572" t="s">
        <v>61</v>
      </c>
      <c r="T572" t="s">
        <v>61</v>
      </c>
      <c r="X572" t="s">
        <v>61</v>
      </c>
      <c r="Y572" t="s">
        <v>4778</v>
      </c>
      <c r="Z572" t="s">
        <v>61</v>
      </c>
      <c r="AA572" t="s">
        <v>61</v>
      </c>
      <c r="AB572">
        <v>6631924</v>
      </c>
      <c r="AC572" t="s">
        <v>67</v>
      </c>
      <c r="AD572" t="s">
        <v>61</v>
      </c>
      <c r="AE572" t="s">
        <v>61</v>
      </c>
      <c r="AF572" t="s">
        <v>61</v>
      </c>
      <c r="AG572" t="s">
        <v>4779</v>
      </c>
      <c r="AH572" t="s">
        <v>61</v>
      </c>
      <c r="AI572" t="s">
        <v>61</v>
      </c>
      <c r="AJ572" t="s">
        <v>61</v>
      </c>
      <c r="AK572" t="s">
        <v>61</v>
      </c>
      <c r="AL572" t="s">
        <v>61</v>
      </c>
      <c r="AM572" t="s">
        <v>4780</v>
      </c>
      <c r="AN572" t="s">
        <v>61</v>
      </c>
      <c r="AO572" t="s">
        <v>61</v>
      </c>
      <c r="AP572" t="s">
        <v>61</v>
      </c>
      <c r="AQ572" t="s">
        <v>61</v>
      </c>
      <c r="AR572" t="s">
        <v>61</v>
      </c>
      <c r="AS572" t="s">
        <v>61</v>
      </c>
      <c r="AT572" t="s">
        <v>61</v>
      </c>
      <c r="AU572" t="s">
        <v>61</v>
      </c>
      <c r="AV572" t="s">
        <v>61</v>
      </c>
      <c r="AW572" t="s">
        <v>61</v>
      </c>
      <c r="AX572" t="s">
        <v>61</v>
      </c>
      <c r="AY572" t="s">
        <v>61</v>
      </c>
      <c r="AZ572" t="s">
        <v>61</v>
      </c>
      <c r="BA572" t="s">
        <v>61</v>
      </c>
      <c r="BB572" t="s">
        <v>61</v>
      </c>
      <c r="BC572" t="s">
        <v>61</v>
      </c>
      <c r="BD572" t="s">
        <v>61</v>
      </c>
      <c r="BE572" t="s">
        <v>61</v>
      </c>
      <c r="BF572" t="s">
        <v>61</v>
      </c>
    </row>
    <row r="573" spans="1:58">
      <c r="A573" t="s">
        <v>58</v>
      </c>
      <c r="B573" t="s">
        <v>4781</v>
      </c>
      <c r="C573" t="s">
        <v>4782</v>
      </c>
      <c r="D573" t="s">
        <v>4783</v>
      </c>
      <c r="E573" t="s">
        <v>4784</v>
      </c>
      <c r="F573">
        <v>2003</v>
      </c>
      <c r="G573" s="1">
        <v>42719</v>
      </c>
      <c r="H573">
        <v>68</v>
      </c>
      <c r="I573">
        <v>12</v>
      </c>
      <c r="J573">
        <v>2401</v>
      </c>
      <c r="K573">
        <v>2408</v>
      </c>
      <c r="L573" t="s">
        <v>4785</v>
      </c>
      <c r="M573" t="s">
        <v>4786</v>
      </c>
      <c r="N573" t="s">
        <v>4787</v>
      </c>
      <c r="O573" t="s">
        <v>61</v>
      </c>
      <c r="Q573" t="s">
        <v>61</v>
      </c>
      <c r="R573" t="s">
        <v>61</v>
      </c>
      <c r="S573" t="s">
        <v>61</v>
      </c>
      <c r="T573" t="s">
        <v>61</v>
      </c>
      <c r="X573" t="s">
        <v>61</v>
      </c>
      <c r="Y573" t="s">
        <v>4788</v>
      </c>
      <c r="Z573" t="s">
        <v>61</v>
      </c>
      <c r="AA573" t="s">
        <v>4789</v>
      </c>
      <c r="AB573">
        <v>14705759</v>
      </c>
      <c r="AC573" t="s">
        <v>67</v>
      </c>
      <c r="AD573" t="s">
        <v>61</v>
      </c>
      <c r="AE573" t="s">
        <v>61</v>
      </c>
      <c r="AF573" t="s">
        <v>61</v>
      </c>
      <c r="AG573" t="s">
        <v>4790</v>
      </c>
      <c r="AH573" t="s">
        <v>61</v>
      </c>
      <c r="AI573" t="s">
        <v>61</v>
      </c>
      <c r="AJ573" t="s">
        <v>61</v>
      </c>
      <c r="AK573" t="s">
        <v>61</v>
      </c>
      <c r="AL573" t="s">
        <v>61</v>
      </c>
      <c r="AM573" t="s">
        <v>4791</v>
      </c>
      <c r="AN573" t="s">
        <v>61</v>
      </c>
      <c r="AO573" t="s">
        <v>61</v>
      </c>
      <c r="AP573" t="s">
        <v>61</v>
      </c>
      <c r="AQ573" t="s">
        <v>61</v>
      </c>
      <c r="AR573" t="s">
        <v>61</v>
      </c>
      <c r="AS573" t="s">
        <v>61</v>
      </c>
      <c r="AT573" t="s">
        <v>61</v>
      </c>
      <c r="AU573" t="s">
        <v>61</v>
      </c>
      <c r="AV573" t="s">
        <v>61</v>
      </c>
      <c r="AW573" t="s">
        <v>61</v>
      </c>
      <c r="AX573" t="s">
        <v>61</v>
      </c>
      <c r="AY573" t="s">
        <v>61</v>
      </c>
      <c r="AZ573" t="s">
        <v>61</v>
      </c>
      <c r="BA573" t="s">
        <v>61</v>
      </c>
      <c r="BB573" t="s">
        <v>61</v>
      </c>
      <c r="BC573" t="s">
        <v>61</v>
      </c>
      <c r="BD573" t="s">
        <v>61</v>
      </c>
      <c r="BE573" t="s">
        <v>61</v>
      </c>
      <c r="BF573" t="s">
        <v>61</v>
      </c>
    </row>
    <row r="574" spans="1:58">
      <c r="A574" t="s">
        <v>58</v>
      </c>
      <c r="B574" t="s">
        <v>4792</v>
      </c>
      <c r="C574" t="s">
        <v>4793</v>
      </c>
      <c r="D574" t="s">
        <v>4773</v>
      </c>
      <c r="E574" t="s">
        <v>4774</v>
      </c>
      <c r="F574">
        <v>1985</v>
      </c>
      <c r="G574" t="s">
        <v>61</v>
      </c>
      <c r="H574">
        <v>60</v>
      </c>
      <c r="I574">
        <v>7</v>
      </c>
      <c r="J574">
        <v>552</v>
      </c>
      <c r="K574">
        <v>557</v>
      </c>
      <c r="L574" t="s">
        <v>4794</v>
      </c>
      <c r="M574" t="s">
        <v>4795</v>
      </c>
      <c r="N574" t="s">
        <v>4796</v>
      </c>
      <c r="O574" t="s">
        <v>61</v>
      </c>
      <c r="Q574" t="s">
        <v>61</v>
      </c>
      <c r="R574" t="s">
        <v>61</v>
      </c>
      <c r="S574" t="s">
        <v>61</v>
      </c>
      <c r="T574" t="s">
        <v>61</v>
      </c>
      <c r="X574" t="s">
        <v>61</v>
      </c>
      <c r="Y574" t="s">
        <v>4778</v>
      </c>
      <c r="Z574" t="s">
        <v>61</v>
      </c>
      <c r="AA574" t="s">
        <v>61</v>
      </c>
      <c r="AB574">
        <v>1985232717</v>
      </c>
      <c r="AC574" t="s">
        <v>67</v>
      </c>
      <c r="AD574" t="s">
        <v>61</v>
      </c>
      <c r="AE574" t="s">
        <v>61</v>
      </c>
      <c r="AF574" t="s">
        <v>61</v>
      </c>
      <c r="AG574" t="s">
        <v>4797</v>
      </c>
      <c r="AH574" t="s">
        <v>61</v>
      </c>
      <c r="AI574" t="s">
        <v>61</v>
      </c>
      <c r="AJ574" t="s">
        <v>61</v>
      </c>
      <c r="AK574" t="s">
        <v>61</v>
      </c>
      <c r="AL574" t="s">
        <v>61</v>
      </c>
      <c r="AM574" t="s">
        <v>4798</v>
      </c>
      <c r="AN574" t="s">
        <v>61</v>
      </c>
      <c r="AO574" t="s">
        <v>61</v>
      </c>
      <c r="AP574" t="s">
        <v>61</v>
      </c>
      <c r="AQ574" t="s">
        <v>61</v>
      </c>
      <c r="AR574" t="s">
        <v>61</v>
      </c>
      <c r="AS574" t="s">
        <v>61</v>
      </c>
      <c r="AT574" t="s">
        <v>61</v>
      </c>
      <c r="AU574" t="s">
        <v>61</v>
      </c>
      <c r="AV574" t="s">
        <v>61</v>
      </c>
      <c r="AW574" t="s">
        <v>61</v>
      </c>
      <c r="AX574" t="s">
        <v>61</v>
      </c>
      <c r="AY574" t="s">
        <v>61</v>
      </c>
      <c r="AZ574" t="s">
        <v>61</v>
      </c>
      <c r="BA574" t="s">
        <v>61</v>
      </c>
      <c r="BB574" t="s">
        <v>61</v>
      </c>
      <c r="BC574" t="s">
        <v>61</v>
      </c>
      <c r="BD574" t="s">
        <v>61</v>
      </c>
      <c r="BE574" t="s">
        <v>61</v>
      </c>
      <c r="BF574" t="s">
        <v>61</v>
      </c>
    </row>
    <row r="575" spans="1:58">
      <c r="A575" t="s">
        <v>58</v>
      </c>
      <c r="B575" t="s">
        <v>4799</v>
      </c>
      <c r="C575" t="s">
        <v>4800</v>
      </c>
      <c r="D575" t="s">
        <v>1894</v>
      </c>
      <c r="E575" t="s">
        <v>1895</v>
      </c>
      <c r="F575">
        <v>1999</v>
      </c>
      <c r="G575" t="s">
        <v>61</v>
      </c>
      <c r="H575">
        <v>132</v>
      </c>
      <c r="I575">
        <v>9</v>
      </c>
      <c r="J575">
        <v>38</v>
      </c>
      <c r="K575" t="s">
        <v>4801</v>
      </c>
      <c r="L575" t="s">
        <v>4802</v>
      </c>
      <c r="M575" t="s">
        <v>4803</v>
      </c>
      <c r="N575" t="s">
        <v>4804</v>
      </c>
      <c r="O575" t="s">
        <v>61</v>
      </c>
      <c r="Q575" t="s">
        <v>61</v>
      </c>
      <c r="R575" t="s">
        <v>61</v>
      </c>
      <c r="S575" t="s">
        <v>61</v>
      </c>
      <c r="T575" t="s">
        <v>61</v>
      </c>
      <c r="X575" t="s">
        <v>61</v>
      </c>
      <c r="Y575" t="s">
        <v>1899</v>
      </c>
      <c r="Z575" t="s">
        <v>61</v>
      </c>
      <c r="AA575" t="s">
        <v>61</v>
      </c>
      <c r="AB575">
        <v>2002190568</v>
      </c>
      <c r="AC575" t="s">
        <v>67</v>
      </c>
      <c r="AD575" t="s">
        <v>61</v>
      </c>
      <c r="AE575" t="s">
        <v>61</v>
      </c>
      <c r="AF575" t="s">
        <v>61</v>
      </c>
      <c r="AG575" t="s">
        <v>61</v>
      </c>
      <c r="AH575" t="s">
        <v>61</v>
      </c>
      <c r="AI575" t="s">
        <v>61</v>
      </c>
      <c r="AJ575" t="s">
        <v>61</v>
      </c>
      <c r="AK575" t="s">
        <v>61</v>
      </c>
      <c r="AL575" t="s">
        <v>61</v>
      </c>
      <c r="AM575" t="s">
        <v>4800</v>
      </c>
      <c r="AN575" t="s">
        <v>61</v>
      </c>
      <c r="AO575" t="s">
        <v>61</v>
      </c>
      <c r="AP575" t="s">
        <v>61</v>
      </c>
      <c r="AQ575" t="s">
        <v>61</v>
      </c>
      <c r="AR575" t="s">
        <v>61</v>
      </c>
      <c r="AS575" t="s">
        <v>61</v>
      </c>
      <c r="AT575" t="s">
        <v>61</v>
      </c>
      <c r="AU575" t="s">
        <v>61</v>
      </c>
      <c r="AV575" t="s">
        <v>61</v>
      </c>
      <c r="AW575" t="s">
        <v>61</v>
      </c>
      <c r="AX575" t="s">
        <v>61</v>
      </c>
      <c r="AY575" t="s">
        <v>61</v>
      </c>
      <c r="AZ575" t="s">
        <v>61</v>
      </c>
      <c r="BA575" t="s">
        <v>61</v>
      </c>
      <c r="BB575" t="s">
        <v>61</v>
      </c>
      <c r="BC575" t="s">
        <v>61</v>
      </c>
      <c r="BD575" t="s">
        <v>61</v>
      </c>
      <c r="BE575" t="s">
        <v>61</v>
      </c>
      <c r="BF575" t="s">
        <v>61</v>
      </c>
    </row>
    <row r="576" spans="1:58">
      <c r="A576" t="s">
        <v>58</v>
      </c>
      <c r="B576" t="s">
        <v>4805</v>
      </c>
      <c r="C576" t="s">
        <v>4806</v>
      </c>
      <c r="D576" t="s">
        <v>475</v>
      </c>
      <c r="E576" t="s">
        <v>61</v>
      </c>
      <c r="F576">
        <v>2012</v>
      </c>
      <c r="G576" t="s">
        <v>381</v>
      </c>
      <c r="H576">
        <v>34</v>
      </c>
      <c r="I576">
        <v>1</v>
      </c>
      <c r="J576">
        <v>199</v>
      </c>
      <c r="K576">
        <v>200</v>
      </c>
      <c r="L576" t="s">
        <v>4807</v>
      </c>
      <c r="M576" t="s">
        <v>4808</v>
      </c>
      <c r="N576" t="s">
        <v>4809</v>
      </c>
      <c r="O576" t="s">
        <v>61</v>
      </c>
      <c r="Q576" t="s">
        <v>61</v>
      </c>
      <c r="R576" t="s">
        <v>61</v>
      </c>
      <c r="S576" t="s">
        <v>61</v>
      </c>
      <c r="T576" t="s">
        <v>61</v>
      </c>
      <c r="X576" t="s">
        <v>61</v>
      </c>
      <c r="Y576" t="s">
        <v>308</v>
      </c>
      <c r="Z576" t="s">
        <v>61</v>
      </c>
      <c r="AA576" t="s">
        <v>61</v>
      </c>
      <c r="AB576" t="s">
        <v>61</v>
      </c>
      <c r="AC576" t="s">
        <v>67</v>
      </c>
      <c r="AD576" t="s">
        <v>61</v>
      </c>
      <c r="AE576" t="s">
        <v>61</v>
      </c>
      <c r="AF576" t="s">
        <v>61</v>
      </c>
      <c r="AG576" t="s">
        <v>61</v>
      </c>
      <c r="AH576" t="s">
        <v>61</v>
      </c>
      <c r="AI576" t="s">
        <v>61</v>
      </c>
      <c r="AJ576" t="s">
        <v>61</v>
      </c>
      <c r="AK576" t="s">
        <v>61</v>
      </c>
      <c r="AL576" t="s">
        <v>61</v>
      </c>
      <c r="AM576" t="s">
        <v>4806</v>
      </c>
      <c r="AN576" t="s">
        <v>61</v>
      </c>
      <c r="AO576" t="s">
        <v>61</v>
      </c>
      <c r="AP576" t="s">
        <v>61</v>
      </c>
      <c r="AQ576" t="s">
        <v>61</v>
      </c>
      <c r="AR576" t="s">
        <v>61</v>
      </c>
      <c r="AS576" t="s">
        <v>61</v>
      </c>
      <c r="AT576" t="s">
        <v>61</v>
      </c>
      <c r="AU576" t="s">
        <v>61</v>
      </c>
      <c r="AV576" t="s">
        <v>61</v>
      </c>
      <c r="AW576" t="s">
        <v>61</v>
      </c>
      <c r="AX576" t="s">
        <v>61</v>
      </c>
      <c r="AY576" t="s">
        <v>61</v>
      </c>
      <c r="AZ576" t="s">
        <v>61</v>
      </c>
      <c r="BA576" t="s">
        <v>61</v>
      </c>
      <c r="BB576" t="s">
        <v>61</v>
      </c>
      <c r="BC576" t="s">
        <v>61</v>
      </c>
      <c r="BD576" t="s">
        <v>61</v>
      </c>
      <c r="BE576" t="s">
        <v>61</v>
      </c>
      <c r="BF576" t="s">
        <v>61</v>
      </c>
    </row>
    <row r="577" spans="1:58">
      <c r="A577" t="s">
        <v>58</v>
      </c>
      <c r="B577" t="s">
        <v>4810</v>
      </c>
      <c r="C577" t="s">
        <v>4811</v>
      </c>
      <c r="D577" t="s">
        <v>4812</v>
      </c>
      <c r="E577" t="s">
        <v>61</v>
      </c>
      <c r="F577">
        <v>2007</v>
      </c>
      <c r="G577" t="s">
        <v>61</v>
      </c>
      <c r="H577">
        <v>162</v>
      </c>
      <c r="I577" s="1">
        <v>42433</v>
      </c>
      <c r="J577">
        <v>225</v>
      </c>
      <c r="K577" t="s">
        <v>4813</v>
      </c>
      <c r="L577" t="s">
        <v>4814</v>
      </c>
      <c r="M577" t="s">
        <v>4815</v>
      </c>
      <c r="N577" t="s">
        <v>4816</v>
      </c>
      <c r="O577" t="s">
        <v>61</v>
      </c>
      <c r="Q577" t="s">
        <v>61</v>
      </c>
      <c r="R577" t="s">
        <v>61</v>
      </c>
      <c r="S577" t="s">
        <v>61</v>
      </c>
      <c r="T577" t="s">
        <v>61</v>
      </c>
      <c r="X577" t="s">
        <v>61</v>
      </c>
      <c r="Y577" t="s">
        <v>4817</v>
      </c>
      <c r="Z577" t="s">
        <v>61</v>
      </c>
      <c r="AA577" t="s">
        <v>4818</v>
      </c>
      <c r="AB577">
        <v>18075053</v>
      </c>
      <c r="AC577" t="s">
        <v>67</v>
      </c>
      <c r="AD577" t="s">
        <v>61</v>
      </c>
      <c r="AE577" t="s">
        <v>61</v>
      </c>
      <c r="AF577" t="s">
        <v>61</v>
      </c>
      <c r="AG577" t="s">
        <v>4819</v>
      </c>
      <c r="AH577" t="s">
        <v>61</v>
      </c>
      <c r="AI577" t="s">
        <v>61</v>
      </c>
      <c r="AJ577" t="s">
        <v>61</v>
      </c>
      <c r="AK577" t="s">
        <v>61</v>
      </c>
      <c r="AL577" t="s">
        <v>61</v>
      </c>
      <c r="AM577" t="s">
        <v>4820</v>
      </c>
      <c r="AN577" t="s">
        <v>61</v>
      </c>
      <c r="AO577" t="s">
        <v>61</v>
      </c>
      <c r="AP577" t="s">
        <v>61</v>
      </c>
      <c r="AQ577" t="s">
        <v>61</v>
      </c>
      <c r="AR577" t="s">
        <v>61</v>
      </c>
      <c r="AS577" t="s">
        <v>61</v>
      </c>
      <c r="AT577" t="s">
        <v>61</v>
      </c>
      <c r="AU577" t="s">
        <v>61</v>
      </c>
      <c r="AV577" t="s">
        <v>61</v>
      </c>
      <c r="AW577" t="s">
        <v>61</v>
      </c>
      <c r="AX577" t="s">
        <v>61</v>
      </c>
      <c r="AY577" t="s">
        <v>61</v>
      </c>
      <c r="AZ577" t="s">
        <v>61</v>
      </c>
      <c r="BA577" t="s">
        <v>61</v>
      </c>
      <c r="BB577" t="s">
        <v>61</v>
      </c>
      <c r="BC577" t="s">
        <v>61</v>
      </c>
      <c r="BD577" t="s">
        <v>61</v>
      </c>
      <c r="BE577" t="s">
        <v>61</v>
      </c>
      <c r="BF577" t="s">
        <v>61</v>
      </c>
    </row>
    <row r="578" spans="1:58">
      <c r="A578" t="s">
        <v>58</v>
      </c>
      <c r="B578" t="s">
        <v>4821</v>
      </c>
      <c r="C578" t="s">
        <v>4822</v>
      </c>
      <c r="D578" t="s">
        <v>1151</v>
      </c>
      <c r="E578" t="s">
        <v>61</v>
      </c>
      <c r="F578">
        <v>2006</v>
      </c>
      <c r="G578" t="s">
        <v>61</v>
      </c>
      <c r="H578">
        <v>27</v>
      </c>
      <c r="I578">
        <v>3</v>
      </c>
      <c r="J578">
        <v>39</v>
      </c>
      <c r="K578">
        <v>45</v>
      </c>
      <c r="L578" t="s">
        <v>4823</v>
      </c>
      <c r="M578" t="s">
        <v>4824</v>
      </c>
      <c r="N578" t="s">
        <v>4825</v>
      </c>
      <c r="O578" t="s">
        <v>61</v>
      </c>
      <c r="Q578" t="s">
        <v>61</v>
      </c>
      <c r="R578" t="s">
        <v>61</v>
      </c>
      <c r="S578" t="s">
        <v>61</v>
      </c>
      <c r="T578" t="s">
        <v>61</v>
      </c>
      <c r="X578" t="s">
        <v>61</v>
      </c>
      <c r="Y578" t="s">
        <v>1156</v>
      </c>
      <c r="Z578" t="s">
        <v>61</v>
      </c>
      <c r="AA578" t="s">
        <v>4826</v>
      </c>
      <c r="AB578" t="s">
        <v>4827</v>
      </c>
      <c r="AC578" t="s">
        <v>67</v>
      </c>
      <c r="AD578" t="s">
        <v>61</v>
      </c>
      <c r="AE578" t="s">
        <v>61</v>
      </c>
      <c r="AF578" t="s">
        <v>61</v>
      </c>
      <c r="AG578" t="s">
        <v>61</v>
      </c>
      <c r="AH578" t="s">
        <v>61</v>
      </c>
      <c r="AI578" t="s">
        <v>61</v>
      </c>
      <c r="AJ578" t="s">
        <v>61</v>
      </c>
      <c r="AK578" t="s">
        <v>61</v>
      </c>
      <c r="AL578" t="s">
        <v>61</v>
      </c>
      <c r="AM578" t="s">
        <v>4828</v>
      </c>
      <c r="AN578" t="s">
        <v>61</v>
      </c>
      <c r="AO578" t="s">
        <v>61</v>
      </c>
      <c r="AP578" t="s">
        <v>61</v>
      </c>
      <c r="AQ578" t="s">
        <v>61</v>
      </c>
      <c r="AR578" t="s">
        <v>61</v>
      </c>
      <c r="AS578" t="s">
        <v>61</v>
      </c>
      <c r="AT578" t="s">
        <v>61</v>
      </c>
      <c r="AU578" t="s">
        <v>61</v>
      </c>
      <c r="AV578" t="s">
        <v>61</v>
      </c>
      <c r="AW578" t="s">
        <v>61</v>
      </c>
      <c r="AX578" t="s">
        <v>61</v>
      </c>
      <c r="AY578" t="s">
        <v>61</v>
      </c>
      <c r="AZ578" t="s">
        <v>61</v>
      </c>
      <c r="BA578" t="s">
        <v>61</v>
      </c>
      <c r="BB578" t="s">
        <v>61</v>
      </c>
      <c r="BC578" t="s">
        <v>61</v>
      </c>
      <c r="BD578" t="s">
        <v>61</v>
      </c>
      <c r="BE578" t="s">
        <v>61</v>
      </c>
      <c r="BF578" t="s">
        <v>61</v>
      </c>
    </row>
    <row r="579" spans="1:58">
      <c r="A579" t="s">
        <v>58</v>
      </c>
      <c r="B579" t="s">
        <v>4829</v>
      </c>
      <c r="C579" t="s">
        <v>4830</v>
      </c>
      <c r="D579" t="s">
        <v>4831</v>
      </c>
      <c r="E579" t="s">
        <v>4832</v>
      </c>
      <c r="F579">
        <v>2014</v>
      </c>
      <c r="G579" t="s">
        <v>391</v>
      </c>
      <c r="H579">
        <v>103</v>
      </c>
      <c r="I579">
        <v>3</v>
      </c>
      <c r="J579">
        <v>987</v>
      </c>
      <c r="K579">
        <v>993</v>
      </c>
      <c r="L579" t="s">
        <v>4833</v>
      </c>
      <c r="M579" t="s">
        <v>4834</v>
      </c>
      <c r="N579" t="s">
        <v>4835</v>
      </c>
      <c r="O579" t="s">
        <v>61</v>
      </c>
      <c r="Q579" t="s">
        <v>61</v>
      </c>
      <c r="R579" t="s">
        <v>61</v>
      </c>
      <c r="S579" t="s">
        <v>61</v>
      </c>
      <c r="T579" t="s">
        <v>61</v>
      </c>
      <c r="X579" t="s">
        <v>61</v>
      </c>
      <c r="Y579" t="s">
        <v>4836</v>
      </c>
      <c r="Z579" t="s">
        <v>61</v>
      </c>
      <c r="AA579" t="s">
        <v>4837</v>
      </c>
      <c r="AB579">
        <v>24549734</v>
      </c>
      <c r="AC579" t="s">
        <v>67</v>
      </c>
      <c r="AD579" t="s">
        <v>61</v>
      </c>
      <c r="AE579" t="s">
        <v>61</v>
      </c>
      <c r="AF579" t="s">
        <v>61</v>
      </c>
      <c r="AG579" t="s">
        <v>4838</v>
      </c>
      <c r="AH579" t="s">
        <v>61</v>
      </c>
      <c r="AI579" t="s">
        <v>4839</v>
      </c>
      <c r="AJ579" t="s">
        <v>61</v>
      </c>
      <c r="AK579" t="s">
        <v>61</v>
      </c>
      <c r="AL579" t="s">
        <v>61</v>
      </c>
      <c r="AM579" t="s">
        <v>4840</v>
      </c>
      <c r="AN579" t="s">
        <v>61</v>
      </c>
      <c r="AO579" t="s">
        <v>61</v>
      </c>
      <c r="AP579" t="s">
        <v>61</v>
      </c>
      <c r="AQ579" t="s">
        <v>61</v>
      </c>
      <c r="AR579" t="s">
        <v>61</v>
      </c>
      <c r="AS579" t="s">
        <v>61</v>
      </c>
      <c r="AT579" t="s">
        <v>61</v>
      </c>
      <c r="AU579" t="s">
        <v>61</v>
      </c>
      <c r="AV579" t="s">
        <v>61</v>
      </c>
      <c r="AW579" t="s">
        <v>61</v>
      </c>
      <c r="AX579" t="s">
        <v>61</v>
      </c>
      <c r="AY579" t="s">
        <v>61</v>
      </c>
      <c r="AZ579" t="s">
        <v>61</v>
      </c>
      <c r="BA579" t="s">
        <v>61</v>
      </c>
      <c r="BB579" t="s">
        <v>61</v>
      </c>
      <c r="BC579" t="s">
        <v>61</v>
      </c>
      <c r="BD579" t="s">
        <v>61</v>
      </c>
      <c r="BE579" t="s">
        <v>61</v>
      </c>
      <c r="BF579" t="s">
        <v>61</v>
      </c>
    </row>
    <row r="580" spans="1:58">
      <c r="A580" t="s">
        <v>58</v>
      </c>
      <c r="B580" t="s">
        <v>4841</v>
      </c>
      <c r="C580" t="s">
        <v>4842</v>
      </c>
      <c r="D580" t="s">
        <v>162</v>
      </c>
      <c r="E580" t="s">
        <v>163</v>
      </c>
      <c r="F580">
        <v>2007</v>
      </c>
      <c r="G580" t="s">
        <v>559</v>
      </c>
      <c r="H580">
        <v>47</v>
      </c>
      <c r="I580">
        <v>5</v>
      </c>
      <c r="J580">
        <v>604</v>
      </c>
      <c r="K580">
        <v>612</v>
      </c>
      <c r="L580" t="s">
        <v>4843</v>
      </c>
      <c r="M580" t="s">
        <v>4844</v>
      </c>
      <c r="N580" t="s">
        <v>4845</v>
      </c>
      <c r="O580" t="s">
        <v>61</v>
      </c>
      <c r="Q580" t="s">
        <v>61</v>
      </c>
      <c r="R580" t="s">
        <v>61</v>
      </c>
      <c r="S580" t="s">
        <v>61</v>
      </c>
      <c r="T580" t="s">
        <v>61</v>
      </c>
      <c r="X580" t="s">
        <v>61</v>
      </c>
      <c r="Y580" t="s">
        <v>902</v>
      </c>
      <c r="Z580" t="s">
        <v>61</v>
      </c>
      <c r="AA580" t="s">
        <v>61</v>
      </c>
      <c r="AB580">
        <v>2007199114</v>
      </c>
      <c r="AC580" t="s">
        <v>67</v>
      </c>
      <c r="AD580" t="s">
        <v>61</v>
      </c>
      <c r="AE580" t="s">
        <v>61</v>
      </c>
      <c r="AF580" t="s">
        <v>61</v>
      </c>
      <c r="AG580" t="s">
        <v>4846</v>
      </c>
      <c r="AH580" t="s">
        <v>61</v>
      </c>
      <c r="AI580" t="s">
        <v>61</v>
      </c>
      <c r="AJ580" t="s">
        <v>61</v>
      </c>
      <c r="AK580" t="s">
        <v>61</v>
      </c>
      <c r="AL580" t="s">
        <v>61</v>
      </c>
      <c r="AM580" t="s">
        <v>4847</v>
      </c>
      <c r="AN580" t="s">
        <v>61</v>
      </c>
      <c r="AO580" t="s">
        <v>61</v>
      </c>
      <c r="AP580" t="s">
        <v>61</v>
      </c>
      <c r="AQ580" t="s">
        <v>61</v>
      </c>
      <c r="AR580" t="s">
        <v>61</v>
      </c>
      <c r="AS580" t="s">
        <v>61</v>
      </c>
      <c r="AT580" t="s">
        <v>61</v>
      </c>
      <c r="AU580" t="s">
        <v>61</v>
      </c>
      <c r="AV580" t="s">
        <v>61</v>
      </c>
      <c r="AW580" t="s">
        <v>61</v>
      </c>
      <c r="AX580" t="s">
        <v>61</v>
      </c>
      <c r="AY580" t="s">
        <v>61</v>
      </c>
      <c r="AZ580" t="s">
        <v>61</v>
      </c>
      <c r="BA580" t="s">
        <v>61</v>
      </c>
      <c r="BB580" t="s">
        <v>61</v>
      </c>
      <c r="BC580" t="s">
        <v>61</v>
      </c>
      <c r="BD580" t="s">
        <v>61</v>
      </c>
      <c r="BE580" t="s">
        <v>61</v>
      </c>
      <c r="BF580" t="s">
        <v>61</v>
      </c>
    </row>
    <row r="581" spans="1:58">
      <c r="A581" t="s">
        <v>58</v>
      </c>
      <c r="B581" t="s">
        <v>4848</v>
      </c>
      <c r="C581" t="s">
        <v>4849</v>
      </c>
      <c r="D581" t="s">
        <v>3204</v>
      </c>
      <c r="E581" t="s">
        <v>61</v>
      </c>
      <c r="F581">
        <v>2011</v>
      </c>
      <c r="G581" t="s">
        <v>129</v>
      </c>
      <c r="H581">
        <v>21</v>
      </c>
      <c r="I581">
        <v>10</v>
      </c>
      <c r="J581">
        <v>718</v>
      </c>
      <c r="K581">
        <v>779</v>
      </c>
      <c r="L581" t="s">
        <v>4850</v>
      </c>
      <c r="M581" t="s">
        <v>4851</v>
      </c>
      <c r="N581" t="s">
        <v>4852</v>
      </c>
      <c r="O581" t="s">
        <v>61</v>
      </c>
      <c r="Q581" t="s">
        <v>61</v>
      </c>
      <c r="R581" t="s">
        <v>61</v>
      </c>
      <c r="S581" t="s">
        <v>61</v>
      </c>
      <c r="T581" t="s">
        <v>61</v>
      </c>
      <c r="X581" t="s">
        <v>61</v>
      </c>
      <c r="Y581" t="s">
        <v>4853</v>
      </c>
      <c r="Z581" t="s">
        <v>61</v>
      </c>
      <c r="AA581" t="s">
        <v>4854</v>
      </c>
      <c r="AB581">
        <v>21924589</v>
      </c>
      <c r="AC581" t="s">
        <v>67</v>
      </c>
      <c r="AD581" t="s">
        <v>61</v>
      </c>
      <c r="AE581" t="s">
        <v>61</v>
      </c>
      <c r="AF581" t="s">
        <v>61</v>
      </c>
      <c r="AG581" t="s">
        <v>4855</v>
      </c>
      <c r="AH581" t="s">
        <v>61</v>
      </c>
      <c r="AI581" t="s">
        <v>4856</v>
      </c>
      <c r="AJ581" t="s">
        <v>61</v>
      </c>
      <c r="AK581" t="s">
        <v>61</v>
      </c>
      <c r="AL581" t="s">
        <v>61</v>
      </c>
      <c r="AM581" t="s">
        <v>4857</v>
      </c>
      <c r="AN581" t="s">
        <v>61</v>
      </c>
      <c r="AO581" t="s">
        <v>61</v>
      </c>
      <c r="AP581" t="s">
        <v>61</v>
      </c>
      <c r="AQ581" t="s">
        <v>61</v>
      </c>
      <c r="AR581" t="s">
        <v>61</v>
      </c>
      <c r="AS581" t="s">
        <v>61</v>
      </c>
      <c r="AT581" t="s">
        <v>61</v>
      </c>
      <c r="AU581" t="s">
        <v>61</v>
      </c>
      <c r="AV581" t="s">
        <v>61</v>
      </c>
      <c r="AW581" t="s">
        <v>61</v>
      </c>
      <c r="AX581" t="s">
        <v>61</v>
      </c>
      <c r="AY581" t="s">
        <v>61</v>
      </c>
      <c r="AZ581" t="s">
        <v>61</v>
      </c>
      <c r="BA581" t="s">
        <v>61</v>
      </c>
      <c r="BB581" t="s">
        <v>61</v>
      </c>
      <c r="BC581" t="s">
        <v>61</v>
      </c>
      <c r="BD581" t="s">
        <v>61</v>
      </c>
      <c r="BE581" t="s">
        <v>61</v>
      </c>
      <c r="BF581" t="s">
        <v>61</v>
      </c>
    </row>
    <row r="582" spans="1:58">
      <c r="A582" t="s">
        <v>58</v>
      </c>
      <c r="B582" t="s">
        <v>4858</v>
      </c>
      <c r="C582" t="s">
        <v>4859</v>
      </c>
      <c r="D582" t="s">
        <v>408</v>
      </c>
      <c r="E582" t="s">
        <v>408</v>
      </c>
      <c r="F582">
        <v>2015</v>
      </c>
      <c r="G582" t="s">
        <v>409</v>
      </c>
      <c r="H582">
        <v>35</v>
      </c>
      <c r="I582">
        <v>11</v>
      </c>
      <c r="J582" t="s">
        <v>4860</v>
      </c>
      <c r="K582" t="s">
        <v>61</v>
      </c>
      <c r="L582" t="s">
        <v>4861</v>
      </c>
      <c r="M582" t="s">
        <v>4862</v>
      </c>
      <c r="N582" t="s">
        <v>4863</v>
      </c>
      <c r="O582" t="s">
        <v>61</v>
      </c>
      <c r="Q582" t="s">
        <v>61</v>
      </c>
      <c r="R582" t="s">
        <v>61</v>
      </c>
      <c r="S582" t="s">
        <v>61</v>
      </c>
      <c r="T582" t="s">
        <v>61</v>
      </c>
      <c r="X582" t="s">
        <v>61</v>
      </c>
      <c r="Y582" t="s">
        <v>414</v>
      </c>
      <c r="Z582" t="s">
        <v>61</v>
      </c>
      <c r="AA582" t="s">
        <v>61</v>
      </c>
      <c r="AB582" t="s">
        <v>61</v>
      </c>
      <c r="AC582" t="s">
        <v>67</v>
      </c>
      <c r="AD582" t="s">
        <v>61</v>
      </c>
      <c r="AE582" t="s">
        <v>61</v>
      </c>
      <c r="AF582" t="s">
        <v>61</v>
      </c>
      <c r="AG582" t="s">
        <v>61</v>
      </c>
      <c r="AH582" t="s">
        <v>61</v>
      </c>
      <c r="AI582" t="s">
        <v>61</v>
      </c>
      <c r="AJ582" t="s">
        <v>61</v>
      </c>
      <c r="AK582" t="s">
        <v>61</v>
      </c>
      <c r="AL582" t="s">
        <v>61</v>
      </c>
      <c r="AM582" t="s">
        <v>4859</v>
      </c>
      <c r="AN582" t="s">
        <v>61</v>
      </c>
      <c r="AO582" t="s">
        <v>61</v>
      </c>
      <c r="AP582" t="s">
        <v>61</v>
      </c>
      <c r="AQ582" t="s">
        <v>61</v>
      </c>
      <c r="AR582" t="s">
        <v>61</v>
      </c>
      <c r="AS582" t="s">
        <v>61</v>
      </c>
      <c r="AT582" t="s">
        <v>61</v>
      </c>
      <c r="AU582" t="s">
        <v>61</v>
      </c>
      <c r="AV582" t="s">
        <v>61</v>
      </c>
      <c r="AW582" t="s">
        <v>61</v>
      </c>
      <c r="AX582" t="s">
        <v>61</v>
      </c>
      <c r="AY582" t="s">
        <v>61</v>
      </c>
      <c r="AZ582" t="s">
        <v>61</v>
      </c>
      <c r="BA582" t="s">
        <v>61</v>
      </c>
      <c r="BB582" t="s">
        <v>61</v>
      </c>
      <c r="BC582" t="s">
        <v>61</v>
      </c>
      <c r="BD582" t="s">
        <v>61</v>
      </c>
      <c r="BE582" t="s">
        <v>61</v>
      </c>
      <c r="BF582" t="s">
        <v>61</v>
      </c>
    </row>
    <row r="583" spans="1:58">
      <c r="A583" t="s">
        <v>58</v>
      </c>
      <c r="B583" t="s">
        <v>4864</v>
      </c>
      <c r="C583" t="s">
        <v>4865</v>
      </c>
      <c r="D583" t="s">
        <v>4866</v>
      </c>
      <c r="E583" t="s">
        <v>61</v>
      </c>
      <c r="F583">
        <v>2011</v>
      </c>
      <c r="G583" t="s">
        <v>61</v>
      </c>
      <c r="H583">
        <v>5</v>
      </c>
      <c r="I583" t="s">
        <v>61</v>
      </c>
      <c r="J583">
        <v>71</v>
      </c>
      <c r="K583">
        <v>76</v>
      </c>
      <c r="L583" t="s">
        <v>4867</v>
      </c>
      <c r="M583" t="s">
        <v>4868</v>
      </c>
      <c r="N583" t="s">
        <v>4869</v>
      </c>
      <c r="O583" t="s">
        <v>61</v>
      </c>
      <c r="Q583" t="s">
        <v>61</v>
      </c>
      <c r="R583" t="s">
        <v>61</v>
      </c>
      <c r="S583" t="s">
        <v>61</v>
      </c>
      <c r="T583" t="s">
        <v>61</v>
      </c>
      <c r="X583" t="s">
        <v>61</v>
      </c>
      <c r="Y583" t="s">
        <v>4870</v>
      </c>
      <c r="Z583" t="s">
        <v>61</v>
      </c>
      <c r="AA583" t="s">
        <v>4871</v>
      </c>
      <c r="AB583">
        <v>21340040</v>
      </c>
      <c r="AC583" t="s">
        <v>67</v>
      </c>
      <c r="AD583" t="s">
        <v>61</v>
      </c>
      <c r="AE583" t="s">
        <v>61</v>
      </c>
      <c r="AF583" t="s">
        <v>61</v>
      </c>
      <c r="AG583" t="s">
        <v>4872</v>
      </c>
      <c r="AH583" t="s">
        <v>61</v>
      </c>
      <c r="AI583" t="s">
        <v>4873</v>
      </c>
      <c r="AJ583" t="s">
        <v>61</v>
      </c>
      <c r="AK583" t="s">
        <v>61</v>
      </c>
      <c r="AL583" t="s">
        <v>61</v>
      </c>
      <c r="AM583" t="s">
        <v>4874</v>
      </c>
      <c r="AN583" t="s">
        <v>61</v>
      </c>
      <c r="AO583" t="s">
        <v>61</v>
      </c>
      <c r="AP583" t="s">
        <v>61</v>
      </c>
      <c r="AQ583" t="s">
        <v>61</v>
      </c>
      <c r="AR583" t="s">
        <v>61</v>
      </c>
      <c r="AS583" t="s">
        <v>61</v>
      </c>
      <c r="AT583" t="s">
        <v>61</v>
      </c>
      <c r="AU583" t="s">
        <v>61</v>
      </c>
      <c r="AV583" t="s">
        <v>61</v>
      </c>
      <c r="AW583" t="s">
        <v>61</v>
      </c>
      <c r="AX583" t="s">
        <v>61</v>
      </c>
      <c r="AY583" t="s">
        <v>61</v>
      </c>
      <c r="AZ583" t="s">
        <v>61</v>
      </c>
      <c r="BA583" t="s">
        <v>61</v>
      </c>
      <c r="BB583" t="s">
        <v>61</v>
      </c>
      <c r="BC583" t="s">
        <v>61</v>
      </c>
      <c r="BD583" t="s">
        <v>61</v>
      </c>
      <c r="BE583" t="s">
        <v>61</v>
      </c>
      <c r="BF583" t="s">
        <v>61</v>
      </c>
    </row>
    <row r="584" spans="1:58">
      <c r="A584" t="s">
        <v>58</v>
      </c>
      <c r="B584" t="s">
        <v>4875</v>
      </c>
      <c r="C584" t="s">
        <v>4876</v>
      </c>
      <c r="D584" t="s">
        <v>4877</v>
      </c>
      <c r="E584" t="s">
        <v>4878</v>
      </c>
      <c r="F584">
        <v>2015</v>
      </c>
      <c r="G584" t="s">
        <v>559</v>
      </c>
      <c r="H584">
        <v>52</v>
      </c>
      <c r="I584" t="s">
        <v>61</v>
      </c>
      <c r="J584">
        <v>67</v>
      </c>
      <c r="K584">
        <v>72</v>
      </c>
      <c r="L584" t="s">
        <v>4879</v>
      </c>
      <c r="M584" t="s">
        <v>4880</v>
      </c>
      <c r="N584" t="s">
        <v>4881</v>
      </c>
      <c r="O584" t="s">
        <v>61</v>
      </c>
      <c r="Q584" t="s">
        <v>61</v>
      </c>
      <c r="R584" t="s">
        <v>61</v>
      </c>
      <c r="S584" t="s">
        <v>61</v>
      </c>
      <c r="T584" t="s">
        <v>61</v>
      </c>
      <c r="X584" t="s">
        <v>61</v>
      </c>
      <c r="Y584" t="s">
        <v>4882</v>
      </c>
      <c r="Z584" t="s">
        <v>61</v>
      </c>
      <c r="AA584" t="s">
        <v>4883</v>
      </c>
      <c r="AB584">
        <v>25491734</v>
      </c>
      <c r="AC584" t="s">
        <v>67</v>
      </c>
      <c r="AD584" t="s">
        <v>61</v>
      </c>
      <c r="AE584" t="s">
        <v>61</v>
      </c>
      <c r="AF584" t="s">
        <v>61</v>
      </c>
      <c r="AG584" t="s">
        <v>4884</v>
      </c>
      <c r="AH584" t="s">
        <v>61</v>
      </c>
      <c r="AI584" t="s">
        <v>4885</v>
      </c>
      <c r="AJ584" t="s">
        <v>61</v>
      </c>
      <c r="AK584" t="s">
        <v>61</v>
      </c>
      <c r="AL584" t="s">
        <v>61</v>
      </c>
      <c r="AM584" t="s">
        <v>4886</v>
      </c>
      <c r="AN584" t="s">
        <v>61</v>
      </c>
      <c r="AO584" t="s">
        <v>61</v>
      </c>
      <c r="AP584" t="s">
        <v>61</v>
      </c>
      <c r="AQ584" t="s">
        <v>61</v>
      </c>
      <c r="AR584" t="s">
        <v>61</v>
      </c>
      <c r="AS584" t="s">
        <v>61</v>
      </c>
      <c r="AT584" t="s">
        <v>61</v>
      </c>
      <c r="AU584" t="s">
        <v>61</v>
      </c>
      <c r="AV584" t="s">
        <v>61</v>
      </c>
      <c r="AW584" t="s">
        <v>61</v>
      </c>
      <c r="AX584" t="s">
        <v>61</v>
      </c>
      <c r="AY584" t="s">
        <v>61</v>
      </c>
      <c r="AZ584" t="s">
        <v>61</v>
      </c>
      <c r="BA584" t="s">
        <v>61</v>
      </c>
      <c r="BB584" t="s">
        <v>61</v>
      </c>
      <c r="BC584" t="s">
        <v>61</v>
      </c>
      <c r="BD584" t="s">
        <v>61</v>
      </c>
      <c r="BE584" t="s">
        <v>61</v>
      </c>
      <c r="BF584" t="s">
        <v>61</v>
      </c>
    </row>
    <row r="585" spans="1:58">
      <c r="A585" t="s">
        <v>58</v>
      </c>
      <c r="B585" t="s">
        <v>4887</v>
      </c>
      <c r="C585" t="s">
        <v>4888</v>
      </c>
      <c r="D585" t="s">
        <v>4658</v>
      </c>
      <c r="E585" t="s">
        <v>4659</v>
      </c>
      <c r="F585">
        <v>2015</v>
      </c>
      <c r="G585">
        <v>1</v>
      </c>
      <c r="H585">
        <v>156</v>
      </c>
      <c r="I585" t="s">
        <v>61</v>
      </c>
      <c r="J585" t="s">
        <v>4889</v>
      </c>
      <c r="K585" t="s">
        <v>61</v>
      </c>
      <c r="L585" t="s">
        <v>4890</v>
      </c>
      <c r="M585" t="s">
        <v>4891</v>
      </c>
      <c r="N585" t="s">
        <v>4892</v>
      </c>
      <c r="O585" t="s">
        <v>61</v>
      </c>
      <c r="Q585" t="s">
        <v>61</v>
      </c>
      <c r="R585" t="s">
        <v>61</v>
      </c>
      <c r="S585" t="s">
        <v>61</v>
      </c>
      <c r="T585" t="s">
        <v>61</v>
      </c>
      <c r="X585" t="s">
        <v>61</v>
      </c>
      <c r="Y585" t="s">
        <v>486</v>
      </c>
      <c r="Z585" t="s">
        <v>61</v>
      </c>
      <c r="AA585" t="s">
        <v>61</v>
      </c>
      <c r="AB585" t="s">
        <v>61</v>
      </c>
      <c r="AC585" t="s">
        <v>67</v>
      </c>
      <c r="AD585" t="s">
        <v>61</v>
      </c>
      <c r="AE585" t="s">
        <v>61</v>
      </c>
      <c r="AF585" t="s">
        <v>61</v>
      </c>
      <c r="AG585" t="s">
        <v>61</v>
      </c>
      <c r="AH585" t="s">
        <v>61</v>
      </c>
      <c r="AI585" t="s">
        <v>61</v>
      </c>
      <c r="AJ585" t="s">
        <v>61</v>
      </c>
      <c r="AK585" t="s">
        <v>61</v>
      </c>
      <c r="AL585" t="s">
        <v>61</v>
      </c>
      <c r="AM585" t="s">
        <v>4888</v>
      </c>
      <c r="AN585" t="s">
        <v>61</v>
      </c>
      <c r="AO585" t="s">
        <v>61</v>
      </c>
      <c r="AP585" t="s">
        <v>61</v>
      </c>
      <c r="AQ585" t="s">
        <v>61</v>
      </c>
      <c r="AR585" t="s">
        <v>61</v>
      </c>
      <c r="AS585" t="s">
        <v>61</v>
      </c>
      <c r="AT585" t="s">
        <v>61</v>
      </c>
      <c r="AU585" t="s">
        <v>61</v>
      </c>
      <c r="AV585" t="s">
        <v>61</v>
      </c>
      <c r="AW585" t="s">
        <v>61</v>
      </c>
      <c r="AX585" t="s">
        <v>61</v>
      </c>
      <c r="AY585" t="s">
        <v>61</v>
      </c>
      <c r="AZ585" t="s">
        <v>61</v>
      </c>
      <c r="BA585" t="s">
        <v>61</v>
      </c>
      <c r="BB585" t="s">
        <v>61</v>
      </c>
      <c r="BC585" t="s">
        <v>61</v>
      </c>
      <c r="BD585" t="s">
        <v>61</v>
      </c>
      <c r="BE585" t="s">
        <v>61</v>
      </c>
      <c r="BF585" t="s">
        <v>61</v>
      </c>
    </row>
    <row r="586" spans="1:58">
      <c r="A586" t="s">
        <v>58</v>
      </c>
      <c r="B586" t="s">
        <v>4893</v>
      </c>
      <c r="C586" t="s">
        <v>4894</v>
      </c>
      <c r="D586" t="s">
        <v>4895</v>
      </c>
      <c r="E586" t="s">
        <v>61</v>
      </c>
      <c r="F586">
        <v>2011</v>
      </c>
      <c r="G586" t="s">
        <v>61</v>
      </c>
      <c r="H586">
        <v>4</v>
      </c>
      <c r="I586">
        <v>2</v>
      </c>
      <c r="J586">
        <v>107</v>
      </c>
      <c r="K586" t="s">
        <v>4896</v>
      </c>
      <c r="L586" t="s">
        <v>4897</v>
      </c>
      <c r="M586" t="s">
        <v>4898</v>
      </c>
      <c r="N586" t="s">
        <v>4899</v>
      </c>
      <c r="O586" t="s">
        <v>61</v>
      </c>
      <c r="Q586" t="s">
        <v>61</v>
      </c>
      <c r="R586" t="s">
        <v>61</v>
      </c>
      <c r="S586" t="s">
        <v>61</v>
      </c>
      <c r="T586" t="s">
        <v>61</v>
      </c>
      <c r="X586" t="s">
        <v>61</v>
      </c>
      <c r="Y586" t="s">
        <v>4900</v>
      </c>
      <c r="Z586" t="s">
        <v>61</v>
      </c>
      <c r="AA586" t="s">
        <v>4901</v>
      </c>
      <c r="AB586">
        <v>104689274</v>
      </c>
      <c r="AC586" t="s">
        <v>67</v>
      </c>
      <c r="AD586" t="s">
        <v>61</v>
      </c>
      <c r="AE586" t="s">
        <v>61</v>
      </c>
      <c r="AF586" t="s">
        <v>61</v>
      </c>
      <c r="AG586" t="s">
        <v>4902</v>
      </c>
      <c r="AH586" t="s">
        <v>61</v>
      </c>
      <c r="AI586" t="s">
        <v>61</v>
      </c>
      <c r="AJ586" t="s">
        <v>61</v>
      </c>
      <c r="AK586" t="s">
        <v>61</v>
      </c>
      <c r="AL586" t="s">
        <v>61</v>
      </c>
      <c r="AM586" t="s">
        <v>4903</v>
      </c>
      <c r="AN586" t="s">
        <v>61</v>
      </c>
      <c r="AO586" t="s">
        <v>61</v>
      </c>
      <c r="AP586" t="s">
        <v>61</v>
      </c>
      <c r="AQ586" t="s">
        <v>61</v>
      </c>
      <c r="AR586" t="s">
        <v>61</v>
      </c>
      <c r="AS586" t="s">
        <v>61</v>
      </c>
      <c r="AT586" t="s">
        <v>61</v>
      </c>
      <c r="AU586" t="s">
        <v>61</v>
      </c>
      <c r="AV586" t="s">
        <v>61</v>
      </c>
      <c r="AW586" t="s">
        <v>61</v>
      </c>
      <c r="AX586" t="s">
        <v>61</v>
      </c>
      <c r="AY586" t="s">
        <v>61</v>
      </c>
      <c r="AZ586" t="s">
        <v>61</v>
      </c>
      <c r="BA586" t="s">
        <v>61</v>
      </c>
      <c r="BB586" t="s">
        <v>61</v>
      </c>
      <c r="BC586" t="s">
        <v>61</v>
      </c>
      <c r="BD586" t="s">
        <v>61</v>
      </c>
      <c r="BE586" t="s">
        <v>61</v>
      </c>
      <c r="BF586" t="s">
        <v>61</v>
      </c>
    </row>
    <row r="587" spans="1:58">
      <c r="A587" t="s">
        <v>58</v>
      </c>
      <c r="B587" t="s">
        <v>4904</v>
      </c>
      <c r="C587" t="s">
        <v>4905</v>
      </c>
      <c r="D587" t="s">
        <v>373</v>
      </c>
      <c r="E587" t="s">
        <v>61</v>
      </c>
      <c r="F587">
        <v>2013</v>
      </c>
      <c r="G587" t="s">
        <v>61</v>
      </c>
      <c r="H587">
        <v>12</v>
      </c>
      <c r="I587">
        <v>1</v>
      </c>
      <c r="J587">
        <v>109</v>
      </c>
      <c r="K587">
        <v>114</v>
      </c>
      <c r="L587" t="s">
        <v>4906</v>
      </c>
      <c r="M587" t="s">
        <v>4907</v>
      </c>
      <c r="N587" t="s">
        <v>4908</v>
      </c>
      <c r="O587" t="s">
        <v>61</v>
      </c>
      <c r="Q587" t="s">
        <v>61</v>
      </c>
      <c r="R587" t="s">
        <v>61</v>
      </c>
      <c r="S587" t="s">
        <v>61</v>
      </c>
      <c r="T587" t="s">
        <v>61</v>
      </c>
      <c r="X587" t="s">
        <v>61</v>
      </c>
      <c r="Y587" t="s">
        <v>377</v>
      </c>
      <c r="Z587" t="s">
        <v>61</v>
      </c>
      <c r="AA587" t="s">
        <v>61</v>
      </c>
      <c r="AB587">
        <v>2013149498</v>
      </c>
      <c r="AC587" t="s">
        <v>67</v>
      </c>
      <c r="AD587" t="s">
        <v>61</v>
      </c>
      <c r="AE587" t="s">
        <v>61</v>
      </c>
      <c r="AF587" t="s">
        <v>61</v>
      </c>
      <c r="AG587" t="s">
        <v>61</v>
      </c>
      <c r="AH587" t="s">
        <v>61</v>
      </c>
      <c r="AI587" t="s">
        <v>61</v>
      </c>
      <c r="AJ587" t="s">
        <v>61</v>
      </c>
      <c r="AK587" t="s">
        <v>61</v>
      </c>
      <c r="AL587" t="s">
        <v>61</v>
      </c>
      <c r="AM587" t="s">
        <v>4905</v>
      </c>
      <c r="AN587" t="s">
        <v>61</v>
      </c>
      <c r="AO587" t="s">
        <v>61</v>
      </c>
      <c r="AP587" t="s">
        <v>61</v>
      </c>
      <c r="AQ587" t="s">
        <v>61</v>
      </c>
      <c r="AR587" t="s">
        <v>61</v>
      </c>
      <c r="AS587" t="s">
        <v>61</v>
      </c>
      <c r="AT587" t="s">
        <v>61</v>
      </c>
      <c r="AU587" t="s">
        <v>61</v>
      </c>
      <c r="AV587" t="s">
        <v>61</v>
      </c>
      <c r="AW587" t="s">
        <v>61</v>
      </c>
      <c r="AX587" t="s">
        <v>61</v>
      </c>
      <c r="AY587" t="s">
        <v>61</v>
      </c>
      <c r="AZ587" t="s">
        <v>61</v>
      </c>
      <c r="BA587" t="s">
        <v>61</v>
      </c>
      <c r="BB587" t="s">
        <v>61</v>
      </c>
      <c r="BC587" t="s">
        <v>61</v>
      </c>
      <c r="BD587" t="s">
        <v>61</v>
      </c>
      <c r="BE587" t="s">
        <v>61</v>
      </c>
      <c r="BF587" t="s">
        <v>61</v>
      </c>
    </row>
    <row r="588" spans="1:58">
      <c r="A588" t="s">
        <v>58</v>
      </c>
      <c r="B588" t="s">
        <v>4909</v>
      </c>
      <c r="C588" t="s">
        <v>4910</v>
      </c>
      <c r="D588" t="s">
        <v>4911</v>
      </c>
      <c r="E588" t="s">
        <v>61</v>
      </c>
      <c r="F588">
        <v>1992</v>
      </c>
      <c r="G588" t="s">
        <v>61</v>
      </c>
      <c r="H588">
        <v>16</v>
      </c>
      <c r="I588">
        <v>2</v>
      </c>
      <c r="J588">
        <v>43</v>
      </c>
      <c r="K588" t="s">
        <v>4912</v>
      </c>
      <c r="L588" t="s">
        <v>4913</v>
      </c>
      <c r="M588" t="s">
        <v>4914</v>
      </c>
      <c r="N588" t="s">
        <v>4915</v>
      </c>
      <c r="O588" t="s">
        <v>61</v>
      </c>
      <c r="Q588" t="s">
        <v>61</v>
      </c>
      <c r="R588" t="s">
        <v>61</v>
      </c>
      <c r="S588" t="s">
        <v>61</v>
      </c>
      <c r="T588" t="s">
        <v>61</v>
      </c>
      <c r="X588" t="s">
        <v>61</v>
      </c>
      <c r="Y588" t="s">
        <v>4916</v>
      </c>
      <c r="Z588" t="s">
        <v>61</v>
      </c>
      <c r="AA588" t="s">
        <v>4917</v>
      </c>
      <c r="AB588">
        <v>107491432</v>
      </c>
      <c r="AC588" t="s">
        <v>67</v>
      </c>
      <c r="AD588" t="s">
        <v>61</v>
      </c>
      <c r="AE588" t="s">
        <v>61</v>
      </c>
      <c r="AF588" t="s">
        <v>61</v>
      </c>
      <c r="AG588" t="s">
        <v>4918</v>
      </c>
      <c r="AH588" t="s">
        <v>61</v>
      </c>
      <c r="AI588" t="s">
        <v>61</v>
      </c>
      <c r="AJ588" t="s">
        <v>61</v>
      </c>
      <c r="AK588" t="s">
        <v>61</v>
      </c>
      <c r="AL588" t="s">
        <v>61</v>
      </c>
      <c r="AM588" t="s">
        <v>4919</v>
      </c>
      <c r="AN588" t="s">
        <v>61</v>
      </c>
      <c r="AO588" t="s">
        <v>61</v>
      </c>
      <c r="AP588" t="s">
        <v>61</v>
      </c>
      <c r="AQ588" t="s">
        <v>61</v>
      </c>
      <c r="AR588" t="s">
        <v>61</v>
      </c>
      <c r="AS588" t="s">
        <v>61</v>
      </c>
      <c r="AT588" t="s">
        <v>61</v>
      </c>
      <c r="AU588" t="s">
        <v>61</v>
      </c>
      <c r="AV588" t="s">
        <v>61</v>
      </c>
      <c r="AW588" t="s">
        <v>61</v>
      </c>
      <c r="AX588" t="s">
        <v>61</v>
      </c>
      <c r="AY588" t="s">
        <v>61</v>
      </c>
      <c r="AZ588" t="s">
        <v>61</v>
      </c>
      <c r="BA588" t="s">
        <v>61</v>
      </c>
      <c r="BB588" t="s">
        <v>61</v>
      </c>
      <c r="BC588" t="s">
        <v>61</v>
      </c>
      <c r="BD588" t="s">
        <v>61</v>
      </c>
      <c r="BE588" t="s">
        <v>61</v>
      </c>
      <c r="BF588" t="s">
        <v>61</v>
      </c>
    </row>
    <row r="589" spans="1:58">
      <c r="A589" t="s">
        <v>58</v>
      </c>
      <c r="B589" t="s">
        <v>4909</v>
      </c>
      <c r="C589" t="s">
        <v>4920</v>
      </c>
      <c r="D589" t="s">
        <v>4921</v>
      </c>
      <c r="E589" t="s">
        <v>4922</v>
      </c>
      <c r="F589">
        <v>1991</v>
      </c>
      <c r="G589" t="s">
        <v>2798</v>
      </c>
      <c r="H589">
        <v>17</v>
      </c>
      <c r="I589">
        <v>1</v>
      </c>
      <c r="J589">
        <v>54</v>
      </c>
      <c r="K589">
        <v>64</v>
      </c>
      <c r="L589" t="s">
        <v>4923</v>
      </c>
      <c r="M589" t="s">
        <v>4914</v>
      </c>
      <c r="N589" t="s">
        <v>4924</v>
      </c>
      <c r="O589" t="s">
        <v>61</v>
      </c>
      <c r="Q589" t="s">
        <v>61</v>
      </c>
      <c r="R589" t="s">
        <v>61</v>
      </c>
      <c r="S589" t="s">
        <v>61</v>
      </c>
      <c r="T589" t="s">
        <v>61</v>
      </c>
      <c r="X589" t="s">
        <v>61</v>
      </c>
      <c r="Y589" t="s">
        <v>4925</v>
      </c>
      <c r="Z589" t="s">
        <v>61</v>
      </c>
      <c r="AA589" t="s">
        <v>61</v>
      </c>
      <c r="AB589">
        <v>1986905</v>
      </c>
      <c r="AC589" t="s">
        <v>67</v>
      </c>
      <c r="AD589" t="s">
        <v>61</v>
      </c>
      <c r="AE589" t="s">
        <v>61</v>
      </c>
      <c r="AF589" t="s">
        <v>61</v>
      </c>
      <c r="AG589" t="s">
        <v>4926</v>
      </c>
      <c r="AH589" t="s">
        <v>61</v>
      </c>
      <c r="AI589" t="s">
        <v>61</v>
      </c>
      <c r="AJ589" t="s">
        <v>61</v>
      </c>
      <c r="AK589" t="s">
        <v>61</v>
      </c>
      <c r="AL589" t="s">
        <v>61</v>
      </c>
      <c r="AM589" t="s">
        <v>4927</v>
      </c>
      <c r="AN589" t="s">
        <v>61</v>
      </c>
      <c r="AO589" t="s">
        <v>61</v>
      </c>
      <c r="AP589" t="s">
        <v>61</v>
      </c>
      <c r="AQ589" t="s">
        <v>61</v>
      </c>
      <c r="AR589" t="s">
        <v>61</v>
      </c>
      <c r="AS589" t="s">
        <v>61</v>
      </c>
      <c r="AT589" t="s">
        <v>61</v>
      </c>
      <c r="AU589" t="s">
        <v>61</v>
      </c>
      <c r="AV589" t="s">
        <v>61</v>
      </c>
      <c r="AW589" t="s">
        <v>61</v>
      </c>
      <c r="AX589" t="s">
        <v>61</v>
      </c>
      <c r="AY589" t="s">
        <v>61</v>
      </c>
      <c r="AZ589" t="s">
        <v>61</v>
      </c>
      <c r="BA589" t="s">
        <v>61</v>
      </c>
      <c r="BB589" t="s">
        <v>61</v>
      </c>
      <c r="BC589" t="s">
        <v>61</v>
      </c>
      <c r="BD589" t="s">
        <v>61</v>
      </c>
      <c r="BE589" t="s">
        <v>61</v>
      </c>
      <c r="BF589" t="s">
        <v>61</v>
      </c>
    </row>
    <row r="590" spans="1:58">
      <c r="A590" t="s">
        <v>58</v>
      </c>
      <c r="B590" t="s">
        <v>4928</v>
      </c>
      <c r="C590" t="s">
        <v>4929</v>
      </c>
      <c r="D590" t="s">
        <v>373</v>
      </c>
      <c r="E590" t="s">
        <v>61</v>
      </c>
      <c r="F590">
        <v>2007</v>
      </c>
      <c r="G590" t="s">
        <v>4930</v>
      </c>
      <c r="H590">
        <v>6</v>
      </c>
      <c r="I590">
        <v>2</v>
      </c>
      <c r="J590">
        <v>115</v>
      </c>
      <c r="K590">
        <v>121</v>
      </c>
      <c r="L590" t="s">
        <v>4931</v>
      </c>
      <c r="M590" t="s">
        <v>4932</v>
      </c>
      <c r="N590" t="s">
        <v>4933</v>
      </c>
      <c r="O590" t="s">
        <v>61</v>
      </c>
      <c r="Q590" t="s">
        <v>61</v>
      </c>
      <c r="R590" t="s">
        <v>61</v>
      </c>
      <c r="S590" t="s">
        <v>61</v>
      </c>
      <c r="T590" t="s">
        <v>61</v>
      </c>
      <c r="X590" t="s">
        <v>61</v>
      </c>
      <c r="Y590" t="s">
        <v>377</v>
      </c>
      <c r="Z590" t="s">
        <v>61</v>
      </c>
      <c r="AA590" t="s">
        <v>61</v>
      </c>
      <c r="AB590">
        <v>2007565265</v>
      </c>
      <c r="AC590" t="s">
        <v>67</v>
      </c>
      <c r="AD590" t="s">
        <v>61</v>
      </c>
      <c r="AE590" t="s">
        <v>61</v>
      </c>
      <c r="AF590" t="s">
        <v>61</v>
      </c>
      <c r="AG590" t="s">
        <v>61</v>
      </c>
      <c r="AH590" t="s">
        <v>61</v>
      </c>
      <c r="AI590" t="s">
        <v>61</v>
      </c>
      <c r="AJ590" t="s">
        <v>61</v>
      </c>
      <c r="AK590" t="s">
        <v>61</v>
      </c>
      <c r="AL590" t="s">
        <v>61</v>
      </c>
      <c r="AM590" t="s">
        <v>4929</v>
      </c>
      <c r="AN590" t="s">
        <v>61</v>
      </c>
      <c r="AO590" t="s">
        <v>61</v>
      </c>
      <c r="AP590" t="s">
        <v>61</v>
      </c>
      <c r="AQ590" t="s">
        <v>61</v>
      </c>
      <c r="AR590" t="s">
        <v>61</v>
      </c>
      <c r="AS590" t="s">
        <v>61</v>
      </c>
      <c r="AT590" t="s">
        <v>61</v>
      </c>
      <c r="AU590" t="s">
        <v>61</v>
      </c>
      <c r="AV590" t="s">
        <v>61</v>
      </c>
      <c r="AW590" t="s">
        <v>61</v>
      </c>
      <c r="AX590" t="s">
        <v>61</v>
      </c>
      <c r="AY590" t="s">
        <v>61</v>
      </c>
      <c r="AZ590" t="s">
        <v>61</v>
      </c>
      <c r="BA590" t="s">
        <v>61</v>
      </c>
      <c r="BB590" t="s">
        <v>61</v>
      </c>
      <c r="BC590" t="s">
        <v>61</v>
      </c>
      <c r="BD590" t="s">
        <v>61</v>
      </c>
      <c r="BE590" t="s">
        <v>61</v>
      </c>
      <c r="BF590" t="s">
        <v>61</v>
      </c>
    </row>
    <row r="591" spans="1:58">
      <c r="A591" t="s">
        <v>58</v>
      </c>
      <c r="B591" t="s">
        <v>4934</v>
      </c>
      <c r="C591" t="s">
        <v>4935</v>
      </c>
      <c r="D591" t="s">
        <v>627</v>
      </c>
      <c r="E591" t="s">
        <v>61</v>
      </c>
      <c r="F591">
        <v>2011</v>
      </c>
      <c r="G591" t="s">
        <v>628</v>
      </c>
      <c r="H591">
        <v>51</v>
      </c>
      <c r="I591">
        <v>2</v>
      </c>
      <c r="J591">
        <v>260</v>
      </c>
      <c r="K591">
        <v>261</v>
      </c>
      <c r="L591" t="s">
        <v>4936</v>
      </c>
      <c r="M591" t="s">
        <v>4937</v>
      </c>
      <c r="N591" t="s">
        <v>4938</v>
      </c>
      <c r="O591" t="s">
        <v>61</v>
      </c>
      <c r="Q591" t="s">
        <v>61</v>
      </c>
      <c r="R591" t="s">
        <v>61</v>
      </c>
      <c r="S591" t="s">
        <v>61</v>
      </c>
      <c r="T591" t="s">
        <v>61</v>
      </c>
      <c r="X591" t="s">
        <v>61</v>
      </c>
      <c r="Y591" t="s">
        <v>632</v>
      </c>
      <c r="Z591" t="s">
        <v>61</v>
      </c>
      <c r="AA591" t="s">
        <v>61</v>
      </c>
      <c r="AB591" t="s">
        <v>61</v>
      </c>
      <c r="AC591" t="s">
        <v>67</v>
      </c>
      <c r="AD591" t="s">
        <v>61</v>
      </c>
      <c r="AE591" t="s">
        <v>61</v>
      </c>
      <c r="AF591" t="s">
        <v>61</v>
      </c>
      <c r="AG591" t="s">
        <v>61</v>
      </c>
      <c r="AH591" t="s">
        <v>61</v>
      </c>
      <c r="AI591" t="s">
        <v>61</v>
      </c>
      <c r="AJ591" t="s">
        <v>61</v>
      </c>
      <c r="AK591" t="s">
        <v>61</v>
      </c>
      <c r="AL591" t="s">
        <v>61</v>
      </c>
      <c r="AM591" t="s">
        <v>4935</v>
      </c>
      <c r="AN591" t="s">
        <v>61</v>
      </c>
      <c r="AO591" t="s">
        <v>61</v>
      </c>
      <c r="AP591" t="s">
        <v>61</v>
      </c>
      <c r="AQ591" t="s">
        <v>61</v>
      </c>
      <c r="AR591" t="s">
        <v>61</v>
      </c>
      <c r="AS591" t="s">
        <v>61</v>
      </c>
      <c r="AT591" t="s">
        <v>61</v>
      </c>
      <c r="AU591" t="s">
        <v>61</v>
      </c>
      <c r="AV591" t="s">
        <v>61</v>
      </c>
      <c r="AW591" t="s">
        <v>61</v>
      </c>
      <c r="AX591" t="s">
        <v>61</v>
      </c>
      <c r="AY591" t="s">
        <v>61</v>
      </c>
      <c r="AZ591" t="s">
        <v>61</v>
      </c>
      <c r="BA591" t="s">
        <v>61</v>
      </c>
      <c r="BB591" t="s">
        <v>61</v>
      </c>
      <c r="BC591" t="s">
        <v>61</v>
      </c>
      <c r="BD591" t="s">
        <v>61</v>
      </c>
      <c r="BE591" t="s">
        <v>61</v>
      </c>
      <c r="BF591" t="s">
        <v>61</v>
      </c>
    </row>
    <row r="592" spans="1:58">
      <c r="A592" t="s">
        <v>58</v>
      </c>
      <c r="B592" t="s">
        <v>4939</v>
      </c>
      <c r="C592" t="s">
        <v>4940</v>
      </c>
      <c r="D592" t="s">
        <v>627</v>
      </c>
      <c r="E592" t="s">
        <v>61</v>
      </c>
      <c r="F592">
        <v>2014</v>
      </c>
      <c r="G592" t="s">
        <v>628</v>
      </c>
      <c r="H592">
        <v>54</v>
      </c>
      <c r="I592">
        <v>2</v>
      </c>
      <c r="J592" t="s">
        <v>4941</v>
      </c>
      <c r="K592" t="s">
        <v>61</v>
      </c>
      <c r="L592" t="s">
        <v>4942</v>
      </c>
      <c r="M592" t="s">
        <v>4943</v>
      </c>
      <c r="N592" t="s">
        <v>4944</v>
      </c>
      <c r="O592" t="s">
        <v>61</v>
      </c>
      <c r="Q592" t="s">
        <v>61</v>
      </c>
      <c r="R592" t="s">
        <v>61</v>
      </c>
      <c r="S592" t="s">
        <v>61</v>
      </c>
      <c r="T592" t="s">
        <v>61</v>
      </c>
      <c r="X592" t="s">
        <v>61</v>
      </c>
      <c r="Y592" t="s">
        <v>632</v>
      </c>
      <c r="Z592" t="s">
        <v>61</v>
      </c>
      <c r="AA592" t="s">
        <v>61</v>
      </c>
      <c r="AB592" t="s">
        <v>61</v>
      </c>
      <c r="AC592" t="s">
        <v>67</v>
      </c>
      <c r="AD592" t="s">
        <v>61</v>
      </c>
      <c r="AE592" t="s">
        <v>61</v>
      </c>
      <c r="AF592" t="s">
        <v>61</v>
      </c>
      <c r="AG592" t="s">
        <v>61</v>
      </c>
      <c r="AH592" t="s">
        <v>61</v>
      </c>
      <c r="AI592" t="s">
        <v>61</v>
      </c>
      <c r="AJ592" t="s">
        <v>61</v>
      </c>
      <c r="AK592" t="s">
        <v>61</v>
      </c>
      <c r="AL592" t="s">
        <v>61</v>
      </c>
      <c r="AM592" t="s">
        <v>4940</v>
      </c>
      <c r="AN592" t="s">
        <v>61</v>
      </c>
      <c r="AO592" t="s">
        <v>61</v>
      </c>
      <c r="AP592" t="s">
        <v>61</v>
      </c>
      <c r="AQ592" t="s">
        <v>61</v>
      </c>
      <c r="AR592" t="s">
        <v>61</v>
      </c>
      <c r="AS592" t="s">
        <v>61</v>
      </c>
      <c r="AT592" t="s">
        <v>61</v>
      </c>
      <c r="AU592" t="s">
        <v>61</v>
      </c>
      <c r="AV592" t="s">
        <v>61</v>
      </c>
      <c r="AW592" t="s">
        <v>61</v>
      </c>
      <c r="AX592" t="s">
        <v>61</v>
      </c>
      <c r="AY592" t="s">
        <v>61</v>
      </c>
      <c r="AZ592" t="s">
        <v>61</v>
      </c>
      <c r="BA592" t="s">
        <v>61</v>
      </c>
      <c r="BB592" t="s">
        <v>61</v>
      </c>
      <c r="BC592" t="s">
        <v>61</v>
      </c>
      <c r="BD592" t="s">
        <v>61</v>
      </c>
      <c r="BE592" t="s">
        <v>61</v>
      </c>
      <c r="BF592" t="s">
        <v>61</v>
      </c>
    </row>
    <row r="593" spans="1:58">
      <c r="A593" t="s">
        <v>58</v>
      </c>
      <c r="B593" t="s">
        <v>4945</v>
      </c>
      <c r="C593" t="s">
        <v>4946</v>
      </c>
      <c r="D593" t="s">
        <v>4947</v>
      </c>
      <c r="E593" t="s">
        <v>61</v>
      </c>
      <c r="F593">
        <v>1992</v>
      </c>
      <c r="G593" t="s">
        <v>61</v>
      </c>
      <c r="H593">
        <v>18</v>
      </c>
      <c r="I593">
        <v>1</v>
      </c>
      <c r="J593">
        <v>45</v>
      </c>
      <c r="K593">
        <v>56</v>
      </c>
      <c r="L593" t="s">
        <v>4948</v>
      </c>
      <c r="M593" t="s">
        <v>4949</v>
      </c>
      <c r="N593" t="s">
        <v>4950</v>
      </c>
      <c r="O593" t="s">
        <v>61</v>
      </c>
      <c r="Q593" t="s">
        <v>61</v>
      </c>
      <c r="R593" t="s">
        <v>61</v>
      </c>
      <c r="S593" t="s">
        <v>61</v>
      </c>
      <c r="T593" t="s">
        <v>61</v>
      </c>
      <c r="X593" t="s">
        <v>61</v>
      </c>
      <c r="Y593" t="s">
        <v>4951</v>
      </c>
      <c r="Z593" t="s">
        <v>61</v>
      </c>
      <c r="AA593" t="s">
        <v>4952</v>
      </c>
      <c r="AB593">
        <v>1314015</v>
      </c>
      <c r="AC593" t="s">
        <v>67</v>
      </c>
      <c r="AD593" t="s">
        <v>61</v>
      </c>
      <c r="AE593" t="s">
        <v>61</v>
      </c>
      <c r="AF593" t="s">
        <v>61</v>
      </c>
      <c r="AG593" t="s">
        <v>4953</v>
      </c>
      <c r="AH593" t="s">
        <v>61</v>
      </c>
      <c r="AI593" t="s">
        <v>61</v>
      </c>
      <c r="AJ593" t="s">
        <v>61</v>
      </c>
      <c r="AK593" t="s">
        <v>61</v>
      </c>
      <c r="AL593" t="s">
        <v>61</v>
      </c>
      <c r="AM593" t="s">
        <v>4954</v>
      </c>
      <c r="AN593" t="s">
        <v>61</v>
      </c>
      <c r="AO593" t="s">
        <v>61</v>
      </c>
      <c r="AP593" t="s">
        <v>61</v>
      </c>
      <c r="AQ593" t="s">
        <v>61</v>
      </c>
      <c r="AR593" t="s">
        <v>61</v>
      </c>
      <c r="AS593" t="s">
        <v>61</v>
      </c>
      <c r="AT593" t="s">
        <v>61</v>
      </c>
      <c r="AU593" t="s">
        <v>61</v>
      </c>
      <c r="AV593" t="s">
        <v>61</v>
      </c>
      <c r="AW593" t="s">
        <v>61</v>
      </c>
      <c r="AX593" t="s">
        <v>61</v>
      </c>
      <c r="AY593" t="s">
        <v>61</v>
      </c>
      <c r="AZ593" t="s">
        <v>61</v>
      </c>
      <c r="BA593" t="s">
        <v>61</v>
      </c>
      <c r="BB593" t="s">
        <v>61</v>
      </c>
      <c r="BC593" t="s">
        <v>61</v>
      </c>
      <c r="BD593" t="s">
        <v>61</v>
      </c>
      <c r="BE593" t="s">
        <v>61</v>
      </c>
      <c r="BF593" t="s">
        <v>61</v>
      </c>
    </row>
    <row r="594" spans="1:58">
      <c r="A594" t="s">
        <v>58</v>
      </c>
      <c r="B594" t="s">
        <v>4955</v>
      </c>
      <c r="C594" t="s">
        <v>4956</v>
      </c>
      <c r="D594" t="s">
        <v>3133</v>
      </c>
      <c r="E594" t="s">
        <v>3133</v>
      </c>
      <c r="F594">
        <v>2008</v>
      </c>
      <c r="G594" s="1">
        <v>42714</v>
      </c>
      <c r="H594">
        <v>300</v>
      </c>
      <c r="I594">
        <v>22</v>
      </c>
      <c r="J594">
        <v>2613</v>
      </c>
      <c r="K594">
        <v>2620</v>
      </c>
      <c r="L594" t="s">
        <v>4957</v>
      </c>
      <c r="M594" t="s">
        <v>4958</v>
      </c>
      <c r="N594" t="s">
        <v>4959</v>
      </c>
      <c r="O594" t="s">
        <v>61</v>
      </c>
      <c r="Q594" t="s">
        <v>61</v>
      </c>
      <c r="R594" t="s">
        <v>61</v>
      </c>
      <c r="S594" t="s">
        <v>61</v>
      </c>
      <c r="T594" t="s">
        <v>61</v>
      </c>
      <c r="X594" t="s">
        <v>61</v>
      </c>
      <c r="Y594" t="s">
        <v>3137</v>
      </c>
      <c r="Z594" t="s">
        <v>61</v>
      </c>
      <c r="AA594" t="s">
        <v>4960</v>
      </c>
      <c r="AB594">
        <v>19066381</v>
      </c>
      <c r="AC594" t="s">
        <v>67</v>
      </c>
      <c r="AD594" t="s">
        <v>61</v>
      </c>
      <c r="AE594" t="s">
        <v>61</v>
      </c>
      <c r="AF594" t="s">
        <v>61</v>
      </c>
      <c r="AG594" t="s">
        <v>4961</v>
      </c>
      <c r="AH594" t="s">
        <v>61</v>
      </c>
      <c r="AI594" t="s">
        <v>4962</v>
      </c>
      <c r="AJ594" t="s">
        <v>61</v>
      </c>
      <c r="AK594" t="s">
        <v>61</v>
      </c>
      <c r="AL594" t="s">
        <v>61</v>
      </c>
      <c r="AM594" t="s">
        <v>4963</v>
      </c>
      <c r="AN594" t="s">
        <v>61</v>
      </c>
      <c r="AO594" t="s">
        <v>61</v>
      </c>
      <c r="AP594" t="s">
        <v>61</v>
      </c>
      <c r="AQ594" t="s">
        <v>61</v>
      </c>
      <c r="AR594" t="s">
        <v>61</v>
      </c>
      <c r="AS594" t="s">
        <v>61</v>
      </c>
      <c r="AT594" t="s">
        <v>61</v>
      </c>
      <c r="AU594" t="s">
        <v>61</v>
      </c>
      <c r="AV594" t="s">
        <v>61</v>
      </c>
      <c r="AW594" t="s">
        <v>61</v>
      </c>
      <c r="AX594" t="s">
        <v>61</v>
      </c>
      <c r="AY594" t="s">
        <v>61</v>
      </c>
      <c r="AZ594" t="s">
        <v>61</v>
      </c>
      <c r="BA594" t="s">
        <v>61</v>
      </c>
      <c r="BB594" t="s">
        <v>61</v>
      </c>
      <c r="BC594" t="s">
        <v>61</v>
      </c>
      <c r="BD594" t="s">
        <v>61</v>
      </c>
      <c r="BE594" t="s">
        <v>61</v>
      </c>
      <c r="BF594" t="s">
        <v>61</v>
      </c>
    </row>
    <row r="595" spans="1:58">
      <c r="A595" t="s">
        <v>58</v>
      </c>
      <c r="B595" t="s">
        <v>4964</v>
      </c>
      <c r="C595" t="s">
        <v>4965</v>
      </c>
      <c r="D595" t="s">
        <v>4966</v>
      </c>
      <c r="E595" t="s">
        <v>4967</v>
      </c>
      <c r="F595">
        <v>2011</v>
      </c>
      <c r="G595">
        <v>1</v>
      </c>
      <c r="H595">
        <v>46</v>
      </c>
      <c r="I595">
        <v>7</v>
      </c>
      <c r="J595">
        <v>512</v>
      </c>
      <c r="K595">
        <v>518</v>
      </c>
      <c r="L595" t="s">
        <v>4968</v>
      </c>
      <c r="M595" t="s">
        <v>4969</v>
      </c>
      <c r="N595" t="s">
        <v>4970</v>
      </c>
      <c r="O595" t="s">
        <v>61</v>
      </c>
      <c r="Q595" t="s">
        <v>61</v>
      </c>
      <c r="R595" t="s">
        <v>61</v>
      </c>
      <c r="S595" t="s">
        <v>61</v>
      </c>
      <c r="T595" t="s">
        <v>61</v>
      </c>
      <c r="X595" t="s">
        <v>61</v>
      </c>
      <c r="Y595" t="s">
        <v>4971</v>
      </c>
      <c r="Z595" t="s">
        <v>61</v>
      </c>
      <c r="AA595" t="s">
        <v>61</v>
      </c>
      <c r="AB595" t="s">
        <v>4972</v>
      </c>
      <c r="AC595" t="s">
        <v>67</v>
      </c>
      <c r="AD595" t="s">
        <v>61</v>
      </c>
      <c r="AE595" t="s">
        <v>61</v>
      </c>
      <c r="AF595" t="s">
        <v>61</v>
      </c>
      <c r="AG595" t="s">
        <v>61</v>
      </c>
      <c r="AH595" t="s">
        <v>61</v>
      </c>
      <c r="AI595" t="s">
        <v>61</v>
      </c>
      <c r="AJ595" t="s">
        <v>61</v>
      </c>
      <c r="AK595" t="s">
        <v>61</v>
      </c>
      <c r="AL595" t="s">
        <v>61</v>
      </c>
      <c r="AM595" t="s">
        <v>4965</v>
      </c>
      <c r="AN595" t="s">
        <v>61</v>
      </c>
      <c r="AO595" t="s">
        <v>61</v>
      </c>
      <c r="AP595" t="s">
        <v>61</v>
      </c>
      <c r="AQ595" t="s">
        <v>61</v>
      </c>
      <c r="AR595" t="s">
        <v>61</v>
      </c>
      <c r="AS595" t="s">
        <v>61</v>
      </c>
      <c r="AT595" t="s">
        <v>61</v>
      </c>
      <c r="AU595" t="s">
        <v>61</v>
      </c>
      <c r="AV595" t="s">
        <v>61</v>
      </c>
      <c r="AW595" t="s">
        <v>61</v>
      </c>
      <c r="AX595" t="s">
        <v>61</v>
      </c>
      <c r="AY595" t="s">
        <v>61</v>
      </c>
      <c r="AZ595" t="s">
        <v>61</v>
      </c>
      <c r="BA595" t="s">
        <v>61</v>
      </c>
      <c r="BB595" t="s">
        <v>61</v>
      </c>
      <c r="BC595" t="s">
        <v>61</v>
      </c>
      <c r="BD595" t="s">
        <v>61</v>
      </c>
      <c r="BE595" t="s">
        <v>61</v>
      </c>
      <c r="BF595" t="s">
        <v>61</v>
      </c>
    </row>
    <row r="596" spans="1:58">
      <c r="A596" t="s">
        <v>58</v>
      </c>
      <c r="B596" t="s">
        <v>4973</v>
      </c>
      <c r="C596" t="s">
        <v>4974</v>
      </c>
      <c r="D596" t="s">
        <v>661</v>
      </c>
      <c r="E596" t="s">
        <v>61</v>
      </c>
      <c r="F596">
        <v>2013</v>
      </c>
      <c r="G596" t="s">
        <v>61</v>
      </c>
      <c r="H596">
        <v>13</v>
      </c>
      <c r="I596">
        <v>1</v>
      </c>
      <c r="J596">
        <v>108</v>
      </c>
      <c r="K596">
        <v>109</v>
      </c>
      <c r="L596" t="s">
        <v>4975</v>
      </c>
      <c r="M596" t="s">
        <v>4976</v>
      </c>
      <c r="N596" t="s">
        <v>4977</v>
      </c>
      <c r="O596" t="s">
        <v>61</v>
      </c>
      <c r="Q596" t="s">
        <v>61</v>
      </c>
      <c r="R596" t="s">
        <v>61</v>
      </c>
      <c r="S596" t="s">
        <v>61</v>
      </c>
      <c r="T596" t="s">
        <v>61</v>
      </c>
      <c r="X596" t="s">
        <v>61</v>
      </c>
      <c r="Y596" t="s">
        <v>2932</v>
      </c>
      <c r="Z596" t="s">
        <v>61</v>
      </c>
      <c r="AA596" t="s">
        <v>61</v>
      </c>
      <c r="AB596" t="s">
        <v>61</v>
      </c>
      <c r="AC596" t="s">
        <v>67</v>
      </c>
      <c r="AD596" t="s">
        <v>61</v>
      </c>
      <c r="AE596" t="s">
        <v>61</v>
      </c>
      <c r="AF596" t="s">
        <v>61</v>
      </c>
      <c r="AG596" t="s">
        <v>61</v>
      </c>
      <c r="AH596" t="s">
        <v>61</v>
      </c>
      <c r="AI596" t="s">
        <v>61</v>
      </c>
      <c r="AJ596" t="s">
        <v>61</v>
      </c>
      <c r="AK596" t="s">
        <v>61</v>
      </c>
      <c r="AL596" t="s">
        <v>61</v>
      </c>
      <c r="AM596" t="s">
        <v>4974</v>
      </c>
      <c r="AN596" t="s">
        <v>61</v>
      </c>
      <c r="AO596" t="s">
        <v>61</v>
      </c>
      <c r="AP596" t="s">
        <v>61</v>
      </c>
      <c r="AQ596" t="s">
        <v>61</v>
      </c>
      <c r="AR596" t="s">
        <v>61</v>
      </c>
      <c r="AS596" t="s">
        <v>61</v>
      </c>
      <c r="AT596" t="s">
        <v>61</v>
      </c>
      <c r="AU596" t="s">
        <v>61</v>
      </c>
      <c r="AV596" t="s">
        <v>61</v>
      </c>
      <c r="AW596" t="s">
        <v>61</v>
      </c>
      <c r="AX596" t="s">
        <v>61</v>
      </c>
      <c r="AY596" t="s">
        <v>61</v>
      </c>
      <c r="AZ596" t="s">
        <v>61</v>
      </c>
      <c r="BA596" t="s">
        <v>61</v>
      </c>
      <c r="BB596" t="s">
        <v>61</v>
      </c>
      <c r="BC596" t="s">
        <v>61</v>
      </c>
      <c r="BD596" t="s">
        <v>61</v>
      </c>
      <c r="BE596" t="s">
        <v>61</v>
      </c>
      <c r="BF596" t="s">
        <v>61</v>
      </c>
    </row>
    <row r="597" spans="1:58">
      <c r="A597" t="s">
        <v>58</v>
      </c>
      <c r="B597" t="s">
        <v>4978</v>
      </c>
      <c r="C597" t="s">
        <v>4979</v>
      </c>
      <c r="D597" t="s">
        <v>4980</v>
      </c>
      <c r="E597" t="s">
        <v>61</v>
      </c>
      <c r="F597">
        <v>2009</v>
      </c>
      <c r="G597" t="s">
        <v>4981</v>
      </c>
      <c r="H597">
        <v>17</v>
      </c>
      <c r="I597">
        <v>1</v>
      </c>
      <c r="J597">
        <v>25</v>
      </c>
      <c r="K597">
        <v>31</v>
      </c>
      <c r="L597" t="s">
        <v>4982</v>
      </c>
      <c r="M597" t="s">
        <v>4983</v>
      </c>
      <c r="N597" t="s">
        <v>4984</v>
      </c>
      <c r="O597" t="s">
        <v>61</v>
      </c>
      <c r="Q597" t="s">
        <v>61</v>
      </c>
      <c r="R597" t="s">
        <v>61</v>
      </c>
      <c r="S597" t="s">
        <v>61</v>
      </c>
      <c r="T597" t="s">
        <v>61</v>
      </c>
      <c r="X597" t="s">
        <v>61</v>
      </c>
      <c r="Y597" t="s">
        <v>4985</v>
      </c>
      <c r="Z597" t="s">
        <v>61</v>
      </c>
      <c r="AA597" t="s">
        <v>61</v>
      </c>
      <c r="AB597">
        <v>2009055193</v>
      </c>
      <c r="AC597" t="s">
        <v>67</v>
      </c>
      <c r="AD597" t="s">
        <v>61</v>
      </c>
      <c r="AE597" t="s">
        <v>61</v>
      </c>
      <c r="AF597" t="s">
        <v>61</v>
      </c>
      <c r="AG597" t="s">
        <v>61</v>
      </c>
      <c r="AH597" t="s">
        <v>61</v>
      </c>
      <c r="AI597" t="s">
        <v>61</v>
      </c>
      <c r="AJ597" t="s">
        <v>61</v>
      </c>
      <c r="AK597" t="s">
        <v>61</v>
      </c>
      <c r="AL597" t="s">
        <v>61</v>
      </c>
      <c r="AM597" t="s">
        <v>4979</v>
      </c>
      <c r="AN597" t="s">
        <v>61</v>
      </c>
      <c r="AO597" t="s">
        <v>61</v>
      </c>
      <c r="AP597" t="s">
        <v>61</v>
      </c>
      <c r="AQ597" t="s">
        <v>61</v>
      </c>
      <c r="AR597" t="s">
        <v>61</v>
      </c>
      <c r="AS597" t="s">
        <v>61</v>
      </c>
      <c r="AT597" t="s">
        <v>61</v>
      </c>
      <c r="AU597" t="s">
        <v>61</v>
      </c>
      <c r="AV597" t="s">
        <v>61</v>
      </c>
      <c r="AW597" t="s">
        <v>61</v>
      </c>
      <c r="AX597" t="s">
        <v>61</v>
      </c>
      <c r="AY597" t="s">
        <v>61</v>
      </c>
      <c r="AZ597" t="s">
        <v>61</v>
      </c>
      <c r="BA597" t="s">
        <v>61</v>
      </c>
      <c r="BB597" t="s">
        <v>61</v>
      </c>
      <c r="BC597" t="s">
        <v>61</v>
      </c>
      <c r="BD597" t="s">
        <v>61</v>
      </c>
      <c r="BE597" t="s">
        <v>61</v>
      </c>
      <c r="BF597" t="s">
        <v>61</v>
      </c>
    </row>
    <row r="598" spans="1:58">
      <c r="A598" t="s">
        <v>58</v>
      </c>
      <c r="B598" t="s">
        <v>4986</v>
      </c>
      <c r="C598" t="s">
        <v>4987</v>
      </c>
      <c r="D598" t="s">
        <v>917</v>
      </c>
      <c r="E598" t="s">
        <v>61</v>
      </c>
      <c r="F598">
        <v>2004</v>
      </c>
      <c r="G598" t="s">
        <v>61</v>
      </c>
      <c r="H598">
        <v>23</v>
      </c>
      <c r="I598">
        <v>1</v>
      </c>
      <c r="J598">
        <v>17</v>
      </c>
      <c r="K598">
        <v>28</v>
      </c>
      <c r="L598" t="s">
        <v>4988</v>
      </c>
      <c r="M598" t="s">
        <v>4989</v>
      </c>
      <c r="N598" t="s">
        <v>4990</v>
      </c>
      <c r="O598" t="s">
        <v>61</v>
      </c>
      <c r="Q598" t="s">
        <v>61</v>
      </c>
      <c r="R598" t="s">
        <v>61</v>
      </c>
      <c r="S598" t="s">
        <v>61</v>
      </c>
      <c r="T598" t="s">
        <v>61</v>
      </c>
      <c r="X598" t="s">
        <v>61</v>
      </c>
      <c r="Y598" t="s">
        <v>4354</v>
      </c>
      <c r="Z598" t="s">
        <v>61</v>
      </c>
      <c r="AA598" t="s">
        <v>4991</v>
      </c>
      <c r="AB598">
        <v>15077837</v>
      </c>
      <c r="AC598" t="s">
        <v>67</v>
      </c>
      <c r="AD598" t="s">
        <v>61</v>
      </c>
      <c r="AE598" t="s">
        <v>61</v>
      </c>
      <c r="AF598" t="s">
        <v>61</v>
      </c>
      <c r="AG598" t="s">
        <v>4992</v>
      </c>
      <c r="AH598" t="s">
        <v>61</v>
      </c>
      <c r="AI598" t="s">
        <v>61</v>
      </c>
      <c r="AJ598" t="s">
        <v>61</v>
      </c>
      <c r="AK598" t="s">
        <v>61</v>
      </c>
      <c r="AL598" t="s">
        <v>61</v>
      </c>
      <c r="AM598" t="s">
        <v>4993</v>
      </c>
      <c r="AN598" t="s">
        <v>61</v>
      </c>
      <c r="AO598" t="s">
        <v>61</v>
      </c>
      <c r="AP598" t="s">
        <v>61</v>
      </c>
      <c r="AQ598" t="s">
        <v>61</v>
      </c>
      <c r="AR598" t="s">
        <v>61</v>
      </c>
      <c r="AS598" t="s">
        <v>61</v>
      </c>
      <c r="AT598" t="s">
        <v>61</v>
      </c>
      <c r="AU598" t="s">
        <v>61</v>
      </c>
      <c r="AV598" t="s">
        <v>61</v>
      </c>
      <c r="AW598" t="s">
        <v>61</v>
      </c>
      <c r="AX598" t="s">
        <v>61</v>
      </c>
      <c r="AY598" t="s">
        <v>61</v>
      </c>
      <c r="AZ598" t="s">
        <v>61</v>
      </c>
      <c r="BA598" t="s">
        <v>61</v>
      </c>
      <c r="BB598" t="s">
        <v>61</v>
      </c>
      <c r="BC598" t="s">
        <v>61</v>
      </c>
      <c r="BD598" t="s">
        <v>61</v>
      </c>
      <c r="BE598" t="s">
        <v>61</v>
      </c>
      <c r="BF598" t="s">
        <v>61</v>
      </c>
    </row>
    <row r="599" spans="1:58">
      <c r="A599" t="s">
        <v>58</v>
      </c>
      <c r="B599" t="s">
        <v>4994</v>
      </c>
      <c r="C599" t="s">
        <v>4995</v>
      </c>
      <c r="D599" t="s">
        <v>2271</v>
      </c>
      <c r="E599" t="s">
        <v>2272</v>
      </c>
      <c r="F599">
        <v>1991</v>
      </c>
      <c r="G599" t="s">
        <v>61</v>
      </c>
      <c r="H599">
        <v>16</v>
      </c>
      <c r="I599">
        <v>6</v>
      </c>
      <c r="J599">
        <v>533</v>
      </c>
      <c r="K599">
        <v>541</v>
      </c>
      <c r="L599" t="s">
        <v>4996</v>
      </c>
      <c r="M599" t="s">
        <v>4997</v>
      </c>
      <c r="N599" t="s">
        <v>4998</v>
      </c>
      <c r="O599" t="s">
        <v>61</v>
      </c>
      <c r="Q599" t="s">
        <v>61</v>
      </c>
      <c r="R599" t="s">
        <v>61</v>
      </c>
      <c r="S599" t="s">
        <v>61</v>
      </c>
      <c r="T599" t="s">
        <v>61</v>
      </c>
      <c r="X599" t="s">
        <v>61</v>
      </c>
      <c r="Y599" t="s">
        <v>4999</v>
      </c>
      <c r="Z599" t="s">
        <v>61</v>
      </c>
      <c r="AA599" t="s">
        <v>5000</v>
      </c>
      <c r="AB599">
        <v>1801577</v>
      </c>
      <c r="AC599" t="s">
        <v>67</v>
      </c>
      <c r="AD599" t="s">
        <v>61</v>
      </c>
      <c r="AE599" t="s">
        <v>61</v>
      </c>
      <c r="AF599" t="s">
        <v>61</v>
      </c>
      <c r="AG599" t="s">
        <v>5001</v>
      </c>
      <c r="AH599" t="s">
        <v>61</v>
      </c>
      <c r="AI599" t="s">
        <v>61</v>
      </c>
      <c r="AJ599" t="s">
        <v>61</v>
      </c>
      <c r="AK599" t="s">
        <v>61</v>
      </c>
      <c r="AL599" t="s">
        <v>61</v>
      </c>
      <c r="AM599" t="s">
        <v>5002</v>
      </c>
      <c r="AN599" t="s">
        <v>61</v>
      </c>
      <c r="AO599" t="s">
        <v>61</v>
      </c>
      <c r="AP599" t="s">
        <v>61</v>
      </c>
      <c r="AQ599" t="s">
        <v>61</v>
      </c>
      <c r="AR599" t="s">
        <v>61</v>
      </c>
      <c r="AS599" t="s">
        <v>61</v>
      </c>
      <c r="AT599" t="s">
        <v>61</v>
      </c>
      <c r="AU599" t="s">
        <v>61</v>
      </c>
      <c r="AV599" t="s">
        <v>61</v>
      </c>
      <c r="AW599" t="s">
        <v>61</v>
      </c>
      <c r="AX599" t="s">
        <v>61</v>
      </c>
      <c r="AY599" t="s">
        <v>61</v>
      </c>
      <c r="AZ599" t="s">
        <v>61</v>
      </c>
      <c r="BA599" t="s">
        <v>61</v>
      </c>
      <c r="BB599" t="s">
        <v>61</v>
      </c>
      <c r="BC599" t="s">
        <v>61</v>
      </c>
      <c r="BD599" t="s">
        <v>61</v>
      </c>
      <c r="BE599" t="s">
        <v>61</v>
      </c>
      <c r="BF599" t="s">
        <v>61</v>
      </c>
    </row>
    <row r="600" spans="1:58">
      <c r="A600" t="s">
        <v>58</v>
      </c>
      <c r="B600" t="s">
        <v>5003</v>
      </c>
      <c r="C600" t="s">
        <v>5004</v>
      </c>
      <c r="D600" t="s">
        <v>5005</v>
      </c>
      <c r="E600" t="s">
        <v>61</v>
      </c>
      <c r="F600">
        <v>2005</v>
      </c>
      <c r="G600" t="s">
        <v>851</v>
      </c>
      <c r="H600">
        <v>72</v>
      </c>
      <c r="I600">
        <v>8</v>
      </c>
      <c r="J600">
        <v>48</v>
      </c>
      <c r="K600" t="s">
        <v>61</v>
      </c>
      <c r="L600" t="s">
        <v>5006</v>
      </c>
      <c r="M600" t="s">
        <v>5007</v>
      </c>
      <c r="N600" t="s">
        <v>5008</v>
      </c>
      <c r="O600" t="s">
        <v>61</v>
      </c>
      <c r="Q600" t="s">
        <v>61</v>
      </c>
      <c r="R600" t="s">
        <v>61</v>
      </c>
      <c r="S600" t="s">
        <v>61</v>
      </c>
      <c r="T600" t="s">
        <v>61</v>
      </c>
      <c r="X600" t="s">
        <v>61</v>
      </c>
      <c r="Y600" t="s">
        <v>5009</v>
      </c>
      <c r="Z600" t="s">
        <v>61</v>
      </c>
      <c r="AA600" t="s">
        <v>5010</v>
      </c>
      <c r="AB600" t="s">
        <v>5011</v>
      </c>
      <c r="AC600" t="s">
        <v>67</v>
      </c>
      <c r="AD600" t="s">
        <v>61</v>
      </c>
      <c r="AE600" t="s">
        <v>61</v>
      </c>
      <c r="AF600" t="s">
        <v>61</v>
      </c>
      <c r="AG600" t="s">
        <v>61</v>
      </c>
      <c r="AH600" t="s">
        <v>61</v>
      </c>
      <c r="AI600" t="s">
        <v>61</v>
      </c>
      <c r="AJ600" t="s">
        <v>61</v>
      </c>
      <c r="AK600" t="s">
        <v>61</v>
      </c>
      <c r="AL600" t="s">
        <v>61</v>
      </c>
      <c r="AM600" t="s">
        <v>5012</v>
      </c>
      <c r="AN600" t="s">
        <v>61</v>
      </c>
      <c r="AO600" t="s">
        <v>61</v>
      </c>
      <c r="AP600" t="s">
        <v>61</v>
      </c>
      <c r="AQ600" t="s">
        <v>61</v>
      </c>
      <c r="AR600" t="s">
        <v>61</v>
      </c>
      <c r="AS600" t="s">
        <v>61</v>
      </c>
      <c r="AT600" t="s">
        <v>61</v>
      </c>
      <c r="AU600" t="s">
        <v>61</v>
      </c>
      <c r="AV600" t="s">
        <v>61</v>
      </c>
      <c r="AW600" t="s">
        <v>61</v>
      </c>
      <c r="AX600" t="s">
        <v>61</v>
      </c>
      <c r="AY600" t="s">
        <v>61</v>
      </c>
      <c r="AZ600" t="s">
        <v>61</v>
      </c>
      <c r="BA600" t="s">
        <v>61</v>
      </c>
      <c r="BB600" t="s">
        <v>61</v>
      </c>
      <c r="BC600" t="s">
        <v>61</v>
      </c>
      <c r="BD600" t="s">
        <v>61</v>
      </c>
      <c r="BE600" t="s">
        <v>61</v>
      </c>
      <c r="BF600" t="s">
        <v>61</v>
      </c>
    </row>
    <row r="601" spans="1:58">
      <c r="A601" t="s">
        <v>58</v>
      </c>
      <c r="B601" t="s">
        <v>5013</v>
      </c>
      <c r="C601" t="s">
        <v>5014</v>
      </c>
      <c r="D601" t="s">
        <v>1454</v>
      </c>
      <c r="E601" t="s">
        <v>1455</v>
      </c>
      <c r="F601">
        <v>1979</v>
      </c>
      <c r="G601" t="s">
        <v>61</v>
      </c>
      <c r="H601">
        <v>9</v>
      </c>
      <c r="I601">
        <v>1</v>
      </c>
      <c r="J601">
        <v>39</v>
      </c>
      <c r="K601">
        <v>53</v>
      </c>
      <c r="L601" t="s">
        <v>5015</v>
      </c>
      <c r="M601" t="s">
        <v>5016</v>
      </c>
      <c r="N601" t="s">
        <v>5017</v>
      </c>
      <c r="O601" t="s">
        <v>61</v>
      </c>
      <c r="Q601" t="s">
        <v>61</v>
      </c>
      <c r="R601" t="s">
        <v>61</v>
      </c>
      <c r="S601" t="s">
        <v>61</v>
      </c>
      <c r="T601" t="s">
        <v>61</v>
      </c>
      <c r="X601" t="s">
        <v>61</v>
      </c>
      <c r="Y601" t="s">
        <v>1459</v>
      </c>
      <c r="Z601" t="s">
        <v>61</v>
      </c>
      <c r="AA601" t="s">
        <v>61</v>
      </c>
      <c r="AB601">
        <v>1979186486</v>
      </c>
      <c r="AC601" t="s">
        <v>67</v>
      </c>
      <c r="AD601" t="s">
        <v>61</v>
      </c>
      <c r="AE601" t="s">
        <v>61</v>
      </c>
      <c r="AF601" t="s">
        <v>61</v>
      </c>
      <c r="AG601" t="s">
        <v>61</v>
      </c>
      <c r="AH601" t="s">
        <v>61</v>
      </c>
      <c r="AI601" t="s">
        <v>61</v>
      </c>
      <c r="AJ601" t="s">
        <v>61</v>
      </c>
      <c r="AK601" t="s">
        <v>61</v>
      </c>
      <c r="AL601" t="s">
        <v>61</v>
      </c>
      <c r="AM601" t="s">
        <v>5014</v>
      </c>
      <c r="AN601" t="s">
        <v>61</v>
      </c>
      <c r="AO601" t="s">
        <v>61</v>
      </c>
      <c r="AP601" t="s">
        <v>61</v>
      </c>
      <c r="AQ601" t="s">
        <v>61</v>
      </c>
      <c r="AR601" t="s">
        <v>61</v>
      </c>
      <c r="AS601" t="s">
        <v>61</v>
      </c>
      <c r="AT601" t="s">
        <v>61</v>
      </c>
      <c r="AU601" t="s">
        <v>61</v>
      </c>
      <c r="AV601" t="s">
        <v>61</v>
      </c>
      <c r="AW601" t="s">
        <v>61</v>
      </c>
      <c r="AX601" t="s">
        <v>61</v>
      </c>
      <c r="AY601" t="s">
        <v>61</v>
      </c>
      <c r="AZ601" t="s">
        <v>61</v>
      </c>
      <c r="BA601" t="s">
        <v>61</v>
      </c>
      <c r="BB601" t="s">
        <v>61</v>
      </c>
      <c r="BC601" t="s">
        <v>61</v>
      </c>
      <c r="BD601" t="s">
        <v>61</v>
      </c>
      <c r="BE601" t="s">
        <v>61</v>
      </c>
      <c r="BF601" t="s">
        <v>61</v>
      </c>
    </row>
    <row r="602" spans="1:58">
      <c r="A602" t="s">
        <v>58</v>
      </c>
      <c r="B602" t="s">
        <v>5018</v>
      </c>
      <c r="C602" t="s">
        <v>5019</v>
      </c>
      <c r="D602" t="s">
        <v>2007</v>
      </c>
      <c r="E602" t="s">
        <v>61</v>
      </c>
      <c r="F602">
        <v>2003</v>
      </c>
      <c r="G602" t="s">
        <v>61</v>
      </c>
      <c r="H602">
        <v>14</v>
      </c>
      <c r="I602">
        <v>5</v>
      </c>
      <c r="J602">
        <v>389</v>
      </c>
      <c r="K602" t="s">
        <v>5020</v>
      </c>
      <c r="L602" t="s">
        <v>5021</v>
      </c>
      <c r="M602" t="s">
        <v>5022</v>
      </c>
      <c r="N602" t="s">
        <v>5023</v>
      </c>
      <c r="O602" t="s">
        <v>61</v>
      </c>
      <c r="Q602" t="s">
        <v>61</v>
      </c>
      <c r="R602" t="s">
        <v>61</v>
      </c>
      <c r="S602" t="s">
        <v>61</v>
      </c>
      <c r="T602" t="s">
        <v>61</v>
      </c>
      <c r="X602" t="s">
        <v>61</v>
      </c>
      <c r="Y602" t="s">
        <v>2012</v>
      </c>
      <c r="Z602" t="s">
        <v>61</v>
      </c>
      <c r="AA602" t="s">
        <v>5024</v>
      </c>
      <c r="AB602">
        <v>106765437</v>
      </c>
      <c r="AC602" t="s">
        <v>67</v>
      </c>
      <c r="AD602" t="s">
        <v>61</v>
      </c>
      <c r="AE602" t="s">
        <v>61</v>
      </c>
      <c r="AF602" t="s">
        <v>61</v>
      </c>
      <c r="AG602" t="s">
        <v>5025</v>
      </c>
      <c r="AH602" t="s">
        <v>61</v>
      </c>
      <c r="AI602" t="s">
        <v>61</v>
      </c>
      <c r="AJ602" t="s">
        <v>61</v>
      </c>
      <c r="AK602" t="s">
        <v>61</v>
      </c>
      <c r="AL602" t="s">
        <v>61</v>
      </c>
      <c r="AM602" t="s">
        <v>5026</v>
      </c>
      <c r="AN602" t="s">
        <v>61</v>
      </c>
      <c r="AO602" t="s">
        <v>61</v>
      </c>
      <c r="AP602" t="s">
        <v>61</v>
      </c>
      <c r="AQ602" t="s">
        <v>61</v>
      </c>
      <c r="AR602" t="s">
        <v>61</v>
      </c>
      <c r="AS602" t="s">
        <v>61</v>
      </c>
      <c r="AT602" t="s">
        <v>61</v>
      </c>
      <c r="AU602" t="s">
        <v>61</v>
      </c>
      <c r="AV602" t="s">
        <v>61</v>
      </c>
      <c r="AW602" t="s">
        <v>61</v>
      </c>
      <c r="AX602" t="s">
        <v>61</v>
      </c>
      <c r="AY602" t="s">
        <v>61</v>
      </c>
      <c r="AZ602" t="s">
        <v>61</v>
      </c>
      <c r="BA602" t="s">
        <v>61</v>
      </c>
      <c r="BB602" t="s">
        <v>61</v>
      </c>
      <c r="BC602" t="s">
        <v>61</v>
      </c>
      <c r="BD602" t="s">
        <v>61</v>
      </c>
      <c r="BE602" t="s">
        <v>61</v>
      </c>
      <c r="BF602" t="s">
        <v>61</v>
      </c>
    </row>
    <row r="603" spans="1:58">
      <c r="A603" t="s">
        <v>58</v>
      </c>
      <c r="B603" t="s">
        <v>5027</v>
      </c>
      <c r="C603" t="s">
        <v>5028</v>
      </c>
      <c r="D603" t="s">
        <v>5029</v>
      </c>
      <c r="E603" t="s">
        <v>61</v>
      </c>
      <c r="F603">
        <v>2006</v>
      </c>
      <c r="G603" t="s">
        <v>85</v>
      </c>
      <c r="H603">
        <v>18</v>
      </c>
      <c r="I603">
        <v>2</v>
      </c>
      <c r="J603">
        <v>97</v>
      </c>
      <c r="K603">
        <v>115</v>
      </c>
      <c r="L603" t="s">
        <v>5030</v>
      </c>
      <c r="M603" t="s">
        <v>5031</v>
      </c>
      <c r="N603" t="s">
        <v>5032</v>
      </c>
      <c r="O603" t="s">
        <v>61</v>
      </c>
      <c r="Q603" t="s">
        <v>61</v>
      </c>
      <c r="R603" t="s">
        <v>61</v>
      </c>
      <c r="S603" t="s">
        <v>61</v>
      </c>
      <c r="T603" t="s">
        <v>61</v>
      </c>
      <c r="X603" t="s">
        <v>61</v>
      </c>
      <c r="Y603" t="s">
        <v>5033</v>
      </c>
      <c r="Z603" t="s">
        <v>61</v>
      </c>
      <c r="AA603" t="s">
        <v>5034</v>
      </c>
      <c r="AB603">
        <v>16649956</v>
      </c>
      <c r="AC603" t="s">
        <v>67</v>
      </c>
      <c r="AD603" t="s">
        <v>61</v>
      </c>
      <c r="AE603" t="s">
        <v>61</v>
      </c>
      <c r="AF603" t="s">
        <v>61</v>
      </c>
      <c r="AG603" t="s">
        <v>5035</v>
      </c>
      <c r="AH603" t="s">
        <v>61</v>
      </c>
      <c r="AI603" t="s">
        <v>61</v>
      </c>
      <c r="AJ603" t="s">
        <v>61</v>
      </c>
      <c r="AK603" t="s">
        <v>61</v>
      </c>
      <c r="AL603" t="s">
        <v>61</v>
      </c>
      <c r="AM603" t="s">
        <v>5036</v>
      </c>
      <c r="AN603" t="s">
        <v>61</v>
      </c>
      <c r="AO603" t="s">
        <v>61</v>
      </c>
      <c r="AP603" t="s">
        <v>61</v>
      </c>
      <c r="AQ603" t="s">
        <v>61</v>
      </c>
      <c r="AR603" t="s">
        <v>61</v>
      </c>
      <c r="AS603" t="s">
        <v>61</v>
      </c>
      <c r="AT603" t="s">
        <v>61</v>
      </c>
      <c r="AU603" t="s">
        <v>61</v>
      </c>
      <c r="AV603" t="s">
        <v>61</v>
      </c>
      <c r="AW603" t="s">
        <v>61</v>
      </c>
      <c r="AX603" t="s">
        <v>61</v>
      </c>
      <c r="AY603" t="s">
        <v>61</v>
      </c>
      <c r="AZ603" t="s">
        <v>61</v>
      </c>
      <c r="BA603" t="s">
        <v>61</v>
      </c>
      <c r="BB603" t="s">
        <v>61</v>
      </c>
      <c r="BC603" t="s">
        <v>61</v>
      </c>
      <c r="BD603" t="s">
        <v>61</v>
      </c>
      <c r="BE603" t="s">
        <v>61</v>
      </c>
      <c r="BF603" t="s">
        <v>61</v>
      </c>
    </row>
    <row r="604" spans="1:58">
      <c r="A604" t="s">
        <v>58</v>
      </c>
      <c r="B604" t="s">
        <v>5037</v>
      </c>
      <c r="C604" t="s">
        <v>5038</v>
      </c>
      <c r="D604" t="s">
        <v>408</v>
      </c>
      <c r="E604" t="s">
        <v>408</v>
      </c>
      <c r="F604">
        <v>2014</v>
      </c>
      <c r="G604" t="s">
        <v>645</v>
      </c>
      <c r="H604">
        <v>34</v>
      </c>
      <c r="I604">
        <v>10</v>
      </c>
      <c r="J604" t="s">
        <v>5039</v>
      </c>
      <c r="K604" t="s">
        <v>61</v>
      </c>
      <c r="L604" t="s">
        <v>5040</v>
      </c>
      <c r="M604" t="s">
        <v>5041</v>
      </c>
      <c r="N604" t="s">
        <v>5042</v>
      </c>
      <c r="O604" t="s">
        <v>61</v>
      </c>
      <c r="Q604" t="s">
        <v>61</v>
      </c>
      <c r="R604" t="s">
        <v>61</v>
      </c>
      <c r="S604" t="s">
        <v>61</v>
      </c>
      <c r="T604" t="s">
        <v>61</v>
      </c>
      <c r="X604" t="s">
        <v>61</v>
      </c>
      <c r="Y604" t="s">
        <v>414</v>
      </c>
      <c r="Z604" t="s">
        <v>61</v>
      </c>
      <c r="AA604" t="s">
        <v>61</v>
      </c>
      <c r="AB604" t="s">
        <v>61</v>
      </c>
      <c r="AC604" t="s">
        <v>67</v>
      </c>
      <c r="AD604" t="s">
        <v>61</v>
      </c>
      <c r="AE604" t="s">
        <v>61</v>
      </c>
      <c r="AF604" t="s">
        <v>61</v>
      </c>
      <c r="AG604" t="s">
        <v>61</v>
      </c>
      <c r="AH604" t="s">
        <v>61</v>
      </c>
      <c r="AI604" t="s">
        <v>61</v>
      </c>
      <c r="AJ604" t="s">
        <v>61</v>
      </c>
      <c r="AK604" t="s">
        <v>61</v>
      </c>
      <c r="AL604" t="s">
        <v>61</v>
      </c>
      <c r="AM604" t="s">
        <v>5038</v>
      </c>
      <c r="AN604" t="s">
        <v>61</v>
      </c>
      <c r="AO604" t="s">
        <v>61</v>
      </c>
      <c r="AP604" t="s">
        <v>61</v>
      </c>
      <c r="AQ604" t="s">
        <v>61</v>
      </c>
      <c r="AR604" t="s">
        <v>61</v>
      </c>
      <c r="AS604" t="s">
        <v>61</v>
      </c>
      <c r="AT604" t="s">
        <v>61</v>
      </c>
      <c r="AU604" t="s">
        <v>61</v>
      </c>
      <c r="AV604" t="s">
        <v>61</v>
      </c>
      <c r="AW604" t="s">
        <v>61</v>
      </c>
      <c r="AX604" t="s">
        <v>61</v>
      </c>
      <c r="AY604" t="s">
        <v>61</v>
      </c>
      <c r="AZ604" t="s">
        <v>61</v>
      </c>
      <c r="BA604" t="s">
        <v>61</v>
      </c>
      <c r="BB604" t="s">
        <v>61</v>
      </c>
      <c r="BC604" t="s">
        <v>61</v>
      </c>
      <c r="BD604" t="s">
        <v>61</v>
      </c>
      <c r="BE604" t="s">
        <v>61</v>
      </c>
      <c r="BF604" t="s">
        <v>61</v>
      </c>
    </row>
    <row r="605" spans="1:58">
      <c r="A605" t="s">
        <v>58</v>
      </c>
      <c r="B605" t="s">
        <v>5043</v>
      </c>
      <c r="C605" t="s">
        <v>5044</v>
      </c>
      <c r="D605" t="s">
        <v>3957</v>
      </c>
      <c r="E605" t="s">
        <v>61</v>
      </c>
      <c r="F605">
        <v>2006</v>
      </c>
      <c r="G605" t="s">
        <v>1152</v>
      </c>
      <c r="H605">
        <v>4</v>
      </c>
      <c r="I605">
        <v>3</v>
      </c>
      <c r="J605">
        <v>264</v>
      </c>
      <c r="K605">
        <v>272</v>
      </c>
      <c r="L605" t="s">
        <v>5045</v>
      </c>
      <c r="M605" t="s">
        <v>5046</v>
      </c>
      <c r="N605" t="s">
        <v>5047</v>
      </c>
      <c r="O605" t="s">
        <v>61</v>
      </c>
      <c r="Q605" t="s">
        <v>61</v>
      </c>
      <c r="R605" t="s">
        <v>61</v>
      </c>
      <c r="S605" t="s">
        <v>61</v>
      </c>
      <c r="T605" t="s">
        <v>61</v>
      </c>
      <c r="X605" t="s">
        <v>61</v>
      </c>
      <c r="Y605" t="s">
        <v>3961</v>
      </c>
      <c r="Z605" t="s">
        <v>61</v>
      </c>
      <c r="AA605" t="s">
        <v>5048</v>
      </c>
      <c r="AB605">
        <v>17062328</v>
      </c>
      <c r="AC605" t="s">
        <v>67</v>
      </c>
      <c r="AD605" t="s">
        <v>61</v>
      </c>
      <c r="AE605" t="s">
        <v>61</v>
      </c>
      <c r="AF605" t="s">
        <v>61</v>
      </c>
      <c r="AG605" t="s">
        <v>5049</v>
      </c>
      <c r="AH605" t="s">
        <v>61</v>
      </c>
      <c r="AI605" t="s">
        <v>61</v>
      </c>
      <c r="AJ605" t="s">
        <v>61</v>
      </c>
      <c r="AK605" t="s">
        <v>61</v>
      </c>
      <c r="AL605" t="s">
        <v>61</v>
      </c>
      <c r="AM605" t="s">
        <v>5050</v>
      </c>
      <c r="AN605" t="s">
        <v>61</v>
      </c>
      <c r="AO605" t="s">
        <v>61</v>
      </c>
      <c r="AP605" t="s">
        <v>61</v>
      </c>
      <c r="AQ605" t="s">
        <v>61</v>
      </c>
      <c r="AR605" t="s">
        <v>61</v>
      </c>
      <c r="AS605" t="s">
        <v>61</v>
      </c>
      <c r="AT605" t="s">
        <v>61</v>
      </c>
      <c r="AU605" t="s">
        <v>61</v>
      </c>
      <c r="AV605" t="s">
        <v>61</v>
      </c>
      <c r="AW605" t="s">
        <v>61</v>
      </c>
      <c r="AX605" t="s">
        <v>61</v>
      </c>
      <c r="AY605" t="s">
        <v>61</v>
      </c>
      <c r="AZ605" t="s">
        <v>61</v>
      </c>
      <c r="BA605" t="s">
        <v>61</v>
      </c>
      <c r="BB605" t="s">
        <v>61</v>
      </c>
      <c r="BC605" t="s">
        <v>61</v>
      </c>
      <c r="BD605" t="s">
        <v>61</v>
      </c>
      <c r="BE605" t="s">
        <v>61</v>
      </c>
      <c r="BF605" t="s">
        <v>61</v>
      </c>
    </row>
    <row r="606" spans="1:58">
      <c r="A606" t="s">
        <v>58</v>
      </c>
      <c r="B606" t="s">
        <v>5051</v>
      </c>
      <c r="C606" t="s">
        <v>5052</v>
      </c>
      <c r="D606" t="s">
        <v>428</v>
      </c>
      <c r="E606" t="s">
        <v>61</v>
      </c>
      <c r="F606">
        <v>2012</v>
      </c>
      <c r="G606" t="s">
        <v>429</v>
      </c>
      <c r="H606">
        <v>25</v>
      </c>
      <c r="I606">
        <v>2</v>
      </c>
      <c r="J606">
        <v>263</v>
      </c>
      <c r="K606" t="s">
        <v>61</v>
      </c>
      <c r="L606" t="s">
        <v>5053</v>
      </c>
      <c r="M606" t="s">
        <v>5054</v>
      </c>
      <c r="N606" t="s">
        <v>5055</v>
      </c>
      <c r="O606" t="s">
        <v>61</v>
      </c>
      <c r="Q606" t="s">
        <v>61</v>
      </c>
      <c r="R606" t="s">
        <v>61</v>
      </c>
      <c r="S606" t="s">
        <v>61</v>
      </c>
      <c r="T606" t="s">
        <v>61</v>
      </c>
      <c r="X606" t="s">
        <v>61</v>
      </c>
      <c r="Y606" t="s">
        <v>433</v>
      </c>
      <c r="Z606" t="s">
        <v>61</v>
      </c>
      <c r="AA606" t="s">
        <v>61</v>
      </c>
      <c r="AB606" t="s">
        <v>61</v>
      </c>
      <c r="AC606" t="s">
        <v>67</v>
      </c>
      <c r="AD606" t="s">
        <v>61</v>
      </c>
      <c r="AE606" t="s">
        <v>61</v>
      </c>
      <c r="AF606" t="s">
        <v>61</v>
      </c>
      <c r="AG606" t="s">
        <v>61</v>
      </c>
      <c r="AH606" t="s">
        <v>61</v>
      </c>
      <c r="AI606" t="s">
        <v>61</v>
      </c>
      <c r="AJ606" t="s">
        <v>61</v>
      </c>
      <c r="AK606" t="s">
        <v>61</v>
      </c>
      <c r="AL606" t="s">
        <v>61</v>
      </c>
      <c r="AM606" t="s">
        <v>5052</v>
      </c>
      <c r="AN606" t="s">
        <v>61</v>
      </c>
      <c r="AO606" t="s">
        <v>61</v>
      </c>
      <c r="AP606" t="s">
        <v>61</v>
      </c>
      <c r="AQ606" t="s">
        <v>61</v>
      </c>
      <c r="AR606" t="s">
        <v>61</v>
      </c>
      <c r="AS606" t="s">
        <v>61</v>
      </c>
      <c r="AT606" t="s">
        <v>61</v>
      </c>
      <c r="AU606" t="s">
        <v>61</v>
      </c>
      <c r="AV606" t="s">
        <v>61</v>
      </c>
      <c r="AW606" t="s">
        <v>61</v>
      </c>
      <c r="AX606" t="s">
        <v>61</v>
      </c>
      <c r="AY606" t="s">
        <v>61</v>
      </c>
      <c r="AZ606" t="s">
        <v>61</v>
      </c>
      <c r="BA606" t="s">
        <v>61</v>
      </c>
      <c r="BB606" t="s">
        <v>61</v>
      </c>
      <c r="BC606" t="s">
        <v>61</v>
      </c>
      <c r="BD606" t="s">
        <v>61</v>
      </c>
      <c r="BE606" t="s">
        <v>61</v>
      </c>
      <c r="BF606" t="s">
        <v>61</v>
      </c>
    </row>
    <row r="607" spans="1:58">
      <c r="A607" t="s">
        <v>58</v>
      </c>
      <c r="B607" t="s">
        <v>5056</v>
      </c>
      <c r="C607" t="s">
        <v>5057</v>
      </c>
      <c r="D607" t="s">
        <v>5058</v>
      </c>
      <c r="E607" t="s">
        <v>5059</v>
      </c>
      <c r="F607">
        <v>2009</v>
      </c>
      <c r="G607" t="s">
        <v>61</v>
      </c>
      <c r="H607">
        <v>54</v>
      </c>
      <c r="I607">
        <v>2</v>
      </c>
      <c r="J607">
        <v>63</v>
      </c>
      <c r="K607" t="s">
        <v>5060</v>
      </c>
      <c r="L607" t="s">
        <v>5061</v>
      </c>
      <c r="M607" t="s">
        <v>5062</v>
      </c>
      <c r="N607" t="s">
        <v>5063</v>
      </c>
      <c r="O607" t="s">
        <v>61</v>
      </c>
      <c r="Q607" t="s">
        <v>61</v>
      </c>
      <c r="R607" t="s">
        <v>61</v>
      </c>
      <c r="S607" t="s">
        <v>61</v>
      </c>
      <c r="T607" t="s">
        <v>61</v>
      </c>
      <c r="X607" t="s">
        <v>61</v>
      </c>
      <c r="Y607" t="s">
        <v>5064</v>
      </c>
      <c r="Z607" t="s">
        <v>61</v>
      </c>
      <c r="AA607" t="s">
        <v>5065</v>
      </c>
      <c r="AB607">
        <v>105222482</v>
      </c>
      <c r="AC607" t="s">
        <v>67</v>
      </c>
      <c r="AD607" t="s">
        <v>61</v>
      </c>
      <c r="AE607" t="s">
        <v>61</v>
      </c>
      <c r="AF607" t="s">
        <v>61</v>
      </c>
      <c r="AG607" t="s">
        <v>5066</v>
      </c>
      <c r="AH607" t="s">
        <v>61</v>
      </c>
      <c r="AI607" t="s">
        <v>61</v>
      </c>
      <c r="AJ607" t="s">
        <v>61</v>
      </c>
      <c r="AK607" t="s">
        <v>61</v>
      </c>
      <c r="AL607" t="s">
        <v>61</v>
      </c>
      <c r="AM607" t="s">
        <v>5067</v>
      </c>
      <c r="AN607" t="s">
        <v>61</v>
      </c>
      <c r="AO607" t="s">
        <v>61</v>
      </c>
      <c r="AP607" t="s">
        <v>61</v>
      </c>
      <c r="AQ607" t="s">
        <v>61</v>
      </c>
      <c r="AR607" t="s">
        <v>61</v>
      </c>
      <c r="AS607" t="s">
        <v>61</v>
      </c>
      <c r="AT607" t="s">
        <v>61</v>
      </c>
      <c r="AU607" t="s">
        <v>61</v>
      </c>
      <c r="AV607" t="s">
        <v>61</v>
      </c>
      <c r="AW607" t="s">
        <v>61</v>
      </c>
      <c r="AX607" t="s">
        <v>61</v>
      </c>
      <c r="AY607" t="s">
        <v>61</v>
      </c>
      <c r="AZ607" t="s">
        <v>61</v>
      </c>
      <c r="BA607" t="s">
        <v>61</v>
      </c>
      <c r="BB607" t="s">
        <v>61</v>
      </c>
      <c r="BC607" t="s">
        <v>61</v>
      </c>
      <c r="BD607" t="s">
        <v>61</v>
      </c>
      <c r="BE607" t="s">
        <v>61</v>
      </c>
      <c r="BF607" t="s">
        <v>61</v>
      </c>
    </row>
    <row r="608" spans="1:58">
      <c r="A608" t="s">
        <v>58</v>
      </c>
      <c r="B608" t="s">
        <v>5068</v>
      </c>
      <c r="C608" t="s">
        <v>5069</v>
      </c>
      <c r="D608" t="s">
        <v>373</v>
      </c>
      <c r="E608" t="s">
        <v>61</v>
      </c>
      <c r="F608">
        <v>2013</v>
      </c>
      <c r="G608" t="s">
        <v>61</v>
      </c>
      <c r="H608">
        <v>12</v>
      </c>
      <c r="I608">
        <v>1</v>
      </c>
      <c r="J608">
        <v>101</v>
      </c>
      <c r="K608">
        <v>108</v>
      </c>
      <c r="L608" t="s">
        <v>5070</v>
      </c>
      <c r="M608" t="s">
        <v>5071</v>
      </c>
      <c r="N608" t="s">
        <v>5072</v>
      </c>
      <c r="O608" t="s">
        <v>61</v>
      </c>
      <c r="Q608" t="s">
        <v>61</v>
      </c>
      <c r="R608" t="s">
        <v>61</v>
      </c>
      <c r="S608" t="s">
        <v>61</v>
      </c>
      <c r="T608" t="s">
        <v>61</v>
      </c>
      <c r="X608" t="s">
        <v>61</v>
      </c>
      <c r="Y608" t="s">
        <v>377</v>
      </c>
      <c r="Z608" t="s">
        <v>61</v>
      </c>
      <c r="AA608" t="s">
        <v>61</v>
      </c>
      <c r="AB608">
        <v>2013149497</v>
      </c>
      <c r="AC608" t="s">
        <v>67</v>
      </c>
      <c r="AD608" t="s">
        <v>61</v>
      </c>
      <c r="AE608" t="s">
        <v>61</v>
      </c>
      <c r="AF608" t="s">
        <v>61</v>
      </c>
      <c r="AG608" t="s">
        <v>61</v>
      </c>
      <c r="AH608" t="s">
        <v>61</v>
      </c>
      <c r="AI608" t="s">
        <v>61</v>
      </c>
      <c r="AJ608" t="s">
        <v>61</v>
      </c>
      <c r="AK608" t="s">
        <v>61</v>
      </c>
      <c r="AL608" t="s">
        <v>61</v>
      </c>
      <c r="AM608" t="s">
        <v>5069</v>
      </c>
      <c r="AN608" t="s">
        <v>61</v>
      </c>
      <c r="AO608" t="s">
        <v>61</v>
      </c>
      <c r="AP608" t="s">
        <v>61</v>
      </c>
      <c r="AQ608" t="s">
        <v>61</v>
      </c>
      <c r="AR608" t="s">
        <v>61</v>
      </c>
      <c r="AS608" t="s">
        <v>61</v>
      </c>
      <c r="AT608" t="s">
        <v>61</v>
      </c>
      <c r="AU608" t="s">
        <v>61</v>
      </c>
      <c r="AV608" t="s">
        <v>61</v>
      </c>
      <c r="AW608" t="s">
        <v>61</v>
      </c>
      <c r="AX608" t="s">
        <v>61</v>
      </c>
      <c r="AY608" t="s">
        <v>61</v>
      </c>
      <c r="AZ608" t="s">
        <v>61</v>
      </c>
      <c r="BA608" t="s">
        <v>61</v>
      </c>
      <c r="BB608" t="s">
        <v>61</v>
      </c>
      <c r="BC608" t="s">
        <v>61</v>
      </c>
      <c r="BD608" t="s">
        <v>61</v>
      </c>
      <c r="BE608" t="s">
        <v>61</v>
      </c>
      <c r="BF608" t="s">
        <v>61</v>
      </c>
    </row>
    <row r="609" spans="1:58">
      <c r="A609" t="s">
        <v>58</v>
      </c>
      <c r="B609" t="s">
        <v>5073</v>
      </c>
      <c r="C609" t="s">
        <v>5074</v>
      </c>
      <c r="D609" t="s">
        <v>5075</v>
      </c>
      <c r="E609" t="s">
        <v>5076</v>
      </c>
      <c r="F609">
        <v>2010</v>
      </c>
      <c r="G609" t="s">
        <v>85</v>
      </c>
      <c r="H609">
        <v>76</v>
      </c>
      <c r="I609">
        <v>4</v>
      </c>
      <c r="J609">
        <v>397</v>
      </c>
      <c r="K609">
        <v>399</v>
      </c>
      <c r="L609" t="s">
        <v>5077</v>
      </c>
      <c r="M609" t="s">
        <v>5078</v>
      </c>
      <c r="N609" t="s">
        <v>5079</v>
      </c>
      <c r="O609" t="s">
        <v>61</v>
      </c>
      <c r="Q609" t="s">
        <v>61</v>
      </c>
      <c r="R609" t="s">
        <v>61</v>
      </c>
      <c r="S609" t="s">
        <v>61</v>
      </c>
      <c r="T609" t="s">
        <v>61</v>
      </c>
      <c r="X609" t="s">
        <v>61</v>
      </c>
      <c r="Y609" t="s">
        <v>5080</v>
      </c>
      <c r="Z609" t="s">
        <v>61</v>
      </c>
      <c r="AA609" t="s">
        <v>5081</v>
      </c>
      <c r="AB609">
        <v>20420250</v>
      </c>
      <c r="AC609" t="s">
        <v>67</v>
      </c>
      <c r="AD609" t="s">
        <v>61</v>
      </c>
      <c r="AE609" t="s">
        <v>61</v>
      </c>
      <c r="AF609" t="s">
        <v>61</v>
      </c>
      <c r="AG609" t="s">
        <v>5082</v>
      </c>
      <c r="AH609" t="s">
        <v>61</v>
      </c>
      <c r="AI609" t="s">
        <v>61</v>
      </c>
      <c r="AJ609" t="s">
        <v>61</v>
      </c>
      <c r="AK609" t="s">
        <v>61</v>
      </c>
      <c r="AL609" t="s">
        <v>61</v>
      </c>
      <c r="AM609" t="s">
        <v>5083</v>
      </c>
      <c r="AN609" t="s">
        <v>61</v>
      </c>
      <c r="AO609" t="s">
        <v>61</v>
      </c>
      <c r="AP609" t="s">
        <v>61</v>
      </c>
      <c r="AQ609" t="s">
        <v>61</v>
      </c>
      <c r="AR609" t="s">
        <v>61</v>
      </c>
      <c r="AS609" t="s">
        <v>61</v>
      </c>
      <c r="AT609" t="s">
        <v>61</v>
      </c>
      <c r="AU609" t="s">
        <v>61</v>
      </c>
      <c r="AV609" t="s">
        <v>61</v>
      </c>
      <c r="AW609" t="s">
        <v>61</v>
      </c>
      <c r="AX609" t="s">
        <v>61</v>
      </c>
      <c r="AY609" t="s">
        <v>61</v>
      </c>
      <c r="AZ609" t="s">
        <v>61</v>
      </c>
      <c r="BA609" t="s">
        <v>61</v>
      </c>
      <c r="BB609" t="s">
        <v>61</v>
      </c>
      <c r="BC609" t="s">
        <v>61</v>
      </c>
      <c r="BD609" t="s">
        <v>61</v>
      </c>
      <c r="BE609" t="s">
        <v>61</v>
      </c>
      <c r="BF609" t="s">
        <v>61</v>
      </c>
    </row>
    <row r="610" spans="1:58">
      <c r="A610" t="s">
        <v>58</v>
      </c>
      <c r="B610" t="s">
        <v>5084</v>
      </c>
      <c r="C610" t="s">
        <v>5085</v>
      </c>
      <c r="D610" t="s">
        <v>5086</v>
      </c>
      <c r="E610" t="s">
        <v>61</v>
      </c>
      <c r="F610">
        <v>2013</v>
      </c>
      <c r="G610" t="s">
        <v>851</v>
      </c>
      <c r="H610">
        <v>10</v>
      </c>
      <c r="I610">
        <v>4</v>
      </c>
      <c r="J610">
        <v>410</v>
      </c>
      <c r="K610">
        <v>419</v>
      </c>
      <c r="L610" t="s">
        <v>5087</v>
      </c>
      <c r="M610" t="s">
        <v>5088</v>
      </c>
      <c r="N610" t="s">
        <v>5089</v>
      </c>
      <c r="O610" t="s">
        <v>61</v>
      </c>
      <c r="Q610" t="s">
        <v>61</v>
      </c>
      <c r="R610" t="s">
        <v>61</v>
      </c>
      <c r="S610" t="s">
        <v>61</v>
      </c>
      <c r="T610" t="s">
        <v>61</v>
      </c>
      <c r="X610" t="s">
        <v>61</v>
      </c>
      <c r="Y610" t="s">
        <v>5090</v>
      </c>
      <c r="Z610" t="s">
        <v>61</v>
      </c>
      <c r="AA610" t="s">
        <v>5091</v>
      </c>
      <c r="AB610">
        <v>23356858</v>
      </c>
      <c r="AC610" t="s">
        <v>67</v>
      </c>
      <c r="AD610" t="s">
        <v>61</v>
      </c>
      <c r="AE610" t="s">
        <v>61</v>
      </c>
      <c r="AF610" t="s">
        <v>61</v>
      </c>
      <c r="AG610" t="s">
        <v>5092</v>
      </c>
      <c r="AH610" t="s">
        <v>61</v>
      </c>
      <c r="AI610" t="s">
        <v>5093</v>
      </c>
      <c r="AJ610" t="s">
        <v>61</v>
      </c>
      <c r="AK610" t="s">
        <v>61</v>
      </c>
      <c r="AL610" t="s">
        <v>61</v>
      </c>
      <c r="AM610" t="s">
        <v>5094</v>
      </c>
      <c r="AN610" t="s">
        <v>61</v>
      </c>
      <c r="AO610" t="s">
        <v>61</v>
      </c>
      <c r="AP610" t="s">
        <v>61</v>
      </c>
      <c r="AQ610" t="s">
        <v>61</v>
      </c>
      <c r="AR610" t="s">
        <v>61</v>
      </c>
      <c r="AS610" t="s">
        <v>61</v>
      </c>
      <c r="AT610" t="s">
        <v>61</v>
      </c>
      <c r="AU610" t="s">
        <v>61</v>
      </c>
      <c r="AV610" t="s">
        <v>61</v>
      </c>
      <c r="AW610" t="s">
        <v>61</v>
      </c>
      <c r="AX610" t="s">
        <v>61</v>
      </c>
      <c r="AY610" t="s">
        <v>61</v>
      </c>
      <c r="AZ610" t="s">
        <v>61</v>
      </c>
      <c r="BA610" t="s">
        <v>61</v>
      </c>
      <c r="BB610" t="s">
        <v>61</v>
      </c>
      <c r="BC610" t="s">
        <v>61</v>
      </c>
      <c r="BD610" t="s">
        <v>61</v>
      </c>
      <c r="BE610" t="s">
        <v>61</v>
      </c>
      <c r="BF610" t="s">
        <v>61</v>
      </c>
    </row>
    <row r="611" spans="1:58">
      <c r="A611" t="s">
        <v>58</v>
      </c>
      <c r="B611" t="s">
        <v>5095</v>
      </c>
      <c r="C611" t="s">
        <v>5096</v>
      </c>
      <c r="D611" t="s">
        <v>4947</v>
      </c>
      <c r="E611" t="s">
        <v>61</v>
      </c>
      <c r="F611">
        <v>1978</v>
      </c>
      <c r="G611" t="s">
        <v>61</v>
      </c>
      <c r="H611">
        <v>5</v>
      </c>
      <c r="I611">
        <v>1</v>
      </c>
      <c r="J611">
        <v>59</v>
      </c>
      <c r="K611">
        <v>74</v>
      </c>
      <c r="L611" t="s">
        <v>5097</v>
      </c>
      <c r="M611" t="s">
        <v>5098</v>
      </c>
      <c r="N611" t="s">
        <v>5099</v>
      </c>
      <c r="O611" t="s">
        <v>61</v>
      </c>
      <c r="Q611" t="s">
        <v>61</v>
      </c>
      <c r="R611" t="s">
        <v>61</v>
      </c>
      <c r="S611" t="s">
        <v>61</v>
      </c>
      <c r="T611" t="s">
        <v>61</v>
      </c>
      <c r="X611" t="s">
        <v>61</v>
      </c>
      <c r="Y611" t="s">
        <v>4951</v>
      </c>
      <c r="Z611" t="s">
        <v>61</v>
      </c>
      <c r="AA611" t="s">
        <v>61</v>
      </c>
      <c r="AB611">
        <v>696707</v>
      </c>
      <c r="AC611" t="s">
        <v>67</v>
      </c>
      <c r="AD611" t="s">
        <v>61</v>
      </c>
      <c r="AE611" t="s">
        <v>61</v>
      </c>
      <c r="AF611" t="s">
        <v>61</v>
      </c>
      <c r="AG611" t="s">
        <v>5100</v>
      </c>
      <c r="AH611" t="s">
        <v>61</v>
      </c>
      <c r="AI611" t="s">
        <v>61</v>
      </c>
      <c r="AJ611" t="s">
        <v>61</v>
      </c>
      <c r="AK611" t="s">
        <v>61</v>
      </c>
      <c r="AL611" t="s">
        <v>61</v>
      </c>
      <c r="AM611" t="s">
        <v>5101</v>
      </c>
      <c r="AN611" t="s">
        <v>61</v>
      </c>
      <c r="AO611" t="s">
        <v>61</v>
      </c>
      <c r="AP611" t="s">
        <v>61</v>
      </c>
      <c r="AQ611" t="s">
        <v>61</v>
      </c>
      <c r="AR611" t="s">
        <v>61</v>
      </c>
      <c r="AS611" t="s">
        <v>61</v>
      </c>
      <c r="AT611" t="s">
        <v>61</v>
      </c>
      <c r="AU611" t="s">
        <v>61</v>
      </c>
      <c r="AV611" t="s">
        <v>61</v>
      </c>
      <c r="AW611" t="s">
        <v>61</v>
      </c>
      <c r="AX611" t="s">
        <v>61</v>
      </c>
      <c r="AY611" t="s">
        <v>61</v>
      </c>
      <c r="AZ611" t="s">
        <v>61</v>
      </c>
      <c r="BA611" t="s">
        <v>61</v>
      </c>
      <c r="BB611" t="s">
        <v>61</v>
      </c>
      <c r="BC611" t="s">
        <v>61</v>
      </c>
      <c r="BD611" t="s">
        <v>61</v>
      </c>
      <c r="BE611" t="s">
        <v>61</v>
      </c>
      <c r="BF611" t="s">
        <v>61</v>
      </c>
    </row>
    <row r="612" spans="1:58">
      <c r="A612" t="s">
        <v>58</v>
      </c>
      <c r="B612" t="s">
        <v>5102</v>
      </c>
      <c r="C612" t="s">
        <v>5103</v>
      </c>
      <c r="D612" t="s">
        <v>162</v>
      </c>
      <c r="E612" t="s">
        <v>163</v>
      </c>
      <c r="F612">
        <v>2014</v>
      </c>
      <c r="G612" t="s">
        <v>429</v>
      </c>
      <c r="H612">
        <v>54</v>
      </c>
      <c r="I612">
        <v>4</v>
      </c>
      <c r="J612">
        <v>468</v>
      </c>
      <c r="K612">
        <v>477</v>
      </c>
      <c r="L612" t="s">
        <v>5104</v>
      </c>
      <c r="M612" t="s">
        <v>5105</v>
      </c>
      <c r="N612" t="s">
        <v>5106</v>
      </c>
      <c r="O612" t="s">
        <v>61</v>
      </c>
      <c r="Q612" t="s">
        <v>61</v>
      </c>
      <c r="R612" t="s">
        <v>61</v>
      </c>
      <c r="S612" t="s">
        <v>61</v>
      </c>
      <c r="T612" t="s">
        <v>61</v>
      </c>
      <c r="X612" t="s">
        <v>61</v>
      </c>
      <c r="Y612" t="s">
        <v>5107</v>
      </c>
      <c r="Z612" t="s">
        <v>61</v>
      </c>
      <c r="AA612" t="s">
        <v>61</v>
      </c>
      <c r="AB612">
        <v>2014258525</v>
      </c>
      <c r="AC612" t="s">
        <v>67</v>
      </c>
      <c r="AD612" t="s">
        <v>61</v>
      </c>
      <c r="AE612" t="s">
        <v>61</v>
      </c>
      <c r="AF612" t="s">
        <v>61</v>
      </c>
      <c r="AG612" t="s">
        <v>5108</v>
      </c>
      <c r="AH612" t="s">
        <v>61</v>
      </c>
      <c r="AI612" t="s">
        <v>61</v>
      </c>
      <c r="AJ612" t="s">
        <v>61</v>
      </c>
      <c r="AK612" t="s">
        <v>61</v>
      </c>
      <c r="AL612" t="s">
        <v>61</v>
      </c>
      <c r="AM612" t="s">
        <v>5109</v>
      </c>
      <c r="AN612" t="s">
        <v>61</v>
      </c>
      <c r="AO612" t="s">
        <v>61</v>
      </c>
      <c r="AP612" t="s">
        <v>61</v>
      </c>
      <c r="AQ612" t="s">
        <v>61</v>
      </c>
      <c r="AR612" t="s">
        <v>61</v>
      </c>
      <c r="AS612" t="s">
        <v>61</v>
      </c>
      <c r="AT612" t="s">
        <v>61</v>
      </c>
      <c r="AU612" t="s">
        <v>61</v>
      </c>
      <c r="AV612" t="s">
        <v>61</v>
      </c>
      <c r="AW612" t="s">
        <v>61</v>
      </c>
      <c r="AX612" t="s">
        <v>61</v>
      </c>
      <c r="AY612" t="s">
        <v>61</v>
      </c>
      <c r="AZ612" t="s">
        <v>61</v>
      </c>
      <c r="BA612" t="s">
        <v>61</v>
      </c>
      <c r="BB612" t="s">
        <v>61</v>
      </c>
      <c r="BC612" t="s">
        <v>61</v>
      </c>
      <c r="BD612" t="s">
        <v>61</v>
      </c>
      <c r="BE612" t="s">
        <v>61</v>
      </c>
      <c r="BF612" t="s">
        <v>61</v>
      </c>
    </row>
    <row r="613" spans="1:58">
      <c r="A613" t="s">
        <v>58</v>
      </c>
      <c r="B613" t="s">
        <v>5110</v>
      </c>
      <c r="C613" t="s">
        <v>5111</v>
      </c>
      <c r="D613" t="s">
        <v>5112</v>
      </c>
      <c r="E613" t="s">
        <v>5113</v>
      </c>
      <c r="F613">
        <v>1975</v>
      </c>
      <c r="G613" t="s">
        <v>61</v>
      </c>
      <c r="H613">
        <v>23</v>
      </c>
      <c r="I613">
        <v>4</v>
      </c>
      <c r="J613">
        <v>277</v>
      </c>
      <c r="K613">
        <v>279</v>
      </c>
      <c r="L613" t="s">
        <v>5114</v>
      </c>
      <c r="M613" t="s">
        <v>5115</v>
      </c>
      <c r="N613" t="s">
        <v>5116</v>
      </c>
      <c r="O613" t="s">
        <v>61</v>
      </c>
      <c r="Q613" t="s">
        <v>61</v>
      </c>
      <c r="R613" t="s">
        <v>61</v>
      </c>
      <c r="S613" t="s">
        <v>61</v>
      </c>
      <c r="T613" t="s">
        <v>61</v>
      </c>
      <c r="X613" t="s">
        <v>61</v>
      </c>
      <c r="Y613" t="s">
        <v>61</v>
      </c>
      <c r="Z613" t="s">
        <v>61</v>
      </c>
      <c r="AA613" t="s">
        <v>61</v>
      </c>
      <c r="AB613">
        <v>1976117669</v>
      </c>
      <c r="AC613" t="s">
        <v>67</v>
      </c>
      <c r="AD613" t="s">
        <v>61</v>
      </c>
      <c r="AE613" t="s">
        <v>61</v>
      </c>
      <c r="AF613" t="s">
        <v>61</v>
      </c>
      <c r="AG613" t="s">
        <v>5117</v>
      </c>
      <c r="AH613" t="s">
        <v>61</v>
      </c>
      <c r="AI613" t="s">
        <v>61</v>
      </c>
      <c r="AJ613" t="s">
        <v>61</v>
      </c>
      <c r="AK613" t="s">
        <v>61</v>
      </c>
      <c r="AL613" t="s">
        <v>61</v>
      </c>
      <c r="AM613" t="s">
        <v>5118</v>
      </c>
      <c r="AN613" t="s">
        <v>61</v>
      </c>
      <c r="AO613" t="s">
        <v>61</v>
      </c>
      <c r="AP613" t="s">
        <v>61</v>
      </c>
      <c r="AQ613" t="s">
        <v>61</v>
      </c>
      <c r="AR613" t="s">
        <v>61</v>
      </c>
      <c r="AS613" t="s">
        <v>61</v>
      </c>
      <c r="AT613" t="s">
        <v>61</v>
      </c>
      <c r="AU613" t="s">
        <v>61</v>
      </c>
      <c r="AV613" t="s">
        <v>61</v>
      </c>
      <c r="AW613" t="s">
        <v>61</v>
      </c>
      <c r="AX613" t="s">
        <v>61</v>
      </c>
      <c r="AY613" t="s">
        <v>61</v>
      </c>
      <c r="AZ613" t="s">
        <v>61</v>
      </c>
      <c r="BA613" t="s">
        <v>61</v>
      </c>
      <c r="BB613" t="s">
        <v>61</v>
      </c>
      <c r="BC613" t="s">
        <v>61</v>
      </c>
      <c r="BD613" t="s">
        <v>61</v>
      </c>
      <c r="BE613" t="s">
        <v>61</v>
      </c>
      <c r="BF613" t="s">
        <v>61</v>
      </c>
    </row>
    <row r="614" spans="1:58">
      <c r="A614" t="s">
        <v>58</v>
      </c>
      <c r="B614" t="s">
        <v>5119</v>
      </c>
      <c r="C614" t="s">
        <v>5120</v>
      </c>
      <c r="D614" t="s">
        <v>5121</v>
      </c>
      <c r="E614" t="s">
        <v>61</v>
      </c>
      <c r="F614">
        <v>2005</v>
      </c>
      <c r="G614" t="s">
        <v>61</v>
      </c>
      <c r="H614">
        <v>8</v>
      </c>
      <c r="I614">
        <v>1</v>
      </c>
      <c r="J614">
        <v>28</v>
      </c>
      <c r="K614" t="s">
        <v>5122</v>
      </c>
      <c r="L614" t="s">
        <v>5123</v>
      </c>
      <c r="M614" t="s">
        <v>5124</v>
      </c>
      <c r="N614" t="s">
        <v>5125</v>
      </c>
      <c r="O614" t="s">
        <v>61</v>
      </c>
      <c r="Q614" t="s">
        <v>61</v>
      </c>
      <c r="R614" t="s">
        <v>61</v>
      </c>
      <c r="S614" t="s">
        <v>61</v>
      </c>
      <c r="T614" t="s">
        <v>61</v>
      </c>
      <c r="X614" t="s">
        <v>61</v>
      </c>
      <c r="Y614" t="s">
        <v>5126</v>
      </c>
      <c r="Z614" t="s">
        <v>61</v>
      </c>
      <c r="AA614" t="s">
        <v>5127</v>
      </c>
      <c r="AB614">
        <v>106625747</v>
      </c>
      <c r="AC614" t="s">
        <v>67</v>
      </c>
      <c r="AD614" t="s">
        <v>61</v>
      </c>
      <c r="AE614" t="s">
        <v>61</v>
      </c>
      <c r="AF614" t="s">
        <v>61</v>
      </c>
      <c r="AG614" t="s">
        <v>5128</v>
      </c>
      <c r="AH614" t="s">
        <v>61</v>
      </c>
      <c r="AI614" t="s">
        <v>61</v>
      </c>
      <c r="AJ614" t="s">
        <v>61</v>
      </c>
      <c r="AK614" t="s">
        <v>61</v>
      </c>
      <c r="AL614" t="s">
        <v>61</v>
      </c>
      <c r="AM614" t="s">
        <v>5129</v>
      </c>
      <c r="AN614" t="s">
        <v>61</v>
      </c>
      <c r="AO614" t="s">
        <v>61</v>
      </c>
      <c r="AP614" t="s">
        <v>61</v>
      </c>
      <c r="AQ614" t="s">
        <v>61</v>
      </c>
      <c r="AR614" t="s">
        <v>61</v>
      </c>
      <c r="AS614" t="s">
        <v>61</v>
      </c>
      <c r="AT614" t="s">
        <v>61</v>
      </c>
      <c r="AU614" t="s">
        <v>61</v>
      </c>
      <c r="AV614" t="s">
        <v>61</v>
      </c>
      <c r="AW614" t="s">
        <v>61</v>
      </c>
      <c r="AX614" t="s">
        <v>61</v>
      </c>
      <c r="AY614" t="s">
        <v>61</v>
      </c>
      <c r="AZ614" t="s">
        <v>61</v>
      </c>
      <c r="BA614" t="s">
        <v>61</v>
      </c>
      <c r="BB614" t="s">
        <v>61</v>
      </c>
      <c r="BC614" t="s">
        <v>61</v>
      </c>
      <c r="BD614" t="s">
        <v>61</v>
      </c>
      <c r="BE614" t="s">
        <v>61</v>
      </c>
      <c r="BF614" t="s">
        <v>61</v>
      </c>
    </row>
    <row r="615" spans="1:58">
      <c r="A615" t="s">
        <v>58</v>
      </c>
      <c r="B615" t="s">
        <v>5130</v>
      </c>
      <c r="C615" t="s">
        <v>5131</v>
      </c>
      <c r="D615" t="s">
        <v>4966</v>
      </c>
      <c r="E615" t="s">
        <v>4967</v>
      </c>
      <c r="F615">
        <v>2015</v>
      </c>
      <c r="G615" t="s">
        <v>559</v>
      </c>
      <c r="H615">
        <v>50</v>
      </c>
      <c r="I615">
        <v>5</v>
      </c>
      <c r="J615">
        <v>423</v>
      </c>
      <c r="K615">
        <v>428</v>
      </c>
      <c r="L615" t="s">
        <v>61</v>
      </c>
      <c r="M615" t="s">
        <v>5132</v>
      </c>
      <c r="N615" t="s">
        <v>5133</v>
      </c>
      <c r="O615" t="s">
        <v>61</v>
      </c>
      <c r="Q615" t="s">
        <v>61</v>
      </c>
      <c r="R615" t="s">
        <v>61</v>
      </c>
      <c r="S615" t="s">
        <v>61</v>
      </c>
      <c r="T615" t="s">
        <v>61</v>
      </c>
      <c r="X615" t="s">
        <v>61</v>
      </c>
      <c r="Y615" t="s">
        <v>5134</v>
      </c>
      <c r="Z615" t="s">
        <v>61</v>
      </c>
      <c r="AA615" t="s">
        <v>5135</v>
      </c>
      <c r="AB615">
        <v>26405329</v>
      </c>
      <c r="AC615" t="s">
        <v>67</v>
      </c>
      <c r="AD615" t="s">
        <v>61</v>
      </c>
      <c r="AE615" t="s">
        <v>61</v>
      </c>
      <c r="AF615" t="s">
        <v>61</v>
      </c>
      <c r="AG615" t="s">
        <v>5136</v>
      </c>
      <c r="AH615" t="s">
        <v>61</v>
      </c>
      <c r="AI615" t="s">
        <v>5137</v>
      </c>
      <c r="AJ615" t="s">
        <v>61</v>
      </c>
      <c r="AK615" t="s">
        <v>61</v>
      </c>
      <c r="AL615" t="s">
        <v>61</v>
      </c>
      <c r="AM615" t="s">
        <v>5138</v>
      </c>
      <c r="AN615" t="s">
        <v>61</v>
      </c>
      <c r="AO615" t="s">
        <v>61</v>
      </c>
      <c r="AP615" t="s">
        <v>61</v>
      </c>
      <c r="AQ615" t="s">
        <v>61</v>
      </c>
      <c r="AR615" t="s">
        <v>61</v>
      </c>
      <c r="AS615" t="s">
        <v>61</v>
      </c>
      <c r="AT615" t="s">
        <v>61</v>
      </c>
      <c r="AU615" t="s">
        <v>61</v>
      </c>
      <c r="AV615" t="s">
        <v>61</v>
      </c>
      <c r="AW615" t="s">
        <v>61</v>
      </c>
      <c r="AX615" t="s">
        <v>61</v>
      </c>
      <c r="AY615" t="s">
        <v>61</v>
      </c>
      <c r="AZ615" t="s">
        <v>61</v>
      </c>
      <c r="BA615" t="s">
        <v>61</v>
      </c>
      <c r="BB615" t="s">
        <v>61</v>
      </c>
      <c r="BC615" t="s">
        <v>61</v>
      </c>
      <c r="BD615" t="s">
        <v>61</v>
      </c>
      <c r="BE615" t="s">
        <v>61</v>
      </c>
      <c r="BF615" t="s">
        <v>61</v>
      </c>
    </row>
    <row r="616" spans="1:58">
      <c r="A616" t="s">
        <v>58</v>
      </c>
      <c r="B616" t="s">
        <v>5139</v>
      </c>
      <c r="C616" t="s">
        <v>5140</v>
      </c>
      <c r="D616" t="s">
        <v>876</v>
      </c>
      <c r="E616" t="s">
        <v>877</v>
      </c>
      <c r="F616">
        <v>2008</v>
      </c>
      <c r="G616" s="1">
        <v>42536</v>
      </c>
      <c r="H616">
        <v>72</v>
      </c>
      <c r="I616">
        <v>3</v>
      </c>
      <c r="J616">
        <v>67</v>
      </c>
      <c r="K616" t="s">
        <v>61</v>
      </c>
      <c r="L616" t="s">
        <v>5141</v>
      </c>
      <c r="M616" t="s">
        <v>5142</v>
      </c>
      <c r="N616" t="s">
        <v>5143</v>
      </c>
      <c r="O616" t="s">
        <v>61</v>
      </c>
      <c r="Q616" t="s">
        <v>61</v>
      </c>
      <c r="R616" t="s">
        <v>61</v>
      </c>
      <c r="S616" t="s">
        <v>61</v>
      </c>
      <c r="T616" t="s">
        <v>61</v>
      </c>
      <c r="X616" t="s">
        <v>61</v>
      </c>
      <c r="Y616" t="s">
        <v>881</v>
      </c>
      <c r="Z616" t="s">
        <v>61</v>
      </c>
      <c r="AA616" t="s">
        <v>5144</v>
      </c>
      <c r="AB616">
        <v>18698394</v>
      </c>
      <c r="AC616" t="s">
        <v>67</v>
      </c>
      <c r="AD616" t="s">
        <v>61</v>
      </c>
      <c r="AE616" t="s">
        <v>61</v>
      </c>
      <c r="AF616" t="s">
        <v>61</v>
      </c>
      <c r="AG616" t="s">
        <v>5145</v>
      </c>
      <c r="AH616" t="s">
        <v>61</v>
      </c>
      <c r="AI616" t="s">
        <v>61</v>
      </c>
      <c r="AJ616" t="s">
        <v>61</v>
      </c>
      <c r="AK616" t="s">
        <v>61</v>
      </c>
      <c r="AL616" t="s">
        <v>61</v>
      </c>
      <c r="AM616" t="s">
        <v>5146</v>
      </c>
      <c r="AN616" t="s">
        <v>61</v>
      </c>
      <c r="AO616" t="s">
        <v>61</v>
      </c>
      <c r="AP616" t="s">
        <v>61</v>
      </c>
      <c r="AQ616" t="s">
        <v>61</v>
      </c>
      <c r="AR616" t="s">
        <v>61</v>
      </c>
      <c r="AS616" t="s">
        <v>61</v>
      </c>
      <c r="AT616" t="s">
        <v>61</v>
      </c>
      <c r="AU616" t="s">
        <v>61</v>
      </c>
      <c r="AV616" t="s">
        <v>61</v>
      </c>
      <c r="AW616" t="s">
        <v>61</v>
      </c>
      <c r="AX616" t="s">
        <v>61</v>
      </c>
      <c r="AY616" t="s">
        <v>61</v>
      </c>
      <c r="AZ616" t="s">
        <v>61</v>
      </c>
      <c r="BA616" t="s">
        <v>61</v>
      </c>
      <c r="BB616" t="s">
        <v>61</v>
      </c>
      <c r="BC616" t="s">
        <v>61</v>
      </c>
      <c r="BD616" t="s">
        <v>61</v>
      </c>
      <c r="BE616" t="s">
        <v>61</v>
      </c>
      <c r="BF616" t="s">
        <v>61</v>
      </c>
    </row>
    <row r="617" spans="1:58">
      <c r="A617" t="s">
        <v>58</v>
      </c>
      <c r="B617" t="s">
        <v>5147</v>
      </c>
      <c r="C617" t="s">
        <v>5148</v>
      </c>
      <c r="D617" t="s">
        <v>5149</v>
      </c>
      <c r="E617" t="s">
        <v>61</v>
      </c>
      <c r="F617">
        <v>2005</v>
      </c>
      <c r="G617" t="s">
        <v>61</v>
      </c>
      <c r="H617">
        <v>14</v>
      </c>
      <c r="I617">
        <v>3</v>
      </c>
      <c r="J617">
        <v>27</v>
      </c>
      <c r="K617">
        <v>45</v>
      </c>
      <c r="L617" t="s">
        <v>5150</v>
      </c>
      <c r="M617" t="s">
        <v>5151</v>
      </c>
      <c r="N617" t="s">
        <v>5152</v>
      </c>
      <c r="O617" t="s">
        <v>61</v>
      </c>
      <c r="Q617" t="s">
        <v>61</v>
      </c>
      <c r="R617" t="s">
        <v>61</v>
      </c>
      <c r="S617" t="s">
        <v>61</v>
      </c>
      <c r="T617" t="s">
        <v>61</v>
      </c>
      <c r="X617" t="s">
        <v>61</v>
      </c>
      <c r="Y617" t="s">
        <v>5153</v>
      </c>
      <c r="Z617" t="s">
        <v>61</v>
      </c>
      <c r="AA617" t="s">
        <v>61</v>
      </c>
      <c r="AB617" t="s">
        <v>5154</v>
      </c>
      <c r="AC617" t="s">
        <v>67</v>
      </c>
      <c r="AD617" t="s">
        <v>61</v>
      </c>
      <c r="AE617" t="s">
        <v>61</v>
      </c>
      <c r="AF617" t="s">
        <v>61</v>
      </c>
      <c r="AG617" t="s">
        <v>61</v>
      </c>
      <c r="AH617" t="s">
        <v>61</v>
      </c>
      <c r="AI617" t="s">
        <v>61</v>
      </c>
      <c r="AJ617" t="s">
        <v>61</v>
      </c>
      <c r="AK617" t="s">
        <v>61</v>
      </c>
      <c r="AL617" t="s">
        <v>61</v>
      </c>
      <c r="AM617" t="s">
        <v>5148</v>
      </c>
      <c r="AN617" t="s">
        <v>61</v>
      </c>
      <c r="AO617" t="s">
        <v>61</v>
      </c>
      <c r="AP617" t="s">
        <v>61</v>
      </c>
      <c r="AQ617" t="s">
        <v>61</v>
      </c>
      <c r="AR617" t="s">
        <v>61</v>
      </c>
      <c r="AS617" t="s">
        <v>61</v>
      </c>
      <c r="AT617" t="s">
        <v>61</v>
      </c>
      <c r="AU617" t="s">
        <v>61</v>
      </c>
      <c r="AV617" t="s">
        <v>61</v>
      </c>
      <c r="AW617" t="s">
        <v>61</v>
      </c>
      <c r="AX617" t="s">
        <v>61</v>
      </c>
      <c r="AY617" t="s">
        <v>61</v>
      </c>
      <c r="AZ617" t="s">
        <v>61</v>
      </c>
      <c r="BA617" t="s">
        <v>61</v>
      </c>
      <c r="BB617" t="s">
        <v>61</v>
      </c>
      <c r="BC617" t="s">
        <v>61</v>
      </c>
      <c r="BD617" t="s">
        <v>61</v>
      </c>
      <c r="BE617" t="s">
        <v>61</v>
      </c>
      <c r="BF617" t="s">
        <v>61</v>
      </c>
    </row>
    <row r="618" spans="1:58">
      <c r="A618" t="s">
        <v>58</v>
      </c>
      <c r="B618" t="s">
        <v>5155</v>
      </c>
      <c r="C618" t="s">
        <v>5156</v>
      </c>
      <c r="D618" t="s">
        <v>1749</v>
      </c>
      <c r="E618" t="s">
        <v>1750</v>
      </c>
      <c r="F618">
        <v>2000</v>
      </c>
      <c r="G618" t="s">
        <v>5157</v>
      </c>
      <c r="H618">
        <v>55</v>
      </c>
      <c r="I618" s="1">
        <v>42686</v>
      </c>
      <c r="J618">
        <v>873</v>
      </c>
      <c r="K618">
        <v>876</v>
      </c>
      <c r="L618" t="s">
        <v>5158</v>
      </c>
      <c r="M618" t="s">
        <v>5159</v>
      </c>
      <c r="N618" t="s">
        <v>5160</v>
      </c>
      <c r="O618" t="s">
        <v>61</v>
      </c>
      <c r="Q618" t="s">
        <v>61</v>
      </c>
      <c r="R618" t="s">
        <v>61</v>
      </c>
      <c r="S618" t="s">
        <v>61</v>
      </c>
      <c r="T618" t="s">
        <v>61</v>
      </c>
      <c r="X618" t="s">
        <v>61</v>
      </c>
      <c r="Y618" t="s">
        <v>5161</v>
      </c>
      <c r="Z618" t="s">
        <v>61</v>
      </c>
      <c r="AA618" t="s">
        <v>5162</v>
      </c>
      <c r="AB618">
        <v>10805067</v>
      </c>
      <c r="AC618" t="s">
        <v>67</v>
      </c>
      <c r="AD618" t="s">
        <v>61</v>
      </c>
      <c r="AE618" t="s">
        <v>61</v>
      </c>
      <c r="AF618" t="s">
        <v>61</v>
      </c>
      <c r="AG618" t="s">
        <v>5163</v>
      </c>
      <c r="AH618" t="s">
        <v>61</v>
      </c>
      <c r="AI618" t="s">
        <v>61</v>
      </c>
      <c r="AJ618" t="s">
        <v>61</v>
      </c>
      <c r="AK618" t="s">
        <v>61</v>
      </c>
      <c r="AL618" t="s">
        <v>61</v>
      </c>
      <c r="AM618" t="s">
        <v>5164</v>
      </c>
      <c r="AN618" t="s">
        <v>61</v>
      </c>
      <c r="AO618" t="s">
        <v>61</v>
      </c>
      <c r="AP618" t="s">
        <v>61</v>
      </c>
      <c r="AQ618" t="s">
        <v>61</v>
      </c>
      <c r="AR618" t="s">
        <v>61</v>
      </c>
      <c r="AS618" t="s">
        <v>61</v>
      </c>
      <c r="AT618" t="s">
        <v>61</v>
      </c>
      <c r="AU618" t="s">
        <v>61</v>
      </c>
      <c r="AV618" t="s">
        <v>61</v>
      </c>
      <c r="AW618" t="s">
        <v>61</v>
      </c>
      <c r="AX618" t="s">
        <v>61</v>
      </c>
      <c r="AY618" t="s">
        <v>61</v>
      </c>
      <c r="AZ618" t="s">
        <v>61</v>
      </c>
      <c r="BA618" t="s">
        <v>61</v>
      </c>
      <c r="BB618" t="s">
        <v>61</v>
      </c>
      <c r="BC618" t="s">
        <v>61</v>
      </c>
      <c r="BD618" t="s">
        <v>61</v>
      </c>
      <c r="BE618" t="s">
        <v>61</v>
      </c>
      <c r="BF618" t="s">
        <v>61</v>
      </c>
    </row>
    <row r="619" spans="1:58">
      <c r="A619" t="s">
        <v>58</v>
      </c>
      <c r="B619" t="s">
        <v>5165</v>
      </c>
      <c r="C619" t="s">
        <v>5166</v>
      </c>
      <c r="D619" t="s">
        <v>876</v>
      </c>
      <c r="E619" t="s">
        <v>877</v>
      </c>
      <c r="F619">
        <v>2012</v>
      </c>
      <c r="G619" s="1">
        <v>42470</v>
      </c>
      <c r="H619">
        <v>76</v>
      </c>
      <c r="I619">
        <v>3</v>
      </c>
      <c r="J619">
        <v>51</v>
      </c>
      <c r="K619" t="s">
        <v>61</v>
      </c>
      <c r="L619" t="s">
        <v>5167</v>
      </c>
      <c r="M619" t="s">
        <v>5168</v>
      </c>
      <c r="N619" t="s">
        <v>5169</v>
      </c>
      <c r="O619" t="s">
        <v>61</v>
      </c>
      <c r="Q619" t="s">
        <v>61</v>
      </c>
      <c r="R619" t="s">
        <v>61</v>
      </c>
      <c r="S619" t="s">
        <v>61</v>
      </c>
      <c r="T619" t="s">
        <v>61</v>
      </c>
      <c r="X619" t="s">
        <v>61</v>
      </c>
      <c r="Y619" t="s">
        <v>881</v>
      </c>
      <c r="Z619" t="s">
        <v>61</v>
      </c>
      <c r="AA619" t="s">
        <v>5170</v>
      </c>
      <c r="AB619">
        <v>22544968</v>
      </c>
      <c r="AC619" t="s">
        <v>67</v>
      </c>
      <c r="AD619" t="s">
        <v>61</v>
      </c>
      <c r="AE619" t="s">
        <v>61</v>
      </c>
      <c r="AF619" t="s">
        <v>61</v>
      </c>
      <c r="AG619" t="s">
        <v>5171</v>
      </c>
      <c r="AH619" t="s">
        <v>61</v>
      </c>
      <c r="AI619" t="s">
        <v>5172</v>
      </c>
      <c r="AJ619" t="s">
        <v>61</v>
      </c>
      <c r="AK619" t="s">
        <v>61</v>
      </c>
      <c r="AL619" t="s">
        <v>61</v>
      </c>
      <c r="AM619" t="s">
        <v>5173</v>
      </c>
      <c r="AN619" t="s">
        <v>61</v>
      </c>
      <c r="AO619" t="s">
        <v>61</v>
      </c>
      <c r="AP619" t="s">
        <v>61</v>
      </c>
      <c r="AQ619" t="s">
        <v>61</v>
      </c>
      <c r="AR619" t="s">
        <v>61</v>
      </c>
      <c r="AS619" t="s">
        <v>61</v>
      </c>
      <c r="AT619" t="s">
        <v>61</v>
      </c>
      <c r="AU619" t="s">
        <v>61</v>
      </c>
      <c r="AV619" t="s">
        <v>61</v>
      </c>
      <c r="AW619" t="s">
        <v>61</v>
      </c>
      <c r="AX619" t="s">
        <v>61</v>
      </c>
      <c r="AY619" t="s">
        <v>61</v>
      </c>
      <c r="AZ619" t="s">
        <v>61</v>
      </c>
      <c r="BA619" t="s">
        <v>61</v>
      </c>
      <c r="BB619" t="s">
        <v>61</v>
      </c>
      <c r="BC619" t="s">
        <v>61</v>
      </c>
      <c r="BD619" t="s">
        <v>61</v>
      </c>
      <c r="BE619" t="s">
        <v>61</v>
      </c>
      <c r="BF619" t="s">
        <v>61</v>
      </c>
    </row>
    <row r="620" spans="1:58">
      <c r="A620" t="s">
        <v>58</v>
      </c>
      <c r="B620" t="s">
        <v>5174</v>
      </c>
      <c r="C620" t="s">
        <v>5175</v>
      </c>
      <c r="D620" t="s">
        <v>417</v>
      </c>
      <c r="E620" t="s">
        <v>61</v>
      </c>
      <c r="F620">
        <v>2006</v>
      </c>
      <c r="G620" t="s">
        <v>418</v>
      </c>
      <c r="H620">
        <v>28</v>
      </c>
      <c r="I620">
        <v>4</v>
      </c>
      <c r="J620">
        <v>239</v>
      </c>
      <c r="K620">
        <v>247</v>
      </c>
      <c r="L620" t="s">
        <v>5176</v>
      </c>
      <c r="M620" t="s">
        <v>5177</v>
      </c>
      <c r="N620" t="s">
        <v>5178</v>
      </c>
      <c r="O620" t="s">
        <v>61</v>
      </c>
      <c r="Q620" t="s">
        <v>61</v>
      </c>
      <c r="R620" t="s">
        <v>61</v>
      </c>
      <c r="S620" t="s">
        <v>61</v>
      </c>
      <c r="T620" t="s">
        <v>61</v>
      </c>
      <c r="X620" t="s">
        <v>61</v>
      </c>
      <c r="Y620" t="s">
        <v>422</v>
      </c>
      <c r="Z620" t="s">
        <v>61</v>
      </c>
      <c r="AA620" t="s">
        <v>5179</v>
      </c>
      <c r="AB620">
        <v>17066246</v>
      </c>
      <c r="AC620" t="s">
        <v>67</v>
      </c>
      <c r="AD620" t="s">
        <v>61</v>
      </c>
      <c r="AE620" t="s">
        <v>61</v>
      </c>
      <c r="AF620" t="s">
        <v>61</v>
      </c>
      <c r="AG620" t="s">
        <v>5180</v>
      </c>
      <c r="AH620" t="s">
        <v>61</v>
      </c>
      <c r="AI620" t="s">
        <v>61</v>
      </c>
      <c r="AJ620" t="s">
        <v>61</v>
      </c>
      <c r="AK620" t="s">
        <v>61</v>
      </c>
      <c r="AL620" t="s">
        <v>61</v>
      </c>
      <c r="AM620" t="s">
        <v>5181</v>
      </c>
      <c r="AN620" t="s">
        <v>61</v>
      </c>
      <c r="AO620" t="s">
        <v>61</v>
      </c>
      <c r="AP620" t="s">
        <v>61</v>
      </c>
      <c r="AQ620" t="s">
        <v>61</v>
      </c>
      <c r="AR620" t="s">
        <v>61</v>
      </c>
      <c r="AS620" t="s">
        <v>61</v>
      </c>
      <c r="AT620" t="s">
        <v>61</v>
      </c>
      <c r="AU620" t="s">
        <v>61</v>
      </c>
      <c r="AV620" t="s">
        <v>61</v>
      </c>
      <c r="AW620" t="s">
        <v>61</v>
      </c>
      <c r="AX620" t="s">
        <v>61</v>
      </c>
      <c r="AY620" t="s">
        <v>61</v>
      </c>
      <c r="AZ620" t="s">
        <v>61</v>
      </c>
      <c r="BA620" t="s">
        <v>61</v>
      </c>
      <c r="BB620" t="s">
        <v>61</v>
      </c>
      <c r="BC620" t="s">
        <v>61</v>
      </c>
      <c r="BD620" t="s">
        <v>61</v>
      </c>
      <c r="BE620" t="s">
        <v>61</v>
      </c>
      <c r="BF620" t="s">
        <v>61</v>
      </c>
    </row>
    <row r="621" spans="1:58">
      <c r="A621" t="s">
        <v>58</v>
      </c>
      <c r="B621" t="s">
        <v>5182</v>
      </c>
      <c r="C621" t="s">
        <v>5183</v>
      </c>
      <c r="D621" t="s">
        <v>5184</v>
      </c>
      <c r="E621" t="s">
        <v>61</v>
      </c>
      <c r="F621">
        <v>2006</v>
      </c>
      <c r="G621" t="s">
        <v>237</v>
      </c>
      <c r="H621">
        <v>3</v>
      </c>
      <c r="I621">
        <v>3</v>
      </c>
      <c r="J621" t="s">
        <v>5185</v>
      </c>
      <c r="K621" t="s">
        <v>61</v>
      </c>
      <c r="L621" t="s">
        <v>5186</v>
      </c>
      <c r="M621" t="s">
        <v>5187</v>
      </c>
      <c r="N621" t="s">
        <v>5188</v>
      </c>
      <c r="O621" t="s">
        <v>61</v>
      </c>
      <c r="Q621" t="s">
        <v>61</v>
      </c>
      <c r="R621" t="s">
        <v>61</v>
      </c>
      <c r="S621" t="s">
        <v>61</v>
      </c>
      <c r="T621" t="s">
        <v>61</v>
      </c>
      <c r="X621" t="s">
        <v>61</v>
      </c>
      <c r="Y621" t="s">
        <v>5189</v>
      </c>
      <c r="Z621" t="s">
        <v>61</v>
      </c>
      <c r="AA621" t="s">
        <v>5190</v>
      </c>
      <c r="AB621">
        <v>16776897</v>
      </c>
      <c r="AC621" t="s">
        <v>67</v>
      </c>
      <c r="AD621" t="s">
        <v>61</v>
      </c>
      <c r="AE621" t="s">
        <v>61</v>
      </c>
      <c r="AF621" t="s">
        <v>61</v>
      </c>
      <c r="AG621" t="s">
        <v>5191</v>
      </c>
      <c r="AH621" t="s">
        <v>61</v>
      </c>
      <c r="AI621" t="s">
        <v>61</v>
      </c>
      <c r="AJ621" t="s">
        <v>61</v>
      </c>
      <c r="AK621" t="s">
        <v>61</v>
      </c>
      <c r="AL621" t="s">
        <v>61</v>
      </c>
      <c r="AM621" t="s">
        <v>5192</v>
      </c>
      <c r="AN621" t="s">
        <v>61</v>
      </c>
      <c r="AO621" t="s">
        <v>61</v>
      </c>
      <c r="AP621" t="s">
        <v>61</v>
      </c>
      <c r="AQ621" t="s">
        <v>61</v>
      </c>
      <c r="AR621" t="s">
        <v>61</v>
      </c>
      <c r="AS621" t="s">
        <v>61</v>
      </c>
      <c r="AT621" t="s">
        <v>61</v>
      </c>
      <c r="AU621" t="s">
        <v>61</v>
      </c>
      <c r="AV621" t="s">
        <v>61</v>
      </c>
      <c r="AW621" t="s">
        <v>61</v>
      </c>
      <c r="AX621" t="s">
        <v>61</v>
      </c>
      <c r="AY621" t="s">
        <v>61</v>
      </c>
      <c r="AZ621" t="s">
        <v>61</v>
      </c>
      <c r="BA621" t="s">
        <v>61</v>
      </c>
      <c r="BB621" t="s">
        <v>61</v>
      </c>
      <c r="BC621" t="s">
        <v>61</v>
      </c>
      <c r="BD621" t="s">
        <v>61</v>
      </c>
      <c r="BE621" t="s">
        <v>61</v>
      </c>
      <c r="BF621" t="s">
        <v>61</v>
      </c>
    </row>
    <row r="622" spans="1:58">
      <c r="A622" t="s">
        <v>58</v>
      </c>
      <c r="B622" t="s">
        <v>5193</v>
      </c>
      <c r="C622" t="s">
        <v>5194</v>
      </c>
      <c r="D622" t="s">
        <v>5195</v>
      </c>
      <c r="E622" t="s">
        <v>61</v>
      </c>
      <c r="F622">
        <v>1990</v>
      </c>
      <c r="G622" t="s">
        <v>280</v>
      </c>
      <c r="H622">
        <v>40</v>
      </c>
      <c r="I622">
        <v>341</v>
      </c>
      <c r="J622">
        <v>510</v>
      </c>
      <c r="K622">
        <v>512</v>
      </c>
      <c r="L622" t="s">
        <v>5196</v>
      </c>
      <c r="M622" t="s">
        <v>5197</v>
      </c>
      <c r="N622" t="s">
        <v>5198</v>
      </c>
      <c r="O622" t="s">
        <v>61</v>
      </c>
      <c r="Q622" t="s">
        <v>61</v>
      </c>
      <c r="R622" t="s">
        <v>61</v>
      </c>
      <c r="S622" t="s">
        <v>61</v>
      </c>
      <c r="T622" t="s">
        <v>61</v>
      </c>
      <c r="X622" t="s">
        <v>61</v>
      </c>
      <c r="Y622" t="s">
        <v>5199</v>
      </c>
      <c r="Z622" t="s">
        <v>61</v>
      </c>
      <c r="AA622" t="s">
        <v>5200</v>
      </c>
      <c r="AB622">
        <v>2282231</v>
      </c>
      <c r="AC622" t="s">
        <v>67</v>
      </c>
      <c r="AD622" t="s">
        <v>61</v>
      </c>
      <c r="AE622" t="s">
        <v>61</v>
      </c>
      <c r="AF622" t="s">
        <v>61</v>
      </c>
      <c r="AG622" t="s">
        <v>5201</v>
      </c>
      <c r="AH622" t="s">
        <v>61</v>
      </c>
      <c r="AI622" t="s">
        <v>61</v>
      </c>
      <c r="AJ622" t="s">
        <v>61</v>
      </c>
      <c r="AK622" t="s">
        <v>61</v>
      </c>
      <c r="AL622" t="s">
        <v>61</v>
      </c>
      <c r="AM622" t="s">
        <v>5202</v>
      </c>
      <c r="AN622" t="s">
        <v>61</v>
      </c>
      <c r="AO622" t="s">
        <v>61</v>
      </c>
      <c r="AP622" t="s">
        <v>61</v>
      </c>
      <c r="AQ622" t="s">
        <v>61</v>
      </c>
      <c r="AR622" t="s">
        <v>61</v>
      </c>
      <c r="AS622" t="s">
        <v>61</v>
      </c>
      <c r="AT622" t="s">
        <v>61</v>
      </c>
      <c r="AU622" t="s">
        <v>61</v>
      </c>
      <c r="AV622" t="s">
        <v>61</v>
      </c>
      <c r="AW622" t="s">
        <v>61</v>
      </c>
      <c r="AX622" t="s">
        <v>61</v>
      </c>
      <c r="AY622" t="s">
        <v>61</v>
      </c>
      <c r="AZ622" t="s">
        <v>61</v>
      </c>
      <c r="BA622" t="s">
        <v>61</v>
      </c>
      <c r="BB622" t="s">
        <v>61</v>
      </c>
      <c r="BC622" t="s">
        <v>61</v>
      </c>
      <c r="BD622" t="s">
        <v>61</v>
      </c>
      <c r="BE622" t="s">
        <v>61</v>
      </c>
      <c r="BF622" t="s">
        <v>61</v>
      </c>
    </row>
    <row r="623" spans="1:58">
      <c r="A623" t="s">
        <v>58</v>
      </c>
      <c r="B623" t="s">
        <v>5203</v>
      </c>
      <c r="C623" t="s">
        <v>5204</v>
      </c>
      <c r="D623" t="s">
        <v>1739</v>
      </c>
      <c r="E623" t="s">
        <v>1740</v>
      </c>
      <c r="F623">
        <v>1988</v>
      </c>
      <c r="G623" t="s">
        <v>129</v>
      </c>
      <c r="H623">
        <v>45</v>
      </c>
      <c r="I623">
        <v>10</v>
      </c>
      <c r="J623">
        <v>2099</v>
      </c>
      <c r="K623">
        <v>2101</v>
      </c>
      <c r="L623" t="s">
        <v>5205</v>
      </c>
      <c r="M623" t="s">
        <v>5206</v>
      </c>
      <c r="N623" t="s">
        <v>5207</v>
      </c>
      <c r="O623" t="s">
        <v>61</v>
      </c>
      <c r="Q623" t="s">
        <v>61</v>
      </c>
      <c r="R623" t="s">
        <v>61</v>
      </c>
      <c r="S623" t="s">
        <v>61</v>
      </c>
      <c r="T623" t="s">
        <v>61</v>
      </c>
      <c r="X623" t="s">
        <v>61</v>
      </c>
      <c r="Y623" s="2">
        <v>2698811</v>
      </c>
      <c r="Z623" t="s">
        <v>61</v>
      </c>
      <c r="AA623" t="s">
        <v>5208</v>
      </c>
      <c r="AB623">
        <v>3228081</v>
      </c>
      <c r="AC623" t="s">
        <v>67</v>
      </c>
      <c r="AD623" t="s">
        <v>61</v>
      </c>
      <c r="AE623" t="s">
        <v>61</v>
      </c>
      <c r="AF623" t="s">
        <v>61</v>
      </c>
      <c r="AG623" t="s">
        <v>5209</v>
      </c>
      <c r="AH623" t="s">
        <v>61</v>
      </c>
      <c r="AI623" t="s">
        <v>61</v>
      </c>
      <c r="AJ623" t="s">
        <v>61</v>
      </c>
      <c r="AK623" t="s">
        <v>61</v>
      </c>
      <c r="AL623" t="s">
        <v>61</v>
      </c>
      <c r="AM623" t="s">
        <v>5210</v>
      </c>
      <c r="AN623" t="s">
        <v>61</v>
      </c>
      <c r="AO623" t="s">
        <v>61</v>
      </c>
      <c r="AP623" t="s">
        <v>61</v>
      </c>
      <c r="AQ623" t="s">
        <v>61</v>
      </c>
      <c r="AR623" t="s">
        <v>61</v>
      </c>
      <c r="AS623" t="s">
        <v>61</v>
      </c>
      <c r="AT623" t="s">
        <v>61</v>
      </c>
      <c r="AU623" t="s">
        <v>61</v>
      </c>
      <c r="AV623" t="s">
        <v>61</v>
      </c>
      <c r="AW623" t="s">
        <v>61</v>
      </c>
      <c r="AX623" t="s">
        <v>61</v>
      </c>
      <c r="AY623" t="s">
        <v>61</v>
      </c>
      <c r="AZ623" t="s">
        <v>61</v>
      </c>
      <c r="BA623" t="s">
        <v>61</v>
      </c>
      <c r="BB623" t="s">
        <v>61</v>
      </c>
      <c r="BC623" t="s">
        <v>61</v>
      </c>
      <c r="BD623" t="s">
        <v>61</v>
      </c>
      <c r="BE623" t="s">
        <v>61</v>
      </c>
      <c r="BF623" t="s">
        <v>61</v>
      </c>
    </row>
    <row r="624" spans="1:58">
      <c r="A624" t="s">
        <v>58</v>
      </c>
      <c r="B624" t="s">
        <v>5211</v>
      </c>
      <c r="C624" t="s">
        <v>5212</v>
      </c>
      <c r="D624" t="s">
        <v>5213</v>
      </c>
      <c r="E624" t="s">
        <v>61</v>
      </c>
      <c r="F624">
        <v>2011</v>
      </c>
      <c r="G624" t="s">
        <v>280</v>
      </c>
      <c r="H624">
        <v>65</v>
      </c>
      <c r="I624">
        <v>7</v>
      </c>
      <c r="J624">
        <v>676</v>
      </c>
      <c r="K624">
        <v>678</v>
      </c>
      <c r="L624" t="s">
        <v>5214</v>
      </c>
      <c r="M624" t="s">
        <v>5215</v>
      </c>
      <c r="N624" t="s">
        <v>5216</v>
      </c>
      <c r="O624" t="s">
        <v>61</v>
      </c>
      <c r="Q624" t="s">
        <v>61</v>
      </c>
      <c r="R624" t="s">
        <v>61</v>
      </c>
      <c r="S624" t="s">
        <v>61</v>
      </c>
      <c r="T624" t="s">
        <v>61</v>
      </c>
      <c r="X624" t="s">
        <v>61</v>
      </c>
      <c r="Y624" t="s">
        <v>5217</v>
      </c>
      <c r="Z624" t="s">
        <v>61</v>
      </c>
      <c r="AA624" t="s">
        <v>5218</v>
      </c>
      <c r="AB624">
        <v>22176287</v>
      </c>
      <c r="AC624" t="s">
        <v>67</v>
      </c>
      <c r="AD624" t="s">
        <v>61</v>
      </c>
      <c r="AE624" t="s">
        <v>61</v>
      </c>
      <c r="AF624" t="s">
        <v>61</v>
      </c>
      <c r="AG624" t="s">
        <v>5219</v>
      </c>
      <c r="AH624" t="s">
        <v>61</v>
      </c>
      <c r="AI624" t="s">
        <v>5220</v>
      </c>
      <c r="AJ624" t="s">
        <v>61</v>
      </c>
      <c r="AK624" t="s">
        <v>61</v>
      </c>
      <c r="AL624" t="s">
        <v>61</v>
      </c>
      <c r="AM624" t="s">
        <v>5221</v>
      </c>
      <c r="AN624" t="s">
        <v>61</v>
      </c>
      <c r="AO624" t="s">
        <v>61</v>
      </c>
      <c r="AP624" t="s">
        <v>61</v>
      </c>
      <c r="AQ624" t="s">
        <v>61</v>
      </c>
      <c r="AR624" t="s">
        <v>61</v>
      </c>
      <c r="AS624" t="s">
        <v>61</v>
      </c>
      <c r="AT624" t="s">
        <v>61</v>
      </c>
      <c r="AU624" t="s">
        <v>61</v>
      </c>
      <c r="AV624" t="s">
        <v>61</v>
      </c>
      <c r="AW624" t="s">
        <v>61</v>
      </c>
      <c r="AX624" t="s">
        <v>61</v>
      </c>
      <c r="AY624" t="s">
        <v>61</v>
      </c>
      <c r="AZ624" t="s">
        <v>61</v>
      </c>
      <c r="BA624" t="s">
        <v>61</v>
      </c>
      <c r="BB624" t="s">
        <v>61</v>
      </c>
      <c r="BC624" t="s">
        <v>61</v>
      </c>
      <c r="BD624" t="s">
        <v>61</v>
      </c>
      <c r="BE624" t="s">
        <v>61</v>
      </c>
      <c r="BF624" t="s">
        <v>61</v>
      </c>
    </row>
    <row r="625" spans="1:58">
      <c r="A625" t="s">
        <v>58</v>
      </c>
      <c r="B625" t="s">
        <v>5222</v>
      </c>
      <c r="C625" t="s">
        <v>5223</v>
      </c>
      <c r="D625" t="s">
        <v>447</v>
      </c>
      <c r="E625" t="s">
        <v>61</v>
      </c>
      <c r="F625">
        <v>2002</v>
      </c>
      <c r="G625" t="s">
        <v>851</v>
      </c>
      <c r="H625">
        <v>5</v>
      </c>
      <c r="I625">
        <v>11</v>
      </c>
      <c r="J625">
        <v>1070</v>
      </c>
      <c r="K625">
        <v>1074</v>
      </c>
      <c r="L625" t="s">
        <v>61</v>
      </c>
      <c r="M625" t="s">
        <v>5224</v>
      </c>
      <c r="N625" t="s">
        <v>5225</v>
      </c>
      <c r="O625" t="s">
        <v>61</v>
      </c>
      <c r="Q625" t="s">
        <v>61</v>
      </c>
      <c r="R625" t="s">
        <v>61</v>
      </c>
      <c r="S625" t="s">
        <v>61</v>
      </c>
      <c r="T625" t="s">
        <v>61</v>
      </c>
      <c r="X625" t="s">
        <v>61</v>
      </c>
      <c r="Y625" t="s">
        <v>450</v>
      </c>
      <c r="Z625" t="s">
        <v>61</v>
      </c>
      <c r="AA625" t="s">
        <v>5226</v>
      </c>
      <c r="AB625">
        <v>12800060</v>
      </c>
      <c r="AC625" t="s">
        <v>67</v>
      </c>
      <c r="AD625" t="s">
        <v>61</v>
      </c>
      <c r="AE625" t="s">
        <v>61</v>
      </c>
      <c r="AF625" t="s">
        <v>61</v>
      </c>
      <c r="AG625" t="s">
        <v>5227</v>
      </c>
      <c r="AH625" t="s">
        <v>61</v>
      </c>
      <c r="AI625" t="s">
        <v>61</v>
      </c>
      <c r="AJ625" t="s">
        <v>61</v>
      </c>
      <c r="AK625" t="s">
        <v>61</v>
      </c>
      <c r="AL625" t="s">
        <v>61</v>
      </c>
      <c r="AM625" t="s">
        <v>5228</v>
      </c>
      <c r="AN625" t="s">
        <v>61</v>
      </c>
      <c r="AO625" t="s">
        <v>61</v>
      </c>
      <c r="AP625" t="s">
        <v>61</v>
      </c>
      <c r="AQ625" t="s">
        <v>61</v>
      </c>
      <c r="AR625" t="s">
        <v>61</v>
      </c>
      <c r="AS625" t="s">
        <v>61</v>
      </c>
      <c r="AT625" t="s">
        <v>61</v>
      </c>
      <c r="AU625" t="s">
        <v>61</v>
      </c>
      <c r="AV625" t="s">
        <v>61</v>
      </c>
      <c r="AW625" t="s">
        <v>61</v>
      </c>
      <c r="AX625" t="s">
        <v>61</v>
      </c>
      <c r="AY625" t="s">
        <v>61</v>
      </c>
      <c r="AZ625" t="s">
        <v>61</v>
      </c>
      <c r="BA625" t="s">
        <v>61</v>
      </c>
      <c r="BB625" t="s">
        <v>61</v>
      </c>
      <c r="BC625" t="s">
        <v>61</v>
      </c>
      <c r="BD625" t="s">
        <v>61</v>
      </c>
      <c r="BE625" t="s">
        <v>61</v>
      </c>
      <c r="BF625" t="s">
        <v>61</v>
      </c>
    </row>
    <row r="626" spans="1:58">
      <c r="A626" t="s">
        <v>58</v>
      </c>
      <c r="B626" t="s">
        <v>5229</v>
      </c>
      <c r="C626" t="s">
        <v>5230</v>
      </c>
      <c r="D626" t="s">
        <v>5231</v>
      </c>
      <c r="E626" t="s">
        <v>61</v>
      </c>
      <c r="F626">
        <v>2009</v>
      </c>
      <c r="G626" t="s">
        <v>61</v>
      </c>
      <c r="H626">
        <v>46</v>
      </c>
      <c r="I626">
        <v>1</v>
      </c>
      <c r="J626">
        <v>16</v>
      </c>
      <c r="K626">
        <v>37</v>
      </c>
      <c r="L626" t="s">
        <v>5232</v>
      </c>
      <c r="M626" t="s">
        <v>5233</v>
      </c>
      <c r="N626" t="s">
        <v>5234</v>
      </c>
      <c r="O626" t="s">
        <v>61</v>
      </c>
      <c r="Q626" t="s">
        <v>61</v>
      </c>
      <c r="R626" t="s">
        <v>61</v>
      </c>
      <c r="S626" t="s">
        <v>61</v>
      </c>
      <c r="T626" t="s">
        <v>61</v>
      </c>
      <c r="X626" t="s">
        <v>61</v>
      </c>
      <c r="Y626" t="s">
        <v>5235</v>
      </c>
      <c r="Z626" t="s">
        <v>61</v>
      </c>
      <c r="AA626" t="s">
        <v>61</v>
      </c>
      <c r="AB626">
        <v>2009146647</v>
      </c>
      <c r="AC626" t="s">
        <v>67</v>
      </c>
      <c r="AD626" t="s">
        <v>61</v>
      </c>
      <c r="AE626" t="s">
        <v>61</v>
      </c>
      <c r="AF626" t="s">
        <v>61</v>
      </c>
      <c r="AG626" t="s">
        <v>5236</v>
      </c>
      <c r="AH626" t="s">
        <v>61</v>
      </c>
      <c r="AI626" t="s">
        <v>61</v>
      </c>
      <c r="AJ626" t="s">
        <v>61</v>
      </c>
      <c r="AK626" t="s">
        <v>61</v>
      </c>
      <c r="AL626" t="s">
        <v>61</v>
      </c>
      <c r="AM626" t="s">
        <v>5237</v>
      </c>
      <c r="AN626" t="s">
        <v>61</v>
      </c>
      <c r="AO626" t="s">
        <v>61</v>
      </c>
      <c r="AP626" t="s">
        <v>61</v>
      </c>
      <c r="AQ626" t="s">
        <v>61</v>
      </c>
      <c r="AR626" t="s">
        <v>61</v>
      </c>
      <c r="AS626" t="s">
        <v>61</v>
      </c>
      <c r="AT626" t="s">
        <v>61</v>
      </c>
      <c r="AU626" t="s">
        <v>61</v>
      </c>
      <c r="AV626" t="s">
        <v>61</v>
      </c>
      <c r="AW626" t="s">
        <v>61</v>
      </c>
      <c r="AX626" t="s">
        <v>61</v>
      </c>
      <c r="AY626" t="s">
        <v>61</v>
      </c>
      <c r="AZ626" t="s">
        <v>61</v>
      </c>
      <c r="BA626" t="s">
        <v>61</v>
      </c>
      <c r="BB626" t="s">
        <v>61</v>
      </c>
      <c r="BC626" t="s">
        <v>61</v>
      </c>
      <c r="BD626" t="s">
        <v>61</v>
      </c>
      <c r="BE626" t="s">
        <v>61</v>
      </c>
      <c r="BF626" t="s">
        <v>61</v>
      </c>
    </row>
    <row r="627" spans="1:58">
      <c r="A627" t="s">
        <v>58</v>
      </c>
      <c r="B627" t="s">
        <v>5238</v>
      </c>
      <c r="C627" t="s">
        <v>5239</v>
      </c>
      <c r="D627" t="s">
        <v>162</v>
      </c>
      <c r="E627" t="s">
        <v>163</v>
      </c>
      <c r="F627">
        <v>2000</v>
      </c>
      <c r="G627" t="s">
        <v>61</v>
      </c>
      <c r="H627">
        <v>40</v>
      </c>
      <c r="I627">
        <v>9</v>
      </c>
      <c r="J627">
        <v>918</v>
      </c>
      <c r="K627">
        <v>929</v>
      </c>
      <c r="L627" t="s">
        <v>5240</v>
      </c>
      <c r="M627" t="s">
        <v>5241</v>
      </c>
      <c r="N627" t="s">
        <v>5242</v>
      </c>
      <c r="O627" t="s">
        <v>61</v>
      </c>
      <c r="Q627" t="s">
        <v>61</v>
      </c>
      <c r="R627" t="s">
        <v>61</v>
      </c>
      <c r="S627" t="s">
        <v>61</v>
      </c>
      <c r="T627" t="s">
        <v>61</v>
      </c>
      <c r="X627" t="s">
        <v>61</v>
      </c>
      <c r="Y627" t="s">
        <v>167</v>
      </c>
      <c r="Z627" t="s">
        <v>61</v>
      </c>
      <c r="AA627" t="s">
        <v>61</v>
      </c>
      <c r="AB627">
        <v>2000433671</v>
      </c>
      <c r="AC627" t="s">
        <v>67</v>
      </c>
      <c r="AD627" t="s">
        <v>61</v>
      </c>
      <c r="AE627" t="s">
        <v>61</v>
      </c>
      <c r="AF627" t="s">
        <v>61</v>
      </c>
      <c r="AG627" t="s">
        <v>5243</v>
      </c>
      <c r="AH627" t="s">
        <v>61</v>
      </c>
      <c r="AI627" t="s">
        <v>61</v>
      </c>
      <c r="AJ627" t="s">
        <v>61</v>
      </c>
      <c r="AK627" t="s">
        <v>61</v>
      </c>
      <c r="AL627" t="s">
        <v>61</v>
      </c>
      <c r="AM627" t="s">
        <v>5244</v>
      </c>
      <c r="AN627" t="s">
        <v>61</v>
      </c>
      <c r="AO627" t="s">
        <v>61</v>
      </c>
      <c r="AP627" t="s">
        <v>61</v>
      </c>
      <c r="AQ627" t="s">
        <v>61</v>
      </c>
      <c r="AR627" t="s">
        <v>61</v>
      </c>
      <c r="AS627" t="s">
        <v>61</v>
      </c>
      <c r="AT627" t="s">
        <v>61</v>
      </c>
      <c r="AU627" t="s">
        <v>61</v>
      </c>
      <c r="AV627" t="s">
        <v>61</v>
      </c>
      <c r="AW627" t="s">
        <v>61</v>
      </c>
      <c r="AX627" t="s">
        <v>61</v>
      </c>
      <c r="AY627" t="s">
        <v>61</v>
      </c>
      <c r="AZ627" t="s">
        <v>61</v>
      </c>
      <c r="BA627" t="s">
        <v>61</v>
      </c>
      <c r="BB627" t="s">
        <v>61</v>
      </c>
      <c r="BC627" t="s">
        <v>61</v>
      </c>
      <c r="BD627" t="s">
        <v>61</v>
      </c>
      <c r="BE627" t="s">
        <v>61</v>
      </c>
      <c r="BF627" t="s">
        <v>61</v>
      </c>
    </row>
    <row r="628" spans="1:58">
      <c r="A628" t="s">
        <v>58</v>
      </c>
      <c r="B628" t="s">
        <v>5245</v>
      </c>
      <c r="C628" t="s">
        <v>5246</v>
      </c>
      <c r="D628" t="s">
        <v>428</v>
      </c>
      <c r="E628" t="s">
        <v>61</v>
      </c>
      <c r="F628">
        <v>2013</v>
      </c>
      <c r="G628" t="s">
        <v>457</v>
      </c>
      <c r="H628">
        <v>26</v>
      </c>
      <c r="I628">
        <v>3</v>
      </c>
      <c r="J628">
        <v>339</v>
      </c>
      <c r="K628">
        <v>340</v>
      </c>
      <c r="L628" t="s">
        <v>5247</v>
      </c>
      <c r="M628" t="s">
        <v>5248</v>
      </c>
      <c r="N628" t="s">
        <v>5249</v>
      </c>
      <c r="O628" t="s">
        <v>61</v>
      </c>
      <c r="Q628" t="s">
        <v>61</v>
      </c>
      <c r="R628" t="s">
        <v>61</v>
      </c>
      <c r="S628" t="s">
        <v>61</v>
      </c>
      <c r="T628" t="s">
        <v>61</v>
      </c>
      <c r="X628" t="s">
        <v>61</v>
      </c>
      <c r="Y628" t="s">
        <v>433</v>
      </c>
      <c r="Z628" t="s">
        <v>61</v>
      </c>
      <c r="AA628" t="s">
        <v>61</v>
      </c>
      <c r="AB628" t="s">
        <v>61</v>
      </c>
      <c r="AC628" t="s">
        <v>67</v>
      </c>
      <c r="AD628" t="s">
        <v>61</v>
      </c>
      <c r="AE628" t="s">
        <v>61</v>
      </c>
      <c r="AF628" t="s">
        <v>61</v>
      </c>
      <c r="AG628" t="s">
        <v>61</v>
      </c>
      <c r="AH628" t="s">
        <v>61</v>
      </c>
      <c r="AI628" t="s">
        <v>61</v>
      </c>
      <c r="AJ628" t="s">
        <v>61</v>
      </c>
      <c r="AK628" t="s">
        <v>61</v>
      </c>
      <c r="AL628" t="s">
        <v>61</v>
      </c>
      <c r="AM628" t="s">
        <v>5246</v>
      </c>
      <c r="AN628" t="s">
        <v>61</v>
      </c>
      <c r="AO628" t="s">
        <v>61</v>
      </c>
      <c r="AP628" t="s">
        <v>61</v>
      </c>
      <c r="AQ628" t="s">
        <v>61</v>
      </c>
      <c r="AR628" t="s">
        <v>61</v>
      </c>
      <c r="AS628" t="s">
        <v>61</v>
      </c>
      <c r="AT628" t="s">
        <v>61</v>
      </c>
      <c r="AU628" t="s">
        <v>61</v>
      </c>
      <c r="AV628" t="s">
        <v>61</v>
      </c>
      <c r="AW628" t="s">
        <v>61</v>
      </c>
      <c r="AX628" t="s">
        <v>61</v>
      </c>
      <c r="AY628" t="s">
        <v>61</v>
      </c>
      <c r="AZ628" t="s">
        <v>61</v>
      </c>
      <c r="BA628" t="s">
        <v>61</v>
      </c>
      <c r="BB628" t="s">
        <v>61</v>
      </c>
      <c r="BC628" t="s">
        <v>61</v>
      </c>
      <c r="BD628" t="s">
        <v>61</v>
      </c>
      <c r="BE628" t="s">
        <v>61</v>
      </c>
      <c r="BF628" t="s">
        <v>61</v>
      </c>
    </row>
    <row r="629" spans="1:58">
      <c r="A629" t="s">
        <v>58</v>
      </c>
      <c r="B629" t="s">
        <v>5250</v>
      </c>
      <c r="C629" t="s">
        <v>5251</v>
      </c>
      <c r="D629" t="s">
        <v>4139</v>
      </c>
      <c r="E629" t="s">
        <v>4140</v>
      </c>
      <c r="F629">
        <v>1997</v>
      </c>
      <c r="G629" t="s">
        <v>418</v>
      </c>
      <c r="H629">
        <v>9</v>
      </c>
      <c r="I629">
        <v>4</v>
      </c>
      <c r="J629">
        <v>346</v>
      </c>
      <c r="K629">
        <v>353</v>
      </c>
      <c r="L629" t="s">
        <v>5252</v>
      </c>
      <c r="M629" t="s">
        <v>5253</v>
      </c>
      <c r="N629" t="s">
        <v>5254</v>
      </c>
      <c r="O629" t="s">
        <v>61</v>
      </c>
      <c r="Q629" t="s">
        <v>61</v>
      </c>
      <c r="R629" t="s">
        <v>61</v>
      </c>
      <c r="S629" t="s">
        <v>61</v>
      </c>
      <c r="T629" t="s">
        <v>61</v>
      </c>
      <c r="X629" t="s">
        <v>61</v>
      </c>
      <c r="Y629" t="s">
        <v>4144</v>
      </c>
      <c r="Z629" t="s">
        <v>61</v>
      </c>
      <c r="AA629" t="s">
        <v>5255</v>
      </c>
      <c r="AB629">
        <v>9300191</v>
      </c>
      <c r="AC629" t="s">
        <v>67</v>
      </c>
      <c r="AD629" t="s">
        <v>61</v>
      </c>
      <c r="AE629" t="s">
        <v>61</v>
      </c>
      <c r="AF629" t="s">
        <v>61</v>
      </c>
      <c r="AG629" t="s">
        <v>5256</v>
      </c>
      <c r="AH629" t="s">
        <v>61</v>
      </c>
      <c r="AI629" t="s">
        <v>61</v>
      </c>
      <c r="AJ629" t="s">
        <v>61</v>
      </c>
      <c r="AK629" t="s">
        <v>61</v>
      </c>
      <c r="AL629" t="s">
        <v>61</v>
      </c>
      <c r="AM629" t="s">
        <v>5257</v>
      </c>
      <c r="AN629" t="s">
        <v>61</v>
      </c>
      <c r="AO629" t="s">
        <v>61</v>
      </c>
      <c r="AP629" t="s">
        <v>61</v>
      </c>
      <c r="AQ629" t="s">
        <v>61</v>
      </c>
      <c r="AR629" t="s">
        <v>61</v>
      </c>
      <c r="AS629" t="s">
        <v>61</v>
      </c>
      <c r="AT629" t="s">
        <v>61</v>
      </c>
      <c r="AU629" t="s">
        <v>61</v>
      </c>
      <c r="AV629" t="s">
        <v>61</v>
      </c>
      <c r="AW629" t="s">
        <v>61</v>
      </c>
      <c r="AX629" t="s">
        <v>61</v>
      </c>
      <c r="AY629" t="s">
        <v>61</v>
      </c>
      <c r="AZ629" t="s">
        <v>61</v>
      </c>
      <c r="BA629" t="s">
        <v>61</v>
      </c>
      <c r="BB629" t="s">
        <v>61</v>
      </c>
      <c r="BC629" t="s">
        <v>61</v>
      </c>
      <c r="BD629" t="s">
        <v>61</v>
      </c>
      <c r="BE629" t="s">
        <v>61</v>
      </c>
      <c r="BF629" t="s">
        <v>61</v>
      </c>
    </row>
    <row r="630" spans="1:58">
      <c r="A630" t="s">
        <v>58</v>
      </c>
      <c r="B630" t="s">
        <v>5258</v>
      </c>
      <c r="C630" t="s">
        <v>5259</v>
      </c>
      <c r="D630" t="s">
        <v>1019</v>
      </c>
      <c r="E630" t="s">
        <v>1019</v>
      </c>
      <c r="F630">
        <v>2014</v>
      </c>
      <c r="G630" t="s">
        <v>119</v>
      </c>
      <c r="H630">
        <v>54</v>
      </c>
      <c r="I630">
        <v>6</v>
      </c>
      <c r="J630">
        <v>1019</v>
      </c>
      <c r="K630">
        <v>1025</v>
      </c>
      <c r="L630" t="s">
        <v>5260</v>
      </c>
      <c r="M630" t="s">
        <v>5261</v>
      </c>
      <c r="N630" t="s">
        <v>5262</v>
      </c>
      <c r="O630" t="s">
        <v>61</v>
      </c>
      <c r="Q630" t="s">
        <v>61</v>
      </c>
      <c r="R630" t="s">
        <v>61</v>
      </c>
      <c r="S630" t="s">
        <v>61</v>
      </c>
      <c r="T630" t="s">
        <v>61</v>
      </c>
      <c r="X630" t="s">
        <v>61</v>
      </c>
      <c r="Y630" t="s">
        <v>1272</v>
      </c>
      <c r="Z630" t="s">
        <v>61</v>
      </c>
      <c r="AA630" t="s">
        <v>5263</v>
      </c>
      <c r="AB630">
        <v>24766349</v>
      </c>
      <c r="AC630" t="s">
        <v>67</v>
      </c>
      <c r="AD630" t="s">
        <v>61</v>
      </c>
      <c r="AE630" t="s">
        <v>61</v>
      </c>
      <c r="AF630" t="s">
        <v>61</v>
      </c>
      <c r="AG630" t="s">
        <v>5264</v>
      </c>
      <c r="AH630" t="s">
        <v>61</v>
      </c>
      <c r="AI630" t="s">
        <v>5265</v>
      </c>
      <c r="AJ630" t="s">
        <v>61</v>
      </c>
      <c r="AK630" t="s">
        <v>61</v>
      </c>
      <c r="AL630" t="s">
        <v>61</v>
      </c>
      <c r="AM630" t="s">
        <v>5266</v>
      </c>
      <c r="AN630" t="s">
        <v>61</v>
      </c>
      <c r="AO630" t="s">
        <v>61</v>
      </c>
      <c r="AP630" t="s">
        <v>61</v>
      </c>
      <c r="AQ630" t="s">
        <v>61</v>
      </c>
      <c r="AR630" t="s">
        <v>61</v>
      </c>
      <c r="AS630" t="s">
        <v>61</v>
      </c>
      <c r="AT630" t="s">
        <v>61</v>
      </c>
      <c r="AU630" t="s">
        <v>61</v>
      </c>
      <c r="AV630" t="s">
        <v>61</v>
      </c>
      <c r="AW630" t="s">
        <v>61</v>
      </c>
      <c r="AX630" t="s">
        <v>61</v>
      </c>
      <c r="AY630" t="s">
        <v>61</v>
      </c>
      <c r="AZ630" t="s">
        <v>61</v>
      </c>
      <c r="BA630" t="s">
        <v>61</v>
      </c>
      <c r="BB630" t="s">
        <v>61</v>
      </c>
      <c r="BC630" t="s">
        <v>61</v>
      </c>
      <c r="BD630" t="s">
        <v>61</v>
      </c>
      <c r="BE630" t="s">
        <v>61</v>
      </c>
      <c r="BF630" t="s">
        <v>61</v>
      </c>
    </row>
    <row r="631" spans="1:58">
      <c r="A631" t="s">
        <v>58</v>
      </c>
      <c r="B631" t="s">
        <v>5267</v>
      </c>
      <c r="C631" t="s">
        <v>5268</v>
      </c>
      <c r="D631" t="s">
        <v>482</v>
      </c>
      <c r="E631" t="s">
        <v>61</v>
      </c>
      <c r="F631">
        <v>2015</v>
      </c>
      <c r="G631" s="1">
        <v>42522</v>
      </c>
      <c r="H631">
        <v>151</v>
      </c>
      <c r="I631" t="s">
        <v>61</v>
      </c>
      <c r="J631">
        <v>92</v>
      </c>
      <c r="K631">
        <v>100</v>
      </c>
      <c r="L631" t="s">
        <v>5269</v>
      </c>
      <c r="M631" t="s">
        <v>5270</v>
      </c>
      <c r="N631" t="s">
        <v>5271</v>
      </c>
      <c r="O631" t="s">
        <v>61</v>
      </c>
      <c r="Q631" t="s">
        <v>61</v>
      </c>
      <c r="R631" t="s">
        <v>61</v>
      </c>
      <c r="S631" t="s">
        <v>61</v>
      </c>
      <c r="T631" t="s">
        <v>61</v>
      </c>
      <c r="X631" t="s">
        <v>61</v>
      </c>
      <c r="Y631" t="s">
        <v>2327</v>
      </c>
      <c r="Z631" t="s">
        <v>61</v>
      </c>
      <c r="AA631" t="s">
        <v>5272</v>
      </c>
      <c r="AB631">
        <v>25841984</v>
      </c>
      <c r="AC631" t="s">
        <v>67</v>
      </c>
      <c r="AD631" t="s">
        <v>61</v>
      </c>
      <c r="AE631" t="s">
        <v>61</v>
      </c>
      <c r="AF631" t="s">
        <v>61</v>
      </c>
      <c r="AG631" t="s">
        <v>5273</v>
      </c>
      <c r="AH631" t="s">
        <v>61</v>
      </c>
      <c r="AI631" t="s">
        <v>5274</v>
      </c>
      <c r="AJ631" t="s">
        <v>61</v>
      </c>
      <c r="AK631" t="s">
        <v>61</v>
      </c>
      <c r="AL631" t="s">
        <v>61</v>
      </c>
      <c r="AM631" t="s">
        <v>5275</v>
      </c>
      <c r="AN631" t="s">
        <v>61</v>
      </c>
      <c r="AO631" t="s">
        <v>61</v>
      </c>
      <c r="AP631" t="s">
        <v>61</v>
      </c>
      <c r="AQ631" t="s">
        <v>61</v>
      </c>
      <c r="AR631" t="s">
        <v>61</v>
      </c>
      <c r="AS631" t="s">
        <v>61</v>
      </c>
      <c r="AT631" t="s">
        <v>61</v>
      </c>
      <c r="AU631" t="s">
        <v>61</v>
      </c>
      <c r="AV631" t="s">
        <v>61</v>
      </c>
      <c r="AW631" t="s">
        <v>61</v>
      </c>
      <c r="AX631" t="s">
        <v>61</v>
      </c>
      <c r="AY631" t="s">
        <v>61</v>
      </c>
      <c r="AZ631" t="s">
        <v>61</v>
      </c>
      <c r="BA631" t="s">
        <v>61</v>
      </c>
      <c r="BB631" t="s">
        <v>61</v>
      </c>
      <c r="BC631" t="s">
        <v>61</v>
      </c>
      <c r="BD631" t="s">
        <v>61</v>
      </c>
      <c r="BE631" t="s">
        <v>61</v>
      </c>
      <c r="BF631" t="s">
        <v>61</v>
      </c>
    </row>
    <row r="632" spans="1:58">
      <c r="A632" t="s">
        <v>58</v>
      </c>
      <c r="B632" t="s">
        <v>5276</v>
      </c>
      <c r="C632" t="s">
        <v>5277</v>
      </c>
      <c r="D632" t="s">
        <v>5278</v>
      </c>
      <c r="E632" t="s">
        <v>61</v>
      </c>
      <c r="F632">
        <v>2004</v>
      </c>
      <c r="G632" t="s">
        <v>1152</v>
      </c>
      <c r="H632">
        <v>24</v>
      </c>
      <c r="I632">
        <v>9</v>
      </c>
      <c r="J632">
        <v>1110</v>
      </c>
      <c r="K632">
        <v>1121</v>
      </c>
      <c r="L632" t="s">
        <v>5279</v>
      </c>
      <c r="M632" t="s">
        <v>5280</v>
      </c>
      <c r="N632" t="s">
        <v>5281</v>
      </c>
      <c r="O632" t="s">
        <v>61</v>
      </c>
      <c r="Q632" t="s">
        <v>61</v>
      </c>
      <c r="R632" t="s">
        <v>61</v>
      </c>
      <c r="S632" t="s">
        <v>61</v>
      </c>
      <c r="T632" t="s">
        <v>61</v>
      </c>
      <c r="X632" t="s">
        <v>61</v>
      </c>
      <c r="Y632" t="s">
        <v>414</v>
      </c>
      <c r="Z632" t="s">
        <v>61</v>
      </c>
      <c r="AA632" t="s">
        <v>5282</v>
      </c>
      <c r="AB632">
        <v>15460171</v>
      </c>
      <c r="AC632" t="s">
        <v>67</v>
      </c>
      <c r="AD632" t="s">
        <v>61</v>
      </c>
      <c r="AE632" t="s">
        <v>61</v>
      </c>
      <c r="AF632" t="s">
        <v>61</v>
      </c>
      <c r="AG632" t="s">
        <v>5283</v>
      </c>
      <c r="AH632" t="s">
        <v>61</v>
      </c>
      <c r="AI632" t="s">
        <v>61</v>
      </c>
      <c r="AJ632" t="s">
        <v>61</v>
      </c>
      <c r="AK632" t="s">
        <v>61</v>
      </c>
      <c r="AL632" t="s">
        <v>61</v>
      </c>
      <c r="AM632" t="s">
        <v>5284</v>
      </c>
      <c r="AN632" t="s">
        <v>61</v>
      </c>
      <c r="AO632" t="s">
        <v>61</v>
      </c>
      <c r="AP632" t="s">
        <v>61</v>
      </c>
      <c r="AQ632" t="s">
        <v>61</v>
      </c>
      <c r="AR632" t="s">
        <v>61</v>
      </c>
      <c r="AS632" t="s">
        <v>61</v>
      </c>
      <c r="AT632" t="s">
        <v>61</v>
      </c>
      <c r="AU632" t="s">
        <v>61</v>
      </c>
      <c r="AV632" t="s">
        <v>61</v>
      </c>
      <c r="AW632" t="s">
        <v>61</v>
      </c>
      <c r="AX632" t="s">
        <v>61</v>
      </c>
      <c r="AY632" t="s">
        <v>61</v>
      </c>
      <c r="AZ632" t="s">
        <v>61</v>
      </c>
      <c r="BA632" t="s">
        <v>61</v>
      </c>
      <c r="BB632" t="s">
        <v>61</v>
      </c>
      <c r="BC632" t="s">
        <v>61</v>
      </c>
      <c r="BD632" t="s">
        <v>61</v>
      </c>
      <c r="BE632" t="s">
        <v>61</v>
      </c>
      <c r="BF632" t="s">
        <v>61</v>
      </c>
    </row>
    <row r="633" spans="1:58">
      <c r="A633" t="s">
        <v>58</v>
      </c>
      <c r="B633" t="s">
        <v>5285</v>
      </c>
      <c r="C633" t="s">
        <v>5286</v>
      </c>
      <c r="D633" t="s">
        <v>271</v>
      </c>
      <c r="E633" t="s">
        <v>272</v>
      </c>
      <c r="F633">
        <v>2001</v>
      </c>
      <c r="G633" t="s">
        <v>2798</v>
      </c>
      <c r="H633">
        <v>41</v>
      </c>
      <c r="I633">
        <v>1</v>
      </c>
      <c r="J633">
        <v>108</v>
      </c>
      <c r="K633">
        <v>115</v>
      </c>
      <c r="L633" t="s">
        <v>5287</v>
      </c>
      <c r="M633" t="s">
        <v>5288</v>
      </c>
      <c r="N633" t="s">
        <v>5289</v>
      </c>
      <c r="O633" t="s">
        <v>61</v>
      </c>
      <c r="Q633" t="s">
        <v>61</v>
      </c>
      <c r="R633" t="s">
        <v>61</v>
      </c>
      <c r="S633" t="s">
        <v>61</v>
      </c>
      <c r="T633" t="s">
        <v>61</v>
      </c>
      <c r="X633" t="s">
        <v>61</v>
      </c>
      <c r="Y633" t="s">
        <v>1661</v>
      </c>
      <c r="Z633" t="s">
        <v>61</v>
      </c>
      <c r="AA633" t="s">
        <v>5290</v>
      </c>
      <c r="AB633">
        <v>11216101</v>
      </c>
      <c r="AC633" t="s">
        <v>67</v>
      </c>
      <c r="AD633" t="s">
        <v>61</v>
      </c>
      <c r="AE633" t="s">
        <v>61</v>
      </c>
      <c r="AF633" t="s">
        <v>61</v>
      </c>
      <c r="AG633" t="s">
        <v>5291</v>
      </c>
      <c r="AH633" t="s">
        <v>61</v>
      </c>
      <c r="AI633" t="s">
        <v>61</v>
      </c>
      <c r="AJ633" t="s">
        <v>61</v>
      </c>
      <c r="AK633" t="s">
        <v>61</v>
      </c>
      <c r="AL633" t="s">
        <v>61</v>
      </c>
      <c r="AM633" t="s">
        <v>5292</v>
      </c>
      <c r="AN633" t="s">
        <v>61</v>
      </c>
      <c r="AO633" t="s">
        <v>61</v>
      </c>
      <c r="AP633" t="s">
        <v>61</v>
      </c>
      <c r="AQ633" t="s">
        <v>61</v>
      </c>
      <c r="AR633" t="s">
        <v>61</v>
      </c>
      <c r="AS633" t="s">
        <v>61</v>
      </c>
      <c r="AT633" t="s">
        <v>61</v>
      </c>
      <c r="AU633" t="s">
        <v>61</v>
      </c>
      <c r="AV633" t="s">
        <v>61</v>
      </c>
      <c r="AW633" t="s">
        <v>61</v>
      </c>
      <c r="AX633" t="s">
        <v>61</v>
      </c>
      <c r="AY633" t="s">
        <v>61</v>
      </c>
      <c r="AZ633" t="s">
        <v>61</v>
      </c>
      <c r="BA633" t="s">
        <v>61</v>
      </c>
      <c r="BB633" t="s">
        <v>61</v>
      </c>
      <c r="BC633" t="s">
        <v>61</v>
      </c>
      <c r="BD633" t="s">
        <v>61</v>
      </c>
      <c r="BE633" t="s">
        <v>61</v>
      </c>
      <c r="BF633" t="s">
        <v>61</v>
      </c>
    </row>
    <row r="634" spans="1:58">
      <c r="A634" t="s">
        <v>58</v>
      </c>
      <c r="B634" t="s">
        <v>5293</v>
      </c>
      <c r="C634" t="s">
        <v>5294</v>
      </c>
      <c r="D634" t="s">
        <v>5295</v>
      </c>
      <c r="E634" t="s">
        <v>61</v>
      </c>
      <c r="F634">
        <v>2012</v>
      </c>
      <c r="G634" t="s">
        <v>418</v>
      </c>
      <c r="H634">
        <v>45</v>
      </c>
      <c r="I634">
        <v>6</v>
      </c>
      <c r="J634">
        <v>473</v>
      </c>
      <c r="K634">
        <v>478</v>
      </c>
      <c r="L634" t="s">
        <v>5296</v>
      </c>
      <c r="M634" t="s">
        <v>5297</v>
      </c>
      <c r="N634" t="s">
        <v>5298</v>
      </c>
      <c r="O634" t="s">
        <v>61</v>
      </c>
      <c r="Q634" t="s">
        <v>61</v>
      </c>
      <c r="R634" t="s">
        <v>61</v>
      </c>
      <c r="S634" t="s">
        <v>61</v>
      </c>
      <c r="T634" t="s">
        <v>61</v>
      </c>
      <c r="X634" t="s">
        <v>61</v>
      </c>
      <c r="Y634" t="s">
        <v>5299</v>
      </c>
      <c r="Z634" t="s">
        <v>61</v>
      </c>
      <c r="AA634" t="s">
        <v>5300</v>
      </c>
      <c r="AB634">
        <v>22915001</v>
      </c>
      <c r="AC634" t="s">
        <v>67</v>
      </c>
      <c r="AD634" t="s">
        <v>61</v>
      </c>
      <c r="AE634" t="s">
        <v>61</v>
      </c>
      <c r="AF634" t="s">
        <v>61</v>
      </c>
      <c r="AG634" t="s">
        <v>5301</v>
      </c>
      <c r="AH634" t="s">
        <v>61</v>
      </c>
      <c r="AI634" t="s">
        <v>61</v>
      </c>
      <c r="AJ634" t="s">
        <v>61</v>
      </c>
      <c r="AK634" t="s">
        <v>61</v>
      </c>
      <c r="AL634" t="s">
        <v>61</v>
      </c>
      <c r="AM634" t="s">
        <v>5302</v>
      </c>
      <c r="AN634" t="s">
        <v>61</v>
      </c>
      <c r="AO634" t="s">
        <v>61</v>
      </c>
      <c r="AP634" t="s">
        <v>61</v>
      </c>
      <c r="AQ634" t="s">
        <v>61</v>
      </c>
      <c r="AR634" t="s">
        <v>61</v>
      </c>
      <c r="AS634" t="s">
        <v>61</v>
      </c>
      <c r="AT634" t="s">
        <v>61</v>
      </c>
      <c r="AU634" t="s">
        <v>61</v>
      </c>
      <c r="AV634" t="s">
        <v>61</v>
      </c>
      <c r="AW634" t="s">
        <v>61</v>
      </c>
      <c r="AX634" t="s">
        <v>61</v>
      </c>
      <c r="AY634" t="s">
        <v>61</v>
      </c>
      <c r="AZ634" t="s">
        <v>61</v>
      </c>
      <c r="BA634" t="s">
        <v>61</v>
      </c>
      <c r="BB634" t="s">
        <v>61</v>
      </c>
      <c r="BC634" t="s">
        <v>61</v>
      </c>
      <c r="BD634" t="s">
        <v>61</v>
      </c>
      <c r="BE634" t="s">
        <v>61</v>
      </c>
      <c r="BF634" t="s">
        <v>61</v>
      </c>
    </row>
    <row r="635" spans="1:58">
      <c r="A635" t="s">
        <v>58</v>
      </c>
      <c r="B635" t="s">
        <v>5303</v>
      </c>
      <c r="C635" t="s">
        <v>5304</v>
      </c>
      <c r="D635" t="s">
        <v>271</v>
      </c>
      <c r="E635" t="s">
        <v>272</v>
      </c>
      <c r="F635">
        <v>1996</v>
      </c>
      <c r="G635" t="s">
        <v>61</v>
      </c>
      <c r="H635" t="s">
        <v>5305</v>
      </c>
      <c r="I635">
        <v>4</v>
      </c>
      <c r="J635">
        <v>539</v>
      </c>
      <c r="K635">
        <v>550</v>
      </c>
      <c r="L635" t="s">
        <v>5306</v>
      </c>
      <c r="M635" t="s">
        <v>5307</v>
      </c>
      <c r="N635" t="s">
        <v>5308</v>
      </c>
      <c r="O635" t="s">
        <v>61</v>
      </c>
      <c r="Q635" t="s">
        <v>61</v>
      </c>
      <c r="R635" t="s">
        <v>61</v>
      </c>
      <c r="S635" t="s">
        <v>61</v>
      </c>
      <c r="T635" t="s">
        <v>61</v>
      </c>
      <c r="X635" t="s">
        <v>61</v>
      </c>
      <c r="Y635" t="s">
        <v>1661</v>
      </c>
      <c r="Z635" t="s">
        <v>61</v>
      </c>
      <c r="AA635" t="s">
        <v>61</v>
      </c>
      <c r="AB635" t="s">
        <v>61</v>
      </c>
      <c r="AC635" t="s">
        <v>67</v>
      </c>
      <c r="AD635" t="s">
        <v>61</v>
      </c>
      <c r="AE635" t="s">
        <v>61</v>
      </c>
      <c r="AF635" t="s">
        <v>61</v>
      </c>
      <c r="AG635" t="s">
        <v>5309</v>
      </c>
      <c r="AH635" t="s">
        <v>61</v>
      </c>
      <c r="AI635" t="s">
        <v>61</v>
      </c>
      <c r="AJ635" t="s">
        <v>61</v>
      </c>
      <c r="AK635" t="s">
        <v>61</v>
      </c>
      <c r="AL635" t="s">
        <v>61</v>
      </c>
      <c r="AM635" t="s">
        <v>5310</v>
      </c>
      <c r="AN635" t="s">
        <v>61</v>
      </c>
      <c r="AO635" t="s">
        <v>61</v>
      </c>
      <c r="AP635" t="s">
        <v>61</v>
      </c>
      <c r="AQ635" t="s">
        <v>61</v>
      </c>
      <c r="AR635" t="s">
        <v>61</v>
      </c>
      <c r="AS635" t="s">
        <v>61</v>
      </c>
      <c r="AT635" t="s">
        <v>61</v>
      </c>
      <c r="AU635" t="s">
        <v>61</v>
      </c>
      <c r="AV635" t="s">
        <v>61</v>
      </c>
      <c r="AW635" t="s">
        <v>61</v>
      </c>
      <c r="AX635" t="s">
        <v>61</v>
      </c>
      <c r="AY635" t="s">
        <v>61</v>
      </c>
      <c r="AZ635" t="s">
        <v>61</v>
      </c>
      <c r="BA635" t="s">
        <v>61</v>
      </c>
      <c r="BB635" t="s">
        <v>61</v>
      </c>
      <c r="BC635" t="s">
        <v>61</v>
      </c>
      <c r="BD635" t="s">
        <v>61</v>
      </c>
      <c r="BE635" t="s">
        <v>61</v>
      </c>
      <c r="BF635" t="s">
        <v>61</v>
      </c>
    </row>
    <row r="636" spans="1:58">
      <c r="A636" t="s">
        <v>58</v>
      </c>
      <c r="B636" t="s">
        <v>5311</v>
      </c>
      <c r="C636" t="s">
        <v>5312</v>
      </c>
      <c r="D636" t="s">
        <v>5313</v>
      </c>
      <c r="E636" t="s">
        <v>5314</v>
      </c>
      <c r="F636">
        <v>2004</v>
      </c>
      <c r="G636" t="s">
        <v>61</v>
      </c>
      <c r="H636">
        <v>140</v>
      </c>
      <c r="I636">
        <v>9</v>
      </c>
      <c r="J636">
        <v>714</v>
      </c>
      <c r="K636" t="s">
        <v>5315</v>
      </c>
      <c r="L636" t="s">
        <v>5316</v>
      </c>
      <c r="M636" t="s">
        <v>5317</v>
      </c>
      <c r="N636" t="s">
        <v>5318</v>
      </c>
      <c r="O636" t="s">
        <v>61</v>
      </c>
      <c r="Q636" t="s">
        <v>61</v>
      </c>
      <c r="R636" t="s">
        <v>61</v>
      </c>
      <c r="S636" t="s">
        <v>61</v>
      </c>
      <c r="T636" t="s">
        <v>61</v>
      </c>
      <c r="X636" t="s">
        <v>61</v>
      </c>
      <c r="Y636" s="2">
        <v>1066204</v>
      </c>
      <c r="Z636" t="s">
        <v>61</v>
      </c>
      <c r="AA636" t="s">
        <v>5319</v>
      </c>
      <c r="AB636">
        <v>106779629</v>
      </c>
      <c r="AC636" t="s">
        <v>67</v>
      </c>
      <c r="AD636" t="s">
        <v>61</v>
      </c>
      <c r="AE636" t="s">
        <v>61</v>
      </c>
      <c r="AF636" t="s">
        <v>61</v>
      </c>
      <c r="AG636" t="s">
        <v>5320</v>
      </c>
      <c r="AH636" t="s">
        <v>61</v>
      </c>
      <c r="AI636" t="s">
        <v>61</v>
      </c>
      <c r="AJ636" t="s">
        <v>61</v>
      </c>
      <c r="AK636" t="s">
        <v>61</v>
      </c>
      <c r="AL636" t="s">
        <v>61</v>
      </c>
      <c r="AM636" t="s">
        <v>5321</v>
      </c>
      <c r="AN636" t="s">
        <v>61</v>
      </c>
      <c r="AO636" t="s">
        <v>61</v>
      </c>
      <c r="AP636" t="s">
        <v>61</v>
      </c>
      <c r="AQ636" t="s">
        <v>61</v>
      </c>
      <c r="AR636" t="s">
        <v>61</v>
      </c>
      <c r="AS636" t="s">
        <v>61</v>
      </c>
      <c r="AT636" t="s">
        <v>61</v>
      </c>
      <c r="AU636" t="s">
        <v>61</v>
      </c>
      <c r="AV636" t="s">
        <v>61</v>
      </c>
      <c r="AW636" t="s">
        <v>61</v>
      </c>
      <c r="AX636" t="s">
        <v>61</v>
      </c>
      <c r="AY636" t="s">
        <v>61</v>
      </c>
      <c r="AZ636" t="s">
        <v>61</v>
      </c>
      <c r="BA636" t="s">
        <v>61</v>
      </c>
      <c r="BB636" t="s">
        <v>61</v>
      </c>
      <c r="BC636" t="s">
        <v>61</v>
      </c>
      <c r="BD636" t="s">
        <v>61</v>
      </c>
      <c r="BE636" t="s">
        <v>61</v>
      </c>
      <c r="BF636" t="s">
        <v>61</v>
      </c>
    </row>
    <row r="637" spans="1:58">
      <c r="A637" t="s">
        <v>58</v>
      </c>
      <c r="B637" t="s">
        <v>5311</v>
      </c>
      <c r="C637" t="s">
        <v>5322</v>
      </c>
      <c r="D637" t="s">
        <v>5313</v>
      </c>
      <c r="E637" t="s">
        <v>5314</v>
      </c>
      <c r="F637">
        <v>2004</v>
      </c>
      <c r="G637" s="1">
        <v>42494</v>
      </c>
      <c r="H637">
        <v>140</v>
      </c>
      <c r="I637">
        <v>9</v>
      </c>
      <c r="J637">
        <v>714</v>
      </c>
      <c r="K637">
        <v>720</v>
      </c>
      <c r="L637" t="s">
        <v>5323</v>
      </c>
      <c r="M637" t="s">
        <v>5324</v>
      </c>
      <c r="N637" t="s">
        <v>5325</v>
      </c>
      <c r="O637" t="s">
        <v>61</v>
      </c>
      <c r="Q637" t="s">
        <v>61</v>
      </c>
      <c r="R637" t="s">
        <v>61</v>
      </c>
      <c r="S637" t="s">
        <v>61</v>
      </c>
      <c r="T637" t="s">
        <v>61</v>
      </c>
      <c r="X637" t="s">
        <v>61</v>
      </c>
      <c r="Y637" t="s">
        <v>5326</v>
      </c>
      <c r="Z637" t="s">
        <v>61</v>
      </c>
      <c r="AA637" t="s">
        <v>5327</v>
      </c>
      <c r="AB637">
        <v>15126255</v>
      </c>
      <c r="AC637" t="s">
        <v>67</v>
      </c>
      <c r="AD637" t="s">
        <v>61</v>
      </c>
      <c r="AE637" t="s">
        <v>61</v>
      </c>
      <c r="AF637" t="s">
        <v>61</v>
      </c>
      <c r="AG637" t="s">
        <v>5328</v>
      </c>
      <c r="AH637" t="s">
        <v>61</v>
      </c>
      <c r="AI637" t="s">
        <v>61</v>
      </c>
      <c r="AJ637" t="s">
        <v>61</v>
      </c>
      <c r="AK637" t="s">
        <v>61</v>
      </c>
      <c r="AL637" t="s">
        <v>61</v>
      </c>
      <c r="AM637" t="s">
        <v>5329</v>
      </c>
      <c r="AN637" t="s">
        <v>61</v>
      </c>
      <c r="AO637" t="s">
        <v>61</v>
      </c>
      <c r="AP637" t="s">
        <v>61</v>
      </c>
      <c r="AQ637" t="s">
        <v>61</v>
      </c>
      <c r="AR637" t="s">
        <v>61</v>
      </c>
      <c r="AS637" t="s">
        <v>61</v>
      </c>
      <c r="AT637" t="s">
        <v>61</v>
      </c>
      <c r="AU637" t="s">
        <v>61</v>
      </c>
      <c r="AV637" t="s">
        <v>61</v>
      </c>
      <c r="AW637" t="s">
        <v>61</v>
      </c>
      <c r="AX637" t="s">
        <v>61</v>
      </c>
      <c r="AY637" t="s">
        <v>61</v>
      </c>
      <c r="AZ637" t="s">
        <v>61</v>
      </c>
      <c r="BA637" t="s">
        <v>61</v>
      </c>
      <c r="BB637" t="s">
        <v>61</v>
      </c>
      <c r="BC637" t="s">
        <v>61</v>
      </c>
      <c r="BD637" t="s">
        <v>61</v>
      </c>
      <c r="BE637" t="s">
        <v>61</v>
      </c>
      <c r="BF637" t="s">
        <v>61</v>
      </c>
    </row>
    <row r="638" spans="1:58">
      <c r="A638" t="s">
        <v>58</v>
      </c>
      <c r="B638" t="s">
        <v>5330</v>
      </c>
      <c r="C638" t="s">
        <v>5331</v>
      </c>
      <c r="D638" t="s">
        <v>5332</v>
      </c>
      <c r="E638" t="s">
        <v>61</v>
      </c>
      <c r="F638">
        <v>2015</v>
      </c>
      <c r="G638" t="s">
        <v>61</v>
      </c>
      <c r="H638">
        <v>2015</v>
      </c>
      <c r="I638" t="s">
        <v>61</v>
      </c>
      <c r="J638">
        <v>621075</v>
      </c>
      <c r="K638" t="s">
        <v>61</v>
      </c>
      <c r="L638" t="s">
        <v>5333</v>
      </c>
      <c r="M638" t="s">
        <v>5334</v>
      </c>
      <c r="N638" t="s">
        <v>5335</v>
      </c>
      <c r="O638" t="s">
        <v>61</v>
      </c>
      <c r="Q638" t="s">
        <v>61</v>
      </c>
      <c r="R638" t="s">
        <v>61</v>
      </c>
      <c r="S638" t="s">
        <v>61</v>
      </c>
      <c r="T638" t="s">
        <v>61</v>
      </c>
      <c r="X638" t="s">
        <v>61</v>
      </c>
      <c r="Y638" t="s">
        <v>5336</v>
      </c>
      <c r="Z638" t="s">
        <v>61</v>
      </c>
      <c r="AA638" t="s">
        <v>5337</v>
      </c>
      <c r="AB638">
        <v>26064931</v>
      </c>
      <c r="AC638" t="s">
        <v>67</v>
      </c>
      <c r="AD638" t="s">
        <v>61</v>
      </c>
      <c r="AE638" t="s">
        <v>61</v>
      </c>
      <c r="AF638" t="s">
        <v>61</v>
      </c>
      <c r="AG638" t="s">
        <v>5338</v>
      </c>
      <c r="AH638" t="s">
        <v>61</v>
      </c>
      <c r="AI638" t="s">
        <v>5339</v>
      </c>
      <c r="AJ638" t="s">
        <v>61</v>
      </c>
      <c r="AK638" t="s">
        <v>61</v>
      </c>
      <c r="AL638" t="s">
        <v>61</v>
      </c>
      <c r="AM638" t="s">
        <v>5340</v>
      </c>
      <c r="AN638" t="s">
        <v>61</v>
      </c>
      <c r="AO638" t="s">
        <v>61</v>
      </c>
      <c r="AP638" t="s">
        <v>61</v>
      </c>
      <c r="AQ638" t="s">
        <v>61</v>
      </c>
      <c r="AR638" t="s">
        <v>61</v>
      </c>
      <c r="AS638" t="s">
        <v>61</v>
      </c>
      <c r="AT638" t="s">
        <v>61</v>
      </c>
      <c r="AU638" t="s">
        <v>61</v>
      </c>
      <c r="AV638" t="s">
        <v>61</v>
      </c>
      <c r="AW638" t="s">
        <v>61</v>
      </c>
      <c r="AX638" t="s">
        <v>61</v>
      </c>
      <c r="AY638" t="s">
        <v>61</v>
      </c>
      <c r="AZ638" t="s">
        <v>61</v>
      </c>
      <c r="BA638" t="s">
        <v>61</v>
      </c>
      <c r="BB638" t="s">
        <v>61</v>
      </c>
      <c r="BC638" t="s">
        <v>61</v>
      </c>
      <c r="BD638" t="s">
        <v>61</v>
      </c>
      <c r="BE638" t="s">
        <v>61</v>
      </c>
      <c r="BF638" t="s">
        <v>61</v>
      </c>
    </row>
    <row r="639" spans="1:58">
      <c r="A639" t="s">
        <v>58</v>
      </c>
      <c r="B639" t="s">
        <v>5341</v>
      </c>
      <c r="C639" t="s">
        <v>5342</v>
      </c>
      <c r="D639" t="s">
        <v>5343</v>
      </c>
      <c r="E639" t="s">
        <v>61</v>
      </c>
      <c r="F639">
        <v>2014</v>
      </c>
      <c r="G639" t="s">
        <v>61</v>
      </c>
      <c r="H639">
        <v>15</v>
      </c>
      <c r="I639" t="s">
        <v>61</v>
      </c>
      <c r="J639">
        <v>23</v>
      </c>
      <c r="K639" t="s">
        <v>61</v>
      </c>
      <c r="L639" t="s">
        <v>5344</v>
      </c>
      <c r="M639" t="s">
        <v>5345</v>
      </c>
      <c r="N639" t="s">
        <v>5346</v>
      </c>
      <c r="O639" t="s">
        <v>61</v>
      </c>
      <c r="Q639" t="s">
        <v>61</v>
      </c>
      <c r="R639" t="s">
        <v>61</v>
      </c>
      <c r="S639" t="s">
        <v>61</v>
      </c>
      <c r="T639" t="s">
        <v>61</v>
      </c>
      <c r="X639" t="s">
        <v>61</v>
      </c>
      <c r="Y639" t="s">
        <v>5347</v>
      </c>
      <c r="Z639" t="s">
        <v>61</v>
      </c>
      <c r="AA639" t="s">
        <v>5348</v>
      </c>
      <c r="AB639">
        <v>24606831</v>
      </c>
      <c r="AC639" t="s">
        <v>67</v>
      </c>
      <c r="AD639" t="s">
        <v>61</v>
      </c>
      <c r="AE639" t="s">
        <v>61</v>
      </c>
      <c r="AF639" t="s">
        <v>61</v>
      </c>
      <c r="AG639" t="s">
        <v>5349</v>
      </c>
      <c r="AH639" t="s">
        <v>61</v>
      </c>
      <c r="AI639" t="s">
        <v>5350</v>
      </c>
      <c r="AJ639" t="s">
        <v>61</v>
      </c>
      <c r="AK639" t="s">
        <v>61</v>
      </c>
      <c r="AL639" t="s">
        <v>61</v>
      </c>
      <c r="AM639" t="s">
        <v>5351</v>
      </c>
      <c r="AN639" t="s">
        <v>61</v>
      </c>
      <c r="AO639" t="s">
        <v>61</v>
      </c>
      <c r="AP639" t="s">
        <v>61</v>
      </c>
      <c r="AQ639" t="s">
        <v>61</v>
      </c>
      <c r="AR639" t="s">
        <v>61</v>
      </c>
      <c r="AS639" t="s">
        <v>61</v>
      </c>
      <c r="AT639" t="s">
        <v>61</v>
      </c>
      <c r="AU639" t="s">
        <v>61</v>
      </c>
      <c r="AV639" t="s">
        <v>61</v>
      </c>
      <c r="AW639" t="s">
        <v>61</v>
      </c>
      <c r="AX639" t="s">
        <v>61</v>
      </c>
      <c r="AY639" t="s">
        <v>61</v>
      </c>
      <c r="AZ639" t="s">
        <v>61</v>
      </c>
      <c r="BA639" t="s">
        <v>61</v>
      </c>
      <c r="BB639" t="s">
        <v>61</v>
      </c>
      <c r="BC639" t="s">
        <v>61</v>
      </c>
      <c r="BD639" t="s">
        <v>61</v>
      </c>
      <c r="BE639" t="s">
        <v>61</v>
      </c>
      <c r="BF639" t="s">
        <v>61</v>
      </c>
    </row>
    <row r="640" spans="1:58">
      <c r="A640" t="s">
        <v>58</v>
      </c>
      <c r="B640" t="s">
        <v>5352</v>
      </c>
      <c r="C640" t="s">
        <v>5353</v>
      </c>
      <c r="D640" t="s">
        <v>627</v>
      </c>
      <c r="E640" t="s">
        <v>61</v>
      </c>
      <c r="F640">
        <v>2012</v>
      </c>
      <c r="G640" t="s">
        <v>628</v>
      </c>
      <c r="H640">
        <v>52</v>
      </c>
      <c r="I640">
        <v>2</v>
      </c>
      <c r="J640">
        <v>232</v>
      </c>
      <c r="K640" t="s">
        <v>61</v>
      </c>
      <c r="L640" t="s">
        <v>5354</v>
      </c>
      <c r="M640" t="s">
        <v>5355</v>
      </c>
      <c r="N640" t="s">
        <v>5356</v>
      </c>
      <c r="O640" t="s">
        <v>61</v>
      </c>
      <c r="Q640" t="s">
        <v>61</v>
      </c>
      <c r="R640" t="s">
        <v>61</v>
      </c>
      <c r="S640" t="s">
        <v>61</v>
      </c>
      <c r="T640" t="s">
        <v>61</v>
      </c>
      <c r="X640" t="s">
        <v>61</v>
      </c>
      <c r="Y640" t="s">
        <v>632</v>
      </c>
      <c r="Z640" t="s">
        <v>61</v>
      </c>
      <c r="AA640" t="s">
        <v>61</v>
      </c>
      <c r="AB640" t="s">
        <v>61</v>
      </c>
      <c r="AC640" t="s">
        <v>67</v>
      </c>
      <c r="AD640" t="s">
        <v>61</v>
      </c>
      <c r="AE640" t="s">
        <v>61</v>
      </c>
      <c r="AF640" t="s">
        <v>61</v>
      </c>
      <c r="AG640" t="s">
        <v>61</v>
      </c>
      <c r="AH640" t="s">
        <v>61</v>
      </c>
      <c r="AI640" t="s">
        <v>61</v>
      </c>
      <c r="AJ640" t="s">
        <v>61</v>
      </c>
      <c r="AK640" t="s">
        <v>61</v>
      </c>
      <c r="AL640" t="s">
        <v>61</v>
      </c>
      <c r="AM640" t="s">
        <v>5353</v>
      </c>
      <c r="AN640" t="s">
        <v>61</v>
      </c>
      <c r="AO640" t="s">
        <v>61</v>
      </c>
      <c r="AP640" t="s">
        <v>61</v>
      </c>
      <c r="AQ640" t="s">
        <v>61</v>
      </c>
      <c r="AR640" t="s">
        <v>61</v>
      </c>
      <c r="AS640" t="s">
        <v>61</v>
      </c>
      <c r="AT640" t="s">
        <v>61</v>
      </c>
      <c r="AU640" t="s">
        <v>61</v>
      </c>
      <c r="AV640" t="s">
        <v>61</v>
      </c>
      <c r="AW640" t="s">
        <v>61</v>
      </c>
      <c r="AX640" t="s">
        <v>61</v>
      </c>
      <c r="AY640" t="s">
        <v>61</v>
      </c>
      <c r="AZ640" t="s">
        <v>61</v>
      </c>
      <c r="BA640" t="s">
        <v>61</v>
      </c>
      <c r="BB640" t="s">
        <v>61</v>
      </c>
      <c r="BC640" t="s">
        <v>61</v>
      </c>
      <c r="BD640" t="s">
        <v>61</v>
      </c>
      <c r="BE640" t="s">
        <v>61</v>
      </c>
      <c r="BF640" t="s">
        <v>61</v>
      </c>
    </row>
    <row r="641" spans="1:58">
      <c r="A641" t="s">
        <v>58</v>
      </c>
      <c r="B641" t="s">
        <v>5357</v>
      </c>
      <c r="C641" t="s">
        <v>5358</v>
      </c>
      <c r="D641" t="s">
        <v>5359</v>
      </c>
      <c r="E641" t="s">
        <v>61</v>
      </c>
      <c r="F641">
        <v>2001</v>
      </c>
      <c r="G641" t="s">
        <v>418</v>
      </c>
      <c r="H641">
        <v>39</v>
      </c>
      <c r="I641">
        <v>8</v>
      </c>
      <c r="J641">
        <v>336</v>
      </c>
      <c r="K641">
        <v>343</v>
      </c>
      <c r="L641" t="s">
        <v>5360</v>
      </c>
      <c r="M641" t="s">
        <v>5361</v>
      </c>
      <c r="N641" t="s">
        <v>5362</v>
      </c>
      <c r="O641" t="s">
        <v>61</v>
      </c>
      <c r="Q641" t="s">
        <v>61</v>
      </c>
      <c r="R641" t="s">
        <v>61</v>
      </c>
      <c r="S641" t="s">
        <v>61</v>
      </c>
      <c r="T641" t="s">
        <v>61</v>
      </c>
      <c r="X641" t="s">
        <v>61</v>
      </c>
      <c r="Y641" t="s">
        <v>5363</v>
      </c>
      <c r="Z641" t="s">
        <v>61</v>
      </c>
      <c r="AA641" t="s">
        <v>5364</v>
      </c>
      <c r="AB641">
        <v>11515708</v>
      </c>
      <c r="AC641" t="s">
        <v>67</v>
      </c>
      <c r="AD641" t="s">
        <v>61</v>
      </c>
      <c r="AE641" t="s">
        <v>61</v>
      </c>
      <c r="AF641" t="s">
        <v>61</v>
      </c>
      <c r="AG641" t="s">
        <v>5365</v>
      </c>
      <c r="AH641" t="s">
        <v>61</v>
      </c>
      <c r="AI641" t="s">
        <v>61</v>
      </c>
      <c r="AJ641" t="s">
        <v>61</v>
      </c>
      <c r="AK641" t="s">
        <v>61</v>
      </c>
      <c r="AL641" t="s">
        <v>61</v>
      </c>
      <c r="AM641" t="s">
        <v>5366</v>
      </c>
      <c r="AN641" t="s">
        <v>61</v>
      </c>
      <c r="AO641" t="s">
        <v>61</v>
      </c>
      <c r="AP641" t="s">
        <v>61</v>
      </c>
      <c r="AQ641" t="s">
        <v>61</v>
      </c>
      <c r="AR641" t="s">
        <v>61</v>
      </c>
      <c r="AS641" t="s">
        <v>61</v>
      </c>
      <c r="AT641" t="s">
        <v>61</v>
      </c>
      <c r="AU641" t="s">
        <v>61</v>
      </c>
      <c r="AV641" t="s">
        <v>61</v>
      </c>
      <c r="AW641" t="s">
        <v>61</v>
      </c>
      <c r="AX641" t="s">
        <v>61</v>
      </c>
      <c r="AY641" t="s">
        <v>61</v>
      </c>
      <c r="AZ641" t="s">
        <v>61</v>
      </c>
      <c r="BA641" t="s">
        <v>61</v>
      </c>
      <c r="BB641" t="s">
        <v>61</v>
      </c>
      <c r="BC641" t="s">
        <v>61</v>
      </c>
      <c r="BD641" t="s">
        <v>61</v>
      </c>
      <c r="BE641" t="s">
        <v>61</v>
      </c>
      <c r="BF641" t="s">
        <v>61</v>
      </c>
    </row>
    <row r="642" spans="1:58">
      <c r="A642" t="s">
        <v>58</v>
      </c>
      <c r="B642" t="s">
        <v>5367</v>
      </c>
      <c r="C642" t="s">
        <v>5368</v>
      </c>
      <c r="D642" t="s">
        <v>3549</v>
      </c>
      <c r="E642" t="s">
        <v>3550</v>
      </c>
      <c r="F642">
        <v>1998</v>
      </c>
      <c r="G642" t="s">
        <v>280</v>
      </c>
      <c r="H642">
        <v>59</v>
      </c>
      <c r="I642">
        <v>12</v>
      </c>
      <c r="J642">
        <v>669</v>
      </c>
      <c r="K642">
        <v>675</v>
      </c>
      <c r="L642" t="s">
        <v>5369</v>
      </c>
      <c r="M642" t="s">
        <v>5370</v>
      </c>
      <c r="N642" t="s">
        <v>5371</v>
      </c>
      <c r="O642" t="s">
        <v>61</v>
      </c>
      <c r="Q642" t="s">
        <v>61</v>
      </c>
      <c r="R642" t="s">
        <v>61</v>
      </c>
      <c r="S642" t="s">
        <v>61</v>
      </c>
      <c r="T642" t="s">
        <v>61</v>
      </c>
      <c r="X642" t="s">
        <v>61</v>
      </c>
      <c r="Y642" t="s">
        <v>3555</v>
      </c>
      <c r="Z642" t="s">
        <v>61</v>
      </c>
      <c r="AA642" t="s">
        <v>5372</v>
      </c>
      <c r="AB642">
        <v>9921701</v>
      </c>
      <c r="AC642" t="s">
        <v>67</v>
      </c>
      <c r="AD642" t="s">
        <v>61</v>
      </c>
      <c r="AE642" t="s">
        <v>61</v>
      </c>
      <c r="AF642" t="s">
        <v>61</v>
      </c>
      <c r="AG642" t="s">
        <v>5373</v>
      </c>
      <c r="AH642" t="s">
        <v>61</v>
      </c>
      <c r="AI642" t="s">
        <v>61</v>
      </c>
      <c r="AJ642" t="s">
        <v>61</v>
      </c>
      <c r="AK642" t="s">
        <v>61</v>
      </c>
      <c r="AL642" t="s">
        <v>61</v>
      </c>
      <c r="AM642" t="s">
        <v>5374</v>
      </c>
      <c r="AN642" t="s">
        <v>61</v>
      </c>
      <c r="AO642" t="s">
        <v>61</v>
      </c>
      <c r="AP642" t="s">
        <v>61</v>
      </c>
      <c r="AQ642" t="s">
        <v>61</v>
      </c>
      <c r="AR642" t="s">
        <v>61</v>
      </c>
      <c r="AS642" t="s">
        <v>61</v>
      </c>
      <c r="AT642" t="s">
        <v>61</v>
      </c>
      <c r="AU642" t="s">
        <v>61</v>
      </c>
      <c r="AV642" t="s">
        <v>61</v>
      </c>
      <c r="AW642" t="s">
        <v>61</v>
      </c>
      <c r="AX642" t="s">
        <v>61</v>
      </c>
      <c r="AY642" t="s">
        <v>61</v>
      </c>
      <c r="AZ642" t="s">
        <v>61</v>
      </c>
      <c r="BA642" t="s">
        <v>61</v>
      </c>
      <c r="BB642" t="s">
        <v>61</v>
      </c>
      <c r="BC642" t="s">
        <v>61</v>
      </c>
      <c r="BD642" t="s">
        <v>61</v>
      </c>
      <c r="BE642" t="s">
        <v>61</v>
      </c>
      <c r="BF642" t="s">
        <v>61</v>
      </c>
    </row>
    <row r="643" spans="1:58">
      <c r="A643" t="s">
        <v>58</v>
      </c>
      <c r="B643" t="s">
        <v>5375</v>
      </c>
      <c r="C643" t="s">
        <v>5376</v>
      </c>
      <c r="D643" t="s">
        <v>2979</v>
      </c>
      <c r="E643" t="s">
        <v>61</v>
      </c>
      <c r="F643">
        <v>2011</v>
      </c>
      <c r="G643" t="s">
        <v>61</v>
      </c>
      <c r="H643">
        <v>14</v>
      </c>
      <c r="I643">
        <v>3</v>
      </c>
      <c r="J643" t="s">
        <v>5377</v>
      </c>
      <c r="K643" t="s">
        <v>5378</v>
      </c>
      <c r="L643" t="s">
        <v>5379</v>
      </c>
      <c r="M643" t="s">
        <v>5380</v>
      </c>
      <c r="N643" t="s">
        <v>5381</v>
      </c>
      <c r="O643" t="s">
        <v>61</v>
      </c>
      <c r="Q643" t="s">
        <v>61</v>
      </c>
      <c r="R643" t="s">
        <v>61</v>
      </c>
      <c r="S643" t="s">
        <v>61</v>
      </c>
      <c r="T643" t="s">
        <v>61</v>
      </c>
      <c r="X643" t="s">
        <v>61</v>
      </c>
      <c r="Y643" t="s">
        <v>2985</v>
      </c>
      <c r="Z643" t="s">
        <v>61</v>
      </c>
      <c r="AA643" t="s">
        <v>61</v>
      </c>
      <c r="AB643" t="s">
        <v>61</v>
      </c>
      <c r="AC643" t="s">
        <v>67</v>
      </c>
      <c r="AD643" t="s">
        <v>61</v>
      </c>
      <c r="AE643" t="s">
        <v>61</v>
      </c>
      <c r="AF643" t="s">
        <v>61</v>
      </c>
      <c r="AG643" t="s">
        <v>61</v>
      </c>
      <c r="AH643" t="s">
        <v>61</v>
      </c>
      <c r="AI643" t="s">
        <v>61</v>
      </c>
      <c r="AJ643" t="s">
        <v>61</v>
      </c>
      <c r="AK643" t="s">
        <v>61</v>
      </c>
      <c r="AL643" t="s">
        <v>61</v>
      </c>
      <c r="AM643" t="s">
        <v>5376</v>
      </c>
      <c r="AN643" t="s">
        <v>61</v>
      </c>
      <c r="AO643" t="s">
        <v>61</v>
      </c>
      <c r="AP643" t="s">
        <v>61</v>
      </c>
      <c r="AQ643" t="s">
        <v>61</v>
      </c>
      <c r="AR643" t="s">
        <v>61</v>
      </c>
      <c r="AS643" t="s">
        <v>61</v>
      </c>
      <c r="AT643" t="s">
        <v>61</v>
      </c>
      <c r="AU643" t="s">
        <v>61</v>
      </c>
      <c r="AV643" t="s">
        <v>61</v>
      </c>
      <c r="AW643" t="s">
        <v>61</v>
      </c>
      <c r="AX643" t="s">
        <v>61</v>
      </c>
      <c r="AY643" t="s">
        <v>61</v>
      </c>
      <c r="AZ643" t="s">
        <v>61</v>
      </c>
      <c r="BA643" t="s">
        <v>61</v>
      </c>
      <c r="BB643" t="s">
        <v>61</v>
      </c>
      <c r="BC643" t="s">
        <v>61</v>
      </c>
      <c r="BD643" t="s">
        <v>61</v>
      </c>
      <c r="BE643" t="s">
        <v>61</v>
      </c>
      <c r="BF643" t="s">
        <v>61</v>
      </c>
    </row>
    <row r="644" spans="1:58">
      <c r="A644" t="s">
        <v>58</v>
      </c>
      <c r="B644" t="s">
        <v>5382</v>
      </c>
      <c r="C644" t="s">
        <v>5383</v>
      </c>
      <c r="D644" t="s">
        <v>1637</v>
      </c>
      <c r="E644" t="s">
        <v>1638</v>
      </c>
      <c r="F644">
        <v>2013</v>
      </c>
      <c r="G644" t="s">
        <v>391</v>
      </c>
      <c r="H644">
        <v>66</v>
      </c>
      <c r="I644">
        <v>2</v>
      </c>
      <c r="J644">
        <v>110</v>
      </c>
      <c r="K644">
        <v>117</v>
      </c>
      <c r="L644" t="s">
        <v>61</v>
      </c>
      <c r="M644" t="s">
        <v>5384</v>
      </c>
      <c r="N644" t="s">
        <v>5385</v>
      </c>
      <c r="O644" t="s">
        <v>61</v>
      </c>
      <c r="Q644" t="s">
        <v>61</v>
      </c>
      <c r="R644" t="s">
        <v>61</v>
      </c>
      <c r="S644" t="s">
        <v>61</v>
      </c>
      <c r="T644" t="s">
        <v>61</v>
      </c>
      <c r="X644" t="s">
        <v>61</v>
      </c>
      <c r="Y644" t="s">
        <v>5386</v>
      </c>
      <c r="Z644" t="s">
        <v>61</v>
      </c>
      <c r="AA644" t="s">
        <v>61</v>
      </c>
      <c r="AB644">
        <v>23616675</v>
      </c>
      <c r="AC644" t="s">
        <v>67</v>
      </c>
      <c r="AD644" t="s">
        <v>61</v>
      </c>
      <c r="AE644" t="s">
        <v>61</v>
      </c>
      <c r="AF644" t="s">
        <v>61</v>
      </c>
      <c r="AG644" t="s">
        <v>5387</v>
      </c>
      <c r="AH644" t="s">
        <v>61</v>
      </c>
      <c r="AI644" t="s">
        <v>61</v>
      </c>
      <c r="AJ644" t="s">
        <v>61</v>
      </c>
      <c r="AK644" t="s">
        <v>61</v>
      </c>
      <c r="AL644" t="s">
        <v>61</v>
      </c>
      <c r="AM644" t="s">
        <v>5388</v>
      </c>
      <c r="AN644" t="s">
        <v>61</v>
      </c>
      <c r="AO644" t="s">
        <v>61</v>
      </c>
      <c r="AP644" t="s">
        <v>61</v>
      </c>
      <c r="AQ644" t="s">
        <v>61</v>
      </c>
      <c r="AR644" t="s">
        <v>61</v>
      </c>
      <c r="AS644" t="s">
        <v>61</v>
      </c>
      <c r="AT644" t="s">
        <v>61</v>
      </c>
      <c r="AU644" t="s">
        <v>61</v>
      </c>
      <c r="AV644" t="s">
        <v>61</v>
      </c>
      <c r="AW644" t="s">
        <v>61</v>
      </c>
      <c r="AX644" t="s">
        <v>61</v>
      </c>
      <c r="AY644" t="s">
        <v>61</v>
      </c>
      <c r="AZ644" t="s">
        <v>61</v>
      </c>
      <c r="BA644" t="s">
        <v>61</v>
      </c>
      <c r="BB644" t="s">
        <v>61</v>
      </c>
      <c r="BC644" t="s">
        <v>61</v>
      </c>
      <c r="BD644" t="s">
        <v>61</v>
      </c>
      <c r="BE644" t="s">
        <v>61</v>
      </c>
      <c r="BF644" t="s">
        <v>61</v>
      </c>
    </row>
    <row r="645" spans="1:58">
      <c r="A645" t="s">
        <v>58</v>
      </c>
      <c r="B645" t="s">
        <v>5389</v>
      </c>
      <c r="C645" t="s">
        <v>5390</v>
      </c>
      <c r="D645" t="s">
        <v>5391</v>
      </c>
      <c r="E645" t="s">
        <v>61</v>
      </c>
      <c r="F645">
        <v>2010</v>
      </c>
      <c r="G645" t="s">
        <v>61</v>
      </c>
      <c r="H645">
        <v>8</v>
      </c>
      <c r="I645" t="s">
        <v>61</v>
      </c>
      <c r="J645">
        <v>59</v>
      </c>
      <c r="K645" t="s">
        <v>61</v>
      </c>
      <c r="L645" t="s">
        <v>5392</v>
      </c>
      <c r="M645" t="s">
        <v>5393</v>
      </c>
      <c r="N645" t="s">
        <v>5394</v>
      </c>
      <c r="O645" t="s">
        <v>61</v>
      </c>
      <c r="Q645" t="s">
        <v>61</v>
      </c>
      <c r="R645" t="s">
        <v>61</v>
      </c>
      <c r="S645" t="s">
        <v>61</v>
      </c>
      <c r="T645" t="s">
        <v>61</v>
      </c>
      <c r="X645" t="s">
        <v>61</v>
      </c>
      <c r="Y645" t="s">
        <v>5395</v>
      </c>
      <c r="Z645" t="s">
        <v>61</v>
      </c>
      <c r="AA645" t="s">
        <v>5396</v>
      </c>
      <c r="AB645">
        <v>20565872</v>
      </c>
      <c r="AC645" t="s">
        <v>67</v>
      </c>
      <c r="AD645" t="s">
        <v>61</v>
      </c>
      <c r="AE645" t="s">
        <v>61</v>
      </c>
      <c r="AF645" t="s">
        <v>61</v>
      </c>
      <c r="AG645" t="s">
        <v>5397</v>
      </c>
      <c r="AH645" t="s">
        <v>61</v>
      </c>
      <c r="AI645" t="s">
        <v>5398</v>
      </c>
      <c r="AJ645" t="s">
        <v>61</v>
      </c>
      <c r="AK645" t="s">
        <v>61</v>
      </c>
      <c r="AL645" t="s">
        <v>61</v>
      </c>
      <c r="AM645" t="s">
        <v>5399</v>
      </c>
      <c r="AN645" t="s">
        <v>61</v>
      </c>
      <c r="AO645" t="s">
        <v>61</v>
      </c>
      <c r="AP645" t="s">
        <v>61</v>
      </c>
      <c r="AQ645" t="s">
        <v>61</v>
      </c>
      <c r="AR645" t="s">
        <v>61</v>
      </c>
      <c r="AS645" t="s">
        <v>61</v>
      </c>
      <c r="AT645" t="s">
        <v>61</v>
      </c>
      <c r="AU645" t="s">
        <v>61</v>
      </c>
      <c r="AV645" t="s">
        <v>61</v>
      </c>
      <c r="AW645" t="s">
        <v>61</v>
      </c>
      <c r="AX645" t="s">
        <v>61</v>
      </c>
      <c r="AY645" t="s">
        <v>61</v>
      </c>
      <c r="AZ645" t="s">
        <v>61</v>
      </c>
      <c r="BA645" t="s">
        <v>61</v>
      </c>
      <c r="BB645" t="s">
        <v>61</v>
      </c>
      <c r="BC645" t="s">
        <v>61</v>
      </c>
      <c r="BD645" t="s">
        <v>61</v>
      </c>
      <c r="BE645" t="s">
        <v>61</v>
      </c>
      <c r="BF645" t="s">
        <v>61</v>
      </c>
    </row>
    <row r="646" spans="1:58">
      <c r="A646" t="s">
        <v>58</v>
      </c>
      <c r="B646" t="s">
        <v>5400</v>
      </c>
      <c r="C646" t="s">
        <v>5401</v>
      </c>
      <c r="D646" t="s">
        <v>876</v>
      </c>
      <c r="E646" t="s">
        <v>877</v>
      </c>
      <c r="F646">
        <v>2011</v>
      </c>
      <c r="G646" s="1">
        <v>42500</v>
      </c>
      <c r="H646">
        <v>75</v>
      </c>
      <c r="I646">
        <v>4</v>
      </c>
      <c r="J646">
        <v>77</v>
      </c>
      <c r="K646" t="s">
        <v>61</v>
      </c>
      <c r="L646" t="s">
        <v>5402</v>
      </c>
      <c r="M646" t="s">
        <v>5403</v>
      </c>
      <c r="N646" t="s">
        <v>5404</v>
      </c>
      <c r="O646" t="s">
        <v>61</v>
      </c>
      <c r="Q646" t="s">
        <v>61</v>
      </c>
      <c r="R646" t="s">
        <v>61</v>
      </c>
      <c r="S646" t="s">
        <v>61</v>
      </c>
      <c r="T646" t="s">
        <v>61</v>
      </c>
      <c r="X646" t="s">
        <v>61</v>
      </c>
      <c r="Y646" t="s">
        <v>881</v>
      </c>
      <c r="Z646" t="s">
        <v>61</v>
      </c>
      <c r="AA646" t="s">
        <v>5405</v>
      </c>
      <c r="AB646">
        <v>21769153</v>
      </c>
      <c r="AC646" t="s">
        <v>67</v>
      </c>
      <c r="AD646" t="s">
        <v>61</v>
      </c>
      <c r="AE646" t="s">
        <v>61</v>
      </c>
      <c r="AF646" t="s">
        <v>61</v>
      </c>
      <c r="AG646" t="s">
        <v>5406</v>
      </c>
      <c r="AH646" t="s">
        <v>61</v>
      </c>
      <c r="AI646" t="s">
        <v>61</v>
      </c>
      <c r="AJ646" t="s">
        <v>61</v>
      </c>
      <c r="AK646" t="s">
        <v>61</v>
      </c>
      <c r="AL646" t="s">
        <v>61</v>
      </c>
      <c r="AM646" t="s">
        <v>5407</v>
      </c>
      <c r="AN646" t="s">
        <v>61</v>
      </c>
      <c r="AO646" t="s">
        <v>61</v>
      </c>
      <c r="AP646" t="s">
        <v>61</v>
      </c>
      <c r="AQ646" t="s">
        <v>61</v>
      </c>
      <c r="AR646" t="s">
        <v>61</v>
      </c>
      <c r="AS646" t="s">
        <v>61</v>
      </c>
      <c r="AT646" t="s">
        <v>61</v>
      </c>
      <c r="AU646" t="s">
        <v>61</v>
      </c>
      <c r="AV646" t="s">
        <v>61</v>
      </c>
      <c r="AW646" t="s">
        <v>61</v>
      </c>
      <c r="AX646" t="s">
        <v>61</v>
      </c>
      <c r="AY646" t="s">
        <v>61</v>
      </c>
      <c r="AZ646" t="s">
        <v>61</v>
      </c>
      <c r="BA646" t="s">
        <v>61</v>
      </c>
      <c r="BB646" t="s">
        <v>61</v>
      </c>
      <c r="BC646" t="s">
        <v>61</v>
      </c>
      <c r="BD646" t="s">
        <v>61</v>
      </c>
      <c r="BE646" t="s">
        <v>61</v>
      </c>
      <c r="BF646" t="s">
        <v>61</v>
      </c>
    </row>
    <row r="647" spans="1:58">
      <c r="A647" t="s">
        <v>58</v>
      </c>
      <c r="B647" t="s">
        <v>5408</v>
      </c>
      <c r="C647" t="s">
        <v>5409</v>
      </c>
      <c r="D647" t="s">
        <v>1085</v>
      </c>
      <c r="E647" t="s">
        <v>1086</v>
      </c>
      <c r="F647">
        <v>1992</v>
      </c>
      <c r="G647" t="s">
        <v>391</v>
      </c>
      <c r="H647">
        <v>26</v>
      </c>
      <c r="I647">
        <v>3</v>
      </c>
      <c r="J647">
        <v>321</v>
      </c>
      <c r="K647">
        <v>326</v>
      </c>
      <c r="L647" t="s">
        <v>5410</v>
      </c>
      <c r="M647" t="s">
        <v>5411</v>
      </c>
      <c r="N647" t="s">
        <v>5412</v>
      </c>
      <c r="O647" t="s">
        <v>61</v>
      </c>
      <c r="Q647" t="s">
        <v>61</v>
      </c>
      <c r="R647" t="s">
        <v>61</v>
      </c>
      <c r="S647" t="s">
        <v>61</v>
      </c>
      <c r="T647" t="s">
        <v>61</v>
      </c>
      <c r="X647" t="s">
        <v>61</v>
      </c>
      <c r="Y647" t="s">
        <v>3286</v>
      </c>
      <c r="Z647" t="s">
        <v>61</v>
      </c>
      <c r="AA647" t="s">
        <v>5413</v>
      </c>
      <c r="AB647">
        <v>1554950</v>
      </c>
      <c r="AC647" t="s">
        <v>67</v>
      </c>
      <c r="AD647" t="s">
        <v>61</v>
      </c>
      <c r="AE647" t="s">
        <v>61</v>
      </c>
      <c r="AF647" t="s">
        <v>61</v>
      </c>
      <c r="AG647" t="s">
        <v>5414</v>
      </c>
      <c r="AH647" t="s">
        <v>61</v>
      </c>
      <c r="AI647" t="s">
        <v>61</v>
      </c>
      <c r="AJ647" t="s">
        <v>61</v>
      </c>
      <c r="AK647" t="s">
        <v>61</v>
      </c>
      <c r="AL647" t="s">
        <v>61</v>
      </c>
      <c r="AM647" t="s">
        <v>5415</v>
      </c>
      <c r="AN647" t="s">
        <v>61</v>
      </c>
      <c r="AO647" t="s">
        <v>61</v>
      </c>
      <c r="AP647" t="s">
        <v>61</v>
      </c>
      <c r="AQ647" t="s">
        <v>61</v>
      </c>
      <c r="AR647" t="s">
        <v>61</v>
      </c>
      <c r="AS647" t="s">
        <v>61</v>
      </c>
      <c r="AT647" t="s">
        <v>61</v>
      </c>
      <c r="AU647" t="s">
        <v>61</v>
      </c>
      <c r="AV647" t="s">
        <v>61</v>
      </c>
      <c r="AW647" t="s">
        <v>61</v>
      </c>
      <c r="AX647" t="s">
        <v>61</v>
      </c>
      <c r="AY647" t="s">
        <v>61</v>
      </c>
      <c r="AZ647" t="s">
        <v>61</v>
      </c>
      <c r="BA647" t="s">
        <v>61</v>
      </c>
      <c r="BB647" t="s">
        <v>61</v>
      </c>
      <c r="BC647" t="s">
        <v>61</v>
      </c>
      <c r="BD647" t="s">
        <v>61</v>
      </c>
      <c r="BE647" t="s">
        <v>61</v>
      </c>
      <c r="BF647" t="s">
        <v>61</v>
      </c>
    </row>
    <row r="648" spans="1:58">
      <c r="A648" t="s">
        <v>58</v>
      </c>
      <c r="B648" t="s">
        <v>5416</v>
      </c>
      <c r="C648" t="s">
        <v>5417</v>
      </c>
      <c r="D648" t="s">
        <v>5418</v>
      </c>
      <c r="E648" t="s">
        <v>5419</v>
      </c>
      <c r="F648">
        <v>2002</v>
      </c>
      <c r="G648" t="s">
        <v>61</v>
      </c>
      <c r="H648">
        <v>32</v>
      </c>
      <c r="I648">
        <v>1</v>
      </c>
      <c r="J648">
        <v>231</v>
      </c>
      <c r="K648">
        <v>264</v>
      </c>
      <c r="L648" t="s">
        <v>5420</v>
      </c>
      <c r="M648" t="s">
        <v>5421</v>
      </c>
      <c r="N648" t="s">
        <v>5422</v>
      </c>
      <c r="O648" t="s">
        <v>61</v>
      </c>
      <c r="Q648" t="s">
        <v>61</v>
      </c>
      <c r="R648" t="s">
        <v>61</v>
      </c>
      <c r="S648" t="s">
        <v>61</v>
      </c>
      <c r="T648" t="s">
        <v>61</v>
      </c>
      <c r="X648" t="s">
        <v>61</v>
      </c>
      <c r="Y648" t="s">
        <v>5423</v>
      </c>
      <c r="Z648" t="s">
        <v>61</v>
      </c>
      <c r="AA648" t="s">
        <v>61</v>
      </c>
      <c r="AB648">
        <v>2002163665</v>
      </c>
      <c r="AC648" t="s">
        <v>67</v>
      </c>
      <c r="AD648" t="s">
        <v>61</v>
      </c>
      <c r="AE648" t="s">
        <v>61</v>
      </c>
      <c r="AF648" t="s">
        <v>61</v>
      </c>
      <c r="AG648" t="s">
        <v>61</v>
      </c>
      <c r="AH648" t="s">
        <v>61</v>
      </c>
      <c r="AI648" t="s">
        <v>61</v>
      </c>
      <c r="AJ648" t="s">
        <v>61</v>
      </c>
      <c r="AK648" t="s">
        <v>61</v>
      </c>
      <c r="AL648" t="s">
        <v>61</v>
      </c>
      <c r="AM648" t="s">
        <v>5417</v>
      </c>
      <c r="AN648" t="s">
        <v>61</v>
      </c>
      <c r="AO648" t="s">
        <v>61</v>
      </c>
      <c r="AP648" t="s">
        <v>61</v>
      </c>
      <c r="AQ648" t="s">
        <v>61</v>
      </c>
      <c r="AR648" t="s">
        <v>61</v>
      </c>
      <c r="AS648" t="s">
        <v>61</v>
      </c>
      <c r="AT648" t="s">
        <v>61</v>
      </c>
      <c r="AU648" t="s">
        <v>61</v>
      </c>
      <c r="AV648" t="s">
        <v>61</v>
      </c>
      <c r="AW648" t="s">
        <v>61</v>
      </c>
      <c r="AX648" t="s">
        <v>61</v>
      </c>
      <c r="AY648" t="s">
        <v>61</v>
      </c>
      <c r="AZ648" t="s">
        <v>61</v>
      </c>
      <c r="BA648" t="s">
        <v>61</v>
      </c>
      <c r="BB648" t="s">
        <v>61</v>
      </c>
      <c r="BC648" t="s">
        <v>61</v>
      </c>
      <c r="BD648" t="s">
        <v>61</v>
      </c>
      <c r="BE648" t="s">
        <v>61</v>
      </c>
      <c r="BF648" t="s">
        <v>61</v>
      </c>
    </row>
    <row r="649" spans="1:58">
      <c r="A649" t="s">
        <v>58</v>
      </c>
      <c r="B649" t="s">
        <v>5424</v>
      </c>
      <c r="C649" t="s">
        <v>5425</v>
      </c>
      <c r="D649" t="s">
        <v>966</v>
      </c>
      <c r="E649" t="s">
        <v>967</v>
      </c>
      <c r="F649">
        <v>2013</v>
      </c>
      <c r="G649" t="s">
        <v>61</v>
      </c>
      <c r="H649">
        <v>33</v>
      </c>
      <c r="I649">
        <v>9</v>
      </c>
      <c r="J649">
        <v>992</v>
      </c>
      <c r="K649" t="s">
        <v>5426</v>
      </c>
      <c r="L649" t="s">
        <v>5427</v>
      </c>
      <c r="M649" t="s">
        <v>5428</v>
      </c>
      <c r="N649" t="s">
        <v>5429</v>
      </c>
      <c r="O649" t="s">
        <v>61</v>
      </c>
      <c r="Q649" t="s">
        <v>61</v>
      </c>
      <c r="R649" t="s">
        <v>61</v>
      </c>
      <c r="S649" t="s">
        <v>61</v>
      </c>
      <c r="T649" t="s">
        <v>61</v>
      </c>
      <c r="X649" t="s">
        <v>61</v>
      </c>
      <c r="Y649" t="s">
        <v>971</v>
      </c>
      <c r="Z649" t="s">
        <v>61</v>
      </c>
      <c r="AA649" t="s">
        <v>5430</v>
      </c>
      <c r="AB649">
        <v>104218439</v>
      </c>
      <c r="AC649" t="s">
        <v>67</v>
      </c>
      <c r="AD649" t="s">
        <v>61</v>
      </c>
      <c r="AE649" t="s">
        <v>61</v>
      </c>
      <c r="AF649" t="s">
        <v>61</v>
      </c>
      <c r="AG649" t="s">
        <v>5431</v>
      </c>
      <c r="AH649" t="s">
        <v>61</v>
      </c>
      <c r="AI649" t="s">
        <v>5432</v>
      </c>
      <c r="AJ649" t="s">
        <v>61</v>
      </c>
      <c r="AK649" t="s">
        <v>61</v>
      </c>
      <c r="AL649" t="s">
        <v>61</v>
      </c>
      <c r="AM649" t="s">
        <v>5433</v>
      </c>
      <c r="AN649" t="s">
        <v>61</v>
      </c>
      <c r="AO649" t="s">
        <v>61</v>
      </c>
      <c r="AP649" t="s">
        <v>61</v>
      </c>
      <c r="AQ649" t="s">
        <v>61</v>
      </c>
      <c r="AR649" t="s">
        <v>61</v>
      </c>
      <c r="AS649" t="s">
        <v>61</v>
      </c>
      <c r="AT649" t="s">
        <v>61</v>
      </c>
      <c r="AU649" t="s">
        <v>61</v>
      </c>
      <c r="AV649" t="s">
        <v>61</v>
      </c>
      <c r="AW649" t="s">
        <v>61</v>
      </c>
      <c r="AX649" t="s">
        <v>61</v>
      </c>
      <c r="AY649" t="s">
        <v>61</v>
      </c>
      <c r="AZ649" t="s">
        <v>61</v>
      </c>
      <c r="BA649" t="s">
        <v>61</v>
      </c>
      <c r="BB649" t="s">
        <v>61</v>
      </c>
      <c r="BC649" t="s">
        <v>61</v>
      </c>
      <c r="BD649" t="s">
        <v>61</v>
      </c>
      <c r="BE649" t="s">
        <v>61</v>
      </c>
      <c r="BF649" t="s">
        <v>61</v>
      </c>
    </row>
    <row r="650" spans="1:58">
      <c r="A650" t="s">
        <v>58</v>
      </c>
      <c r="B650" t="s">
        <v>5434</v>
      </c>
      <c r="C650" t="s">
        <v>5435</v>
      </c>
      <c r="D650" t="s">
        <v>428</v>
      </c>
      <c r="E650" t="s">
        <v>61</v>
      </c>
      <c r="F650">
        <v>2011</v>
      </c>
      <c r="G650" t="s">
        <v>429</v>
      </c>
      <c r="H650">
        <v>24</v>
      </c>
      <c r="I650">
        <v>2</v>
      </c>
      <c r="J650">
        <v>265</v>
      </c>
      <c r="K650">
        <v>266</v>
      </c>
      <c r="L650" t="s">
        <v>5436</v>
      </c>
      <c r="M650" t="s">
        <v>5437</v>
      </c>
      <c r="N650" t="s">
        <v>5438</v>
      </c>
      <c r="O650" t="s">
        <v>61</v>
      </c>
      <c r="Q650" t="s">
        <v>61</v>
      </c>
      <c r="R650" t="s">
        <v>61</v>
      </c>
      <c r="S650" t="s">
        <v>61</v>
      </c>
      <c r="T650" t="s">
        <v>61</v>
      </c>
      <c r="X650" t="s">
        <v>61</v>
      </c>
      <c r="Y650" t="s">
        <v>433</v>
      </c>
      <c r="Z650" t="s">
        <v>61</v>
      </c>
      <c r="AA650" t="s">
        <v>61</v>
      </c>
      <c r="AB650" t="s">
        <v>61</v>
      </c>
      <c r="AC650" t="s">
        <v>67</v>
      </c>
      <c r="AD650" t="s">
        <v>61</v>
      </c>
      <c r="AE650" t="s">
        <v>61</v>
      </c>
      <c r="AF650" t="s">
        <v>61</v>
      </c>
      <c r="AG650" t="s">
        <v>61</v>
      </c>
      <c r="AH650" t="s">
        <v>61</v>
      </c>
      <c r="AI650" t="s">
        <v>61</v>
      </c>
      <c r="AJ650" t="s">
        <v>61</v>
      </c>
      <c r="AK650" t="s">
        <v>61</v>
      </c>
      <c r="AL650" t="s">
        <v>61</v>
      </c>
      <c r="AM650" t="s">
        <v>5435</v>
      </c>
      <c r="AN650" t="s">
        <v>61</v>
      </c>
      <c r="AO650" t="s">
        <v>61</v>
      </c>
      <c r="AP650" t="s">
        <v>61</v>
      </c>
      <c r="AQ650" t="s">
        <v>61</v>
      </c>
      <c r="AR650" t="s">
        <v>61</v>
      </c>
      <c r="AS650" t="s">
        <v>61</v>
      </c>
      <c r="AT650" t="s">
        <v>61</v>
      </c>
      <c r="AU650" t="s">
        <v>61</v>
      </c>
      <c r="AV650" t="s">
        <v>61</v>
      </c>
      <c r="AW650" t="s">
        <v>61</v>
      </c>
      <c r="AX650" t="s">
        <v>61</v>
      </c>
      <c r="AY650" t="s">
        <v>61</v>
      </c>
      <c r="AZ650" t="s">
        <v>61</v>
      </c>
      <c r="BA650" t="s">
        <v>61</v>
      </c>
      <c r="BB650" t="s">
        <v>61</v>
      </c>
      <c r="BC650" t="s">
        <v>61</v>
      </c>
      <c r="BD650" t="s">
        <v>61</v>
      </c>
      <c r="BE650" t="s">
        <v>61</v>
      </c>
      <c r="BF650" t="s">
        <v>61</v>
      </c>
    </row>
    <row r="651" spans="1:58">
      <c r="A651" t="s">
        <v>58</v>
      </c>
      <c r="B651" t="s">
        <v>5439</v>
      </c>
      <c r="C651" t="s">
        <v>5440</v>
      </c>
      <c r="D651" t="s">
        <v>5441</v>
      </c>
      <c r="E651" t="s">
        <v>5441</v>
      </c>
      <c r="F651">
        <v>2015</v>
      </c>
      <c r="G651" t="s">
        <v>85</v>
      </c>
      <c r="H651">
        <v>75</v>
      </c>
      <c r="I651">
        <v>5</v>
      </c>
      <c r="J651">
        <v>445</v>
      </c>
      <c r="K651">
        <v>454</v>
      </c>
      <c r="L651" t="s">
        <v>5442</v>
      </c>
      <c r="M651" t="s">
        <v>5443</v>
      </c>
      <c r="N651" t="s">
        <v>5444</v>
      </c>
      <c r="O651" t="s">
        <v>61</v>
      </c>
      <c r="Q651" t="s">
        <v>61</v>
      </c>
      <c r="R651" t="s">
        <v>61</v>
      </c>
      <c r="S651" t="s">
        <v>61</v>
      </c>
      <c r="T651" t="s">
        <v>61</v>
      </c>
      <c r="X651" t="s">
        <v>61</v>
      </c>
      <c r="Y651" s="2">
        <v>1741447</v>
      </c>
      <c r="Z651" t="s">
        <v>61</v>
      </c>
      <c r="AA651" t="s">
        <v>5445</v>
      </c>
      <c r="AB651">
        <v>25792300</v>
      </c>
      <c r="AC651" t="s">
        <v>67</v>
      </c>
      <c r="AD651" t="s">
        <v>61</v>
      </c>
      <c r="AE651" t="s">
        <v>61</v>
      </c>
      <c r="AF651" t="s">
        <v>61</v>
      </c>
      <c r="AG651" t="s">
        <v>5446</v>
      </c>
      <c r="AH651" t="s">
        <v>61</v>
      </c>
      <c r="AI651" t="s">
        <v>5447</v>
      </c>
      <c r="AJ651" t="s">
        <v>61</v>
      </c>
      <c r="AK651" t="s">
        <v>61</v>
      </c>
      <c r="AL651" t="s">
        <v>61</v>
      </c>
      <c r="AM651" t="s">
        <v>5448</v>
      </c>
      <c r="AN651" t="s">
        <v>61</v>
      </c>
      <c r="AO651" t="s">
        <v>61</v>
      </c>
      <c r="AP651" t="s">
        <v>61</v>
      </c>
      <c r="AQ651" t="s">
        <v>61</v>
      </c>
      <c r="AR651" t="s">
        <v>61</v>
      </c>
      <c r="AS651" t="s">
        <v>61</v>
      </c>
      <c r="AT651" t="s">
        <v>61</v>
      </c>
      <c r="AU651" t="s">
        <v>61</v>
      </c>
      <c r="AV651" t="s">
        <v>61</v>
      </c>
      <c r="AW651" t="s">
        <v>61</v>
      </c>
      <c r="AX651" t="s">
        <v>61</v>
      </c>
      <c r="AY651" t="s">
        <v>61</v>
      </c>
      <c r="AZ651" t="s">
        <v>61</v>
      </c>
      <c r="BA651" t="s">
        <v>61</v>
      </c>
      <c r="BB651" t="s">
        <v>61</v>
      </c>
      <c r="BC651" t="s">
        <v>61</v>
      </c>
      <c r="BD651" t="s">
        <v>61</v>
      </c>
      <c r="BE651" t="s">
        <v>61</v>
      </c>
      <c r="BF651" t="s">
        <v>61</v>
      </c>
    </row>
    <row r="652" spans="1:58">
      <c r="A652" t="s">
        <v>58</v>
      </c>
      <c r="B652" t="s">
        <v>5449</v>
      </c>
      <c r="C652" t="s">
        <v>5450</v>
      </c>
      <c r="D652" t="s">
        <v>669</v>
      </c>
      <c r="E652" t="s">
        <v>61</v>
      </c>
      <c r="F652">
        <v>2015</v>
      </c>
      <c r="G652" t="s">
        <v>280</v>
      </c>
      <c r="H652">
        <v>59</v>
      </c>
      <c r="I652" t="s">
        <v>61</v>
      </c>
      <c r="J652">
        <v>184</v>
      </c>
      <c r="K652">
        <v>200</v>
      </c>
      <c r="L652" t="s">
        <v>61</v>
      </c>
      <c r="M652" t="s">
        <v>5451</v>
      </c>
      <c r="N652" t="s">
        <v>5452</v>
      </c>
      <c r="O652" t="s">
        <v>61</v>
      </c>
      <c r="Q652" t="s">
        <v>61</v>
      </c>
      <c r="R652" t="s">
        <v>61</v>
      </c>
      <c r="S652" t="s">
        <v>61</v>
      </c>
      <c r="T652" t="s">
        <v>61</v>
      </c>
      <c r="X652" t="s">
        <v>61</v>
      </c>
      <c r="Y652" t="s">
        <v>5453</v>
      </c>
      <c r="Z652" t="s">
        <v>61</v>
      </c>
      <c r="AA652" t="s">
        <v>5454</v>
      </c>
      <c r="AB652">
        <v>26449761</v>
      </c>
      <c r="AC652" t="s">
        <v>67</v>
      </c>
      <c r="AD652" t="s">
        <v>61</v>
      </c>
      <c r="AE652" t="s">
        <v>61</v>
      </c>
      <c r="AF652" t="s">
        <v>61</v>
      </c>
      <c r="AG652" t="s">
        <v>5455</v>
      </c>
      <c r="AH652" t="s">
        <v>61</v>
      </c>
      <c r="AI652" t="s">
        <v>5456</v>
      </c>
      <c r="AJ652" t="s">
        <v>61</v>
      </c>
      <c r="AK652" t="s">
        <v>61</v>
      </c>
      <c r="AL652" t="s">
        <v>61</v>
      </c>
      <c r="AM652" t="s">
        <v>5457</v>
      </c>
      <c r="AN652" t="s">
        <v>61</v>
      </c>
      <c r="AO652" t="s">
        <v>61</v>
      </c>
      <c r="AP652" t="s">
        <v>61</v>
      </c>
      <c r="AQ652" t="s">
        <v>61</v>
      </c>
      <c r="AR652" t="s">
        <v>61</v>
      </c>
      <c r="AS652" t="s">
        <v>61</v>
      </c>
      <c r="AT652" t="s">
        <v>61</v>
      </c>
      <c r="AU652" t="s">
        <v>61</v>
      </c>
      <c r="AV652" t="s">
        <v>61</v>
      </c>
      <c r="AW652" t="s">
        <v>61</v>
      </c>
      <c r="AX652" t="s">
        <v>61</v>
      </c>
      <c r="AY652" t="s">
        <v>61</v>
      </c>
      <c r="AZ652" t="s">
        <v>61</v>
      </c>
      <c r="BA652" t="s">
        <v>61</v>
      </c>
      <c r="BB652" t="s">
        <v>61</v>
      </c>
      <c r="BC652" t="s">
        <v>61</v>
      </c>
      <c r="BD652" t="s">
        <v>61</v>
      </c>
      <c r="BE652" t="s">
        <v>61</v>
      </c>
      <c r="BF652" t="s">
        <v>61</v>
      </c>
    </row>
    <row r="653" spans="1:58">
      <c r="A653" t="s">
        <v>58</v>
      </c>
      <c r="B653" t="s">
        <v>5458</v>
      </c>
      <c r="C653" t="s">
        <v>5459</v>
      </c>
      <c r="D653" t="s">
        <v>5460</v>
      </c>
      <c r="E653" t="s">
        <v>61</v>
      </c>
      <c r="F653">
        <v>2009</v>
      </c>
      <c r="G653" t="s">
        <v>61</v>
      </c>
      <c r="H653">
        <v>1</v>
      </c>
      <c r="I653" t="s">
        <v>61</v>
      </c>
      <c r="J653">
        <v>73</v>
      </c>
      <c r="K653">
        <v>80</v>
      </c>
      <c r="L653" t="s">
        <v>61</v>
      </c>
      <c r="M653" t="s">
        <v>5461</v>
      </c>
      <c r="N653" t="s">
        <v>5462</v>
      </c>
      <c r="O653" t="s">
        <v>61</v>
      </c>
      <c r="Q653" t="s">
        <v>61</v>
      </c>
      <c r="R653" t="s">
        <v>61</v>
      </c>
      <c r="S653" t="s">
        <v>61</v>
      </c>
      <c r="T653" t="s">
        <v>61</v>
      </c>
      <c r="X653" t="s">
        <v>61</v>
      </c>
      <c r="Y653" t="s">
        <v>5463</v>
      </c>
      <c r="Z653" t="s">
        <v>61</v>
      </c>
      <c r="AA653" t="s">
        <v>5464</v>
      </c>
      <c r="AB653">
        <v>21701611</v>
      </c>
      <c r="AC653" t="s">
        <v>67</v>
      </c>
      <c r="AD653" t="s">
        <v>61</v>
      </c>
      <c r="AE653" t="s">
        <v>61</v>
      </c>
      <c r="AF653" t="s">
        <v>61</v>
      </c>
      <c r="AG653" t="s">
        <v>5465</v>
      </c>
      <c r="AH653" t="s">
        <v>61</v>
      </c>
      <c r="AI653" t="s">
        <v>61</v>
      </c>
      <c r="AJ653" t="s">
        <v>61</v>
      </c>
      <c r="AK653" t="s">
        <v>61</v>
      </c>
      <c r="AL653" t="s">
        <v>61</v>
      </c>
      <c r="AM653" t="s">
        <v>5466</v>
      </c>
      <c r="AN653" t="s">
        <v>61</v>
      </c>
      <c r="AO653" t="s">
        <v>61</v>
      </c>
      <c r="AP653" t="s">
        <v>61</v>
      </c>
      <c r="AQ653" t="s">
        <v>61</v>
      </c>
      <c r="AR653" t="s">
        <v>61</v>
      </c>
      <c r="AS653" t="s">
        <v>61</v>
      </c>
      <c r="AT653" t="s">
        <v>61</v>
      </c>
      <c r="AU653" t="s">
        <v>61</v>
      </c>
      <c r="AV653" t="s">
        <v>61</v>
      </c>
      <c r="AW653" t="s">
        <v>61</v>
      </c>
      <c r="AX653" t="s">
        <v>61</v>
      </c>
      <c r="AY653" t="s">
        <v>61</v>
      </c>
      <c r="AZ653" t="s">
        <v>61</v>
      </c>
      <c r="BA653" t="s">
        <v>61</v>
      </c>
      <c r="BB653" t="s">
        <v>61</v>
      </c>
      <c r="BC653" t="s">
        <v>61</v>
      </c>
      <c r="BD653" t="s">
        <v>61</v>
      </c>
      <c r="BE653" t="s">
        <v>61</v>
      </c>
      <c r="BF653" t="s">
        <v>61</v>
      </c>
    </row>
    <row r="654" spans="1:58">
      <c r="A654" t="s">
        <v>58</v>
      </c>
      <c r="B654" t="s">
        <v>5467</v>
      </c>
      <c r="C654" t="s">
        <v>5468</v>
      </c>
      <c r="D654" t="s">
        <v>2139</v>
      </c>
      <c r="E654" t="s">
        <v>2140</v>
      </c>
      <c r="F654">
        <v>2004</v>
      </c>
      <c r="G654" t="s">
        <v>1152</v>
      </c>
      <c r="H654">
        <v>59</v>
      </c>
      <c r="I654">
        <v>6</v>
      </c>
      <c r="J654">
        <v>1307</v>
      </c>
      <c r="K654">
        <v>1313</v>
      </c>
      <c r="L654" t="s">
        <v>5469</v>
      </c>
      <c r="M654" t="s">
        <v>5470</v>
      </c>
      <c r="N654" t="s">
        <v>5471</v>
      </c>
      <c r="O654" t="s">
        <v>61</v>
      </c>
      <c r="Q654" t="s">
        <v>61</v>
      </c>
      <c r="R654" t="s">
        <v>61</v>
      </c>
      <c r="S654" t="s">
        <v>61</v>
      </c>
      <c r="T654" t="s">
        <v>61</v>
      </c>
      <c r="X654" t="s">
        <v>61</v>
      </c>
      <c r="Y654" t="s">
        <v>5472</v>
      </c>
      <c r="Z654" t="s">
        <v>61</v>
      </c>
      <c r="AA654" t="s">
        <v>5473</v>
      </c>
      <c r="AB654">
        <v>15210101</v>
      </c>
      <c r="AC654" t="s">
        <v>67</v>
      </c>
      <c r="AD654" t="s">
        <v>61</v>
      </c>
      <c r="AE654" t="s">
        <v>61</v>
      </c>
      <c r="AF654" t="s">
        <v>61</v>
      </c>
      <c r="AG654" t="s">
        <v>5474</v>
      </c>
      <c r="AH654" t="s">
        <v>61</v>
      </c>
      <c r="AI654" t="s">
        <v>61</v>
      </c>
      <c r="AJ654" t="s">
        <v>61</v>
      </c>
      <c r="AK654" t="s">
        <v>61</v>
      </c>
      <c r="AL654" t="s">
        <v>61</v>
      </c>
      <c r="AM654" t="s">
        <v>5475</v>
      </c>
      <c r="AN654" t="s">
        <v>61</v>
      </c>
      <c r="AO654" t="s">
        <v>61</v>
      </c>
      <c r="AP654" t="s">
        <v>61</v>
      </c>
      <c r="AQ654" t="s">
        <v>61</v>
      </c>
      <c r="AR654" t="s">
        <v>61</v>
      </c>
      <c r="AS654" t="s">
        <v>61</v>
      </c>
      <c r="AT654" t="s">
        <v>61</v>
      </c>
      <c r="AU654" t="s">
        <v>61</v>
      </c>
      <c r="AV654" t="s">
        <v>61</v>
      </c>
      <c r="AW654" t="s">
        <v>61</v>
      </c>
      <c r="AX654" t="s">
        <v>61</v>
      </c>
      <c r="AY654" t="s">
        <v>61</v>
      </c>
      <c r="AZ654" t="s">
        <v>61</v>
      </c>
      <c r="BA654" t="s">
        <v>61</v>
      </c>
      <c r="BB654" t="s">
        <v>61</v>
      </c>
      <c r="BC654" t="s">
        <v>61</v>
      </c>
      <c r="BD654" t="s">
        <v>61</v>
      </c>
      <c r="BE654" t="s">
        <v>61</v>
      </c>
      <c r="BF654" t="s">
        <v>61</v>
      </c>
    </row>
    <row r="655" spans="1:58">
      <c r="A655" t="s">
        <v>58</v>
      </c>
      <c r="B655" t="s">
        <v>5476</v>
      </c>
      <c r="C655" t="s">
        <v>5477</v>
      </c>
      <c r="D655" t="s">
        <v>609</v>
      </c>
      <c r="E655" t="s">
        <v>61</v>
      </c>
      <c r="F655">
        <v>2013</v>
      </c>
      <c r="G655" t="s">
        <v>61</v>
      </c>
      <c r="H655">
        <v>12</v>
      </c>
      <c r="I655">
        <v>4</v>
      </c>
      <c r="J655">
        <v>469</v>
      </c>
      <c r="K655">
        <v>476</v>
      </c>
      <c r="L655" t="s">
        <v>5478</v>
      </c>
      <c r="M655" t="s">
        <v>5479</v>
      </c>
      <c r="N655" t="s">
        <v>5480</v>
      </c>
      <c r="O655" t="s">
        <v>61</v>
      </c>
      <c r="Q655" t="s">
        <v>61</v>
      </c>
      <c r="R655" t="s">
        <v>61</v>
      </c>
      <c r="S655" t="s">
        <v>61</v>
      </c>
      <c r="T655" t="s">
        <v>61</v>
      </c>
      <c r="X655" t="s">
        <v>61</v>
      </c>
      <c r="Y655" t="s">
        <v>613</v>
      </c>
      <c r="Z655" t="s">
        <v>61</v>
      </c>
      <c r="AA655" t="s">
        <v>61</v>
      </c>
      <c r="AB655" t="s">
        <v>5481</v>
      </c>
      <c r="AC655" t="s">
        <v>67</v>
      </c>
      <c r="AD655" t="s">
        <v>61</v>
      </c>
      <c r="AE655" t="s">
        <v>61</v>
      </c>
      <c r="AF655" t="s">
        <v>61</v>
      </c>
      <c r="AG655" t="s">
        <v>61</v>
      </c>
      <c r="AH655" t="s">
        <v>61</v>
      </c>
      <c r="AI655" t="s">
        <v>61</v>
      </c>
      <c r="AJ655" t="s">
        <v>61</v>
      </c>
      <c r="AK655" t="s">
        <v>61</v>
      </c>
      <c r="AL655" t="s">
        <v>61</v>
      </c>
      <c r="AM655" t="s">
        <v>5477</v>
      </c>
      <c r="AN655" t="s">
        <v>61</v>
      </c>
      <c r="AO655" t="s">
        <v>61</v>
      </c>
      <c r="AP655" t="s">
        <v>61</v>
      </c>
      <c r="AQ655" t="s">
        <v>61</v>
      </c>
      <c r="AR655" t="s">
        <v>61</v>
      </c>
      <c r="AS655" t="s">
        <v>61</v>
      </c>
      <c r="AT655" t="s">
        <v>61</v>
      </c>
      <c r="AU655" t="s">
        <v>61</v>
      </c>
      <c r="AV655" t="s">
        <v>61</v>
      </c>
      <c r="AW655" t="s">
        <v>61</v>
      </c>
      <c r="AX655" t="s">
        <v>61</v>
      </c>
      <c r="AY655" t="s">
        <v>61</v>
      </c>
      <c r="AZ655" t="s">
        <v>61</v>
      </c>
      <c r="BA655" t="s">
        <v>61</v>
      </c>
      <c r="BB655" t="s">
        <v>61</v>
      </c>
      <c r="BC655" t="s">
        <v>61</v>
      </c>
      <c r="BD655" t="s">
        <v>61</v>
      </c>
      <c r="BE655" t="s">
        <v>61</v>
      </c>
      <c r="BF655" t="s">
        <v>61</v>
      </c>
    </row>
    <row r="656" spans="1:58">
      <c r="A656" t="s">
        <v>58</v>
      </c>
      <c r="B656" t="s">
        <v>5482</v>
      </c>
      <c r="C656" t="s">
        <v>5483</v>
      </c>
      <c r="D656" t="s">
        <v>373</v>
      </c>
      <c r="E656" t="s">
        <v>61</v>
      </c>
      <c r="F656">
        <v>2007</v>
      </c>
      <c r="G656" t="s">
        <v>5484</v>
      </c>
      <c r="H656">
        <v>6</v>
      </c>
      <c r="I656">
        <v>3</v>
      </c>
      <c r="J656">
        <v>185</v>
      </c>
      <c r="K656">
        <v>191</v>
      </c>
      <c r="L656" t="s">
        <v>5485</v>
      </c>
      <c r="M656" t="s">
        <v>5486</v>
      </c>
      <c r="N656" t="s">
        <v>5487</v>
      </c>
      <c r="O656" t="s">
        <v>61</v>
      </c>
      <c r="Q656" t="s">
        <v>61</v>
      </c>
      <c r="R656" t="s">
        <v>61</v>
      </c>
      <c r="S656" t="s">
        <v>61</v>
      </c>
      <c r="T656" t="s">
        <v>61</v>
      </c>
      <c r="X656" t="s">
        <v>61</v>
      </c>
      <c r="Y656" t="s">
        <v>377</v>
      </c>
      <c r="Z656" t="s">
        <v>61</v>
      </c>
      <c r="AA656" t="s">
        <v>61</v>
      </c>
      <c r="AB656">
        <v>2008022463</v>
      </c>
      <c r="AC656" t="s">
        <v>67</v>
      </c>
      <c r="AD656" t="s">
        <v>61</v>
      </c>
      <c r="AE656" t="s">
        <v>61</v>
      </c>
      <c r="AF656" t="s">
        <v>61</v>
      </c>
      <c r="AG656" t="s">
        <v>61</v>
      </c>
      <c r="AH656" t="s">
        <v>61</v>
      </c>
      <c r="AI656" t="s">
        <v>61</v>
      </c>
      <c r="AJ656" t="s">
        <v>61</v>
      </c>
      <c r="AK656" t="s">
        <v>61</v>
      </c>
      <c r="AL656" t="s">
        <v>61</v>
      </c>
      <c r="AM656" t="s">
        <v>5483</v>
      </c>
      <c r="AN656" t="s">
        <v>61</v>
      </c>
      <c r="AO656" t="s">
        <v>61</v>
      </c>
      <c r="AP656" t="s">
        <v>61</v>
      </c>
      <c r="AQ656" t="s">
        <v>61</v>
      </c>
      <c r="AR656" t="s">
        <v>61</v>
      </c>
      <c r="AS656" t="s">
        <v>61</v>
      </c>
      <c r="AT656" t="s">
        <v>61</v>
      </c>
      <c r="AU656" t="s">
        <v>61</v>
      </c>
      <c r="AV656" t="s">
        <v>61</v>
      </c>
      <c r="AW656" t="s">
        <v>61</v>
      </c>
      <c r="AX656" t="s">
        <v>61</v>
      </c>
      <c r="AY656" t="s">
        <v>61</v>
      </c>
      <c r="AZ656" t="s">
        <v>61</v>
      </c>
      <c r="BA656" t="s">
        <v>61</v>
      </c>
      <c r="BB656" t="s">
        <v>61</v>
      </c>
      <c r="BC656" t="s">
        <v>61</v>
      </c>
      <c r="BD656" t="s">
        <v>61</v>
      </c>
      <c r="BE656" t="s">
        <v>61</v>
      </c>
      <c r="BF656" t="s">
        <v>61</v>
      </c>
    </row>
    <row r="657" spans="1:58">
      <c r="A657" t="s">
        <v>58</v>
      </c>
      <c r="B657" t="s">
        <v>5488</v>
      </c>
      <c r="C657" t="s">
        <v>5489</v>
      </c>
      <c r="D657" t="s">
        <v>2808</v>
      </c>
      <c r="E657" t="s">
        <v>61</v>
      </c>
      <c r="F657">
        <v>2003</v>
      </c>
      <c r="G657" t="s">
        <v>61</v>
      </c>
      <c r="H657" t="s">
        <v>61</v>
      </c>
      <c r="I657" t="s">
        <v>61</v>
      </c>
      <c r="J657">
        <v>280</v>
      </c>
      <c r="K657" t="s">
        <v>5490</v>
      </c>
      <c r="L657" t="s">
        <v>5491</v>
      </c>
      <c r="M657" t="s">
        <v>5492</v>
      </c>
      <c r="N657" t="s">
        <v>5493</v>
      </c>
      <c r="O657" t="s">
        <v>61</v>
      </c>
      <c r="Q657" t="s">
        <v>61</v>
      </c>
      <c r="R657" t="s">
        <v>61</v>
      </c>
      <c r="S657" t="s">
        <v>61</v>
      </c>
      <c r="T657" t="s">
        <v>61</v>
      </c>
      <c r="X657" t="s">
        <v>61</v>
      </c>
      <c r="Y657" t="s">
        <v>5494</v>
      </c>
      <c r="Z657" t="s">
        <v>61</v>
      </c>
      <c r="AA657" t="s">
        <v>5495</v>
      </c>
      <c r="AB657">
        <v>106702846</v>
      </c>
      <c r="AC657" t="s">
        <v>67</v>
      </c>
      <c r="AD657" t="s">
        <v>61</v>
      </c>
      <c r="AE657" t="s">
        <v>61</v>
      </c>
      <c r="AF657" t="s">
        <v>61</v>
      </c>
      <c r="AG657" t="s">
        <v>5496</v>
      </c>
      <c r="AH657" t="s">
        <v>61</v>
      </c>
      <c r="AI657" t="s">
        <v>61</v>
      </c>
      <c r="AJ657" t="s">
        <v>61</v>
      </c>
      <c r="AK657" t="s">
        <v>61</v>
      </c>
      <c r="AL657" t="s">
        <v>61</v>
      </c>
      <c r="AM657" t="s">
        <v>5497</v>
      </c>
      <c r="AN657" t="s">
        <v>61</v>
      </c>
      <c r="AO657" t="s">
        <v>61</v>
      </c>
      <c r="AP657" t="s">
        <v>61</v>
      </c>
      <c r="AQ657" t="s">
        <v>61</v>
      </c>
      <c r="AR657" t="s">
        <v>61</v>
      </c>
      <c r="AS657" t="s">
        <v>61</v>
      </c>
      <c r="AT657" t="s">
        <v>61</v>
      </c>
      <c r="AU657" t="s">
        <v>61</v>
      </c>
      <c r="AV657" t="s">
        <v>61</v>
      </c>
      <c r="AW657" t="s">
        <v>61</v>
      </c>
      <c r="AX657" t="s">
        <v>61</v>
      </c>
      <c r="AY657" t="s">
        <v>61</v>
      </c>
      <c r="AZ657" t="s">
        <v>61</v>
      </c>
      <c r="BA657" t="s">
        <v>61</v>
      </c>
      <c r="BB657" t="s">
        <v>61</v>
      </c>
      <c r="BC657" t="s">
        <v>61</v>
      </c>
      <c r="BD657" t="s">
        <v>61</v>
      </c>
      <c r="BE657" t="s">
        <v>61</v>
      </c>
      <c r="BF657" t="s">
        <v>61</v>
      </c>
    </row>
    <row r="658" spans="1:58">
      <c r="A658" t="s">
        <v>58</v>
      </c>
      <c r="B658" t="s">
        <v>5498</v>
      </c>
      <c r="C658" t="s">
        <v>5499</v>
      </c>
      <c r="D658" t="s">
        <v>5500</v>
      </c>
      <c r="E658" t="s">
        <v>61</v>
      </c>
      <c r="F658">
        <v>2013</v>
      </c>
      <c r="G658" t="s">
        <v>61</v>
      </c>
      <c r="H658">
        <v>8</v>
      </c>
      <c r="I658">
        <v>12</v>
      </c>
      <c r="J658" t="s">
        <v>5501</v>
      </c>
      <c r="K658" t="s">
        <v>61</v>
      </c>
      <c r="L658" t="s">
        <v>5502</v>
      </c>
      <c r="M658" t="s">
        <v>5503</v>
      </c>
      <c r="N658" t="s">
        <v>5504</v>
      </c>
      <c r="O658" t="s">
        <v>61</v>
      </c>
      <c r="Q658" t="s">
        <v>61</v>
      </c>
      <c r="R658" t="s">
        <v>61</v>
      </c>
      <c r="S658" t="s">
        <v>61</v>
      </c>
      <c r="T658" t="s">
        <v>61</v>
      </c>
      <c r="X658" t="s">
        <v>61</v>
      </c>
      <c r="Y658" t="s">
        <v>5505</v>
      </c>
      <c r="Z658" t="s">
        <v>61</v>
      </c>
      <c r="AA658" t="s">
        <v>5506</v>
      </c>
      <c r="AB658">
        <v>24391846</v>
      </c>
      <c r="AC658" t="s">
        <v>67</v>
      </c>
      <c r="AD658" t="s">
        <v>61</v>
      </c>
      <c r="AE658" t="s">
        <v>61</v>
      </c>
      <c r="AF658" t="s">
        <v>61</v>
      </c>
      <c r="AG658" t="s">
        <v>5507</v>
      </c>
      <c r="AH658" t="s">
        <v>61</v>
      </c>
      <c r="AI658" t="s">
        <v>5508</v>
      </c>
      <c r="AJ658" t="s">
        <v>61</v>
      </c>
      <c r="AK658" t="s">
        <v>61</v>
      </c>
      <c r="AL658" t="s">
        <v>61</v>
      </c>
      <c r="AM658" t="s">
        <v>5509</v>
      </c>
      <c r="AN658" t="s">
        <v>61</v>
      </c>
      <c r="AO658" t="s">
        <v>61</v>
      </c>
      <c r="AP658" t="s">
        <v>61</v>
      </c>
      <c r="AQ658" t="s">
        <v>61</v>
      </c>
      <c r="AR658" t="s">
        <v>61</v>
      </c>
      <c r="AS658" t="s">
        <v>61</v>
      </c>
      <c r="AT658" t="s">
        <v>61</v>
      </c>
      <c r="AU658" t="s">
        <v>61</v>
      </c>
      <c r="AV658" t="s">
        <v>61</v>
      </c>
      <c r="AW658" t="s">
        <v>61</v>
      </c>
      <c r="AX658" t="s">
        <v>61</v>
      </c>
      <c r="AY658" t="s">
        <v>61</v>
      </c>
      <c r="AZ658" t="s">
        <v>61</v>
      </c>
      <c r="BA658" t="s">
        <v>61</v>
      </c>
      <c r="BB658" t="s">
        <v>61</v>
      </c>
      <c r="BC658" t="s">
        <v>61</v>
      </c>
      <c r="BD658" t="s">
        <v>61</v>
      </c>
      <c r="BE658" t="s">
        <v>61</v>
      </c>
      <c r="BF658" t="s">
        <v>61</v>
      </c>
    </row>
    <row r="659" spans="1:58">
      <c r="A659" t="s">
        <v>58</v>
      </c>
      <c r="B659" t="s">
        <v>5510</v>
      </c>
      <c r="C659" t="s">
        <v>5511</v>
      </c>
      <c r="D659" t="s">
        <v>5512</v>
      </c>
      <c r="E659" t="s">
        <v>5513</v>
      </c>
      <c r="F659">
        <v>2009</v>
      </c>
      <c r="G659" t="s">
        <v>538</v>
      </c>
      <c r="H659">
        <v>75</v>
      </c>
      <c r="I659">
        <v>4</v>
      </c>
      <c r="J659">
        <v>448</v>
      </c>
      <c r="K659">
        <v>449</v>
      </c>
      <c r="L659" t="s">
        <v>5514</v>
      </c>
      <c r="M659" t="s">
        <v>5515</v>
      </c>
      <c r="N659" t="s">
        <v>5516</v>
      </c>
      <c r="O659" t="s">
        <v>61</v>
      </c>
      <c r="Q659" t="s">
        <v>61</v>
      </c>
      <c r="R659" t="s">
        <v>61</v>
      </c>
      <c r="S659" t="s">
        <v>61</v>
      </c>
      <c r="T659" t="s">
        <v>61</v>
      </c>
      <c r="X659" t="s">
        <v>61</v>
      </c>
      <c r="Y659" t="s">
        <v>5517</v>
      </c>
      <c r="Z659" t="s">
        <v>61</v>
      </c>
      <c r="AA659" t="s">
        <v>61</v>
      </c>
      <c r="AB659" t="s">
        <v>61</v>
      </c>
      <c r="AC659" t="s">
        <v>67</v>
      </c>
      <c r="AD659" t="s">
        <v>61</v>
      </c>
      <c r="AE659" t="s">
        <v>61</v>
      </c>
      <c r="AF659" t="s">
        <v>61</v>
      </c>
      <c r="AG659" t="s">
        <v>61</v>
      </c>
      <c r="AH659" t="s">
        <v>61</v>
      </c>
      <c r="AI659" t="s">
        <v>61</v>
      </c>
      <c r="AJ659" t="s">
        <v>61</v>
      </c>
      <c r="AK659" t="s">
        <v>61</v>
      </c>
      <c r="AL659" t="s">
        <v>61</v>
      </c>
      <c r="AM659" t="s">
        <v>5511</v>
      </c>
      <c r="AN659" t="s">
        <v>61</v>
      </c>
      <c r="AO659" t="s">
        <v>61</v>
      </c>
      <c r="AP659" t="s">
        <v>61</v>
      </c>
      <c r="AQ659" t="s">
        <v>61</v>
      </c>
      <c r="AR659" t="s">
        <v>61</v>
      </c>
      <c r="AS659" t="s">
        <v>61</v>
      </c>
      <c r="AT659" t="s">
        <v>61</v>
      </c>
      <c r="AU659" t="s">
        <v>61</v>
      </c>
      <c r="AV659" t="s">
        <v>61</v>
      </c>
      <c r="AW659" t="s">
        <v>61</v>
      </c>
      <c r="AX659" t="s">
        <v>61</v>
      </c>
      <c r="AY659" t="s">
        <v>61</v>
      </c>
      <c r="AZ659" t="s">
        <v>61</v>
      </c>
      <c r="BA659" t="s">
        <v>61</v>
      </c>
      <c r="BB659" t="s">
        <v>61</v>
      </c>
      <c r="BC659" t="s">
        <v>61</v>
      </c>
      <c r="BD659" t="s">
        <v>61</v>
      </c>
      <c r="BE659" t="s">
        <v>61</v>
      </c>
      <c r="BF659" t="s">
        <v>61</v>
      </c>
    </row>
    <row r="660" spans="1:58">
      <c r="A660" t="s">
        <v>58</v>
      </c>
      <c r="B660" t="s">
        <v>5518</v>
      </c>
      <c r="C660" t="s">
        <v>5519</v>
      </c>
      <c r="D660" t="s">
        <v>5520</v>
      </c>
      <c r="E660" t="s">
        <v>61</v>
      </c>
      <c r="F660">
        <v>2005</v>
      </c>
      <c r="G660">
        <v>28</v>
      </c>
      <c r="H660">
        <v>9</v>
      </c>
      <c r="I660">
        <v>32</v>
      </c>
      <c r="J660">
        <v>230</v>
      </c>
      <c r="K660">
        <v>231</v>
      </c>
      <c r="L660" t="s">
        <v>5521</v>
      </c>
      <c r="M660" t="s">
        <v>5522</v>
      </c>
      <c r="N660" t="s">
        <v>5523</v>
      </c>
      <c r="O660" t="s">
        <v>61</v>
      </c>
      <c r="Q660" t="s">
        <v>61</v>
      </c>
      <c r="R660" t="s">
        <v>61</v>
      </c>
      <c r="S660" t="s">
        <v>61</v>
      </c>
      <c r="T660" t="s">
        <v>61</v>
      </c>
      <c r="X660" t="s">
        <v>61</v>
      </c>
      <c r="Y660" t="s">
        <v>5524</v>
      </c>
      <c r="Z660" t="s">
        <v>61</v>
      </c>
      <c r="AA660" t="s">
        <v>61</v>
      </c>
      <c r="AB660">
        <v>2005500968</v>
      </c>
      <c r="AC660" t="s">
        <v>67</v>
      </c>
      <c r="AD660" t="s">
        <v>61</v>
      </c>
      <c r="AE660" t="s">
        <v>61</v>
      </c>
      <c r="AF660" t="s">
        <v>61</v>
      </c>
      <c r="AG660" t="s">
        <v>61</v>
      </c>
      <c r="AH660" t="s">
        <v>61</v>
      </c>
      <c r="AI660" t="s">
        <v>61</v>
      </c>
      <c r="AJ660" t="s">
        <v>61</v>
      </c>
      <c r="AK660" t="s">
        <v>61</v>
      </c>
      <c r="AL660" t="s">
        <v>61</v>
      </c>
      <c r="AM660" t="s">
        <v>5519</v>
      </c>
      <c r="AN660" t="s">
        <v>61</v>
      </c>
      <c r="AO660" t="s">
        <v>61</v>
      </c>
      <c r="AP660" t="s">
        <v>61</v>
      </c>
      <c r="AQ660" t="s">
        <v>61</v>
      </c>
      <c r="AR660" t="s">
        <v>61</v>
      </c>
      <c r="AS660" t="s">
        <v>61</v>
      </c>
      <c r="AT660" t="s">
        <v>61</v>
      </c>
      <c r="AU660" t="s">
        <v>61</v>
      </c>
      <c r="AV660" t="s">
        <v>61</v>
      </c>
      <c r="AW660" t="s">
        <v>61</v>
      </c>
      <c r="AX660" t="s">
        <v>61</v>
      </c>
      <c r="AY660" t="s">
        <v>61</v>
      </c>
      <c r="AZ660" t="s">
        <v>61</v>
      </c>
      <c r="BA660" t="s">
        <v>61</v>
      </c>
      <c r="BB660" t="s">
        <v>61</v>
      </c>
      <c r="BC660" t="s">
        <v>61</v>
      </c>
      <c r="BD660" t="s">
        <v>61</v>
      </c>
      <c r="BE660" t="s">
        <v>61</v>
      </c>
      <c r="BF660" t="s">
        <v>61</v>
      </c>
    </row>
    <row r="661" spans="1:58">
      <c r="A661" t="s">
        <v>58</v>
      </c>
      <c r="B661" t="s">
        <v>5525</v>
      </c>
      <c r="C661" t="s">
        <v>5526</v>
      </c>
      <c r="D661" t="s">
        <v>5520</v>
      </c>
      <c r="E661" t="s">
        <v>61</v>
      </c>
      <c r="F661">
        <v>2006</v>
      </c>
      <c r="G661">
        <v>20</v>
      </c>
      <c r="H661">
        <v>10</v>
      </c>
      <c r="I661">
        <v>35</v>
      </c>
      <c r="J661">
        <v>172</v>
      </c>
      <c r="K661">
        <v>174</v>
      </c>
      <c r="L661" t="s">
        <v>5527</v>
      </c>
      <c r="M661" t="s">
        <v>5528</v>
      </c>
      <c r="N661" t="s">
        <v>5529</v>
      </c>
      <c r="O661" t="s">
        <v>61</v>
      </c>
      <c r="Q661" t="s">
        <v>61</v>
      </c>
      <c r="R661" t="s">
        <v>61</v>
      </c>
      <c r="S661" t="s">
        <v>61</v>
      </c>
      <c r="T661" t="s">
        <v>61</v>
      </c>
      <c r="X661" t="s">
        <v>61</v>
      </c>
      <c r="Y661" t="s">
        <v>5524</v>
      </c>
      <c r="Z661" t="s">
        <v>61</v>
      </c>
      <c r="AA661" t="s">
        <v>61</v>
      </c>
      <c r="AB661">
        <v>2007043534</v>
      </c>
      <c r="AC661" t="s">
        <v>67</v>
      </c>
      <c r="AD661" t="s">
        <v>61</v>
      </c>
      <c r="AE661" t="s">
        <v>61</v>
      </c>
      <c r="AF661" t="s">
        <v>61</v>
      </c>
      <c r="AG661" t="s">
        <v>61</v>
      </c>
      <c r="AH661" t="s">
        <v>61</v>
      </c>
      <c r="AI661" t="s">
        <v>61</v>
      </c>
      <c r="AJ661" t="s">
        <v>61</v>
      </c>
      <c r="AK661" t="s">
        <v>61</v>
      </c>
      <c r="AL661" t="s">
        <v>61</v>
      </c>
      <c r="AM661" t="s">
        <v>5526</v>
      </c>
      <c r="AN661" t="s">
        <v>61</v>
      </c>
      <c r="AO661" t="s">
        <v>61</v>
      </c>
      <c r="AP661" t="s">
        <v>61</v>
      </c>
      <c r="AQ661" t="s">
        <v>61</v>
      </c>
      <c r="AR661" t="s">
        <v>61</v>
      </c>
      <c r="AS661" t="s">
        <v>61</v>
      </c>
      <c r="AT661" t="s">
        <v>61</v>
      </c>
      <c r="AU661" t="s">
        <v>61</v>
      </c>
      <c r="AV661" t="s">
        <v>61</v>
      </c>
      <c r="AW661" t="s">
        <v>61</v>
      </c>
      <c r="AX661" t="s">
        <v>61</v>
      </c>
      <c r="AY661" t="s">
        <v>61</v>
      </c>
      <c r="AZ661" t="s">
        <v>61</v>
      </c>
      <c r="BA661" t="s">
        <v>61</v>
      </c>
      <c r="BB661" t="s">
        <v>61</v>
      </c>
      <c r="BC661" t="s">
        <v>61</v>
      </c>
      <c r="BD661" t="s">
        <v>61</v>
      </c>
      <c r="BE661" t="s">
        <v>61</v>
      </c>
      <c r="BF661" t="s">
        <v>61</v>
      </c>
    </row>
    <row r="662" spans="1:58">
      <c r="A662" t="s">
        <v>58</v>
      </c>
      <c r="B662" t="s">
        <v>5530</v>
      </c>
      <c r="C662" t="s">
        <v>5531</v>
      </c>
      <c r="D662" t="s">
        <v>5532</v>
      </c>
      <c r="E662" t="s">
        <v>61</v>
      </c>
      <c r="F662">
        <v>2015</v>
      </c>
      <c r="G662" t="s">
        <v>344</v>
      </c>
      <c r="H662" t="s">
        <v>5533</v>
      </c>
      <c r="I662" t="s">
        <v>61</v>
      </c>
      <c r="J662" t="s">
        <v>5534</v>
      </c>
      <c r="K662" t="s">
        <v>5535</v>
      </c>
      <c r="L662" t="s">
        <v>5536</v>
      </c>
      <c r="M662" t="s">
        <v>5537</v>
      </c>
      <c r="N662" t="s">
        <v>5538</v>
      </c>
      <c r="O662" t="s">
        <v>61</v>
      </c>
      <c r="Q662" t="s">
        <v>61</v>
      </c>
      <c r="R662" t="s">
        <v>61</v>
      </c>
      <c r="S662" t="s">
        <v>61</v>
      </c>
      <c r="T662" t="s">
        <v>61</v>
      </c>
      <c r="X662" t="s">
        <v>61</v>
      </c>
      <c r="Y662" t="s">
        <v>5539</v>
      </c>
      <c r="Z662" t="s">
        <v>61</v>
      </c>
      <c r="AA662" t="s">
        <v>61</v>
      </c>
      <c r="AB662" t="s">
        <v>61</v>
      </c>
      <c r="AC662" t="s">
        <v>67</v>
      </c>
      <c r="AD662" t="s">
        <v>61</v>
      </c>
      <c r="AE662" t="s">
        <v>61</v>
      </c>
      <c r="AF662" t="s">
        <v>61</v>
      </c>
      <c r="AG662" t="s">
        <v>61</v>
      </c>
      <c r="AH662" t="s">
        <v>61</v>
      </c>
      <c r="AI662" t="s">
        <v>61</v>
      </c>
      <c r="AJ662" t="s">
        <v>61</v>
      </c>
      <c r="AK662" t="s">
        <v>61</v>
      </c>
      <c r="AL662" t="s">
        <v>61</v>
      </c>
      <c r="AM662" t="s">
        <v>5531</v>
      </c>
      <c r="AN662" t="s">
        <v>61</v>
      </c>
      <c r="AO662" t="s">
        <v>61</v>
      </c>
      <c r="AP662" t="s">
        <v>61</v>
      </c>
      <c r="AQ662" t="s">
        <v>61</v>
      </c>
      <c r="AR662" t="s">
        <v>61</v>
      </c>
      <c r="AS662" t="s">
        <v>61</v>
      </c>
      <c r="AT662" t="s">
        <v>61</v>
      </c>
      <c r="AU662" t="s">
        <v>61</v>
      </c>
      <c r="AV662" t="s">
        <v>61</v>
      </c>
      <c r="AW662" t="s">
        <v>61</v>
      </c>
      <c r="AX662" t="s">
        <v>61</v>
      </c>
      <c r="AY662" t="s">
        <v>61</v>
      </c>
      <c r="AZ662" t="s">
        <v>61</v>
      </c>
      <c r="BA662" t="s">
        <v>61</v>
      </c>
      <c r="BB662" t="s">
        <v>61</v>
      </c>
      <c r="BC662" t="s">
        <v>61</v>
      </c>
      <c r="BD662" t="s">
        <v>61</v>
      </c>
      <c r="BE662" t="s">
        <v>61</v>
      </c>
      <c r="BF662" t="s">
        <v>61</v>
      </c>
    </row>
    <row r="663" spans="1:58">
      <c r="A663" t="s">
        <v>58</v>
      </c>
      <c r="B663" t="s">
        <v>5540</v>
      </c>
      <c r="C663" t="s">
        <v>5541</v>
      </c>
      <c r="D663" t="s">
        <v>876</v>
      </c>
      <c r="E663" t="s">
        <v>877</v>
      </c>
      <c r="F663">
        <v>2010</v>
      </c>
      <c r="G663" s="1">
        <v>42623</v>
      </c>
      <c r="H663">
        <v>74</v>
      </c>
      <c r="I663">
        <v>7</v>
      </c>
      <c r="J663">
        <v>131</v>
      </c>
      <c r="K663" t="s">
        <v>61</v>
      </c>
      <c r="L663" t="s">
        <v>5542</v>
      </c>
      <c r="M663" t="s">
        <v>5543</v>
      </c>
      <c r="N663" t="s">
        <v>5544</v>
      </c>
      <c r="O663" t="s">
        <v>61</v>
      </c>
      <c r="Q663" t="s">
        <v>61</v>
      </c>
      <c r="R663" t="s">
        <v>61</v>
      </c>
      <c r="S663" t="s">
        <v>61</v>
      </c>
      <c r="T663" t="s">
        <v>61</v>
      </c>
      <c r="X663" t="s">
        <v>61</v>
      </c>
      <c r="Y663" t="s">
        <v>881</v>
      </c>
      <c r="Z663" t="s">
        <v>61</v>
      </c>
      <c r="AA663" t="s">
        <v>5545</v>
      </c>
      <c r="AB663">
        <v>21088737</v>
      </c>
      <c r="AC663" t="s">
        <v>67</v>
      </c>
      <c r="AD663" t="s">
        <v>61</v>
      </c>
      <c r="AE663" t="s">
        <v>61</v>
      </c>
      <c r="AF663" t="s">
        <v>61</v>
      </c>
      <c r="AG663" t="s">
        <v>5546</v>
      </c>
      <c r="AH663" t="s">
        <v>61</v>
      </c>
      <c r="AI663" t="s">
        <v>61</v>
      </c>
      <c r="AJ663" t="s">
        <v>61</v>
      </c>
      <c r="AK663" t="s">
        <v>61</v>
      </c>
      <c r="AL663" t="s">
        <v>61</v>
      </c>
      <c r="AM663" t="s">
        <v>5547</v>
      </c>
      <c r="AN663" t="s">
        <v>61</v>
      </c>
      <c r="AO663" t="s">
        <v>61</v>
      </c>
      <c r="AP663" t="s">
        <v>61</v>
      </c>
      <c r="AQ663" t="s">
        <v>61</v>
      </c>
      <c r="AR663" t="s">
        <v>61</v>
      </c>
      <c r="AS663" t="s">
        <v>61</v>
      </c>
      <c r="AT663" t="s">
        <v>61</v>
      </c>
      <c r="AU663" t="s">
        <v>61</v>
      </c>
      <c r="AV663" t="s">
        <v>61</v>
      </c>
      <c r="AW663" t="s">
        <v>61</v>
      </c>
      <c r="AX663" t="s">
        <v>61</v>
      </c>
      <c r="AY663" t="s">
        <v>61</v>
      </c>
      <c r="AZ663" t="s">
        <v>61</v>
      </c>
      <c r="BA663" t="s">
        <v>61</v>
      </c>
      <c r="BB663" t="s">
        <v>61</v>
      </c>
      <c r="BC663" t="s">
        <v>61</v>
      </c>
      <c r="BD663" t="s">
        <v>61</v>
      </c>
      <c r="BE663" t="s">
        <v>61</v>
      </c>
      <c r="BF663" t="s">
        <v>61</v>
      </c>
    </row>
    <row r="664" spans="1:58">
      <c r="A664" t="s">
        <v>58</v>
      </c>
      <c r="B664" t="s">
        <v>5548</v>
      </c>
      <c r="C664" t="s">
        <v>5549</v>
      </c>
      <c r="D664" t="s">
        <v>1986</v>
      </c>
      <c r="E664" t="s">
        <v>1987</v>
      </c>
      <c r="F664">
        <v>2005</v>
      </c>
      <c r="G664" t="s">
        <v>85</v>
      </c>
      <c r="H664">
        <v>7</v>
      </c>
      <c r="I664">
        <v>2</v>
      </c>
      <c r="J664">
        <v>225</v>
      </c>
      <c r="K664">
        <v>232</v>
      </c>
      <c r="L664" t="s">
        <v>5550</v>
      </c>
      <c r="M664" t="s">
        <v>5551</v>
      </c>
      <c r="N664" t="s">
        <v>5552</v>
      </c>
      <c r="O664" t="s">
        <v>61</v>
      </c>
      <c r="Q664" t="s">
        <v>61</v>
      </c>
      <c r="R664" t="s">
        <v>61</v>
      </c>
      <c r="S664" t="s">
        <v>61</v>
      </c>
      <c r="T664" t="s">
        <v>61</v>
      </c>
      <c r="X664" t="s">
        <v>61</v>
      </c>
      <c r="Y664" t="s">
        <v>5553</v>
      </c>
      <c r="Z664" t="s">
        <v>61</v>
      </c>
      <c r="AA664" t="s">
        <v>5554</v>
      </c>
      <c r="AB664">
        <v>16036279</v>
      </c>
      <c r="AC664" t="s">
        <v>67</v>
      </c>
      <c r="AD664" t="s">
        <v>61</v>
      </c>
      <c r="AE664" t="s">
        <v>61</v>
      </c>
      <c r="AF664" t="s">
        <v>61</v>
      </c>
      <c r="AG664" t="s">
        <v>5555</v>
      </c>
      <c r="AH664" t="s">
        <v>61</v>
      </c>
      <c r="AI664" t="s">
        <v>61</v>
      </c>
      <c r="AJ664" t="s">
        <v>61</v>
      </c>
      <c r="AK664" t="s">
        <v>61</v>
      </c>
      <c r="AL664" t="s">
        <v>61</v>
      </c>
      <c r="AM664" t="s">
        <v>5556</v>
      </c>
      <c r="AN664" t="s">
        <v>61</v>
      </c>
      <c r="AO664" t="s">
        <v>61</v>
      </c>
      <c r="AP664" t="s">
        <v>61</v>
      </c>
      <c r="AQ664" t="s">
        <v>61</v>
      </c>
      <c r="AR664" t="s">
        <v>61</v>
      </c>
      <c r="AS664" t="s">
        <v>61</v>
      </c>
      <c r="AT664" t="s">
        <v>61</v>
      </c>
      <c r="AU664" t="s">
        <v>61</v>
      </c>
      <c r="AV664" t="s">
        <v>61</v>
      </c>
      <c r="AW664" t="s">
        <v>61</v>
      </c>
      <c r="AX664" t="s">
        <v>61</v>
      </c>
      <c r="AY664" t="s">
        <v>61</v>
      </c>
      <c r="AZ664" t="s">
        <v>61</v>
      </c>
      <c r="BA664" t="s">
        <v>61</v>
      </c>
      <c r="BB664" t="s">
        <v>61</v>
      </c>
      <c r="BC664" t="s">
        <v>61</v>
      </c>
      <c r="BD664" t="s">
        <v>61</v>
      </c>
      <c r="BE664" t="s">
        <v>61</v>
      </c>
      <c r="BF664" t="s">
        <v>61</v>
      </c>
    </row>
    <row r="665" spans="1:58">
      <c r="A665" t="s">
        <v>58</v>
      </c>
      <c r="B665" t="s">
        <v>5557</v>
      </c>
      <c r="C665" t="s">
        <v>5558</v>
      </c>
      <c r="D665" t="s">
        <v>5559</v>
      </c>
      <c r="E665" t="s">
        <v>61</v>
      </c>
      <c r="F665">
        <v>2003</v>
      </c>
      <c r="G665" t="s">
        <v>61</v>
      </c>
      <c r="H665">
        <v>18</v>
      </c>
      <c r="I665">
        <v>3</v>
      </c>
      <c r="J665">
        <v>142</v>
      </c>
      <c r="K665">
        <v>149</v>
      </c>
      <c r="L665" t="s">
        <v>5560</v>
      </c>
      <c r="M665" t="s">
        <v>5561</v>
      </c>
      <c r="N665" t="s">
        <v>5562</v>
      </c>
      <c r="O665" t="s">
        <v>61</v>
      </c>
      <c r="Q665" t="s">
        <v>61</v>
      </c>
      <c r="R665" t="s">
        <v>61</v>
      </c>
      <c r="S665" t="s">
        <v>61</v>
      </c>
      <c r="T665" t="s">
        <v>61</v>
      </c>
      <c r="X665" t="s">
        <v>61</v>
      </c>
      <c r="Y665" t="s">
        <v>5563</v>
      </c>
      <c r="Z665" t="s">
        <v>61</v>
      </c>
      <c r="AA665" t="s">
        <v>5564</v>
      </c>
      <c r="AB665">
        <v>14512261</v>
      </c>
      <c r="AC665" t="s">
        <v>67</v>
      </c>
      <c r="AD665" t="s">
        <v>61</v>
      </c>
      <c r="AE665" t="s">
        <v>61</v>
      </c>
      <c r="AF665" t="s">
        <v>61</v>
      </c>
      <c r="AG665" t="s">
        <v>5565</v>
      </c>
      <c r="AH665" t="s">
        <v>61</v>
      </c>
      <c r="AI665" t="s">
        <v>61</v>
      </c>
      <c r="AJ665" t="s">
        <v>61</v>
      </c>
      <c r="AK665" t="s">
        <v>61</v>
      </c>
      <c r="AL665" t="s">
        <v>61</v>
      </c>
      <c r="AM665" t="s">
        <v>5566</v>
      </c>
      <c r="AN665" t="s">
        <v>61</v>
      </c>
      <c r="AO665" t="s">
        <v>61</v>
      </c>
      <c r="AP665" t="s">
        <v>61</v>
      </c>
      <c r="AQ665" t="s">
        <v>61</v>
      </c>
      <c r="AR665" t="s">
        <v>61</v>
      </c>
      <c r="AS665" t="s">
        <v>61</v>
      </c>
      <c r="AT665" t="s">
        <v>61</v>
      </c>
      <c r="AU665" t="s">
        <v>61</v>
      </c>
      <c r="AV665" t="s">
        <v>61</v>
      </c>
      <c r="AW665" t="s">
        <v>61</v>
      </c>
      <c r="AX665" t="s">
        <v>61</v>
      </c>
      <c r="AY665" t="s">
        <v>61</v>
      </c>
      <c r="AZ665" t="s">
        <v>61</v>
      </c>
      <c r="BA665" t="s">
        <v>61</v>
      </c>
      <c r="BB665" t="s">
        <v>61</v>
      </c>
      <c r="BC665" t="s">
        <v>61</v>
      </c>
      <c r="BD665" t="s">
        <v>61</v>
      </c>
      <c r="BE665" t="s">
        <v>61</v>
      </c>
      <c r="BF665" t="s">
        <v>61</v>
      </c>
    </row>
    <row r="666" spans="1:58">
      <c r="A666" t="s">
        <v>58</v>
      </c>
      <c r="B666" t="s">
        <v>5567</v>
      </c>
      <c r="C666" t="s">
        <v>5568</v>
      </c>
      <c r="D666" t="s">
        <v>5569</v>
      </c>
      <c r="E666" t="s">
        <v>5570</v>
      </c>
      <c r="F666">
        <v>2006</v>
      </c>
      <c r="G666" t="s">
        <v>61</v>
      </c>
      <c r="H666">
        <v>15</v>
      </c>
      <c r="I666">
        <v>1</v>
      </c>
      <c r="J666">
        <v>35</v>
      </c>
      <c r="K666" t="s">
        <v>5571</v>
      </c>
      <c r="L666" t="s">
        <v>5572</v>
      </c>
      <c r="M666" t="s">
        <v>5573</v>
      </c>
      <c r="N666" t="s">
        <v>5574</v>
      </c>
      <c r="O666" t="s">
        <v>61</v>
      </c>
      <c r="Q666" t="s">
        <v>61</v>
      </c>
      <c r="R666" t="s">
        <v>61</v>
      </c>
      <c r="S666" t="s">
        <v>61</v>
      </c>
      <c r="T666" t="s">
        <v>61</v>
      </c>
      <c r="X666" t="s">
        <v>61</v>
      </c>
      <c r="Y666" t="s">
        <v>5575</v>
      </c>
      <c r="Z666" t="s">
        <v>61</v>
      </c>
      <c r="AA666" t="s">
        <v>5576</v>
      </c>
      <c r="AB666">
        <v>106362573</v>
      </c>
      <c r="AC666" t="s">
        <v>67</v>
      </c>
      <c r="AD666" t="s">
        <v>61</v>
      </c>
      <c r="AE666" t="s">
        <v>61</v>
      </c>
      <c r="AF666" t="s">
        <v>61</v>
      </c>
      <c r="AG666" t="s">
        <v>5577</v>
      </c>
      <c r="AH666" t="s">
        <v>61</v>
      </c>
      <c r="AI666" t="s">
        <v>61</v>
      </c>
      <c r="AJ666" t="s">
        <v>61</v>
      </c>
      <c r="AK666" t="s">
        <v>61</v>
      </c>
      <c r="AL666" t="s">
        <v>61</v>
      </c>
      <c r="AM666" t="s">
        <v>5578</v>
      </c>
      <c r="AN666" t="s">
        <v>61</v>
      </c>
      <c r="AO666" t="s">
        <v>61</v>
      </c>
      <c r="AP666" t="s">
        <v>61</v>
      </c>
      <c r="AQ666" t="s">
        <v>61</v>
      </c>
      <c r="AR666" t="s">
        <v>61</v>
      </c>
      <c r="AS666" t="s">
        <v>61</v>
      </c>
      <c r="AT666" t="s">
        <v>61</v>
      </c>
      <c r="AU666" t="s">
        <v>61</v>
      </c>
      <c r="AV666" t="s">
        <v>61</v>
      </c>
      <c r="AW666" t="s">
        <v>61</v>
      </c>
      <c r="AX666" t="s">
        <v>61</v>
      </c>
      <c r="AY666" t="s">
        <v>61</v>
      </c>
      <c r="AZ666" t="s">
        <v>61</v>
      </c>
      <c r="BA666" t="s">
        <v>61</v>
      </c>
      <c r="BB666" t="s">
        <v>61</v>
      </c>
      <c r="BC666" t="s">
        <v>61</v>
      </c>
      <c r="BD666" t="s">
        <v>61</v>
      </c>
      <c r="BE666" t="s">
        <v>61</v>
      </c>
      <c r="BF666" t="s">
        <v>61</v>
      </c>
    </row>
    <row r="667" spans="1:58">
      <c r="A667" t="s">
        <v>58</v>
      </c>
      <c r="B667" t="s">
        <v>5579</v>
      </c>
      <c r="C667" t="s">
        <v>5580</v>
      </c>
      <c r="D667" t="s">
        <v>2704</v>
      </c>
      <c r="E667" t="s">
        <v>61</v>
      </c>
      <c r="F667">
        <v>2001</v>
      </c>
      <c r="G667" t="s">
        <v>61</v>
      </c>
      <c r="H667">
        <v>24</v>
      </c>
      <c r="I667">
        <v>14</v>
      </c>
      <c r="J667">
        <v>1027</v>
      </c>
      <c r="K667">
        <v>1037</v>
      </c>
      <c r="L667" t="s">
        <v>5581</v>
      </c>
      <c r="M667" t="s">
        <v>5582</v>
      </c>
      <c r="N667" t="s">
        <v>5583</v>
      </c>
      <c r="O667" t="s">
        <v>61</v>
      </c>
      <c r="Q667" t="s">
        <v>61</v>
      </c>
      <c r="R667" t="s">
        <v>61</v>
      </c>
      <c r="S667" t="s">
        <v>61</v>
      </c>
      <c r="T667" t="s">
        <v>61</v>
      </c>
      <c r="X667" t="s">
        <v>61</v>
      </c>
      <c r="Y667" t="s">
        <v>313</v>
      </c>
      <c r="Z667" t="s">
        <v>61</v>
      </c>
      <c r="AA667" t="s">
        <v>61</v>
      </c>
      <c r="AB667">
        <v>2002005227</v>
      </c>
      <c r="AC667" t="s">
        <v>67</v>
      </c>
      <c r="AD667" t="s">
        <v>61</v>
      </c>
      <c r="AE667" t="s">
        <v>61</v>
      </c>
      <c r="AF667" t="s">
        <v>61</v>
      </c>
      <c r="AG667" t="s">
        <v>5584</v>
      </c>
      <c r="AH667" t="s">
        <v>61</v>
      </c>
      <c r="AI667" t="s">
        <v>61</v>
      </c>
      <c r="AJ667" t="s">
        <v>61</v>
      </c>
      <c r="AK667" t="s">
        <v>61</v>
      </c>
      <c r="AL667" t="s">
        <v>61</v>
      </c>
      <c r="AM667" t="s">
        <v>5585</v>
      </c>
      <c r="AN667" t="s">
        <v>61</v>
      </c>
      <c r="AO667" t="s">
        <v>61</v>
      </c>
      <c r="AP667" t="s">
        <v>61</v>
      </c>
      <c r="AQ667" t="s">
        <v>61</v>
      </c>
      <c r="AR667" t="s">
        <v>61</v>
      </c>
      <c r="AS667" t="s">
        <v>61</v>
      </c>
      <c r="AT667" t="s">
        <v>61</v>
      </c>
      <c r="AU667" t="s">
        <v>61</v>
      </c>
      <c r="AV667" t="s">
        <v>61</v>
      </c>
      <c r="AW667" t="s">
        <v>61</v>
      </c>
      <c r="AX667" t="s">
        <v>61</v>
      </c>
      <c r="AY667" t="s">
        <v>61</v>
      </c>
      <c r="AZ667" t="s">
        <v>61</v>
      </c>
      <c r="BA667" t="s">
        <v>61</v>
      </c>
      <c r="BB667" t="s">
        <v>61</v>
      </c>
      <c r="BC667" t="s">
        <v>61</v>
      </c>
      <c r="BD667" t="s">
        <v>61</v>
      </c>
      <c r="BE667" t="s">
        <v>61</v>
      </c>
      <c r="BF667" t="s">
        <v>61</v>
      </c>
    </row>
    <row r="668" spans="1:58">
      <c r="A668" t="s">
        <v>58</v>
      </c>
      <c r="B668" t="s">
        <v>5586</v>
      </c>
      <c r="C668" t="s">
        <v>5587</v>
      </c>
      <c r="D668" t="s">
        <v>5588</v>
      </c>
      <c r="E668" t="s">
        <v>5589</v>
      </c>
      <c r="F668">
        <v>1990</v>
      </c>
      <c r="G668" t="s">
        <v>85</v>
      </c>
      <c r="H668">
        <v>85</v>
      </c>
      <c r="I668">
        <v>4</v>
      </c>
      <c r="J668">
        <v>441</v>
      </c>
      <c r="K668">
        <v>445</v>
      </c>
      <c r="L668" t="s">
        <v>5590</v>
      </c>
      <c r="M668" t="s">
        <v>61</v>
      </c>
      <c r="N668" t="s">
        <v>5591</v>
      </c>
      <c r="O668" t="s">
        <v>61</v>
      </c>
      <c r="Q668" t="s">
        <v>61</v>
      </c>
      <c r="R668" t="s">
        <v>61</v>
      </c>
      <c r="S668" t="s">
        <v>61</v>
      </c>
      <c r="T668" t="s">
        <v>61</v>
      </c>
      <c r="X668" t="s">
        <v>61</v>
      </c>
      <c r="Y668" t="s">
        <v>5592</v>
      </c>
      <c r="Z668" t="s">
        <v>61</v>
      </c>
      <c r="AA668" t="s">
        <v>5593</v>
      </c>
      <c r="AB668">
        <v>2346785</v>
      </c>
      <c r="AC668" t="s">
        <v>67</v>
      </c>
      <c r="AD668" t="s">
        <v>61</v>
      </c>
      <c r="AE668" t="s">
        <v>61</v>
      </c>
      <c r="AF668" t="s">
        <v>61</v>
      </c>
      <c r="AG668" t="s">
        <v>5594</v>
      </c>
      <c r="AH668" t="s">
        <v>61</v>
      </c>
      <c r="AI668" t="s">
        <v>61</v>
      </c>
      <c r="AJ668" t="s">
        <v>61</v>
      </c>
      <c r="AK668" t="s">
        <v>61</v>
      </c>
      <c r="AL668" t="s">
        <v>61</v>
      </c>
      <c r="AM668" t="s">
        <v>5595</v>
      </c>
      <c r="AN668" t="s">
        <v>61</v>
      </c>
      <c r="AO668" t="s">
        <v>61</v>
      </c>
      <c r="AP668" t="s">
        <v>61</v>
      </c>
      <c r="AQ668" t="s">
        <v>61</v>
      </c>
      <c r="AR668" t="s">
        <v>61</v>
      </c>
      <c r="AS668" t="s">
        <v>61</v>
      </c>
      <c r="AT668" t="s">
        <v>61</v>
      </c>
      <c r="AU668" t="s">
        <v>61</v>
      </c>
      <c r="AV668" t="s">
        <v>61</v>
      </c>
      <c r="AW668" t="s">
        <v>61</v>
      </c>
      <c r="AX668" t="s">
        <v>61</v>
      </c>
      <c r="AY668" t="s">
        <v>61</v>
      </c>
      <c r="AZ668" t="s">
        <v>61</v>
      </c>
      <c r="BA668" t="s">
        <v>61</v>
      </c>
      <c r="BB668" t="s">
        <v>61</v>
      </c>
      <c r="BC668" t="s">
        <v>61</v>
      </c>
      <c r="BD668" t="s">
        <v>61</v>
      </c>
      <c r="BE668" t="s">
        <v>61</v>
      </c>
      <c r="BF668" t="s">
        <v>61</v>
      </c>
    </row>
    <row r="669" spans="1:58">
      <c r="A669" t="s">
        <v>58</v>
      </c>
      <c r="B669" t="s">
        <v>5596</v>
      </c>
      <c r="C669" t="s">
        <v>5597</v>
      </c>
      <c r="D669" t="s">
        <v>557</v>
      </c>
      <c r="E669" t="s">
        <v>558</v>
      </c>
      <c r="F669">
        <v>2010</v>
      </c>
      <c r="G669" t="s">
        <v>85</v>
      </c>
      <c r="H669">
        <v>31</v>
      </c>
      <c r="I669">
        <v>4</v>
      </c>
      <c r="J669">
        <v>389</v>
      </c>
      <c r="K669">
        <v>393</v>
      </c>
      <c r="L669" t="s">
        <v>5598</v>
      </c>
      <c r="M669" t="s">
        <v>5599</v>
      </c>
      <c r="N669" t="s">
        <v>5600</v>
      </c>
      <c r="O669" t="s">
        <v>61</v>
      </c>
      <c r="Q669" t="s">
        <v>61</v>
      </c>
      <c r="R669" t="s">
        <v>61</v>
      </c>
      <c r="S669" t="s">
        <v>61</v>
      </c>
      <c r="T669" t="s">
        <v>61</v>
      </c>
      <c r="X669" t="s">
        <v>61</v>
      </c>
      <c r="Y669" t="s">
        <v>562</v>
      </c>
      <c r="Z669" t="s">
        <v>61</v>
      </c>
      <c r="AA669" t="s">
        <v>5601</v>
      </c>
      <c r="AB669">
        <v>20383415</v>
      </c>
      <c r="AC669" t="s">
        <v>67</v>
      </c>
      <c r="AD669" t="s">
        <v>61</v>
      </c>
      <c r="AE669" t="s">
        <v>61</v>
      </c>
      <c r="AF669" t="s">
        <v>61</v>
      </c>
      <c r="AG669" t="s">
        <v>5602</v>
      </c>
      <c r="AH669" t="s">
        <v>61</v>
      </c>
      <c r="AI669" t="s">
        <v>61</v>
      </c>
      <c r="AJ669" t="s">
        <v>61</v>
      </c>
      <c r="AK669" t="s">
        <v>61</v>
      </c>
      <c r="AL669" t="s">
        <v>61</v>
      </c>
      <c r="AM669" t="s">
        <v>5603</v>
      </c>
      <c r="AN669" t="s">
        <v>61</v>
      </c>
      <c r="AO669" t="s">
        <v>61</v>
      </c>
      <c r="AP669" t="s">
        <v>61</v>
      </c>
      <c r="AQ669" t="s">
        <v>61</v>
      </c>
      <c r="AR669" t="s">
        <v>61</v>
      </c>
      <c r="AS669" t="s">
        <v>61</v>
      </c>
      <c r="AT669" t="s">
        <v>61</v>
      </c>
      <c r="AU669" t="s">
        <v>61</v>
      </c>
      <c r="AV669" t="s">
        <v>61</v>
      </c>
      <c r="AW669" t="s">
        <v>61</v>
      </c>
      <c r="AX669" t="s">
        <v>61</v>
      </c>
      <c r="AY669" t="s">
        <v>61</v>
      </c>
      <c r="AZ669" t="s">
        <v>61</v>
      </c>
      <c r="BA669" t="s">
        <v>61</v>
      </c>
      <c r="BB669" t="s">
        <v>61</v>
      </c>
      <c r="BC669" t="s">
        <v>61</v>
      </c>
      <c r="BD669" t="s">
        <v>61</v>
      </c>
      <c r="BE669" t="s">
        <v>61</v>
      </c>
      <c r="BF669" t="s">
        <v>61</v>
      </c>
    </row>
    <row r="670" spans="1:58">
      <c r="A670" t="s">
        <v>58</v>
      </c>
      <c r="B670" t="s">
        <v>5604</v>
      </c>
      <c r="C670" t="s">
        <v>5605</v>
      </c>
      <c r="D670" t="s">
        <v>1000</v>
      </c>
      <c r="E670" t="s">
        <v>1000</v>
      </c>
      <c r="F670">
        <v>2005</v>
      </c>
      <c r="G670" t="s">
        <v>1152</v>
      </c>
      <c r="H670">
        <v>100</v>
      </c>
      <c r="I670">
        <v>9</v>
      </c>
      <c r="J670">
        <v>1249</v>
      </c>
      <c r="K670">
        <v>1257</v>
      </c>
      <c r="L670" t="s">
        <v>5606</v>
      </c>
      <c r="M670" t="s">
        <v>5607</v>
      </c>
      <c r="N670" t="s">
        <v>5608</v>
      </c>
      <c r="O670" t="s">
        <v>61</v>
      </c>
      <c r="Q670" t="s">
        <v>61</v>
      </c>
      <c r="R670" t="s">
        <v>61</v>
      </c>
      <c r="S670" t="s">
        <v>61</v>
      </c>
      <c r="T670" t="s">
        <v>61</v>
      </c>
      <c r="X670" t="s">
        <v>61</v>
      </c>
      <c r="Y670" t="s">
        <v>1004</v>
      </c>
      <c r="Z670" t="s">
        <v>61</v>
      </c>
      <c r="AA670" t="s">
        <v>5609</v>
      </c>
      <c r="AB670">
        <v>16128714</v>
      </c>
      <c r="AC670" t="s">
        <v>67</v>
      </c>
      <c r="AD670" t="s">
        <v>61</v>
      </c>
      <c r="AE670" t="s">
        <v>61</v>
      </c>
      <c r="AF670" t="s">
        <v>61</v>
      </c>
      <c r="AG670" t="s">
        <v>5610</v>
      </c>
      <c r="AH670" t="s">
        <v>61</v>
      </c>
      <c r="AI670" t="s">
        <v>61</v>
      </c>
      <c r="AJ670" t="s">
        <v>61</v>
      </c>
      <c r="AK670" t="s">
        <v>61</v>
      </c>
      <c r="AL670" t="s">
        <v>61</v>
      </c>
      <c r="AM670" t="s">
        <v>5611</v>
      </c>
      <c r="AN670" t="s">
        <v>61</v>
      </c>
      <c r="AO670" t="s">
        <v>61</v>
      </c>
      <c r="AP670" t="s">
        <v>61</v>
      </c>
      <c r="AQ670" t="s">
        <v>61</v>
      </c>
      <c r="AR670" t="s">
        <v>61</v>
      </c>
      <c r="AS670" t="s">
        <v>61</v>
      </c>
      <c r="AT670" t="s">
        <v>61</v>
      </c>
      <c r="AU670" t="s">
        <v>61</v>
      </c>
      <c r="AV670" t="s">
        <v>61</v>
      </c>
      <c r="AW670" t="s">
        <v>61</v>
      </c>
      <c r="AX670" t="s">
        <v>61</v>
      </c>
      <c r="AY670" t="s">
        <v>61</v>
      </c>
      <c r="AZ670" t="s">
        <v>61</v>
      </c>
      <c r="BA670" t="s">
        <v>61</v>
      </c>
      <c r="BB670" t="s">
        <v>61</v>
      </c>
      <c r="BC670" t="s">
        <v>61</v>
      </c>
      <c r="BD670" t="s">
        <v>61</v>
      </c>
      <c r="BE670" t="s">
        <v>61</v>
      </c>
      <c r="BF670" t="s">
        <v>61</v>
      </c>
    </row>
    <row r="671" spans="1:58">
      <c r="A671" t="s">
        <v>58</v>
      </c>
      <c r="B671" t="s">
        <v>5612</v>
      </c>
      <c r="C671" t="s">
        <v>5613</v>
      </c>
      <c r="D671" t="s">
        <v>5614</v>
      </c>
      <c r="E671" t="s">
        <v>61</v>
      </c>
      <c r="F671">
        <v>2011</v>
      </c>
      <c r="G671">
        <v>29</v>
      </c>
      <c r="H671">
        <v>5</v>
      </c>
      <c r="I671">
        <v>12</v>
      </c>
      <c r="J671">
        <v>1484</v>
      </c>
      <c r="K671">
        <v>1493</v>
      </c>
      <c r="L671" t="s">
        <v>5615</v>
      </c>
      <c r="M671" t="s">
        <v>5616</v>
      </c>
      <c r="N671" t="s">
        <v>5617</v>
      </c>
      <c r="O671" t="s">
        <v>61</v>
      </c>
      <c r="Q671" t="s">
        <v>61</v>
      </c>
      <c r="R671" t="s">
        <v>61</v>
      </c>
      <c r="S671" t="s">
        <v>61</v>
      </c>
      <c r="T671" t="s">
        <v>61</v>
      </c>
      <c r="X671" t="s">
        <v>61</v>
      </c>
      <c r="Y671" t="s">
        <v>5618</v>
      </c>
      <c r="Z671" t="s">
        <v>61</v>
      </c>
      <c r="AA671" t="s">
        <v>61</v>
      </c>
      <c r="AB671">
        <v>2011586845</v>
      </c>
      <c r="AC671" t="s">
        <v>67</v>
      </c>
      <c r="AD671" t="s">
        <v>61</v>
      </c>
      <c r="AE671" t="s">
        <v>61</v>
      </c>
      <c r="AF671" t="s">
        <v>61</v>
      </c>
      <c r="AG671" t="s">
        <v>61</v>
      </c>
      <c r="AH671" t="s">
        <v>61</v>
      </c>
      <c r="AI671" t="s">
        <v>61</v>
      </c>
      <c r="AJ671" t="s">
        <v>61</v>
      </c>
      <c r="AK671" t="s">
        <v>61</v>
      </c>
      <c r="AL671" t="s">
        <v>61</v>
      </c>
      <c r="AM671" t="s">
        <v>5613</v>
      </c>
      <c r="AN671" t="s">
        <v>61</v>
      </c>
      <c r="AO671" t="s">
        <v>61</v>
      </c>
      <c r="AP671" t="s">
        <v>61</v>
      </c>
      <c r="AQ671" t="s">
        <v>61</v>
      </c>
      <c r="AR671" t="s">
        <v>61</v>
      </c>
      <c r="AS671" t="s">
        <v>61</v>
      </c>
      <c r="AT671" t="s">
        <v>61</v>
      </c>
      <c r="AU671" t="s">
        <v>61</v>
      </c>
      <c r="AV671" t="s">
        <v>61</v>
      </c>
      <c r="AW671" t="s">
        <v>61</v>
      </c>
      <c r="AX671" t="s">
        <v>61</v>
      </c>
      <c r="AY671" t="s">
        <v>61</v>
      </c>
      <c r="AZ671" t="s">
        <v>61</v>
      </c>
      <c r="BA671" t="s">
        <v>61</v>
      </c>
      <c r="BB671" t="s">
        <v>61</v>
      </c>
      <c r="BC671" t="s">
        <v>61</v>
      </c>
      <c r="BD671" t="s">
        <v>61</v>
      </c>
      <c r="BE671" t="s">
        <v>61</v>
      </c>
      <c r="BF671" t="s">
        <v>61</v>
      </c>
    </row>
    <row r="672" spans="1:58">
      <c r="A672" t="s">
        <v>58</v>
      </c>
      <c r="B672" t="s">
        <v>5619</v>
      </c>
      <c r="C672" t="s">
        <v>5620</v>
      </c>
      <c r="D672" t="s">
        <v>5621</v>
      </c>
      <c r="E672" t="s">
        <v>61</v>
      </c>
      <c r="F672">
        <v>2011</v>
      </c>
      <c r="G672" t="s">
        <v>61</v>
      </c>
      <c r="H672">
        <v>10</v>
      </c>
      <c r="I672" t="s">
        <v>61</v>
      </c>
      <c r="J672">
        <v>16</v>
      </c>
      <c r="K672" t="s">
        <v>61</v>
      </c>
      <c r="L672" t="s">
        <v>61</v>
      </c>
      <c r="M672" t="s">
        <v>5622</v>
      </c>
      <c r="N672" t="s">
        <v>5623</v>
      </c>
      <c r="O672" t="s">
        <v>61</v>
      </c>
      <c r="Q672" t="s">
        <v>61</v>
      </c>
      <c r="R672" t="s">
        <v>61</v>
      </c>
      <c r="S672" t="s">
        <v>61</v>
      </c>
      <c r="T672" t="s">
        <v>61</v>
      </c>
      <c r="X672" t="s">
        <v>61</v>
      </c>
      <c r="Y672" t="s">
        <v>5624</v>
      </c>
      <c r="Z672" t="s">
        <v>61</v>
      </c>
      <c r="AA672" t="s">
        <v>5625</v>
      </c>
      <c r="AB672">
        <v>22035160</v>
      </c>
      <c r="AC672" t="s">
        <v>67</v>
      </c>
      <c r="AD672" t="s">
        <v>61</v>
      </c>
      <c r="AE672" t="s">
        <v>61</v>
      </c>
      <c r="AF672" t="s">
        <v>61</v>
      </c>
      <c r="AG672" t="s">
        <v>5626</v>
      </c>
      <c r="AH672" t="s">
        <v>61</v>
      </c>
      <c r="AI672" t="s">
        <v>5627</v>
      </c>
      <c r="AJ672" t="s">
        <v>61</v>
      </c>
      <c r="AK672" t="s">
        <v>61</v>
      </c>
      <c r="AL672" t="s">
        <v>61</v>
      </c>
      <c r="AM672" t="s">
        <v>5628</v>
      </c>
      <c r="AN672" t="s">
        <v>61</v>
      </c>
      <c r="AO672" t="s">
        <v>61</v>
      </c>
      <c r="AP672" t="s">
        <v>61</v>
      </c>
      <c r="AQ672" t="s">
        <v>61</v>
      </c>
      <c r="AR672" t="s">
        <v>61</v>
      </c>
      <c r="AS672" t="s">
        <v>61</v>
      </c>
      <c r="AT672" t="s">
        <v>61</v>
      </c>
      <c r="AU672" t="s">
        <v>61</v>
      </c>
      <c r="AV672" t="s">
        <v>61</v>
      </c>
      <c r="AW672" t="s">
        <v>61</v>
      </c>
      <c r="AX672" t="s">
        <v>61</v>
      </c>
      <c r="AY672" t="s">
        <v>61</v>
      </c>
      <c r="AZ672" t="s">
        <v>61</v>
      </c>
      <c r="BA672" t="s">
        <v>61</v>
      </c>
      <c r="BB672" t="s">
        <v>61</v>
      </c>
      <c r="BC672" t="s">
        <v>61</v>
      </c>
      <c r="BD672" t="s">
        <v>61</v>
      </c>
      <c r="BE672" t="s">
        <v>61</v>
      </c>
      <c r="BF672" t="s">
        <v>61</v>
      </c>
    </row>
    <row r="673" spans="1:58">
      <c r="A673" t="s">
        <v>58</v>
      </c>
      <c r="B673" t="s">
        <v>5629</v>
      </c>
      <c r="C673" t="s">
        <v>5630</v>
      </c>
      <c r="D673" t="s">
        <v>876</v>
      </c>
      <c r="E673" t="s">
        <v>877</v>
      </c>
      <c r="F673">
        <v>2006</v>
      </c>
      <c r="G673" s="1">
        <v>42475</v>
      </c>
      <c r="H673">
        <v>70</v>
      </c>
      <c r="I673">
        <v>2</v>
      </c>
      <c r="J673">
        <v>37</v>
      </c>
      <c r="K673" t="s">
        <v>61</v>
      </c>
      <c r="L673" t="s">
        <v>5631</v>
      </c>
      <c r="M673" t="s">
        <v>5632</v>
      </c>
      <c r="N673" t="s">
        <v>5633</v>
      </c>
      <c r="O673" t="s">
        <v>61</v>
      </c>
      <c r="Q673" t="s">
        <v>61</v>
      </c>
      <c r="R673" t="s">
        <v>61</v>
      </c>
      <c r="S673" t="s">
        <v>61</v>
      </c>
      <c r="T673" t="s">
        <v>61</v>
      </c>
      <c r="X673" t="s">
        <v>61</v>
      </c>
      <c r="Y673" t="s">
        <v>881</v>
      </c>
      <c r="Z673" t="s">
        <v>61</v>
      </c>
      <c r="AA673" t="s">
        <v>5634</v>
      </c>
      <c r="AB673">
        <v>17149416</v>
      </c>
      <c r="AC673" t="s">
        <v>67</v>
      </c>
      <c r="AD673" t="s">
        <v>61</v>
      </c>
      <c r="AE673" t="s">
        <v>61</v>
      </c>
      <c r="AF673" t="s">
        <v>61</v>
      </c>
      <c r="AG673" t="s">
        <v>5635</v>
      </c>
      <c r="AH673" t="s">
        <v>61</v>
      </c>
      <c r="AI673" t="s">
        <v>61</v>
      </c>
      <c r="AJ673" t="s">
        <v>61</v>
      </c>
      <c r="AK673" t="s">
        <v>61</v>
      </c>
      <c r="AL673" t="s">
        <v>61</v>
      </c>
      <c r="AM673" t="s">
        <v>5636</v>
      </c>
      <c r="AN673" t="s">
        <v>61</v>
      </c>
      <c r="AO673" t="s">
        <v>61</v>
      </c>
      <c r="AP673" t="s">
        <v>61</v>
      </c>
      <c r="AQ673" t="s">
        <v>61</v>
      </c>
      <c r="AR673" t="s">
        <v>61</v>
      </c>
      <c r="AS673" t="s">
        <v>61</v>
      </c>
      <c r="AT673" t="s">
        <v>61</v>
      </c>
      <c r="AU673" t="s">
        <v>61</v>
      </c>
      <c r="AV673" t="s">
        <v>61</v>
      </c>
      <c r="AW673" t="s">
        <v>61</v>
      </c>
      <c r="AX673" t="s">
        <v>61</v>
      </c>
      <c r="AY673" t="s">
        <v>61</v>
      </c>
      <c r="AZ673" t="s">
        <v>61</v>
      </c>
      <c r="BA673" t="s">
        <v>61</v>
      </c>
      <c r="BB673" t="s">
        <v>61</v>
      </c>
      <c r="BC673" t="s">
        <v>61</v>
      </c>
      <c r="BD673" t="s">
        <v>61</v>
      </c>
      <c r="BE673" t="s">
        <v>61</v>
      </c>
      <c r="BF673" t="s">
        <v>61</v>
      </c>
    </row>
    <row r="674" spans="1:58">
      <c r="A674" t="s">
        <v>58</v>
      </c>
      <c r="B674" t="s">
        <v>5637</v>
      </c>
      <c r="C674" t="s">
        <v>5638</v>
      </c>
      <c r="D674" t="s">
        <v>5639</v>
      </c>
      <c r="E674" t="s">
        <v>61</v>
      </c>
      <c r="F674">
        <v>1993</v>
      </c>
      <c r="G674" t="s">
        <v>61</v>
      </c>
      <c r="H674" t="s">
        <v>61</v>
      </c>
      <c r="I674">
        <v>132</v>
      </c>
      <c r="J674">
        <v>324</v>
      </c>
      <c r="K674" t="s">
        <v>61</v>
      </c>
      <c r="L674" t="s">
        <v>5640</v>
      </c>
      <c r="M674" t="s">
        <v>61</v>
      </c>
      <c r="N674" t="s">
        <v>5641</v>
      </c>
      <c r="O674" t="s">
        <v>61</v>
      </c>
      <c r="Q674" t="s">
        <v>61</v>
      </c>
      <c r="R674" t="s">
        <v>61</v>
      </c>
      <c r="S674" t="s">
        <v>61</v>
      </c>
      <c r="T674" t="s">
        <v>61</v>
      </c>
      <c r="X674" t="s">
        <v>61</v>
      </c>
      <c r="Y674" t="s">
        <v>1625</v>
      </c>
      <c r="Z674" t="s">
        <v>61</v>
      </c>
      <c r="AA674" t="s">
        <v>61</v>
      </c>
      <c r="AB674">
        <v>1993301872</v>
      </c>
      <c r="AC674" t="s">
        <v>67</v>
      </c>
      <c r="AD674" t="s">
        <v>61</v>
      </c>
      <c r="AE674" t="s">
        <v>61</v>
      </c>
      <c r="AF674" t="s">
        <v>61</v>
      </c>
      <c r="AG674" t="s">
        <v>61</v>
      </c>
      <c r="AH674" t="s">
        <v>61</v>
      </c>
      <c r="AI674" t="s">
        <v>61</v>
      </c>
      <c r="AJ674" t="s">
        <v>61</v>
      </c>
      <c r="AK674" t="s">
        <v>61</v>
      </c>
      <c r="AL674" t="s">
        <v>61</v>
      </c>
      <c r="AM674" t="s">
        <v>5638</v>
      </c>
      <c r="AN674" t="s">
        <v>61</v>
      </c>
      <c r="AO674" t="s">
        <v>61</v>
      </c>
      <c r="AP674" t="s">
        <v>61</v>
      </c>
      <c r="AQ674" t="s">
        <v>61</v>
      </c>
      <c r="AR674" t="s">
        <v>61</v>
      </c>
      <c r="AS674" t="s">
        <v>61</v>
      </c>
      <c r="AT674" t="s">
        <v>61</v>
      </c>
      <c r="AU674" t="s">
        <v>61</v>
      </c>
      <c r="AV674" t="s">
        <v>61</v>
      </c>
      <c r="AW674" t="s">
        <v>61</v>
      </c>
      <c r="AX674" t="s">
        <v>61</v>
      </c>
      <c r="AY674" t="s">
        <v>61</v>
      </c>
      <c r="AZ674" t="s">
        <v>61</v>
      </c>
      <c r="BA674" t="s">
        <v>61</v>
      </c>
      <c r="BB674" t="s">
        <v>61</v>
      </c>
      <c r="BC674" t="s">
        <v>61</v>
      </c>
      <c r="BD674" t="s">
        <v>61</v>
      </c>
      <c r="BE674" t="s">
        <v>61</v>
      </c>
      <c r="BF674" t="s">
        <v>61</v>
      </c>
    </row>
    <row r="675" spans="1:58">
      <c r="A675" t="s">
        <v>58</v>
      </c>
      <c r="B675" t="s">
        <v>5642</v>
      </c>
      <c r="C675" t="s">
        <v>5643</v>
      </c>
      <c r="D675" t="s">
        <v>428</v>
      </c>
      <c r="E675" t="s">
        <v>61</v>
      </c>
      <c r="F675">
        <v>2010</v>
      </c>
      <c r="G675" t="s">
        <v>429</v>
      </c>
      <c r="H675">
        <v>23</v>
      </c>
      <c r="I675">
        <v>2</v>
      </c>
      <c r="J675">
        <v>149</v>
      </c>
      <c r="K675" t="s">
        <v>61</v>
      </c>
      <c r="L675" t="s">
        <v>5644</v>
      </c>
      <c r="M675" t="s">
        <v>5645</v>
      </c>
      <c r="N675" t="s">
        <v>5646</v>
      </c>
      <c r="O675" t="s">
        <v>61</v>
      </c>
      <c r="Q675" t="s">
        <v>61</v>
      </c>
      <c r="R675" t="s">
        <v>61</v>
      </c>
      <c r="S675" t="s">
        <v>61</v>
      </c>
      <c r="T675" t="s">
        <v>61</v>
      </c>
      <c r="X675" t="s">
        <v>61</v>
      </c>
      <c r="Y675" t="s">
        <v>433</v>
      </c>
      <c r="Z675" t="s">
        <v>61</v>
      </c>
      <c r="AA675" t="s">
        <v>61</v>
      </c>
      <c r="AB675" t="s">
        <v>61</v>
      </c>
      <c r="AC675" t="s">
        <v>67</v>
      </c>
      <c r="AD675" t="s">
        <v>61</v>
      </c>
      <c r="AE675" t="s">
        <v>61</v>
      </c>
      <c r="AF675" t="s">
        <v>61</v>
      </c>
      <c r="AG675" t="s">
        <v>61</v>
      </c>
      <c r="AH675" t="s">
        <v>61</v>
      </c>
      <c r="AI675" t="s">
        <v>61</v>
      </c>
      <c r="AJ675" t="s">
        <v>61</v>
      </c>
      <c r="AK675" t="s">
        <v>61</v>
      </c>
      <c r="AL675" t="s">
        <v>61</v>
      </c>
      <c r="AM675" t="s">
        <v>5643</v>
      </c>
      <c r="AN675" t="s">
        <v>61</v>
      </c>
      <c r="AO675" t="s">
        <v>61</v>
      </c>
      <c r="AP675" t="s">
        <v>61</v>
      </c>
      <c r="AQ675" t="s">
        <v>61</v>
      </c>
      <c r="AR675" t="s">
        <v>61</v>
      </c>
      <c r="AS675" t="s">
        <v>61</v>
      </c>
      <c r="AT675" t="s">
        <v>61</v>
      </c>
      <c r="AU675" t="s">
        <v>61</v>
      </c>
      <c r="AV675" t="s">
        <v>61</v>
      </c>
      <c r="AW675" t="s">
        <v>61</v>
      </c>
      <c r="AX675" t="s">
        <v>61</v>
      </c>
      <c r="AY675" t="s">
        <v>61</v>
      </c>
      <c r="AZ675" t="s">
        <v>61</v>
      </c>
      <c r="BA675" t="s">
        <v>61</v>
      </c>
      <c r="BB675" t="s">
        <v>61</v>
      </c>
      <c r="BC675" t="s">
        <v>61</v>
      </c>
      <c r="BD675" t="s">
        <v>61</v>
      </c>
      <c r="BE675" t="s">
        <v>61</v>
      </c>
      <c r="BF675" t="s">
        <v>61</v>
      </c>
    </row>
    <row r="676" spans="1:58">
      <c r="A676" t="s">
        <v>58</v>
      </c>
      <c r="B676" t="s">
        <v>5647</v>
      </c>
      <c r="C676" t="s">
        <v>5648</v>
      </c>
      <c r="D676" t="s">
        <v>5649</v>
      </c>
      <c r="E676" t="s">
        <v>5650</v>
      </c>
      <c r="F676">
        <v>2015</v>
      </c>
      <c r="G676" t="s">
        <v>3037</v>
      </c>
      <c r="H676">
        <v>143</v>
      </c>
      <c r="I676" s="1">
        <v>42433</v>
      </c>
      <c r="J676">
        <v>174</v>
      </c>
      <c r="K676">
        <v>179</v>
      </c>
      <c r="L676" t="s">
        <v>5651</v>
      </c>
      <c r="M676" t="s">
        <v>5652</v>
      </c>
      <c r="N676" t="s">
        <v>5653</v>
      </c>
      <c r="O676" t="s">
        <v>61</v>
      </c>
      <c r="Q676" t="s">
        <v>61</v>
      </c>
      <c r="R676" t="s">
        <v>61</v>
      </c>
      <c r="S676" t="s">
        <v>61</v>
      </c>
      <c r="T676" t="s">
        <v>61</v>
      </c>
      <c r="X676" t="s">
        <v>61</v>
      </c>
      <c r="Y676" t="s">
        <v>5654</v>
      </c>
      <c r="Z676" t="s">
        <v>61</v>
      </c>
      <c r="AA676" t="s">
        <v>61</v>
      </c>
      <c r="AB676">
        <v>26012127</v>
      </c>
      <c r="AC676" t="s">
        <v>67</v>
      </c>
      <c r="AD676" t="s">
        <v>61</v>
      </c>
      <c r="AE676" t="s">
        <v>61</v>
      </c>
      <c r="AF676" t="s">
        <v>61</v>
      </c>
      <c r="AG676" t="s">
        <v>5655</v>
      </c>
      <c r="AH676" t="s">
        <v>61</v>
      </c>
      <c r="AI676" t="s">
        <v>61</v>
      </c>
      <c r="AJ676" t="s">
        <v>61</v>
      </c>
      <c r="AK676" t="s">
        <v>61</v>
      </c>
      <c r="AL676" t="s">
        <v>61</v>
      </c>
      <c r="AM676" t="s">
        <v>5656</v>
      </c>
      <c r="AN676" t="s">
        <v>61</v>
      </c>
      <c r="AO676" t="s">
        <v>61</v>
      </c>
      <c r="AP676" t="s">
        <v>61</v>
      </c>
      <c r="AQ676" t="s">
        <v>61</v>
      </c>
      <c r="AR676" t="s">
        <v>61</v>
      </c>
      <c r="AS676" t="s">
        <v>61</v>
      </c>
      <c r="AT676" t="s">
        <v>61</v>
      </c>
      <c r="AU676" t="s">
        <v>61</v>
      </c>
      <c r="AV676" t="s">
        <v>61</v>
      </c>
      <c r="AW676" t="s">
        <v>61</v>
      </c>
      <c r="AX676" t="s">
        <v>61</v>
      </c>
      <c r="AY676" t="s">
        <v>61</v>
      </c>
      <c r="AZ676" t="s">
        <v>61</v>
      </c>
      <c r="BA676" t="s">
        <v>61</v>
      </c>
      <c r="BB676" t="s">
        <v>61</v>
      </c>
      <c r="BC676" t="s">
        <v>61</v>
      </c>
      <c r="BD676" t="s">
        <v>61</v>
      </c>
      <c r="BE676" t="s">
        <v>61</v>
      </c>
      <c r="BF676" t="s">
        <v>61</v>
      </c>
    </row>
    <row r="677" spans="1:58">
      <c r="A677" t="s">
        <v>58</v>
      </c>
      <c r="B677" t="s">
        <v>5657</v>
      </c>
      <c r="C677" t="s">
        <v>5658</v>
      </c>
      <c r="D677" t="s">
        <v>4877</v>
      </c>
      <c r="E677" t="s">
        <v>4878</v>
      </c>
      <c r="F677">
        <v>2013</v>
      </c>
      <c r="G677" t="s">
        <v>1667</v>
      </c>
      <c r="H677">
        <v>44</v>
      </c>
      <c r="I677">
        <v>5</v>
      </c>
      <c r="J677">
        <v>534</v>
      </c>
      <c r="K677">
        <v>540</v>
      </c>
      <c r="L677" t="s">
        <v>5659</v>
      </c>
      <c r="M677" t="s">
        <v>5660</v>
      </c>
      <c r="N677" t="s">
        <v>5661</v>
      </c>
      <c r="O677" t="s">
        <v>61</v>
      </c>
      <c r="Q677" t="s">
        <v>61</v>
      </c>
      <c r="R677" t="s">
        <v>61</v>
      </c>
      <c r="S677" t="s">
        <v>61</v>
      </c>
      <c r="T677" t="s">
        <v>61</v>
      </c>
      <c r="X677" t="s">
        <v>61</v>
      </c>
      <c r="Y677" t="s">
        <v>4882</v>
      </c>
      <c r="Z677" t="s">
        <v>61</v>
      </c>
      <c r="AA677" t="s">
        <v>5662</v>
      </c>
      <c r="AB677">
        <v>23312770</v>
      </c>
      <c r="AC677" t="s">
        <v>67</v>
      </c>
      <c r="AD677" t="s">
        <v>61</v>
      </c>
      <c r="AE677" t="s">
        <v>61</v>
      </c>
      <c r="AF677" t="s">
        <v>61</v>
      </c>
      <c r="AG677" t="s">
        <v>5663</v>
      </c>
      <c r="AH677" t="s">
        <v>61</v>
      </c>
      <c r="AI677" t="s">
        <v>5664</v>
      </c>
      <c r="AJ677" t="s">
        <v>61</v>
      </c>
      <c r="AK677" t="s">
        <v>61</v>
      </c>
      <c r="AL677" t="s">
        <v>61</v>
      </c>
      <c r="AM677" t="s">
        <v>5665</v>
      </c>
      <c r="AN677" t="s">
        <v>61</v>
      </c>
      <c r="AO677" t="s">
        <v>61</v>
      </c>
      <c r="AP677" t="s">
        <v>61</v>
      </c>
      <c r="AQ677" t="s">
        <v>61</v>
      </c>
      <c r="AR677" t="s">
        <v>61</v>
      </c>
      <c r="AS677" t="s">
        <v>61</v>
      </c>
      <c r="AT677" t="s">
        <v>61</v>
      </c>
      <c r="AU677" t="s">
        <v>61</v>
      </c>
      <c r="AV677" t="s">
        <v>61</v>
      </c>
      <c r="AW677" t="s">
        <v>61</v>
      </c>
      <c r="AX677" t="s">
        <v>61</v>
      </c>
      <c r="AY677" t="s">
        <v>61</v>
      </c>
      <c r="AZ677" t="s">
        <v>61</v>
      </c>
      <c r="BA677" t="s">
        <v>61</v>
      </c>
      <c r="BB677" t="s">
        <v>61</v>
      </c>
      <c r="BC677" t="s">
        <v>61</v>
      </c>
      <c r="BD677" t="s">
        <v>61</v>
      </c>
      <c r="BE677" t="s">
        <v>61</v>
      </c>
      <c r="BF677" t="s">
        <v>61</v>
      </c>
    </row>
    <row r="678" spans="1:58">
      <c r="A678" t="s">
        <v>58</v>
      </c>
      <c r="B678" t="s">
        <v>5666</v>
      </c>
      <c r="C678" t="s">
        <v>5667</v>
      </c>
      <c r="D678" t="s">
        <v>5668</v>
      </c>
      <c r="E678" t="s">
        <v>61</v>
      </c>
      <c r="F678">
        <v>2014</v>
      </c>
      <c r="G678" t="s">
        <v>61</v>
      </c>
      <c r="H678" t="s">
        <v>5669</v>
      </c>
      <c r="I678" t="s">
        <v>61</v>
      </c>
      <c r="J678" t="s">
        <v>61</v>
      </c>
      <c r="K678" t="s">
        <v>61</v>
      </c>
      <c r="L678" t="s">
        <v>5670</v>
      </c>
      <c r="M678" t="s">
        <v>5671</v>
      </c>
      <c r="N678" t="s">
        <v>5672</v>
      </c>
      <c r="O678" t="s">
        <v>61</v>
      </c>
      <c r="Q678" t="s">
        <v>61</v>
      </c>
      <c r="R678" t="s">
        <v>61</v>
      </c>
      <c r="S678" t="s">
        <v>61</v>
      </c>
      <c r="T678" t="s">
        <v>61</v>
      </c>
      <c r="X678" t="s">
        <v>61</v>
      </c>
      <c r="Y678" t="s">
        <v>5673</v>
      </c>
      <c r="Z678" t="s">
        <v>61</v>
      </c>
      <c r="AA678" t="s">
        <v>61</v>
      </c>
      <c r="AB678">
        <v>2014518275</v>
      </c>
      <c r="AC678" t="s">
        <v>67</v>
      </c>
      <c r="AD678" t="s">
        <v>61</v>
      </c>
      <c r="AE678" t="s">
        <v>61</v>
      </c>
      <c r="AF678" t="s">
        <v>61</v>
      </c>
      <c r="AG678" t="s">
        <v>61</v>
      </c>
      <c r="AH678" t="s">
        <v>61</v>
      </c>
      <c r="AI678" t="s">
        <v>61</v>
      </c>
      <c r="AJ678" t="s">
        <v>61</v>
      </c>
      <c r="AK678" t="s">
        <v>61</v>
      </c>
      <c r="AL678" t="s">
        <v>61</v>
      </c>
      <c r="AM678" t="s">
        <v>5667</v>
      </c>
      <c r="AN678" t="s">
        <v>61</v>
      </c>
      <c r="AO678" t="s">
        <v>61</v>
      </c>
      <c r="AP678" t="s">
        <v>61</v>
      </c>
      <c r="AQ678" t="s">
        <v>61</v>
      </c>
      <c r="AR678" t="s">
        <v>61</v>
      </c>
      <c r="AS678" t="s">
        <v>61</v>
      </c>
      <c r="AT678" t="s">
        <v>61</v>
      </c>
      <c r="AU678" t="s">
        <v>61</v>
      </c>
      <c r="AV678" t="s">
        <v>61</v>
      </c>
      <c r="AW678" t="s">
        <v>61</v>
      </c>
      <c r="AX678" t="s">
        <v>61</v>
      </c>
      <c r="AY678" t="s">
        <v>61</v>
      </c>
      <c r="AZ678" t="s">
        <v>61</v>
      </c>
      <c r="BA678" t="s">
        <v>61</v>
      </c>
      <c r="BB678" t="s">
        <v>61</v>
      </c>
      <c r="BC678" t="s">
        <v>61</v>
      </c>
      <c r="BD678" t="s">
        <v>61</v>
      </c>
      <c r="BE678" t="s">
        <v>61</v>
      </c>
      <c r="BF678" t="s">
        <v>61</v>
      </c>
    </row>
    <row r="679" spans="1:58">
      <c r="A679" t="s">
        <v>58</v>
      </c>
      <c r="B679" t="s">
        <v>5674</v>
      </c>
      <c r="C679" t="s">
        <v>5675</v>
      </c>
      <c r="D679" t="s">
        <v>5676</v>
      </c>
      <c r="E679" t="s">
        <v>61</v>
      </c>
      <c r="F679">
        <v>2014</v>
      </c>
      <c r="G679" t="s">
        <v>61</v>
      </c>
      <c r="H679">
        <v>6</v>
      </c>
      <c r="I679">
        <v>5</v>
      </c>
      <c r="J679">
        <v>148</v>
      </c>
      <c r="K679">
        <v>150</v>
      </c>
      <c r="L679" t="s">
        <v>5677</v>
      </c>
      <c r="M679" t="s">
        <v>5678</v>
      </c>
      <c r="N679" t="s">
        <v>5679</v>
      </c>
      <c r="O679" t="s">
        <v>61</v>
      </c>
      <c r="Q679" t="s">
        <v>61</v>
      </c>
      <c r="R679" t="s">
        <v>61</v>
      </c>
      <c r="S679" t="s">
        <v>61</v>
      </c>
      <c r="T679" t="s">
        <v>61</v>
      </c>
      <c r="X679" t="s">
        <v>61</v>
      </c>
      <c r="Y679" t="s">
        <v>5680</v>
      </c>
      <c r="Z679" t="s">
        <v>61</v>
      </c>
      <c r="AA679" t="s">
        <v>61</v>
      </c>
      <c r="AB679">
        <v>2014385402</v>
      </c>
      <c r="AC679" t="s">
        <v>67</v>
      </c>
      <c r="AD679" t="s">
        <v>61</v>
      </c>
      <c r="AE679" t="s">
        <v>61</v>
      </c>
      <c r="AF679" t="s">
        <v>61</v>
      </c>
      <c r="AG679" t="s">
        <v>61</v>
      </c>
      <c r="AH679" t="s">
        <v>61</v>
      </c>
      <c r="AI679" t="s">
        <v>61</v>
      </c>
      <c r="AJ679" t="s">
        <v>61</v>
      </c>
      <c r="AK679" t="s">
        <v>61</v>
      </c>
      <c r="AL679" t="s">
        <v>61</v>
      </c>
      <c r="AM679" t="s">
        <v>5675</v>
      </c>
      <c r="AN679" t="s">
        <v>61</v>
      </c>
      <c r="AO679" t="s">
        <v>61</v>
      </c>
      <c r="AP679" t="s">
        <v>61</v>
      </c>
      <c r="AQ679" t="s">
        <v>61</v>
      </c>
      <c r="AR679" t="s">
        <v>61</v>
      </c>
      <c r="AS679" t="s">
        <v>61</v>
      </c>
      <c r="AT679" t="s">
        <v>61</v>
      </c>
      <c r="AU679" t="s">
        <v>61</v>
      </c>
      <c r="AV679" t="s">
        <v>61</v>
      </c>
      <c r="AW679" t="s">
        <v>61</v>
      </c>
      <c r="AX679" t="s">
        <v>61</v>
      </c>
      <c r="AY679" t="s">
        <v>61</v>
      </c>
      <c r="AZ679" t="s">
        <v>61</v>
      </c>
      <c r="BA679" t="s">
        <v>61</v>
      </c>
      <c r="BB679" t="s">
        <v>61</v>
      </c>
      <c r="BC679" t="s">
        <v>61</v>
      </c>
      <c r="BD679" t="s">
        <v>61</v>
      </c>
      <c r="BE679" t="s">
        <v>61</v>
      </c>
      <c r="BF679" t="s">
        <v>61</v>
      </c>
    </row>
    <row r="680" spans="1:58">
      <c r="A680" t="s">
        <v>58</v>
      </c>
      <c r="B680" t="s">
        <v>5681</v>
      </c>
      <c r="C680" t="s">
        <v>5682</v>
      </c>
      <c r="D680" t="s">
        <v>4285</v>
      </c>
      <c r="E680" t="s">
        <v>61</v>
      </c>
      <c r="F680">
        <v>2007</v>
      </c>
      <c r="G680" t="s">
        <v>391</v>
      </c>
      <c r="H680">
        <v>8</v>
      </c>
      <c r="I680">
        <v>2</v>
      </c>
      <c r="J680">
        <v>171</v>
      </c>
      <c r="K680">
        <v>183</v>
      </c>
      <c r="L680" t="s">
        <v>5683</v>
      </c>
      <c r="M680" t="s">
        <v>5684</v>
      </c>
      <c r="N680" t="s">
        <v>5685</v>
      </c>
      <c r="O680" t="s">
        <v>61</v>
      </c>
      <c r="Q680" t="s">
        <v>61</v>
      </c>
      <c r="R680" t="s">
        <v>61</v>
      </c>
      <c r="S680" t="s">
        <v>61</v>
      </c>
      <c r="T680" t="s">
        <v>61</v>
      </c>
      <c r="X680" t="s">
        <v>61</v>
      </c>
      <c r="Y680" t="s">
        <v>4288</v>
      </c>
      <c r="Z680" t="s">
        <v>61</v>
      </c>
      <c r="AA680" t="s">
        <v>5686</v>
      </c>
      <c r="AB680">
        <v>17305688</v>
      </c>
      <c r="AC680" t="s">
        <v>67</v>
      </c>
      <c r="AD680" t="s">
        <v>61</v>
      </c>
      <c r="AE680" t="s">
        <v>61</v>
      </c>
      <c r="AF680" t="s">
        <v>61</v>
      </c>
      <c r="AG680" t="s">
        <v>5687</v>
      </c>
      <c r="AH680" t="s">
        <v>61</v>
      </c>
      <c r="AI680" t="s">
        <v>61</v>
      </c>
      <c r="AJ680" t="s">
        <v>61</v>
      </c>
      <c r="AK680" t="s">
        <v>61</v>
      </c>
      <c r="AL680" t="s">
        <v>61</v>
      </c>
      <c r="AM680" t="s">
        <v>5688</v>
      </c>
      <c r="AN680" t="s">
        <v>61</v>
      </c>
      <c r="AO680" t="s">
        <v>61</v>
      </c>
      <c r="AP680" t="s">
        <v>61</v>
      </c>
      <c r="AQ680" t="s">
        <v>61</v>
      </c>
      <c r="AR680" t="s">
        <v>61</v>
      </c>
      <c r="AS680" t="s">
        <v>61</v>
      </c>
      <c r="AT680" t="s">
        <v>61</v>
      </c>
      <c r="AU680" t="s">
        <v>61</v>
      </c>
      <c r="AV680" t="s">
        <v>61</v>
      </c>
      <c r="AW680" t="s">
        <v>61</v>
      </c>
      <c r="AX680" t="s">
        <v>61</v>
      </c>
      <c r="AY680" t="s">
        <v>61</v>
      </c>
      <c r="AZ680" t="s">
        <v>61</v>
      </c>
      <c r="BA680" t="s">
        <v>61</v>
      </c>
      <c r="BB680" t="s">
        <v>61</v>
      </c>
      <c r="BC680" t="s">
        <v>61</v>
      </c>
      <c r="BD680" t="s">
        <v>61</v>
      </c>
      <c r="BE680" t="s">
        <v>61</v>
      </c>
      <c r="BF680" t="s">
        <v>61</v>
      </c>
    </row>
    <row r="681" spans="1:58">
      <c r="A681" t="s">
        <v>58</v>
      </c>
      <c r="B681" t="s">
        <v>5689</v>
      </c>
      <c r="C681" t="s">
        <v>5690</v>
      </c>
      <c r="D681" t="s">
        <v>5691</v>
      </c>
      <c r="E681" t="s">
        <v>5692</v>
      </c>
      <c r="F681">
        <v>2002</v>
      </c>
      <c r="G681" t="s">
        <v>154</v>
      </c>
      <c r="H681">
        <v>18</v>
      </c>
      <c r="I681">
        <v>4</v>
      </c>
      <c r="J681" t="s">
        <v>5693</v>
      </c>
      <c r="K681">
        <v>13</v>
      </c>
      <c r="L681" t="s">
        <v>5694</v>
      </c>
      <c r="M681" t="s">
        <v>5695</v>
      </c>
      <c r="N681" t="s">
        <v>5696</v>
      </c>
      <c r="O681" t="s">
        <v>61</v>
      </c>
      <c r="Q681" t="s">
        <v>61</v>
      </c>
      <c r="R681" t="s">
        <v>61</v>
      </c>
      <c r="S681" t="s">
        <v>61</v>
      </c>
      <c r="T681" t="s">
        <v>61</v>
      </c>
      <c r="X681" t="s">
        <v>61</v>
      </c>
      <c r="Y681" t="s">
        <v>5697</v>
      </c>
      <c r="Z681" t="s">
        <v>61</v>
      </c>
      <c r="AA681" t="s">
        <v>5698</v>
      </c>
      <c r="AB681">
        <v>12479250</v>
      </c>
      <c r="AC681" t="s">
        <v>67</v>
      </c>
      <c r="AD681" t="s">
        <v>61</v>
      </c>
      <c r="AE681" t="s">
        <v>61</v>
      </c>
      <c r="AF681" t="s">
        <v>61</v>
      </c>
      <c r="AG681" t="s">
        <v>5699</v>
      </c>
      <c r="AH681" t="s">
        <v>61</v>
      </c>
      <c r="AI681" t="s">
        <v>61</v>
      </c>
      <c r="AJ681" t="s">
        <v>61</v>
      </c>
      <c r="AK681" t="s">
        <v>61</v>
      </c>
      <c r="AL681" t="s">
        <v>61</v>
      </c>
      <c r="AM681" t="s">
        <v>5700</v>
      </c>
      <c r="AN681" t="s">
        <v>61</v>
      </c>
      <c r="AO681" t="s">
        <v>61</v>
      </c>
      <c r="AP681" t="s">
        <v>61</v>
      </c>
      <c r="AQ681" t="s">
        <v>61</v>
      </c>
      <c r="AR681" t="s">
        <v>61</v>
      </c>
      <c r="AS681" t="s">
        <v>61</v>
      </c>
      <c r="AT681" t="s">
        <v>61</v>
      </c>
      <c r="AU681" t="s">
        <v>61</v>
      </c>
      <c r="AV681" t="s">
        <v>61</v>
      </c>
      <c r="AW681" t="s">
        <v>61</v>
      </c>
      <c r="AX681" t="s">
        <v>61</v>
      </c>
      <c r="AY681" t="s">
        <v>61</v>
      </c>
      <c r="AZ681" t="s">
        <v>61</v>
      </c>
      <c r="BA681" t="s">
        <v>61</v>
      </c>
      <c r="BB681" t="s">
        <v>61</v>
      </c>
      <c r="BC681" t="s">
        <v>61</v>
      </c>
      <c r="BD681" t="s">
        <v>61</v>
      </c>
      <c r="BE681" t="s">
        <v>61</v>
      </c>
      <c r="BF681" t="s">
        <v>61</v>
      </c>
    </row>
    <row r="682" spans="1:58">
      <c r="A682" t="s">
        <v>58</v>
      </c>
      <c r="B682" t="s">
        <v>5701</v>
      </c>
      <c r="C682" t="s">
        <v>5702</v>
      </c>
      <c r="D682" t="s">
        <v>2704</v>
      </c>
      <c r="E682" t="s">
        <v>61</v>
      </c>
      <c r="F682">
        <v>2007</v>
      </c>
      <c r="G682" t="s">
        <v>61</v>
      </c>
      <c r="H682">
        <v>30</v>
      </c>
      <c r="I682">
        <v>11</v>
      </c>
      <c r="J682">
        <v>1073</v>
      </c>
      <c r="K682">
        <v>1082</v>
      </c>
      <c r="L682" t="s">
        <v>5703</v>
      </c>
      <c r="M682" t="s">
        <v>5704</v>
      </c>
      <c r="N682" t="s">
        <v>5705</v>
      </c>
      <c r="O682" t="s">
        <v>61</v>
      </c>
      <c r="Q682" t="s">
        <v>61</v>
      </c>
      <c r="R682" t="s">
        <v>61</v>
      </c>
      <c r="S682" t="s">
        <v>61</v>
      </c>
      <c r="T682" t="s">
        <v>61</v>
      </c>
      <c r="X682" t="s">
        <v>61</v>
      </c>
      <c r="Y682" t="s">
        <v>313</v>
      </c>
      <c r="Z682" t="s">
        <v>61</v>
      </c>
      <c r="AA682" t="s">
        <v>5706</v>
      </c>
      <c r="AB682">
        <v>17973543</v>
      </c>
      <c r="AC682" t="s">
        <v>67</v>
      </c>
      <c r="AD682" t="s">
        <v>61</v>
      </c>
      <c r="AE682" t="s">
        <v>61</v>
      </c>
      <c r="AF682" t="s">
        <v>61</v>
      </c>
      <c r="AG682" t="s">
        <v>5707</v>
      </c>
      <c r="AH682" t="s">
        <v>61</v>
      </c>
      <c r="AI682" t="s">
        <v>61</v>
      </c>
      <c r="AJ682" t="s">
        <v>61</v>
      </c>
      <c r="AK682" t="s">
        <v>61</v>
      </c>
      <c r="AL682" t="s">
        <v>61</v>
      </c>
      <c r="AM682" t="s">
        <v>5708</v>
      </c>
      <c r="AN682" t="s">
        <v>61</v>
      </c>
      <c r="AO682" t="s">
        <v>61</v>
      </c>
      <c r="AP682" t="s">
        <v>61</v>
      </c>
      <c r="AQ682" t="s">
        <v>61</v>
      </c>
      <c r="AR682" t="s">
        <v>61</v>
      </c>
      <c r="AS682" t="s">
        <v>61</v>
      </c>
      <c r="AT682" t="s">
        <v>61</v>
      </c>
      <c r="AU682" t="s">
        <v>61</v>
      </c>
      <c r="AV682" t="s">
        <v>61</v>
      </c>
      <c r="AW682" t="s">
        <v>61</v>
      </c>
      <c r="AX682" t="s">
        <v>61</v>
      </c>
      <c r="AY682" t="s">
        <v>61</v>
      </c>
      <c r="AZ682" t="s">
        <v>61</v>
      </c>
      <c r="BA682" t="s">
        <v>61</v>
      </c>
      <c r="BB682" t="s">
        <v>61</v>
      </c>
      <c r="BC682" t="s">
        <v>61</v>
      </c>
      <c r="BD682" t="s">
        <v>61</v>
      </c>
      <c r="BE682" t="s">
        <v>61</v>
      </c>
      <c r="BF682" t="s">
        <v>61</v>
      </c>
    </row>
    <row r="683" spans="1:58">
      <c r="A683" t="s">
        <v>58</v>
      </c>
      <c r="B683" t="s">
        <v>5709</v>
      </c>
      <c r="C683" t="s">
        <v>5710</v>
      </c>
      <c r="D683" t="s">
        <v>5711</v>
      </c>
      <c r="E683" t="s">
        <v>5712</v>
      </c>
      <c r="F683">
        <v>2011</v>
      </c>
      <c r="G683" t="s">
        <v>429</v>
      </c>
      <c r="H683" s="3">
        <v>4.0027777777777773</v>
      </c>
      <c r="I683" t="s">
        <v>61</v>
      </c>
      <c r="J683" t="s">
        <v>61</v>
      </c>
      <c r="K683" t="s">
        <v>61</v>
      </c>
      <c r="L683" t="s">
        <v>5713</v>
      </c>
      <c r="M683" t="s">
        <v>5714</v>
      </c>
      <c r="N683" t="s">
        <v>5715</v>
      </c>
      <c r="O683" t="s">
        <v>61</v>
      </c>
      <c r="Q683" t="s">
        <v>61</v>
      </c>
      <c r="R683" t="s">
        <v>61</v>
      </c>
      <c r="S683" t="s">
        <v>61</v>
      </c>
      <c r="T683" t="s">
        <v>61</v>
      </c>
      <c r="X683" t="s">
        <v>61</v>
      </c>
      <c r="Y683" s="2">
        <v>2917619</v>
      </c>
      <c r="Z683" t="s">
        <v>61</v>
      </c>
      <c r="AA683" t="s">
        <v>61</v>
      </c>
      <c r="AB683" t="s">
        <v>61</v>
      </c>
      <c r="AC683" t="s">
        <v>67</v>
      </c>
      <c r="AD683" t="s">
        <v>61</v>
      </c>
      <c r="AE683" t="s">
        <v>61</v>
      </c>
      <c r="AF683" t="s">
        <v>61</v>
      </c>
      <c r="AG683" t="s">
        <v>61</v>
      </c>
      <c r="AH683" t="s">
        <v>61</v>
      </c>
      <c r="AI683" t="s">
        <v>61</v>
      </c>
      <c r="AJ683" t="s">
        <v>61</v>
      </c>
      <c r="AK683" t="s">
        <v>61</v>
      </c>
      <c r="AL683" t="s">
        <v>61</v>
      </c>
      <c r="AM683" t="s">
        <v>5710</v>
      </c>
      <c r="AN683" t="s">
        <v>61</v>
      </c>
      <c r="AO683" t="s">
        <v>61</v>
      </c>
      <c r="AP683" t="s">
        <v>61</v>
      </c>
      <c r="AQ683" t="s">
        <v>61</v>
      </c>
      <c r="AR683" t="s">
        <v>61</v>
      </c>
      <c r="AS683" t="s">
        <v>61</v>
      </c>
      <c r="AT683" t="s">
        <v>61</v>
      </c>
      <c r="AU683" t="s">
        <v>61</v>
      </c>
      <c r="AV683" t="s">
        <v>61</v>
      </c>
      <c r="AW683" t="s">
        <v>61</v>
      </c>
      <c r="AX683" t="s">
        <v>61</v>
      </c>
      <c r="AY683" t="s">
        <v>61</v>
      </c>
      <c r="AZ683" t="s">
        <v>61</v>
      </c>
      <c r="BA683" t="s">
        <v>61</v>
      </c>
      <c r="BB683" t="s">
        <v>61</v>
      </c>
      <c r="BC683" t="s">
        <v>61</v>
      </c>
      <c r="BD683" t="s">
        <v>61</v>
      </c>
      <c r="BE683" t="s">
        <v>61</v>
      </c>
      <c r="BF683" t="s">
        <v>61</v>
      </c>
    </row>
    <row r="684" spans="1:58">
      <c r="A684" t="s">
        <v>58</v>
      </c>
      <c r="B684" t="s">
        <v>5716</v>
      </c>
      <c r="C684" t="s">
        <v>5717</v>
      </c>
      <c r="D684" t="s">
        <v>1729</v>
      </c>
      <c r="E684" t="s">
        <v>1730</v>
      </c>
      <c r="F684">
        <v>1987</v>
      </c>
      <c r="G684" t="s">
        <v>119</v>
      </c>
      <c r="H684">
        <v>147</v>
      </c>
      <c r="I684">
        <v>6</v>
      </c>
      <c r="J684">
        <v>1117</v>
      </c>
      <c r="K684">
        <v>1120</v>
      </c>
      <c r="L684" t="s">
        <v>5718</v>
      </c>
      <c r="M684" t="s">
        <v>5719</v>
      </c>
      <c r="N684" t="s">
        <v>5720</v>
      </c>
      <c r="O684" t="s">
        <v>61</v>
      </c>
      <c r="Q684" t="s">
        <v>61</v>
      </c>
      <c r="R684" t="s">
        <v>61</v>
      </c>
      <c r="S684" t="s">
        <v>61</v>
      </c>
      <c r="T684" t="s">
        <v>61</v>
      </c>
      <c r="X684" t="s">
        <v>61</v>
      </c>
      <c r="Y684" s="2">
        <v>2931497</v>
      </c>
      <c r="Z684" t="s">
        <v>61</v>
      </c>
      <c r="AA684" t="s">
        <v>61</v>
      </c>
      <c r="AB684">
        <v>3592877</v>
      </c>
      <c r="AC684" t="s">
        <v>67</v>
      </c>
      <c r="AD684" t="s">
        <v>61</v>
      </c>
      <c r="AE684" t="s">
        <v>61</v>
      </c>
      <c r="AF684" t="s">
        <v>61</v>
      </c>
      <c r="AG684" t="s">
        <v>5721</v>
      </c>
      <c r="AH684" t="s">
        <v>61</v>
      </c>
      <c r="AI684" t="s">
        <v>61</v>
      </c>
      <c r="AJ684" t="s">
        <v>61</v>
      </c>
      <c r="AK684" t="s">
        <v>61</v>
      </c>
      <c r="AL684" t="s">
        <v>61</v>
      </c>
      <c r="AM684" t="s">
        <v>5722</v>
      </c>
      <c r="AN684" t="s">
        <v>61</v>
      </c>
      <c r="AO684" t="s">
        <v>61</v>
      </c>
      <c r="AP684" t="s">
        <v>61</v>
      </c>
      <c r="AQ684" t="s">
        <v>61</v>
      </c>
      <c r="AR684" t="s">
        <v>61</v>
      </c>
      <c r="AS684" t="s">
        <v>61</v>
      </c>
      <c r="AT684" t="s">
        <v>61</v>
      </c>
      <c r="AU684" t="s">
        <v>61</v>
      </c>
      <c r="AV684" t="s">
        <v>61</v>
      </c>
      <c r="AW684" t="s">
        <v>61</v>
      </c>
      <c r="AX684" t="s">
        <v>61</v>
      </c>
      <c r="AY684" t="s">
        <v>61</v>
      </c>
      <c r="AZ684" t="s">
        <v>61</v>
      </c>
      <c r="BA684" t="s">
        <v>61</v>
      </c>
      <c r="BB684" t="s">
        <v>61</v>
      </c>
      <c r="BC684" t="s">
        <v>61</v>
      </c>
      <c r="BD684" t="s">
        <v>61</v>
      </c>
      <c r="BE684" t="s">
        <v>61</v>
      </c>
      <c r="BF684" t="s">
        <v>61</v>
      </c>
    </row>
    <row r="685" spans="1:58">
      <c r="A685" t="s">
        <v>58</v>
      </c>
      <c r="B685" t="s">
        <v>5723</v>
      </c>
      <c r="C685" t="s">
        <v>5724</v>
      </c>
      <c r="D685" t="s">
        <v>1739</v>
      </c>
      <c r="E685" t="s">
        <v>1740</v>
      </c>
      <c r="F685">
        <v>1990</v>
      </c>
      <c r="G685" t="s">
        <v>559</v>
      </c>
      <c r="H685">
        <v>47</v>
      </c>
      <c r="I685">
        <v>5</v>
      </c>
      <c r="J685">
        <v>1080</v>
      </c>
      <c r="K685">
        <v>1083</v>
      </c>
      <c r="L685" t="s">
        <v>5725</v>
      </c>
      <c r="M685" t="s">
        <v>5726</v>
      </c>
      <c r="N685" t="s">
        <v>5727</v>
      </c>
      <c r="O685" t="s">
        <v>61</v>
      </c>
      <c r="Q685" t="s">
        <v>61</v>
      </c>
      <c r="R685" t="s">
        <v>61</v>
      </c>
      <c r="S685" t="s">
        <v>61</v>
      </c>
      <c r="T685" t="s">
        <v>61</v>
      </c>
      <c r="X685" t="s">
        <v>61</v>
      </c>
      <c r="Y685" s="2">
        <v>2698811</v>
      </c>
      <c r="Z685" t="s">
        <v>61</v>
      </c>
      <c r="AA685" t="s">
        <v>5728</v>
      </c>
      <c r="AB685">
        <v>2337098</v>
      </c>
      <c r="AC685" t="s">
        <v>67</v>
      </c>
      <c r="AD685" t="s">
        <v>61</v>
      </c>
      <c r="AE685" t="s">
        <v>61</v>
      </c>
      <c r="AF685" t="s">
        <v>61</v>
      </c>
      <c r="AG685" t="s">
        <v>5729</v>
      </c>
      <c r="AH685" t="s">
        <v>61</v>
      </c>
      <c r="AI685" t="s">
        <v>61</v>
      </c>
      <c r="AJ685" t="s">
        <v>61</v>
      </c>
      <c r="AK685" t="s">
        <v>61</v>
      </c>
      <c r="AL685" t="s">
        <v>61</v>
      </c>
      <c r="AM685" t="s">
        <v>5730</v>
      </c>
      <c r="AN685" t="s">
        <v>61</v>
      </c>
      <c r="AO685" t="s">
        <v>61</v>
      </c>
      <c r="AP685" t="s">
        <v>61</v>
      </c>
      <c r="AQ685" t="s">
        <v>61</v>
      </c>
      <c r="AR685" t="s">
        <v>61</v>
      </c>
      <c r="AS685" t="s">
        <v>61</v>
      </c>
      <c r="AT685" t="s">
        <v>61</v>
      </c>
      <c r="AU685" t="s">
        <v>61</v>
      </c>
      <c r="AV685" t="s">
        <v>61</v>
      </c>
      <c r="AW685" t="s">
        <v>61</v>
      </c>
      <c r="AX685" t="s">
        <v>61</v>
      </c>
      <c r="AY685" t="s">
        <v>61</v>
      </c>
      <c r="AZ685" t="s">
        <v>61</v>
      </c>
      <c r="BA685" t="s">
        <v>61</v>
      </c>
      <c r="BB685" t="s">
        <v>61</v>
      </c>
      <c r="BC685" t="s">
        <v>61</v>
      </c>
      <c r="BD685" t="s">
        <v>61</v>
      </c>
      <c r="BE685" t="s">
        <v>61</v>
      </c>
      <c r="BF685" t="s">
        <v>61</v>
      </c>
    </row>
    <row r="686" spans="1:58">
      <c r="A686" t="s">
        <v>58</v>
      </c>
      <c r="B686" t="s">
        <v>5731</v>
      </c>
      <c r="C686" t="s">
        <v>5732</v>
      </c>
      <c r="D686" t="s">
        <v>609</v>
      </c>
      <c r="E686" t="s">
        <v>61</v>
      </c>
      <c r="F686">
        <v>2015</v>
      </c>
      <c r="G686">
        <v>1</v>
      </c>
      <c r="H686">
        <v>14</v>
      </c>
      <c r="I686">
        <v>8</v>
      </c>
      <c r="J686">
        <v>1501</v>
      </c>
      <c r="K686">
        <v>1508</v>
      </c>
      <c r="L686" t="s">
        <v>5733</v>
      </c>
      <c r="M686" t="s">
        <v>5734</v>
      </c>
      <c r="N686" t="s">
        <v>5735</v>
      </c>
      <c r="O686" t="s">
        <v>61</v>
      </c>
      <c r="Q686" t="s">
        <v>61</v>
      </c>
      <c r="R686" t="s">
        <v>61</v>
      </c>
      <c r="S686" t="s">
        <v>61</v>
      </c>
      <c r="T686" t="s">
        <v>61</v>
      </c>
      <c r="X686" t="s">
        <v>61</v>
      </c>
      <c r="Y686" t="s">
        <v>3360</v>
      </c>
      <c r="Z686" t="s">
        <v>61</v>
      </c>
      <c r="AA686" t="s">
        <v>61</v>
      </c>
      <c r="AB686" t="s">
        <v>5736</v>
      </c>
      <c r="AC686" t="s">
        <v>67</v>
      </c>
      <c r="AD686" t="s">
        <v>61</v>
      </c>
      <c r="AE686" t="s">
        <v>61</v>
      </c>
      <c r="AF686" t="s">
        <v>61</v>
      </c>
      <c r="AG686" t="s">
        <v>61</v>
      </c>
      <c r="AH686" t="s">
        <v>61</v>
      </c>
      <c r="AI686" t="s">
        <v>61</v>
      </c>
      <c r="AJ686" t="s">
        <v>61</v>
      </c>
      <c r="AK686" t="s">
        <v>61</v>
      </c>
      <c r="AL686" t="s">
        <v>61</v>
      </c>
      <c r="AM686" t="s">
        <v>5732</v>
      </c>
      <c r="AN686" t="s">
        <v>61</v>
      </c>
      <c r="AO686" t="s">
        <v>61</v>
      </c>
      <c r="AP686" t="s">
        <v>61</v>
      </c>
      <c r="AQ686" t="s">
        <v>61</v>
      </c>
      <c r="AR686" t="s">
        <v>61</v>
      </c>
      <c r="AS686" t="s">
        <v>61</v>
      </c>
      <c r="AT686" t="s">
        <v>61</v>
      </c>
      <c r="AU686" t="s">
        <v>61</v>
      </c>
      <c r="AV686" t="s">
        <v>61</v>
      </c>
      <c r="AW686" t="s">
        <v>61</v>
      </c>
      <c r="AX686" t="s">
        <v>61</v>
      </c>
      <c r="AY686" t="s">
        <v>61</v>
      </c>
      <c r="AZ686" t="s">
        <v>61</v>
      </c>
      <c r="BA686" t="s">
        <v>61</v>
      </c>
      <c r="BB686" t="s">
        <v>61</v>
      </c>
      <c r="BC686" t="s">
        <v>61</v>
      </c>
      <c r="BD686" t="s">
        <v>61</v>
      </c>
      <c r="BE686" t="s">
        <v>61</v>
      </c>
      <c r="BF686" t="s">
        <v>61</v>
      </c>
    </row>
    <row r="687" spans="1:58">
      <c r="A687" t="s">
        <v>58</v>
      </c>
      <c r="B687" t="s">
        <v>5737</v>
      </c>
      <c r="C687" t="s">
        <v>5738</v>
      </c>
      <c r="D687" t="s">
        <v>1637</v>
      </c>
      <c r="E687" t="s">
        <v>1638</v>
      </c>
      <c r="F687">
        <v>2010</v>
      </c>
      <c r="G687" t="s">
        <v>61</v>
      </c>
      <c r="H687">
        <v>63</v>
      </c>
      <c r="I687">
        <v>1</v>
      </c>
      <c r="J687">
        <v>68</v>
      </c>
      <c r="K687" t="s">
        <v>61</v>
      </c>
      <c r="L687" t="s">
        <v>5739</v>
      </c>
      <c r="M687" t="s">
        <v>5740</v>
      </c>
      <c r="N687" t="s">
        <v>5741</v>
      </c>
      <c r="O687" t="s">
        <v>61</v>
      </c>
      <c r="Q687" t="s">
        <v>61</v>
      </c>
      <c r="R687" t="s">
        <v>61</v>
      </c>
      <c r="S687" t="s">
        <v>61</v>
      </c>
      <c r="T687" t="s">
        <v>61</v>
      </c>
      <c r="X687" t="s">
        <v>61</v>
      </c>
      <c r="Y687" s="2">
        <v>812148</v>
      </c>
      <c r="Z687" t="s">
        <v>61</v>
      </c>
      <c r="AA687" t="s">
        <v>61</v>
      </c>
      <c r="AB687" t="s">
        <v>61</v>
      </c>
      <c r="AC687" t="s">
        <v>67</v>
      </c>
      <c r="AD687" t="s">
        <v>61</v>
      </c>
      <c r="AE687" t="s">
        <v>61</v>
      </c>
      <c r="AF687" t="s">
        <v>61</v>
      </c>
      <c r="AG687" t="s">
        <v>61</v>
      </c>
      <c r="AH687" t="s">
        <v>61</v>
      </c>
      <c r="AI687" t="s">
        <v>61</v>
      </c>
      <c r="AJ687" t="s">
        <v>61</v>
      </c>
      <c r="AK687" t="s">
        <v>61</v>
      </c>
      <c r="AL687" t="s">
        <v>61</v>
      </c>
      <c r="AM687" t="s">
        <v>5738</v>
      </c>
      <c r="AN687" t="s">
        <v>61</v>
      </c>
      <c r="AO687" t="s">
        <v>61</v>
      </c>
      <c r="AP687" t="s">
        <v>61</v>
      </c>
      <c r="AQ687" t="s">
        <v>61</v>
      </c>
      <c r="AR687" t="s">
        <v>61</v>
      </c>
      <c r="AS687" t="s">
        <v>61</v>
      </c>
      <c r="AT687" t="s">
        <v>61</v>
      </c>
      <c r="AU687" t="s">
        <v>61</v>
      </c>
      <c r="AV687" t="s">
        <v>61</v>
      </c>
      <c r="AW687" t="s">
        <v>61</v>
      </c>
      <c r="AX687" t="s">
        <v>61</v>
      </c>
      <c r="AY687" t="s">
        <v>61</v>
      </c>
      <c r="AZ687" t="s">
        <v>61</v>
      </c>
      <c r="BA687" t="s">
        <v>61</v>
      </c>
      <c r="BB687" t="s">
        <v>61</v>
      </c>
      <c r="BC687" t="s">
        <v>61</v>
      </c>
      <c r="BD687" t="s">
        <v>61</v>
      </c>
      <c r="BE687" t="s">
        <v>61</v>
      </c>
      <c r="BF687" t="s">
        <v>61</v>
      </c>
    </row>
    <row r="688" spans="1:58">
      <c r="A688" t="s">
        <v>58</v>
      </c>
      <c r="B688" t="s">
        <v>5742</v>
      </c>
      <c r="C688" t="s">
        <v>5743</v>
      </c>
      <c r="D688" t="s">
        <v>5744</v>
      </c>
      <c r="E688" t="s">
        <v>61</v>
      </c>
      <c r="F688">
        <v>2008</v>
      </c>
      <c r="G688" t="s">
        <v>61</v>
      </c>
      <c r="H688">
        <v>11</v>
      </c>
      <c r="I688">
        <v>3</v>
      </c>
      <c r="J688">
        <v>110</v>
      </c>
      <c r="K688">
        <v>116</v>
      </c>
      <c r="L688" t="s">
        <v>5745</v>
      </c>
      <c r="M688" t="s">
        <v>5746</v>
      </c>
      <c r="N688" t="s">
        <v>5747</v>
      </c>
      <c r="O688" t="s">
        <v>61</v>
      </c>
      <c r="Q688" t="s">
        <v>61</v>
      </c>
      <c r="R688" t="s">
        <v>61</v>
      </c>
      <c r="S688" t="s">
        <v>61</v>
      </c>
      <c r="T688" t="s">
        <v>61</v>
      </c>
      <c r="X688" t="s">
        <v>61</v>
      </c>
      <c r="Y688" t="s">
        <v>5748</v>
      </c>
      <c r="Z688" t="s">
        <v>61</v>
      </c>
      <c r="AA688" t="s">
        <v>5749</v>
      </c>
      <c r="AB688">
        <v>18382171</v>
      </c>
      <c r="AC688" t="s">
        <v>67</v>
      </c>
      <c r="AD688" t="s">
        <v>61</v>
      </c>
      <c r="AE688" t="s">
        <v>61</v>
      </c>
      <c r="AF688" t="s">
        <v>61</v>
      </c>
      <c r="AG688" t="s">
        <v>5750</v>
      </c>
      <c r="AH688" t="s">
        <v>61</v>
      </c>
      <c r="AI688" t="s">
        <v>61</v>
      </c>
      <c r="AJ688" t="s">
        <v>61</v>
      </c>
      <c r="AK688" t="s">
        <v>61</v>
      </c>
      <c r="AL688" t="s">
        <v>61</v>
      </c>
      <c r="AM688" t="s">
        <v>5751</v>
      </c>
      <c r="AN688" t="s">
        <v>61</v>
      </c>
      <c r="AO688" t="s">
        <v>61</v>
      </c>
      <c r="AP688" t="s">
        <v>61</v>
      </c>
      <c r="AQ688" t="s">
        <v>61</v>
      </c>
      <c r="AR688" t="s">
        <v>61</v>
      </c>
      <c r="AS688" t="s">
        <v>61</v>
      </c>
      <c r="AT688" t="s">
        <v>61</v>
      </c>
      <c r="AU688" t="s">
        <v>61</v>
      </c>
      <c r="AV688" t="s">
        <v>61</v>
      </c>
      <c r="AW688" t="s">
        <v>61</v>
      </c>
      <c r="AX688" t="s">
        <v>61</v>
      </c>
      <c r="AY688" t="s">
        <v>61</v>
      </c>
      <c r="AZ688" t="s">
        <v>61</v>
      </c>
      <c r="BA688" t="s">
        <v>61</v>
      </c>
      <c r="BB688" t="s">
        <v>61</v>
      </c>
      <c r="BC688" t="s">
        <v>61</v>
      </c>
      <c r="BD688" t="s">
        <v>61</v>
      </c>
      <c r="BE688" t="s">
        <v>61</v>
      </c>
      <c r="BF688" t="s">
        <v>61</v>
      </c>
    </row>
    <row r="689" spans="1:58">
      <c r="A689" t="s">
        <v>58</v>
      </c>
      <c r="B689" t="s">
        <v>5752</v>
      </c>
      <c r="C689" t="s">
        <v>5753</v>
      </c>
      <c r="D689" t="s">
        <v>428</v>
      </c>
      <c r="E689" t="s">
        <v>61</v>
      </c>
      <c r="F689">
        <v>2013</v>
      </c>
      <c r="G689" t="s">
        <v>457</v>
      </c>
      <c r="H689">
        <v>26</v>
      </c>
      <c r="I689">
        <v>3</v>
      </c>
      <c r="J689">
        <v>334</v>
      </c>
      <c r="K689" t="s">
        <v>61</v>
      </c>
      <c r="L689" t="s">
        <v>5754</v>
      </c>
      <c r="M689" t="s">
        <v>5755</v>
      </c>
      <c r="N689" t="s">
        <v>5756</v>
      </c>
      <c r="O689" t="s">
        <v>61</v>
      </c>
      <c r="Q689" t="s">
        <v>61</v>
      </c>
      <c r="R689" t="s">
        <v>61</v>
      </c>
      <c r="S689" t="s">
        <v>61</v>
      </c>
      <c r="T689" t="s">
        <v>61</v>
      </c>
      <c r="X689" t="s">
        <v>61</v>
      </c>
      <c r="Y689" t="s">
        <v>433</v>
      </c>
      <c r="Z689" t="s">
        <v>61</v>
      </c>
      <c r="AA689" t="s">
        <v>61</v>
      </c>
      <c r="AB689" t="s">
        <v>61</v>
      </c>
      <c r="AC689" t="s">
        <v>67</v>
      </c>
      <c r="AD689" t="s">
        <v>61</v>
      </c>
      <c r="AE689" t="s">
        <v>61</v>
      </c>
      <c r="AF689" t="s">
        <v>61</v>
      </c>
      <c r="AG689" t="s">
        <v>61</v>
      </c>
      <c r="AH689" t="s">
        <v>61</v>
      </c>
      <c r="AI689" t="s">
        <v>61</v>
      </c>
      <c r="AJ689" t="s">
        <v>61</v>
      </c>
      <c r="AK689" t="s">
        <v>61</v>
      </c>
      <c r="AL689" t="s">
        <v>61</v>
      </c>
      <c r="AM689" t="s">
        <v>5753</v>
      </c>
      <c r="AN689" t="s">
        <v>61</v>
      </c>
      <c r="AO689" t="s">
        <v>61</v>
      </c>
      <c r="AP689" t="s">
        <v>61</v>
      </c>
      <c r="AQ689" t="s">
        <v>61</v>
      </c>
      <c r="AR689" t="s">
        <v>61</v>
      </c>
      <c r="AS689" t="s">
        <v>61</v>
      </c>
      <c r="AT689" t="s">
        <v>61</v>
      </c>
      <c r="AU689" t="s">
        <v>61</v>
      </c>
      <c r="AV689" t="s">
        <v>61</v>
      </c>
      <c r="AW689" t="s">
        <v>61</v>
      </c>
      <c r="AX689" t="s">
        <v>61</v>
      </c>
      <c r="AY689" t="s">
        <v>61</v>
      </c>
      <c r="AZ689" t="s">
        <v>61</v>
      </c>
      <c r="BA689" t="s">
        <v>61</v>
      </c>
      <c r="BB689" t="s">
        <v>61</v>
      </c>
      <c r="BC689" t="s">
        <v>61</v>
      </c>
      <c r="BD689" t="s">
        <v>61</v>
      </c>
      <c r="BE689" t="s">
        <v>61</v>
      </c>
      <c r="BF689" t="s">
        <v>61</v>
      </c>
    </row>
    <row r="690" spans="1:58">
      <c r="A690" t="s">
        <v>58</v>
      </c>
      <c r="B690" t="s">
        <v>5757</v>
      </c>
      <c r="C690" t="s">
        <v>5758</v>
      </c>
      <c r="D690" t="s">
        <v>5759</v>
      </c>
      <c r="E690" t="s">
        <v>5760</v>
      </c>
      <c r="F690">
        <v>1972</v>
      </c>
      <c r="G690" t="s">
        <v>61</v>
      </c>
      <c r="H690">
        <v>42</v>
      </c>
      <c r="I690">
        <v>9</v>
      </c>
      <c r="J690">
        <v>536</v>
      </c>
      <c r="K690">
        <v>539</v>
      </c>
      <c r="L690" t="s">
        <v>5761</v>
      </c>
      <c r="M690" t="s">
        <v>5762</v>
      </c>
      <c r="N690" t="s">
        <v>5763</v>
      </c>
      <c r="O690" t="s">
        <v>61</v>
      </c>
      <c r="Q690" t="s">
        <v>61</v>
      </c>
      <c r="R690" t="s">
        <v>61</v>
      </c>
      <c r="S690" t="s">
        <v>61</v>
      </c>
      <c r="T690" t="s">
        <v>61</v>
      </c>
      <c r="X690" t="s">
        <v>61</v>
      </c>
      <c r="Y690" t="s">
        <v>5764</v>
      </c>
      <c r="Z690" t="s">
        <v>61</v>
      </c>
      <c r="AA690" t="s">
        <v>61</v>
      </c>
      <c r="AB690">
        <v>2008891941</v>
      </c>
      <c r="AC690" t="s">
        <v>67</v>
      </c>
      <c r="AD690" t="s">
        <v>61</v>
      </c>
      <c r="AE690" t="s">
        <v>61</v>
      </c>
      <c r="AF690" t="s">
        <v>61</v>
      </c>
      <c r="AG690" t="s">
        <v>61</v>
      </c>
      <c r="AH690" t="s">
        <v>61</v>
      </c>
      <c r="AI690" t="s">
        <v>61</v>
      </c>
      <c r="AJ690" t="s">
        <v>61</v>
      </c>
      <c r="AK690" t="s">
        <v>61</v>
      </c>
      <c r="AL690" t="s">
        <v>61</v>
      </c>
      <c r="AM690" t="s">
        <v>5758</v>
      </c>
      <c r="AN690" t="s">
        <v>61</v>
      </c>
      <c r="AO690" t="s">
        <v>61</v>
      </c>
      <c r="AP690" t="s">
        <v>61</v>
      </c>
      <c r="AQ690" t="s">
        <v>61</v>
      </c>
      <c r="AR690" t="s">
        <v>61</v>
      </c>
      <c r="AS690" t="s">
        <v>61</v>
      </c>
      <c r="AT690" t="s">
        <v>61</v>
      </c>
      <c r="AU690" t="s">
        <v>61</v>
      </c>
      <c r="AV690" t="s">
        <v>61</v>
      </c>
      <c r="AW690" t="s">
        <v>61</v>
      </c>
      <c r="AX690" t="s">
        <v>61</v>
      </c>
      <c r="AY690" t="s">
        <v>61</v>
      </c>
      <c r="AZ690" t="s">
        <v>61</v>
      </c>
      <c r="BA690" t="s">
        <v>61</v>
      </c>
      <c r="BB690" t="s">
        <v>61</v>
      </c>
      <c r="BC690" t="s">
        <v>61</v>
      </c>
      <c r="BD690" t="s">
        <v>61</v>
      </c>
      <c r="BE690" t="s">
        <v>61</v>
      </c>
      <c r="BF690" t="s">
        <v>61</v>
      </c>
    </row>
    <row r="691" spans="1:58">
      <c r="A691" t="s">
        <v>58</v>
      </c>
      <c r="B691" t="s">
        <v>5765</v>
      </c>
      <c r="C691" t="s">
        <v>5766</v>
      </c>
      <c r="D691" t="s">
        <v>5767</v>
      </c>
      <c r="E691" t="s">
        <v>5768</v>
      </c>
      <c r="F691">
        <v>1987</v>
      </c>
      <c r="G691" t="s">
        <v>61</v>
      </c>
      <c r="H691">
        <v>51</v>
      </c>
      <c r="I691">
        <v>2</v>
      </c>
      <c r="J691">
        <v>243</v>
      </c>
      <c r="K691">
        <v>253</v>
      </c>
      <c r="L691" t="s">
        <v>5769</v>
      </c>
      <c r="M691" t="s">
        <v>5770</v>
      </c>
      <c r="N691" t="s">
        <v>5771</v>
      </c>
      <c r="O691" t="s">
        <v>61</v>
      </c>
      <c r="Q691" t="s">
        <v>61</v>
      </c>
      <c r="R691" t="s">
        <v>61</v>
      </c>
      <c r="S691" t="s">
        <v>61</v>
      </c>
      <c r="T691" t="s">
        <v>61</v>
      </c>
      <c r="X691" t="s">
        <v>61</v>
      </c>
      <c r="Y691" t="s">
        <v>5772</v>
      </c>
      <c r="Z691" t="s">
        <v>61</v>
      </c>
      <c r="AA691" t="s">
        <v>61</v>
      </c>
      <c r="AB691">
        <v>3598842</v>
      </c>
      <c r="AC691" t="s">
        <v>67</v>
      </c>
      <c r="AD691" t="s">
        <v>61</v>
      </c>
      <c r="AE691" t="s">
        <v>61</v>
      </c>
      <c r="AF691" t="s">
        <v>61</v>
      </c>
      <c r="AG691" t="s">
        <v>5773</v>
      </c>
      <c r="AH691" t="s">
        <v>61</v>
      </c>
      <c r="AI691" t="s">
        <v>61</v>
      </c>
      <c r="AJ691" t="s">
        <v>61</v>
      </c>
      <c r="AK691" t="s">
        <v>61</v>
      </c>
      <c r="AL691" t="s">
        <v>61</v>
      </c>
      <c r="AM691" t="s">
        <v>5774</v>
      </c>
      <c r="AN691" t="s">
        <v>61</v>
      </c>
      <c r="AO691" t="s">
        <v>61</v>
      </c>
      <c r="AP691" t="s">
        <v>61</v>
      </c>
      <c r="AQ691" t="s">
        <v>61</v>
      </c>
      <c r="AR691" t="s">
        <v>61</v>
      </c>
      <c r="AS691" t="s">
        <v>61</v>
      </c>
      <c r="AT691" t="s">
        <v>61</v>
      </c>
      <c r="AU691" t="s">
        <v>61</v>
      </c>
      <c r="AV691" t="s">
        <v>61</v>
      </c>
      <c r="AW691" t="s">
        <v>61</v>
      </c>
      <c r="AX691" t="s">
        <v>61</v>
      </c>
      <c r="AY691" t="s">
        <v>61</v>
      </c>
      <c r="AZ691" t="s">
        <v>61</v>
      </c>
      <c r="BA691" t="s">
        <v>61</v>
      </c>
      <c r="BB691" t="s">
        <v>61</v>
      </c>
      <c r="BC691" t="s">
        <v>61</v>
      </c>
      <c r="BD691" t="s">
        <v>61</v>
      </c>
      <c r="BE691" t="s">
        <v>61</v>
      </c>
      <c r="BF691" t="s">
        <v>61</v>
      </c>
    </row>
    <row r="692" spans="1:58">
      <c r="A692" t="s">
        <v>58</v>
      </c>
      <c r="B692" t="s">
        <v>5775</v>
      </c>
      <c r="C692" t="s">
        <v>5776</v>
      </c>
      <c r="D692" t="s">
        <v>84</v>
      </c>
      <c r="E692" t="s">
        <v>61</v>
      </c>
      <c r="F692">
        <v>2014</v>
      </c>
      <c r="G692" t="s">
        <v>273</v>
      </c>
      <c r="H692">
        <v>22</v>
      </c>
      <c r="I692">
        <v>1</v>
      </c>
      <c r="J692">
        <v>4</v>
      </c>
      <c r="K692">
        <v>12</v>
      </c>
      <c r="L692" t="s">
        <v>5777</v>
      </c>
      <c r="M692" t="s">
        <v>5778</v>
      </c>
      <c r="N692" t="s">
        <v>5779</v>
      </c>
      <c r="O692" t="s">
        <v>61</v>
      </c>
      <c r="Q692" t="s">
        <v>61</v>
      </c>
      <c r="R692" t="s">
        <v>61</v>
      </c>
      <c r="S692" t="s">
        <v>61</v>
      </c>
      <c r="T692" t="s">
        <v>61</v>
      </c>
      <c r="X692" t="s">
        <v>61</v>
      </c>
      <c r="Y692" t="s">
        <v>89</v>
      </c>
      <c r="Z692" t="s">
        <v>61</v>
      </c>
      <c r="AA692" t="s">
        <v>5780</v>
      </c>
      <c r="AB692">
        <v>23822820</v>
      </c>
      <c r="AC692" t="s">
        <v>67</v>
      </c>
      <c r="AD692" t="s">
        <v>61</v>
      </c>
      <c r="AE692" t="s">
        <v>61</v>
      </c>
      <c r="AF692" t="s">
        <v>61</v>
      </c>
      <c r="AG692" t="s">
        <v>5781</v>
      </c>
      <c r="AH692" t="s">
        <v>61</v>
      </c>
      <c r="AI692" t="s">
        <v>5782</v>
      </c>
      <c r="AJ692" t="s">
        <v>61</v>
      </c>
      <c r="AK692" t="s">
        <v>61</v>
      </c>
      <c r="AL692" t="s">
        <v>61</v>
      </c>
      <c r="AM692" t="s">
        <v>5783</v>
      </c>
      <c r="AN692" t="s">
        <v>61</v>
      </c>
      <c r="AO692" t="s">
        <v>61</v>
      </c>
      <c r="AP692" t="s">
        <v>61</v>
      </c>
      <c r="AQ692" t="s">
        <v>61</v>
      </c>
      <c r="AR692" t="s">
        <v>61</v>
      </c>
      <c r="AS692" t="s">
        <v>61</v>
      </c>
      <c r="AT692" t="s">
        <v>61</v>
      </c>
      <c r="AU692" t="s">
        <v>61</v>
      </c>
      <c r="AV692" t="s">
        <v>61</v>
      </c>
      <c r="AW692" t="s">
        <v>61</v>
      </c>
      <c r="AX692" t="s">
        <v>61</v>
      </c>
      <c r="AY692" t="s">
        <v>61</v>
      </c>
      <c r="AZ692" t="s">
        <v>61</v>
      </c>
      <c r="BA692" t="s">
        <v>61</v>
      </c>
      <c r="BB692" t="s">
        <v>61</v>
      </c>
      <c r="BC692" t="s">
        <v>61</v>
      </c>
      <c r="BD692" t="s">
        <v>61</v>
      </c>
      <c r="BE692" t="s">
        <v>61</v>
      </c>
      <c r="BF692" t="s">
        <v>61</v>
      </c>
    </row>
    <row r="693" spans="1:58">
      <c r="A693" t="s">
        <v>58</v>
      </c>
      <c r="B693" t="s">
        <v>5784</v>
      </c>
      <c r="C693" t="s">
        <v>5785</v>
      </c>
      <c r="D693" t="s">
        <v>1867</v>
      </c>
      <c r="E693" t="s">
        <v>1867</v>
      </c>
      <c r="F693">
        <v>1991</v>
      </c>
      <c r="G693" t="s">
        <v>391</v>
      </c>
      <c r="H693">
        <v>25</v>
      </c>
      <c r="I693">
        <v>3</v>
      </c>
      <c r="J693">
        <v>302</v>
      </c>
      <c r="K693">
        <v>305</v>
      </c>
      <c r="L693" t="s">
        <v>5786</v>
      </c>
      <c r="M693" t="s">
        <v>5787</v>
      </c>
      <c r="N693" t="s">
        <v>5788</v>
      </c>
      <c r="O693" t="s">
        <v>61</v>
      </c>
      <c r="Q693" t="s">
        <v>61</v>
      </c>
      <c r="R693" t="s">
        <v>61</v>
      </c>
      <c r="S693" t="s">
        <v>61</v>
      </c>
      <c r="T693" t="s">
        <v>61</v>
      </c>
      <c r="X693" t="s">
        <v>61</v>
      </c>
      <c r="Y693" t="s">
        <v>1871</v>
      </c>
      <c r="Z693" t="s">
        <v>61</v>
      </c>
      <c r="AA693" t="s">
        <v>5789</v>
      </c>
      <c r="AB693">
        <v>2028637</v>
      </c>
      <c r="AC693" t="s">
        <v>67</v>
      </c>
      <c r="AD693" t="s">
        <v>61</v>
      </c>
      <c r="AE693" t="s">
        <v>61</v>
      </c>
      <c r="AF693" t="s">
        <v>61</v>
      </c>
      <c r="AG693" t="s">
        <v>5790</v>
      </c>
      <c r="AH693" t="s">
        <v>61</v>
      </c>
      <c r="AI693" t="s">
        <v>61</v>
      </c>
      <c r="AJ693" t="s">
        <v>61</v>
      </c>
      <c r="AK693" t="s">
        <v>61</v>
      </c>
      <c r="AL693" t="s">
        <v>61</v>
      </c>
      <c r="AM693" t="s">
        <v>5791</v>
      </c>
      <c r="AN693" t="s">
        <v>61</v>
      </c>
      <c r="AO693" t="s">
        <v>61</v>
      </c>
      <c r="AP693" t="s">
        <v>61</v>
      </c>
      <c r="AQ693" t="s">
        <v>61</v>
      </c>
      <c r="AR693" t="s">
        <v>61</v>
      </c>
      <c r="AS693" t="s">
        <v>61</v>
      </c>
      <c r="AT693" t="s">
        <v>61</v>
      </c>
      <c r="AU693" t="s">
        <v>61</v>
      </c>
      <c r="AV693" t="s">
        <v>61</v>
      </c>
      <c r="AW693" t="s">
        <v>61</v>
      </c>
      <c r="AX693" t="s">
        <v>61</v>
      </c>
      <c r="AY693" t="s">
        <v>61</v>
      </c>
      <c r="AZ693" t="s">
        <v>61</v>
      </c>
      <c r="BA693" t="s">
        <v>61</v>
      </c>
      <c r="BB693" t="s">
        <v>61</v>
      </c>
      <c r="BC693" t="s">
        <v>61</v>
      </c>
      <c r="BD693" t="s">
        <v>61</v>
      </c>
      <c r="BE693" t="s">
        <v>61</v>
      </c>
      <c r="BF693" t="s">
        <v>61</v>
      </c>
    </row>
    <row r="694" spans="1:58">
      <c r="A694" t="s">
        <v>58</v>
      </c>
      <c r="B694" t="s">
        <v>5792</v>
      </c>
      <c r="C694" t="s">
        <v>5793</v>
      </c>
      <c r="D694" t="s">
        <v>1894</v>
      </c>
      <c r="E694" t="s">
        <v>1895</v>
      </c>
      <c r="F694">
        <v>1989</v>
      </c>
      <c r="G694" t="s">
        <v>391</v>
      </c>
      <c r="H694">
        <v>122</v>
      </c>
      <c r="I694">
        <v>3</v>
      </c>
      <c r="J694">
        <v>130</v>
      </c>
      <c r="K694" t="s">
        <v>5794</v>
      </c>
      <c r="L694" t="s">
        <v>5795</v>
      </c>
      <c r="M694" t="s">
        <v>5796</v>
      </c>
      <c r="N694" t="s">
        <v>5797</v>
      </c>
      <c r="O694" t="s">
        <v>61</v>
      </c>
      <c r="Q694" t="s">
        <v>61</v>
      </c>
      <c r="R694" t="s">
        <v>61</v>
      </c>
      <c r="S694" t="s">
        <v>61</v>
      </c>
      <c r="T694" t="s">
        <v>61</v>
      </c>
      <c r="X694" t="s">
        <v>61</v>
      </c>
      <c r="Y694" t="s">
        <v>1899</v>
      </c>
      <c r="Z694" t="s">
        <v>61</v>
      </c>
      <c r="AA694" t="s">
        <v>61</v>
      </c>
      <c r="AB694">
        <v>10318225</v>
      </c>
      <c r="AC694" t="s">
        <v>67</v>
      </c>
      <c r="AD694" t="s">
        <v>61</v>
      </c>
      <c r="AE694" t="s">
        <v>61</v>
      </c>
      <c r="AF694" t="s">
        <v>61</v>
      </c>
      <c r="AG694" t="s">
        <v>5798</v>
      </c>
      <c r="AH694" t="s">
        <v>61</v>
      </c>
      <c r="AI694" t="s">
        <v>61</v>
      </c>
      <c r="AJ694" t="s">
        <v>61</v>
      </c>
      <c r="AK694" t="s">
        <v>61</v>
      </c>
      <c r="AL694" t="s">
        <v>61</v>
      </c>
      <c r="AM694" t="s">
        <v>5799</v>
      </c>
      <c r="AN694" t="s">
        <v>61</v>
      </c>
      <c r="AO694" t="s">
        <v>61</v>
      </c>
      <c r="AP694" t="s">
        <v>61</v>
      </c>
      <c r="AQ694" t="s">
        <v>61</v>
      </c>
      <c r="AR694" t="s">
        <v>61</v>
      </c>
      <c r="AS694" t="s">
        <v>61</v>
      </c>
      <c r="AT694" t="s">
        <v>61</v>
      </c>
      <c r="AU694" t="s">
        <v>61</v>
      </c>
      <c r="AV694" t="s">
        <v>61</v>
      </c>
      <c r="AW694" t="s">
        <v>61</v>
      </c>
      <c r="AX694" t="s">
        <v>61</v>
      </c>
      <c r="AY694" t="s">
        <v>61</v>
      </c>
      <c r="AZ694" t="s">
        <v>61</v>
      </c>
      <c r="BA694" t="s">
        <v>61</v>
      </c>
      <c r="BB694" t="s">
        <v>61</v>
      </c>
      <c r="BC694" t="s">
        <v>61</v>
      </c>
      <c r="BD694" t="s">
        <v>61</v>
      </c>
      <c r="BE694" t="s">
        <v>61</v>
      </c>
      <c r="BF694" t="s">
        <v>61</v>
      </c>
    </row>
    <row r="695" spans="1:58">
      <c r="A695" t="s">
        <v>58</v>
      </c>
      <c r="B695" t="s">
        <v>5800</v>
      </c>
      <c r="C695" t="s">
        <v>5801</v>
      </c>
      <c r="D695" t="s">
        <v>5802</v>
      </c>
      <c r="E695" t="s">
        <v>61</v>
      </c>
      <c r="F695">
        <v>2012</v>
      </c>
      <c r="G695" t="s">
        <v>61</v>
      </c>
      <c r="H695">
        <v>19</v>
      </c>
      <c r="I695">
        <v>3</v>
      </c>
      <c r="J695">
        <v>345</v>
      </c>
      <c r="K695">
        <v>349</v>
      </c>
      <c r="L695" t="s">
        <v>5803</v>
      </c>
      <c r="M695" t="s">
        <v>5804</v>
      </c>
      <c r="N695" t="s">
        <v>5805</v>
      </c>
      <c r="O695" t="s">
        <v>61</v>
      </c>
      <c r="Q695" t="s">
        <v>61</v>
      </c>
      <c r="R695" t="s">
        <v>61</v>
      </c>
      <c r="S695" t="s">
        <v>61</v>
      </c>
      <c r="T695" t="s">
        <v>61</v>
      </c>
      <c r="X695" t="s">
        <v>61</v>
      </c>
      <c r="Y695" t="s">
        <v>5806</v>
      </c>
      <c r="Z695" t="s">
        <v>61</v>
      </c>
      <c r="AA695" t="s">
        <v>5807</v>
      </c>
      <c r="AB695">
        <v>23020022</v>
      </c>
      <c r="AC695" t="s">
        <v>67</v>
      </c>
      <c r="AD695" t="s">
        <v>61</v>
      </c>
      <c r="AE695" t="s">
        <v>61</v>
      </c>
      <c r="AF695" t="s">
        <v>61</v>
      </c>
      <c r="AG695" t="s">
        <v>5808</v>
      </c>
      <c r="AH695" t="s">
        <v>61</v>
      </c>
      <c r="AI695" t="s">
        <v>61</v>
      </c>
      <c r="AJ695" t="s">
        <v>61</v>
      </c>
      <c r="AK695" t="s">
        <v>61</v>
      </c>
      <c r="AL695" t="s">
        <v>61</v>
      </c>
      <c r="AM695" t="s">
        <v>5809</v>
      </c>
      <c r="AN695" t="s">
        <v>61</v>
      </c>
      <c r="AO695" t="s">
        <v>61</v>
      </c>
      <c r="AP695" t="s">
        <v>61</v>
      </c>
      <c r="AQ695" t="s">
        <v>61</v>
      </c>
      <c r="AR695" t="s">
        <v>61</v>
      </c>
      <c r="AS695" t="s">
        <v>61</v>
      </c>
      <c r="AT695" t="s">
        <v>61</v>
      </c>
      <c r="AU695" t="s">
        <v>61</v>
      </c>
      <c r="AV695" t="s">
        <v>61</v>
      </c>
      <c r="AW695" t="s">
        <v>61</v>
      </c>
      <c r="AX695" t="s">
        <v>61</v>
      </c>
      <c r="AY695" t="s">
        <v>61</v>
      </c>
      <c r="AZ695" t="s">
        <v>61</v>
      </c>
      <c r="BA695" t="s">
        <v>61</v>
      </c>
      <c r="BB695" t="s">
        <v>61</v>
      </c>
      <c r="BC695" t="s">
        <v>61</v>
      </c>
      <c r="BD695" t="s">
        <v>61</v>
      </c>
      <c r="BE695" t="s">
        <v>61</v>
      </c>
      <c r="BF695" t="s">
        <v>61</v>
      </c>
    </row>
    <row r="696" spans="1:58">
      <c r="A696" t="s">
        <v>58</v>
      </c>
      <c r="B696" t="s">
        <v>5810</v>
      </c>
      <c r="C696" t="s">
        <v>5811</v>
      </c>
      <c r="D696" t="s">
        <v>627</v>
      </c>
      <c r="E696" t="s">
        <v>61</v>
      </c>
      <c r="F696">
        <v>2012</v>
      </c>
      <c r="G696" t="s">
        <v>628</v>
      </c>
      <c r="H696">
        <v>52</v>
      </c>
      <c r="I696">
        <v>2</v>
      </c>
      <c r="J696">
        <v>280</v>
      </c>
      <c r="K696" t="s">
        <v>61</v>
      </c>
      <c r="L696" t="s">
        <v>5812</v>
      </c>
      <c r="M696" t="s">
        <v>5813</v>
      </c>
      <c r="N696" t="s">
        <v>5814</v>
      </c>
      <c r="O696" t="s">
        <v>61</v>
      </c>
      <c r="Q696" t="s">
        <v>61</v>
      </c>
      <c r="R696" t="s">
        <v>61</v>
      </c>
      <c r="S696" t="s">
        <v>61</v>
      </c>
      <c r="T696" t="s">
        <v>61</v>
      </c>
      <c r="X696" t="s">
        <v>61</v>
      </c>
      <c r="Y696" t="s">
        <v>632</v>
      </c>
      <c r="Z696" t="s">
        <v>61</v>
      </c>
      <c r="AA696" t="s">
        <v>61</v>
      </c>
      <c r="AB696" t="s">
        <v>61</v>
      </c>
      <c r="AC696" t="s">
        <v>67</v>
      </c>
      <c r="AD696" t="s">
        <v>61</v>
      </c>
      <c r="AE696" t="s">
        <v>61</v>
      </c>
      <c r="AF696" t="s">
        <v>61</v>
      </c>
      <c r="AG696" t="s">
        <v>61</v>
      </c>
      <c r="AH696" t="s">
        <v>61</v>
      </c>
      <c r="AI696" t="s">
        <v>61</v>
      </c>
      <c r="AJ696" t="s">
        <v>61</v>
      </c>
      <c r="AK696" t="s">
        <v>61</v>
      </c>
      <c r="AL696" t="s">
        <v>61</v>
      </c>
      <c r="AM696" t="s">
        <v>5811</v>
      </c>
      <c r="AN696" t="s">
        <v>61</v>
      </c>
      <c r="AO696" t="s">
        <v>61</v>
      </c>
      <c r="AP696" t="s">
        <v>61</v>
      </c>
      <c r="AQ696" t="s">
        <v>61</v>
      </c>
      <c r="AR696" t="s">
        <v>61</v>
      </c>
      <c r="AS696" t="s">
        <v>61</v>
      </c>
      <c r="AT696" t="s">
        <v>61</v>
      </c>
      <c r="AU696" t="s">
        <v>61</v>
      </c>
      <c r="AV696" t="s">
        <v>61</v>
      </c>
      <c r="AW696" t="s">
        <v>61</v>
      </c>
      <c r="AX696" t="s">
        <v>61</v>
      </c>
      <c r="AY696" t="s">
        <v>61</v>
      </c>
      <c r="AZ696" t="s">
        <v>61</v>
      </c>
      <c r="BA696" t="s">
        <v>61</v>
      </c>
      <c r="BB696" t="s">
        <v>61</v>
      </c>
      <c r="BC696" t="s">
        <v>61</v>
      </c>
      <c r="BD696" t="s">
        <v>61</v>
      </c>
      <c r="BE696" t="s">
        <v>61</v>
      </c>
      <c r="BF696" t="s">
        <v>61</v>
      </c>
    </row>
    <row r="697" spans="1:58">
      <c r="A697" t="s">
        <v>58</v>
      </c>
      <c r="B697" t="s">
        <v>5815</v>
      </c>
      <c r="C697" t="s">
        <v>5816</v>
      </c>
      <c r="D697" t="s">
        <v>5817</v>
      </c>
      <c r="E697" t="s">
        <v>61</v>
      </c>
      <c r="F697">
        <v>2012</v>
      </c>
      <c r="G697" t="s">
        <v>381</v>
      </c>
      <c r="H697">
        <v>4</v>
      </c>
      <c r="I697">
        <v>2</v>
      </c>
      <c r="J697">
        <v>1703</v>
      </c>
      <c r="K697">
        <v>1708</v>
      </c>
      <c r="L697" t="s">
        <v>5818</v>
      </c>
      <c r="M697" t="s">
        <v>5819</v>
      </c>
      <c r="N697" t="s">
        <v>5820</v>
      </c>
      <c r="O697" t="s">
        <v>61</v>
      </c>
      <c r="Q697" t="s">
        <v>61</v>
      </c>
      <c r="R697" t="s">
        <v>61</v>
      </c>
      <c r="S697" t="s">
        <v>61</v>
      </c>
      <c r="T697" t="s">
        <v>61</v>
      </c>
      <c r="X697" t="s">
        <v>61</v>
      </c>
      <c r="Y697" t="s">
        <v>5821</v>
      </c>
      <c r="Z697" t="s">
        <v>61</v>
      </c>
      <c r="AA697" t="s">
        <v>61</v>
      </c>
      <c r="AB697">
        <v>2012110653</v>
      </c>
      <c r="AC697" t="s">
        <v>67</v>
      </c>
      <c r="AD697" t="s">
        <v>61</v>
      </c>
      <c r="AE697" t="s">
        <v>61</v>
      </c>
      <c r="AF697" t="s">
        <v>61</v>
      </c>
      <c r="AG697" t="s">
        <v>61</v>
      </c>
      <c r="AH697" t="s">
        <v>61</v>
      </c>
      <c r="AI697" t="s">
        <v>61</v>
      </c>
      <c r="AJ697" t="s">
        <v>61</v>
      </c>
      <c r="AK697" t="s">
        <v>61</v>
      </c>
      <c r="AL697" t="s">
        <v>61</v>
      </c>
      <c r="AM697" t="s">
        <v>5816</v>
      </c>
      <c r="AN697" t="s">
        <v>61</v>
      </c>
      <c r="AO697" t="s">
        <v>61</v>
      </c>
      <c r="AP697" t="s">
        <v>61</v>
      </c>
      <c r="AQ697" t="s">
        <v>61</v>
      </c>
      <c r="AR697" t="s">
        <v>61</v>
      </c>
      <c r="AS697" t="s">
        <v>61</v>
      </c>
      <c r="AT697" t="s">
        <v>61</v>
      </c>
      <c r="AU697" t="s">
        <v>61</v>
      </c>
      <c r="AV697" t="s">
        <v>61</v>
      </c>
      <c r="AW697" t="s">
        <v>61</v>
      </c>
      <c r="AX697" t="s">
        <v>61</v>
      </c>
      <c r="AY697" t="s">
        <v>61</v>
      </c>
      <c r="AZ697" t="s">
        <v>61</v>
      </c>
      <c r="BA697" t="s">
        <v>61</v>
      </c>
      <c r="BB697" t="s">
        <v>61</v>
      </c>
      <c r="BC697" t="s">
        <v>61</v>
      </c>
      <c r="BD697" t="s">
        <v>61</v>
      </c>
      <c r="BE697" t="s">
        <v>61</v>
      </c>
      <c r="BF697" t="s">
        <v>61</v>
      </c>
    </row>
    <row r="698" spans="1:58">
      <c r="A698" t="s">
        <v>58</v>
      </c>
      <c r="B698" t="s">
        <v>5822</v>
      </c>
      <c r="C698" t="s">
        <v>5823</v>
      </c>
      <c r="D698" t="s">
        <v>475</v>
      </c>
      <c r="E698" t="s">
        <v>61</v>
      </c>
      <c r="F698">
        <v>2013</v>
      </c>
      <c r="G698" t="s">
        <v>645</v>
      </c>
      <c r="H698">
        <v>35</v>
      </c>
      <c r="I698">
        <v>5</v>
      </c>
      <c r="J698">
        <v>912</v>
      </c>
      <c r="K698">
        <v>913</v>
      </c>
      <c r="L698" t="s">
        <v>5824</v>
      </c>
      <c r="M698" t="s">
        <v>5825</v>
      </c>
      <c r="N698" t="s">
        <v>5826</v>
      </c>
      <c r="O698" t="s">
        <v>61</v>
      </c>
      <c r="Q698" t="s">
        <v>61</v>
      </c>
      <c r="R698" t="s">
        <v>61</v>
      </c>
      <c r="S698" t="s">
        <v>61</v>
      </c>
      <c r="T698" t="s">
        <v>61</v>
      </c>
      <c r="X698" t="s">
        <v>61</v>
      </c>
      <c r="Y698" t="s">
        <v>308</v>
      </c>
      <c r="Z698" t="s">
        <v>61</v>
      </c>
      <c r="AA698" t="s">
        <v>61</v>
      </c>
      <c r="AB698" t="s">
        <v>61</v>
      </c>
      <c r="AC698" t="s">
        <v>67</v>
      </c>
      <c r="AD698" t="s">
        <v>61</v>
      </c>
      <c r="AE698" t="s">
        <v>61</v>
      </c>
      <c r="AF698" t="s">
        <v>61</v>
      </c>
      <c r="AG698" t="s">
        <v>61</v>
      </c>
      <c r="AH698" t="s">
        <v>61</v>
      </c>
      <c r="AI698" t="s">
        <v>61</v>
      </c>
      <c r="AJ698" t="s">
        <v>61</v>
      </c>
      <c r="AK698" t="s">
        <v>61</v>
      </c>
      <c r="AL698" t="s">
        <v>61</v>
      </c>
      <c r="AM698" t="s">
        <v>5823</v>
      </c>
      <c r="AN698" t="s">
        <v>61</v>
      </c>
      <c r="AO698" t="s">
        <v>61</v>
      </c>
      <c r="AP698" t="s">
        <v>61</v>
      </c>
      <c r="AQ698" t="s">
        <v>61</v>
      </c>
      <c r="AR698" t="s">
        <v>61</v>
      </c>
      <c r="AS698" t="s">
        <v>61</v>
      </c>
      <c r="AT698" t="s">
        <v>61</v>
      </c>
      <c r="AU698" t="s">
        <v>61</v>
      </c>
      <c r="AV698" t="s">
        <v>61</v>
      </c>
      <c r="AW698" t="s">
        <v>61</v>
      </c>
      <c r="AX698" t="s">
        <v>61</v>
      </c>
      <c r="AY698" t="s">
        <v>61</v>
      </c>
      <c r="AZ698" t="s">
        <v>61</v>
      </c>
      <c r="BA698" t="s">
        <v>61</v>
      </c>
      <c r="BB698" t="s">
        <v>61</v>
      </c>
      <c r="BC698" t="s">
        <v>61</v>
      </c>
      <c r="BD698" t="s">
        <v>61</v>
      </c>
      <c r="BE698" t="s">
        <v>61</v>
      </c>
      <c r="BF698" t="s">
        <v>61</v>
      </c>
    </row>
    <row r="699" spans="1:58">
      <c r="A699" t="s">
        <v>58</v>
      </c>
      <c r="B699" t="s">
        <v>5827</v>
      </c>
      <c r="C699" t="s">
        <v>5828</v>
      </c>
      <c r="D699" t="s">
        <v>408</v>
      </c>
      <c r="E699" t="s">
        <v>408</v>
      </c>
      <c r="F699">
        <v>2012</v>
      </c>
      <c r="G699" t="s">
        <v>645</v>
      </c>
      <c r="H699">
        <v>32</v>
      </c>
      <c r="I699">
        <v>10</v>
      </c>
      <c r="J699" t="s">
        <v>5829</v>
      </c>
      <c r="K699" t="s">
        <v>5830</v>
      </c>
      <c r="L699" t="s">
        <v>5831</v>
      </c>
      <c r="M699" t="s">
        <v>5832</v>
      </c>
      <c r="N699" t="s">
        <v>5833</v>
      </c>
      <c r="O699" t="s">
        <v>61</v>
      </c>
      <c r="Q699" t="s">
        <v>61</v>
      </c>
      <c r="R699" t="s">
        <v>61</v>
      </c>
      <c r="S699" t="s">
        <v>61</v>
      </c>
      <c r="T699" t="s">
        <v>61</v>
      </c>
      <c r="X699" t="s">
        <v>61</v>
      </c>
      <c r="Y699" t="s">
        <v>414</v>
      </c>
      <c r="Z699" t="s">
        <v>61</v>
      </c>
      <c r="AA699" t="s">
        <v>61</v>
      </c>
      <c r="AB699" t="s">
        <v>61</v>
      </c>
      <c r="AC699" t="s">
        <v>67</v>
      </c>
      <c r="AD699" t="s">
        <v>61</v>
      </c>
      <c r="AE699" t="s">
        <v>61</v>
      </c>
      <c r="AF699" t="s">
        <v>61</v>
      </c>
      <c r="AG699" t="s">
        <v>61</v>
      </c>
      <c r="AH699" t="s">
        <v>61</v>
      </c>
      <c r="AI699" t="s">
        <v>61</v>
      </c>
      <c r="AJ699" t="s">
        <v>61</v>
      </c>
      <c r="AK699" t="s">
        <v>61</v>
      </c>
      <c r="AL699" t="s">
        <v>61</v>
      </c>
      <c r="AM699" t="s">
        <v>5828</v>
      </c>
      <c r="AN699" t="s">
        <v>61</v>
      </c>
      <c r="AO699" t="s">
        <v>61</v>
      </c>
      <c r="AP699" t="s">
        <v>61</v>
      </c>
      <c r="AQ699" t="s">
        <v>61</v>
      </c>
      <c r="AR699" t="s">
        <v>61</v>
      </c>
      <c r="AS699" t="s">
        <v>61</v>
      </c>
      <c r="AT699" t="s">
        <v>61</v>
      </c>
      <c r="AU699" t="s">
        <v>61</v>
      </c>
      <c r="AV699" t="s">
        <v>61</v>
      </c>
      <c r="AW699" t="s">
        <v>61</v>
      </c>
      <c r="AX699" t="s">
        <v>61</v>
      </c>
      <c r="AY699" t="s">
        <v>61</v>
      </c>
      <c r="AZ699" t="s">
        <v>61</v>
      </c>
      <c r="BA699" t="s">
        <v>61</v>
      </c>
      <c r="BB699" t="s">
        <v>61</v>
      </c>
      <c r="BC699" t="s">
        <v>61</v>
      </c>
      <c r="BD699" t="s">
        <v>61</v>
      </c>
      <c r="BE699" t="s">
        <v>61</v>
      </c>
      <c r="BF699" t="s">
        <v>61</v>
      </c>
    </row>
    <row r="700" spans="1:58">
      <c r="A700" t="s">
        <v>58</v>
      </c>
      <c r="B700" t="s">
        <v>5834</v>
      </c>
      <c r="C700" t="s">
        <v>5835</v>
      </c>
      <c r="D700" t="s">
        <v>5836</v>
      </c>
      <c r="E700" t="s">
        <v>61</v>
      </c>
      <c r="F700">
        <v>2016</v>
      </c>
      <c r="G700" t="s">
        <v>61</v>
      </c>
      <c r="H700">
        <v>7</v>
      </c>
      <c r="I700" t="s">
        <v>61</v>
      </c>
      <c r="J700">
        <v>277</v>
      </c>
      <c r="K700" t="s">
        <v>61</v>
      </c>
      <c r="L700" t="s">
        <v>61</v>
      </c>
      <c r="M700" t="s">
        <v>5837</v>
      </c>
      <c r="N700" t="s">
        <v>5838</v>
      </c>
      <c r="O700" t="s">
        <v>61</v>
      </c>
      <c r="Q700" t="s">
        <v>61</v>
      </c>
      <c r="R700" t="s">
        <v>61</v>
      </c>
      <c r="S700" t="s">
        <v>61</v>
      </c>
      <c r="T700" t="s">
        <v>61</v>
      </c>
      <c r="X700" t="s">
        <v>61</v>
      </c>
      <c r="Y700" t="s">
        <v>5839</v>
      </c>
      <c r="Z700" t="s">
        <v>61</v>
      </c>
      <c r="AA700" t="s">
        <v>5840</v>
      </c>
      <c r="AB700">
        <v>26973573</v>
      </c>
      <c r="AC700" t="s">
        <v>67</v>
      </c>
      <c r="AD700" t="s">
        <v>61</v>
      </c>
      <c r="AE700" t="s">
        <v>61</v>
      </c>
      <c r="AF700" t="s">
        <v>61</v>
      </c>
      <c r="AG700" t="s">
        <v>5841</v>
      </c>
      <c r="AH700" t="s">
        <v>61</v>
      </c>
      <c r="AI700" t="s">
        <v>5842</v>
      </c>
      <c r="AJ700" t="s">
        <v>61</v>
      </c>
      <c r="AK700" t="s">
        <v>61</v>
      </c>
      <c r="AL700" t="s">
        <v>61</v>
      </c>
      <c r="AM700" t="s">
        <v>5843</v>
      </c>
      <c r="AN700" t="s">
        <v>61</v>
      </c>
      <c r="AO700" t="s">
        <v>61</v>
      </c>
      <c r="AP700" t="s">
        <v>61</v>
      </c>
      <c r="AQ700" t="s">
        <v>61</v>
      </c>
      <c r="AR700" t="s">
        <v>61</v>
      </c>
      <c r="AS700" t="s">
        <v>61</v>
      </c>
      <c r="AT700" t="s">
        <v>61</v>
      </c>
      <c r="AU700" t="s">
        <v>61</v>
      </c>
      <c r="AV700" t="s">
        <v>61</v>
      </c>
      <c r="AW700" t="s">
        <v>61</v>
      </c>
      <c r="AX700" t="s">
        <v>61</v>
      </c>
      <c r="AY700" t="s">
        <v>61</v>
      </c>
      <c r="AZ700" t="s">
        <v>61</v>
      </c>
      <c r="BA700" t="s">
        <v>61</v>
      </c>
      <c r="BB700" t="s">
        <v>61</v>
      </c>
      <c r="BC700" t="s">
        <v>61</v>
      </c>
      <c r="BD700" t="s">
        <v>61</v>
      </c>
      <c r="BE700" t="s">
        <v>61</v>
      </c>
      <c r="BF700" t="s">
        <v>61</v>
      </c>
    </row>
    <row r="701" spans="1:58">
      <c r="A701" t="s">
        <v>58</v>
      </c>
      <c r="B701" t="s">
        <v>5844</v>
      </c>
      <c r="C701" t="s">
        <v>5845</v>
      </c>
      <c r="D701" t="s">
        <v>428</v>
      </c>
      <c r="E701" t="s">
        <v>61</v>
      </c>
      <c r="F701">
        <v>2010</v>
      </c>
      <c r="G701" t="s">
        <v>429</v>
      </c>
      <c r="H701">
        <v>23</v>
      </c>
      <c r="I701">
        <v>2</v>
      </c>
      <c r="J701">
        <v>176</v>
      </c>
      <c r="K701" t="s">
        <v>61</v>
      </c>
      <c r="L701" t="s">
        <v>5846</v>
      </c>
      <c r="M701" t="s">
        <v>5847</v>
      </c>
      <c r="N701" t="s">
        <v>5848</v>
      </c>
      <c r="O701" t="s">
        <v>61</v>
      </c>
      <c r="Q701" t="s">
        <v>61</v>
      </c>
      <c r="R701" t="s">
        <v>61</v>
      </c>
      <c r="S701" t="s">
        <v>61</v>
      </c>
      <c r="T701" t="s">
        <v>61</v>
      </c>
      <c r="X701" t="s">
        <v>61</v>
      </c>
      <c r="Y701" t="s">
        <v>433</v>
      </c>
      <c r="Z701" t="s">
        <v>61</v>
      </c>
      <c r="AA701" t="s">
        <v>61</v>
      </c>
      <c r="AB701" t="s">
        <v>61</v>
      </c>
      <c r="AC701" t="s">
        <v>67</v>
      </c>
      <c r="AD701" t="s">
        <v>61</v>
      </c>
      <c r="AE701" t="s">
        <v>61</v>
      </c>
      <c r="AF701" t="s">
        <v>61</v>
      </c>
      <c r="AG701" t="s">
        <v>61</v>
      </c>
      <c r="AH701" t="s">
        <v>61</v>
      </c>
      <c r="AI701" t="s">
        <v>61</v>
      </c>
      <c r="AJ701" t="s">
        <v>61</v>
      </c>
      <c r="AK701" t="s">
        <v>61</v>
      </c>
      <c r="AL701" t="s">
        <v>61</v>
      </c>
      <c r="AM701" t="s">
        <v>5845</v>
      </c>
      <c r="AN701" t="s">
        <v>61</v>
      </c>
      <c r="AO701" t="s">
        <v>61</v>
      </c>
      <c r="AP701" t="s">
        <v>61</v>
      </c>
      <c r="AQ701" t="s">
        <v>61</v>
      </c>
      <c r="AR701" t="s">
        <v>61</v>
      </c>
      <c r="AS701" t="s">
        <v>61</v>
      </c>
      <c r="AT701" t="s">
        <v>61</v>
      </c>
      <c r="AU701" t="s">
        <v>61</v>
      </c>
      <c r="AV701" t="s">
        <v>61</v>
      </c>
      <c r="AW701" t="s">
        <v>61</v>
      </c>
      <c r="AX701" t="s">
        <v>61</v>
      </c>
      <c r="AY701" t="s">
        <v>61</v>
      </c>
      <c r="AZ701" t="s">
        <v>61</v>
      </c>
      <c r="BA701" t="s">
        <v>61</v>
      </c>
      <c r="BB701" t="s">
        <v>61</v>
      </c>
      <c r="BC701" t="s">
        <v>61</v>
      </c>
      <c r="BD701" t="s">
        <v>61</v>
      </c>
      <c r="BE701" t="s">
        <v>61</v>
      </c>
      <c r="BF701" t="s">
        <v>61</v>
      </c>
    </row>
    <row r="702" spans="1:58">
      <c r="A702" t="s">
        <v>58</v>
      </c>
      <c r="B702" t="s">
        <v>5849</v>
      </c>
      <c r="C702" t="s">
        <v>5850</v>
      </c>
      <c r="D702" t="s">
        <v>5851</v>
      </c>
      <c r="E702" t="s">
        <v>61</v>
      </c>
      <c r="F702">
        <v>2014</v>
      </c>
      <c r="G702" t="s">
        <v>61</v>
      </c>
      <c r="H702">
        <v>7</v>
      </c>
      <c r="I702">
        <v>12</v>
      </c>
      <c r="J702">
        <v>478</v>
      </c>
      <c r="K702">
        <v>489</v>
      </c>
      <c r="L702" t="s">
        <v>61</v>
      </c>
      <c r="M702" t="s">
        <v>5852</v>
      </c>
      <c r="N702" t="s">
        <v>5853</v>
      </c>
      <c r="O702" t="s">
        <v>61</v>
      </c>
      <c r="Q702" t="s">
        <v>61</v>
      </c>
      <c r="R702" t="s">
        <v>61</v>
      </c>
      <c r="S702" t="s">
        <v>61</v>
      </c>
      <c r="T702" t="s">
        <v>61</v>
      </c>
      <c r="X702" t="s">
        <v>61</v>
      </c>
      <c r="Y702" t="s">
        <v>1714</v>
      </c>
      <c r="Z702" t="s">
        <v>61</v>
      </c>
      <c r="AA702" t="s">
        <v>5854</v>
      </c>
      <c r="AB702">
        <v>25646124</v>
      </c>
      <c r="AC702" t="s">
        <v>67</v>
      </c>
      <c r="AD702" t="s">
        <v>61</v>
      </c>
      <c r="AE702" t="s">
        <v>61</v>
      </c>
      <c r="AF702" t="s">
        <v>61</v>
      </c>
      <c r="AG702" t="s">
        <v>5855</v>
      </c>
      <c r="AH702" t="s">
        <v>61</v>
      </c>
      <c r="AI702" t="s">
        <v>5856</v>
      </c>
      <c r="AJ702" t="s">
        <v>61</v>
      </c>
      <c r="AK702" t="s">
        <v>61</v>
      </c>
      <c r="AL702" t="s">
        <v>61</v>
      </c>
      <c r="AM702" t="s">
        <v>5857</v>
      </c>
      <c r="AN702" t="s">
        <v>61</v>
      </c>
      <c r="AO702" t="s">
        <v>61</v>
      </c>
      <c r="AP702" t="s">
        <v>61</v>
      </c>
      <c r="AQ702" t="s">
        <v>61</v>
      </c>
      <c r="AR702" t="s">
        <v>61</v>
      </c>
      <c r="AS702" t="s">
        <v>61</v>
      </c>
      <c r="AT702" t="s">
        <v>61</v>
      </c>
      <c r="AU702" t="s">
        <v>61</v>
      </c>
      <c r="AV702" t="s">
        <v>61</v>
      </c>
      <c r="AW702" t="s">
        <v>61</v>
      </c>
      <c r="AX702" t="s">
        <v>61</v>
      </c>
      <c r="AY702" t="s">
        <v>61</v>
      </c>
      <c r="AZ702" t="s">
        <v>61</v>
      </c>
      <c r="BA702" t="s">
        <v>61</v>
      </c>
      <c r="BB702" t="s">
        <v>61</v>
      </c>
      <c r="BC702" t="s">
        <v>61</v>
      </c>
      <c r="BD702" t="s">
        <v>61</v>
      </c>
      <c r="BE702" t="s">
        <v>61</v>
      </c>
      <c r="BF702" t="s">
        <v>61</v>
      </c>
    </row>
    <row r="703" spans="1:58">
      <c r="A703" t="s">
        <v>58</v>
      </c>
      <c r="B703" t="s">
        <v>5858</v>
      </c>
      <c r="C703" t="s">
        <v>5859</v>
      </c>
      <c r="D703" t="s">
        <v>5851</v>
      </c>
      <c r="E703" t="s">
        <v>61</v>
      </c>
      <c r="F703">
        <v>2012</v>
      </c>
      <c r="G703" t="s">
        <v>61</v>
      </c>
      <c r="H703">
        <v>5</v>
      </c>
      <c r="I703">
        <v>5</v>
      </c>
      <c r="J703">
        <v>268</v>
      </c>
      <c r="K703">
        <v>271</v>
      </c>
      <c r="L703" t="s">
        <v>61</v>
      </c>
      <c r="M703" t="s">
        <v>5860</v>
      </c>
      <c r="N703" t="s">
        <v>5861</v>
      </c>
      <c r="O703" t="s">
        <v>61</v>
      </c>
      <c r="Q703" t="s">
        <v>61</v>
      </c>
      <c r="R703" t="s">
        <v>61</v>
      </c>
      <c r="S703" t="s">
        <v>61</v>
      </c>
      <c r="T703" t="s">
        <v>61</v>
      </c>
      <c r="X703" t="s">
        <v>61</v>
      </c>
      <c r="Y703" t="s">
        <v>1714</v>
      </c>
      <c r="Z703" t="s">
        <v>61</v>
      </c>
      <c r="AA703" t="s">
        <v>5862</v>
      </c>
      <c r="AB703">
        <v>22848322</v>
      </c>
      <c r="AC703" t="s">
        <v>67</v>
      </c>
      <c r="AD703" t="s">
        <v>61</v>
      </c>
      <c r="AE703" t="s">
        <v>61</v>
      </c>
      <c r="AF703" t="s">
        <v>61</v>
      </c>
      <c r="AG703" t="s">
        <v>5863</v>
      </c>
      <c r="AH703" t="s">
        <v>61</v>
      </c>
      <c r="AI703" t="s">
        <v>5864</v>
      </c>
      <c r="AJ703" t="s">
        <v>61</v>
      </c>
      <c r="AK703" t="s">
        <v>61</v>
      </c>
      <c r="AL703" t="s">
        <v>61</v>
      </c>
      <c r="AM703" t="s">
        <v>5865</v>
      </c>
      <c r="AN703" t="s">
        <v>61</v>
      </c>
      <c r="AO703" t="s">
        <v>61</v>
      </c>
      <c r="AP703" t="s">
        <v>61</v>
      </c>
      <c r="AQ703" t="s">
        <v>61</v>
      </c>
      <c r="AR703" t="s">
        <v>61</v>
      </c>
      <c r="AS703" t="s">
        <v>61</v>
      </c>
      <c r="AT703" t="s">
        <v>61</v>
      </c>
      <c r="AU703" t="s">
        <v>61</v>
      </c>
      <c r="AV703" t="s">
        <v>61</v>
      </c>
      <c r="AW703" t="s">
        <v>61</v>
      </c>
      <c r="AX703" t="s">
        <v>61</v>
      </c>
      <c r="AY703" t="s">
        <v>61</v>
      </c>
      <c r="AZ703" t="s">
        <v>61</v>
      </c>
      <c r="BA703" t="s">
        <v>61</v>
      </c>
      <c r="BB703" t="s">
        <v>61</v>
      </c>
      <c r="BC703" t="s">
        <v>61</v>
      </c>
      <c r="BD703" t="s">
        <v>61</v>
      </c>
      <c r="BE703" t="s">
        <v>61</v>
      </c>
      <c r="BF703" t="s">
        <v>61</v>
      </c>
    </row>
    <row r="704" spans="1:58">
      <c r="A704" t="s">
        <v>58</v>
      </c>
      <c r="B704" t="s">
        <v>5866</v>
      </c>
      <c r="C704" t="s">
        <v>5867</v>
      </c>
      <c r="D704" t="s">
        <v>5868</v>
      </c>
      <c r="E704" t="s">
        <v>5868</v>
      </c>
      <c r="F704">
        <v>2014</v>
      </c>
      <c r="G704" t="s">
        <v>119</v>
      </c>
      <c r="H704">
        <v>35</v>
      </c>
      <c r="I704">
        <v>19</v>
      </c>
      <c r="J704">
        <v>5240</v>
      </c>
      <c r="K704">
        <v>5249</v>
      </c>
      <c r="L704" t="s">
        <v>5869</v>
      </c>
      <c r="M704" t="s">
        <v>5870</v>
      </c>
      <c r="N704" t="s">
        <v>5871</v>
      </c>
      <c r="O704" t="s">
        <v>61</v>
      </c>
      <c r="Q704" t="s">
        <v>61</v>
      </c>
      <c r="R704" t="s">
        <v>61</v>
      </c>
      <c r="S704" t="s">
        <v>61</v>
      </c>
      <c r="T704" t="s">
        <v>61</v>
      </c>
      <c r="X704" t="s">
        <v>61</v>
      </c>
      <c r="Y704" t="s">
        <v>5872</v>
      </c>
      <c r="Z704" t="s">
        <v>61</v>
      </c>
      <c r="AA704" t="s">
        <v>5873</v>
      </c>
      <c r="AB704">
        <v>24698522</v>
      </c>
      <c r="AC704" t="s">
        <v>67</v>
      </c>
      <c r="AD704" t="s">
        <v>61</v>
      </c>
      <c r="AE704" t="s">
        <v>61</v>
      </c>
      <c r="AF704" t="s">
        <v>61</v>
      </c>
      <c r="AG704" t="s">
        <v>5874</v>
      </c>
      <c r="AH704" t="s">
        <v>61</v>
      </c>
      <c r="AI704" t="s">
        <v>5875</v>
      </c>
      <c r="AJ704" t="s">
        <v>61</v>
      </c>
      <c r="AK704" t="s">
        <v>61</v>
      </c>
      <c r="AL704" t="s">
        <v>61</v>
      </c>
      <c r="AM704" t="s">
        <v>5876</v>
      </c>
      <c r="AN704" t="s">
        <v>61</v>
      </c>
      <c r="AO704" t="s">
        <v>61</v>
      </c>
      <c r="AP704" t="s">
        <v>61</v>
      </c>
      <c r="AQ704" t="s">
        <v>61</v>
      </c>
      <c r="AR704" t="s">
        <v>61</v>
      </c>
      <c r="AS704" t="s">
        <v>61</v>
      </c>
      <c r="AT704" t="s">
        <v>61</v>
      </c>
      <c r="AU704" t="s">
        <v>61</v>
      </c>
      <c r="AV704" t="s">
        <v>61</v>
      </c>
      <c r="AW704" t="s">
        <v>61</v>
      </c>
      <c r="AX704" t="s">
        <v>61</v>
      </c>
      <c r="AY704" t="s">
        <v>61</v>
      </c>
      <c r="AZ704" t="s">
        <v>61</v>
      </c>
      <c r="BA704" t="s">
        <v>61</v>
      </c>
      <c r="BB704" t="s">
        <v>61</v>
      </c>
      <c r="BC704" t="s">
        <v>61</v>
      </c>
      <c r="BD704" t="s">
        <v>61</v>
      </c>
      <c r="BE704" t="s">
        <v>61</v>
      </c>
      <c r="BF704" t="s">
        <v>61</v>
      </c>
    </row>
    <row r="705" spans="1:58">
      <c r="A705" t="s">
        <v>58</v>
      </c>
      <c r="B705" t="s">
        <v>5877</v>
      </c>
      <c r="C705" t="s">
        <v>5878</v>
      </c>
      <c r="D705" t="s">
        <v>5879</v>
      </c>
      <c r="E705" t="s">
        <v>61</v>
      </c>
      <c r="F705">
        <v>2006</v>
      </c>
      <c r="G705" t="s">
        <v>559</v>
      </c>
      <c r="H705">
        <v>14</v>
      </c>
      <c r="I705">
        <v>2</v>
      </c>
      <c r="J705">
        <v>99</v>
      </c>
      <c r="K705">
        <v>108</v>
      </c>
      <c r="L705" t="s">
        <v>5880</v>
      </c>
      <c r="M705" t="s">
        <v>5881</v>
      </c>
      <c r="N705" t="s">
        <v>5882</v>
      </c>
      <c r="O705" t="s">
        <v>61</v>
      </c>
      <c r="Q705" t="s">
        <v>61</v>
      </c>
      <c r="R705" t="s">
        <v>61</v>
      </c>
      <c r="S705" t="s">
        <v>61</v>
      </c>
      <c r="T705" t="s">
        <v>61</v>
      </c>
      <c r="X705" t="s">
        <v>61</v>
      </c>
      <c r="Y705" t="s">
        <v>5883</v>
      </c>
      <c r="Z705" t="s">
        <v>61</v>
      </c>
      <c r="AA705" t="s">
        <v>5884</v>
      </c>
      <c r="AB705">
        <v>16756414</v>
      </c>
      <c r="AC705" t="s">
        <v>67</v>
      </c>
      <c r="AD705" t="s">
        <v>61</v>
      </c>
      <c r="AE705" t="s">
        <v>61</v>
      </c>
      <c r="AF705" t="s">
        <v>61</v>
      </c>
      <c r="AG705" t="s">
        <v>5885</v>
      </c>
      <c r="AH705" t="s">
        <v>61</v>
      </c>
      <c r="AI705" t="s">
        <v>61</v>
      </c>
      <c r="AJ705" t="s">
        <v>61</v>
      </c>
      <c r="AK705" t="s">
        <v>61</v>
      </c>
      <c r="AL705" t="s">
        <v>61</v>
      </c>
      <c r="AM705" t="s">
        <v>5886</v>
      </c>
      <c r="AN705" t="s">
        <v>61</v>
      </c>
      <c r="AO705" t="s">
        <v>61</v>
      </c>
      <c r="AP705" t="s">
        <v>61</v>
      </c>
      <c r="AQ705" t="s">
        <v>61</v>
      </c>
      <c r="AR705" t="s">
        <v>61</v>
      </c>
      <c r="AS705" t="s">
        <v>61</v>
      </c>
      <c r="AT705" t="s">
        <v>61</v>
      </c>
      <c r="AU705" t="s">
        <v>61</v>
      </c>
      <c r="AV705" t="s">
        <v>61</v>
      </c>
      <c r="AW705" t="s">
        <v>61</v>
      </c>
      <c r="AX705" t="s">
        <v>61</v>
      </c>
      <c r="AY705" t="s">
        <v>61</v>
      </c>
      <c r="AZ705" t="s">
        <v>61</v>
      </c>
      <c r="BA705" t="s">
        <v>61</v>
      </c>
      <c r="BB705" t="s">
        <v>61</v>
      </c>
      <c r="BC705" t="s">
        <v>61</v>
      </c>
      <c r="BD705" t="s">
        <v>61</v>
      </c>
      <c r="BE705" t="s">
        <v>61</v>
      </c>
      <c r="BF705" t="s">
        <v>61</v>
      </c>
    </row>
    <row r="706" spans="1:58">
      <c r="A706" t="s">
        <v>58</v>
      </c>
      <c r="B706" t="s">
        <v>5887</v>
      </c>
      <c r="C706" t="s">
        <v>5888</v>
      </c>
      <c r="D706" t="s">
        <v>5278</v>
      </c>
      <c r="E706" t="s">
        <v>61</v>
      </c>
      <c r="F706">
        <v>2006</v>
      </c>
      <c r="G706" t="s">
        <v>129</v>
      </c>
      <c r="H706">
        <v>26</v>
      </c>
      <c r="I706">
        <v>10</v>
      </c>
      <c r="J706">
        <v>1511</v>
      </c>
      <c r="K706">
        <v>1517</v>
      </c>
      <c r="L706" t="s">
        <v>5889</v>
      </c>
      <c r="M706" t="s">
        <v>5890</v>
      </c>
      <c r="N706" t="s">
        <v>5891</v>
      </c>
      <c r="O706" t="s">
        <v>61</v>
      </c>
      <c r="Q706" t="s">
        <v>61</v>
      </c>
      <c r="R706" t="s">
        <v>61</v>
      </c>
      <c r="S706" t="s">
        <v>61</v>
      </c>
      <c r="T706" t="s">
        <v>61</v>
      </c>
      <c r="X706" t="s">
        <v>61</v>
      </c>
      <c r="Y706" t="s">
        <v>414</v>
      </c>
      <c r="Z706" t="s">
        <v>61</v>
      </c>
      <c r="AA706" t="s">
        <v>5892</v>
      </c>
      <c r="AB706">
        <v>16999661</v>
      </c>
      <c r="AC706" t="s">
        <v>67</v>
      </c>
      <c r="AD706" t="s">
        <v>61</v>
      </c>
      <c r="AE706" t="s">
        <v>61</v>
      </c>
      <c r="AF706" t="s">
        <v>61</v>
      </c>
      <c r="AG706" t="s">
        <v>5893</v>
      </c>
      <c r="AH706" t="s">
        <v>61</v>
      </c>
      <c r="AI706" t="s">
        <v>61</v>
      </c>
      <c r="AJ706" t="s">
        <v>61</v>
      </c>
      <c r="AK706" t="s">
        <v>61</v>
      </c>
      <c r="AL706" t="s">
        <v>61</v>
      </c>
      <c r="AM706" t="s">
        <v>5894</v>
      </c>
      <c r="AN706" t="s">
        <v>61</v>
      </c>
      <c r="AO706" t="s">
        <v>61</v>
      </c>
      <c r="AP706" t="s">
        <v>61</v>
      </c>
      <c r="AQ706" t="s">
        <v>61</v>
      </c>
      <c r="AR706" t="s">
        <v>61</v>
      </c>
      <c r="AS706" t="s">
        <v>61</v>
      </c>
      <c r="AT706" t="s">
        <v>61</v>
      </c>
      <c r="AU706" t="s">
        <v>61</v>
      </c>
      <c r="AV706" t="s">
        <v>61</v>
      </c>
      <c r="AW706" t="s">
        <v>61</v>
      </c>
      <c r="AX706" t="s">
        <v>61</v>
      </c>
      <c r="AY706" t="s">
        <v>61</v>
      </c>
      <c r="AZ706" t="s">
        <v>61</v>
      </c>
      <c r="BA706" t="s">
        <v>61</v>
      </c>
      <c r="BB706" t="s">
        <v>61</v>
      </c>
      <c r="BC706" t="s">
        <v>61</v>
      </c>
      <c r="BD706" t="s">
        <v>61</v>
      </c>
      <c r="BE706" t="s">
        <v>61</v>
      </c>
      <c r="BF706" t="s">
        <v>61</v>
      </c>
    </row>
    <row r="707" spans="1:58">
      <c r="A707" t="s">
        <v>58</v>
      </c>
      <c r="B707" t="s">
        <v>5895</v>
      </c>
      <c r="C707" t="s">
        <v>5896</v>
      </c>
      <c r="D707" t="s">
        <v>5897</v>
      </c>
      <c r="E707" t="s">
        <v>5898</v>
      </c>
      <c r="F707">
        <v>1997</v>
      </c>
      <c r="G707" t="s">
        <v>129</v>
      </c>
      <c r="H707">
        <v>17</v>
      </c>
      <c r="I707">
        <v>3</v>
      </c>
      <c r="J707">
        <v>32</v>
      </c>
      <c r="K707">
        <v>44</v>
      </c>
      <c r="L707" t="s">
        <v>5899</v>
      </c>
      <c r="M707" t="s">
        <v>5900</v>
      </c>
      <c r="N707" t="s">
        <v>5901</v>
      </c>
      <c r="O707" t="s">
        <v>61</v>
      </c>
      <c r="Q707" t="s">
        <v>61</v>
      </c>
      <c r="R707" t="s">
        <v>61</v>
      </c>
      <c r="S707" t="s">
        <v>61</v>
      </c>
      <c r="T707" t="s">
        <v>61</v>
      </c>
      <c r="X707" t="s">
        <v>61</v>
      </c>
      <c r="Y707" t="s">
        <v>5902</v>
      </c>
      <c r="Z707" t="s">
        <v>61</v>
      </c>
      <c r="AA707" t="s">
        <v>5903</v>
      </c>
      <c r="AB707">
        <v>10173309</v>
      </c>
      <c r="AC707" t="s">
        <v>67</v>
      </c>
      <c r="AD707" t="s">
        <v>61</v>
      </c>
      <c r="AE707" t="s">
        <v>61</v>
      </c>
      <c r="AF707" t="s">
        <v>61</v>
      </c>
      <c r="AG707" t="s">
        <v>5904</v>
      </c>
      <c r="AH707" t="s">
        <v>61</v>
      </c>
      <c r="AI707" t="s">
        <v>61</v>
      </c>
      <c r="AJ707" t="s">
        <v>61</v>
      </c>
      <c r="AK707" t="s">
        <v>61</v>
      </c>
      <c r="AL707" t="s">
        <v>61</v>
      </c>
      <c r="AM707" t="s">
        <v>5905</v>
      </c>
      <c r="AN707" t="s">
        <v>61</v>
      </c>
      <c r="AO707" t="s">
        <v>61</v>
      </c>
      <c r="AP707" t="s">
        <v>61</v>
      </c>
      <c r="AQ707" t="s">
        <v>61</v>
      </c>
      <c r="AR707" t="s">
        <v>61</v>
      </c>
      <c r="AS707" t="s">
        <v>61</v>
      </c>
      <c r="AT707" t="s">
        <v>61</v>
      </c>
      <c r="AU707" t="s">
        <v>61</v>
      </c>
      <c r="AV707" t="s">
        <v>61</v>
      </c>
      <c r="AW707" t="s">
        <v>61</v>
      </c>
      <c r="AX707" t="s">
        <v>61</v>
      </c>
      <c r="AY707" t="s">
        <v>61</v>
      </c>
      <c r="AZ707" t="s">
        <v>61</v>
      </c>
      <c r="BA707" t="s">
        <v>61</v>
      </c>
      <c r="BB707" t="s">
        <v>61</v>
      </c>
      <c r="BC707" t="s">
        <v>61</v>
      </c>
      <c r="BD707" t="s">
        <v>61</v>
      </c>
      <c r="BE707" t="s">
        <v>61</v>
      </c>
      <c r="BF707" t="s">
        <v>61</v>
      </c>
    </row>
    <row r="708" spans="1:58">
      <c r="A708" t="s">
        <v>58</v>
      </c>
      <c r="B708" t="s">
        <v>5906</v>
      </c>
      <c r="C708" t="s">
        <v>5907</v>
      </c>
      <c r="D708" t="s">
        <v>5744</v>
      </c>
      <c r="E708" t="s">
        <v>61</v>
      </c>
      <c r="F708">
        <v>2006</v>
      </c>
      <c r="G708" t="s">
        <v>61</v>
      </c>
      <c r="H708">
        <v>9</v>
      </c>
      <c r="I708">
        <v>3</v>
      </c>
      <c r="J708">
        <v>66</v>
      </c>
      <c r="K708">
        <v>70</v>
      </c>
      <c r="L708" t="s">
        <v>5908</v>
      </c>
      <c r="M708" t="s">
        <v>5909</v>
      </c>
      <c r="N708" t="s">
        <v>5910</v>
      </c>
      <c r="O708" t="s">
        <v>61</v>
      </c>
      <c r="Q708" t="s">
        <v>61</v>
      </c>
      <c r="R708" t="s">
        <v>61</v>
      </c>
      <c r="S708" t="s">
        <v>61</v>
      </c>
      <c r="T708" t="s">
        <v>61</v>
      </c>
      <c r="X708" t="s">
        <v>61</v>
      </c>
      <c r="Y708" t="s">
        <v>5748</v>
      </c>
      <c r="Z708" t="s">
        <v>61</v>
      </c>
      <c r="AA708" t="s">
        <v>5911</v>
      </c>
      <c r="AB708">
        <v>16826769</v>
      </c>
      <c r="AC708" t="s">
        <v>67</v>
      </c>
      <c r="AD708" t="s">
        <v>61</v>
      </c>
      <c r="AE708" t="s">
        <v>61</v>
      </c>
      <c r="AF708" t="s">
        <v>61</v>
      </c>
      <c r="AG708" t="s">
        <v>5912</v>
      </c>
      <c r="AH708" t="s">
        <v>61</v>
      </c>
      <c r="AI708" t="s">
        <v>61</v>
      </c>
      <c r="AJ708" t="s">
        <v>61</v>
      </c>
      <c r="AK708" t="s">
        <v>61</v>
      </c>
      <c r="AL708" t="s">
        <v>61</v>
      </c>
      <c r="AM708" t="s">
        <v>5913</v>
      </c>
      <c r="AN708" t="s">
        <v>61</v>
      </c>
      <c r="AO708" t="s">
        <v>61</v>
      </c>
      <c r="AP708" t="s">
        <v>61</v>
      </c>
      <c r="AQ708" t="s">
        <v>61</v>
      </c>
      <c r="AR708" t="s">
        <v>61</v>
      </c>
      <c r="AS708" t="s">
        <v>61</v>
      </c>
      <c r="AT708" t="s">
        <v>61</v>
      </c>
      <c r="AU708" t="s">
        <v>61</v>
      </c>
      <c r="AV708" t="s">
        <v>61</v>
      </c>
      <c r="AW708" t="s">
        <v>61</v>
      </c>
      <c r="AX708" t="s">
        <v>61</v>
      </c>
      <c r="AY708" t="s">
        <v>61</v>
      </c>
      <c r="AZ708" t="s">
        <v>61</v>
      </c>
      <c r="BA708" t="s">
        <v>61</v>
      </c>
      <c r="BB708" t="s">
        <v>61</v>
      </c>
      <c r="BC708" t="s">
        <v>61</v>
      </c>
      <c r="BD708" t="s">
        <v>61</v>
      </c>
      <c r="BE708" t="s">
        <v>61</v>
      </c>
      <c r="BF708" t="s">
        <v>61</v>
      </c>
    </row>
    <row r="709" spans="1:58">
      <c r="A709" t="s">
        <v>58</v>
      </c>
      <c r="B709" t="s">
        <v>5914</v>
      </c>
      <c r="C709" t="s">
        <v>5915</v>
      </c>
      <c r="D709" t="s">
        <v>3616</v>
      </c>
      <c r="E709" t="s">
        <v>61</v>
      </c>
      <c r="F709">
        <v>1996</v>
      </c>
      <c r="G709" t="s">
        <v>3037</v>
      </c>
      <c r="H709">
        <v>10</v>
      </c>
      <c r="I709">
        <v>2</v>
      </c>
      <c r="J709">
        <v>160</v>
      </c>
      <c r="K709">
        <v>166</v>
      </c>
      <c r="L709" t="s">
        <v>5916</v>
      </c>
      <c r="M709" t="s">
        <v>5917</v>
      </c>
      <c r="N709" t="s">
        <v>5918</v>
      </c>
      <c r="O709" t="s">
        <v>61</v>
      </c>
      <c r="Q709" t="s">
        <v>61</v>
      </c>
      <c r="R709" t="s">
        <v>61</v>
      </c>
      <c r="S709" t="s">
        <v>61</v>
      </c>
      <c r="T709" t="s">
        <v>61</v>
      </c>
      <c r="X709" t="s">
        <v>61</v>
      </c>
      <c r="Y709" t="s">
        <v>3620</v>
      </c>
      <c r="Z709" t="s">
        <v>61</v>
      </c>
      <c r="AA709" t="s">
        <v>5919</v>
      </c>
      <c r="AB709">
        <v>10172600</v>
      </c>
      <c r="AC709" t="s">
        <v>67</v>
      </c>
      <c r="AD709" t="s">
        <v>61</v>
      </c>
      <c r="AE709" t="s">
        <v>61</v>
      </c>
      <c r="AF709" t="s">
        <v>61</v>
      </c>
      <c r="AG709" t="s">
        <v>5920</v>
      </c>
      <c r="AH709" t="s">
        <v>61</v>
      </c>
      <c r="AI709" t="s">
        <v>61</v>
      </c>
      <c r="AJ709" t="s">
        <v>61</v>
      </c>
      <c r="AK709" t="s">
        <v>61</v>
      </c>
      <c r="AL709" t="s">
        <v>61</v>
      </c>
      <c r="AM709" t="s">
        <v>5921</v>
      </c>
      <c r="AN709" t="s">
        <v>61</v>
      </c>
      <c r="AO709" t="s">
        <v>61</v>
      </c>
      <c r="AP709" t="s">
        <v>61</v>
      </c>
      <c r="AQ709" t="s">
        <v>61</v>
      </c>
      <c r="AR709" t="s">
        <v>61</v>
      </c>
      <c r="AS709" t="s">
        <v>61</v>
      </c>
      <c r="AT709" t="s">
        <v>61</v>
      </c>
      <c r="AU709" t="s">
        <v>61</v>
      </c>
      <c r="AV709" t="s">
        <v>61</v>
      </c>
      <c r="AW709" t="s">
        <v>61</v>
      </c>
      <c r="AX709" t="s">
        <v>61</v>
      </c>
      <c r="AY709" t="s">
        <v>61</v>
      </c>
      <c r="AZ709" t="s">
        <v>61</v>
      </c>
      <c r="BA709" t="s">
        <v>61</v>
      </c>
      <c r="BB709" t="s">
        <v>61</v>
      </c>
      <c r="BC709" t="s">
        <v>61</v>
      </c>
      <c r="BD709" t="s">
        <v>61</v>
      </c>
      <c r="BE709" t="s">
        <v>61</v>
      </c>
      <c r="BF709" t="s">
        <v>61</v>
      </c>
    </row>
    <row r="710" spans="1:58">
      <c r="A710" t="s">
        <v>58</v>
      </c>
      <c r="B710" t="s">
        <v>5922</v>
      </c>
      <c r="C710" t="s">
        <v>5923</v>
      </c>
      <c r="D710" t="s">
        <v>5924</v>
      </c>
      <c r="E710" t="s">
        <v>5925</v>
      </c>
      <c r="F710">
        <v>2005</v>
      </c>
      <c r="G710" t="s">
        <v>129</v>
      </c>
      <c r="H710">
        <v>10</v>
      </c>
      <c r="I710">
        <v>5</v>
      </c>
      <c r="J710">
        <v>285</v>
      </c>
      <c r="K710">
        <v>292</v>
      </c>
      <c r="L710" t="s">
        <v>5926</v>
      </c>
      <c r="M710" t="s">
        <v>5927</v>
      </c>
      <c r="N710" t="s">
        <v>5928</v>
      </c>
      <c r="O710" t="s">
        <v>61</v>
      </c>
      <c r="Q710" t="s">
        <v>61</v>
      </c>
      <c r="R710" t="s">
        <v>61</v>
      </c>
      <c r="S710" t="s">
        <v>61</v>
      </c>
      <c r="T710" t="s">
        <v>61</v>
      </c>
      <c r="X710" t="s">
        <v>61</v>
      </c>
      <c r="Y710" t="s">
        <v>5929</v>
      </c>
      <c r="Z710" t="s">
        <v>61</v>
      </c>
      <c r="AA710" t="s">
        <v>61</v>
      </c>
      <c r="AB710" t="s">
        <v>5930</v>
      </c>
      <c r="AC710" t="s">
        <v>67</v>
      </c>
      <c r="AD710" t="s">
        <v>61</v>
      </c>
      <c r="AE710" t="s">
        <v>61</v>
      </c>
      <c r="AF710" t="s">
        <v>61</v>
      </c>
      <c r="AG710" t="s">
        <v>61</v>
      </c>
      <c r="AH710" t="s">
        <v>61</v>
      </c>
      <c r="AI710" t="s">
        <v>61</v>
      </c>
      <c r="AJ710" t="s">
        <v>61</v>
      </c>
      <c r="AK710" t="s">
        <v>61</v>
      </c>
      <c r="AL710" t="s">
        <v>61</v>
      </c>
      <c r="AM710" t="s">
        <v>5923</v>
      </c>
      <c r="AN710" t="s">
        <v>61</v>
      </c>
      <c r="AO710" t="s">
        <v>61</v>
      </c>
      <c r="AP710" t="s">
        <v>61</v>
      </c>
      <c r="AQ710" t="s">
        <v>61</v>
      </c>
      <c r="AR710" t="s">
        <v>61</v>
      </c>
      <c r="AS710" t="s">
        <v>61</v>
      </c>
      <c r="AT710" t="s">
        <v>61</v>
      </c>
      <c r="AU710" t="s">
        <v>61</v>
      </c>
      <c r="AV710" t="s">
        <v>61</v>
      </c>
      <c r="AW710" t="s">
        <v>61</v>
      </c>
      <c r="AX710" t="s">
        <v>61</v>
      </c>
      <c r="AY710" t="s">
        <v>61</v>
      </c>
      <c r="AZ710" t="s">
        <v>61</v>
      </c>
      <c r="BA710" t="s">
        <v>61</v>
      </c>
      <c r="BB710" t="s">
        <v>61</v>
      </c>
      <c r="BC710" t="s">
        <v>61</v>
      </c>
      <c r="BD710" t="s">
        <v>61</v>
      </c>
      <c r="BE710" t="s">
        <v>61</v>
      </c>
      <c r="BF710" t="s">
        <v>61</v>
      </c>
    </row>
    <row r="711" spans="1:58">
      <c r="A711" t="s">
        <v>58</v>
      </c>
      <c r="B711" t="s">
        <v>5931</v>
      </c>
      <c r="C711" t="s">
        <v>5932</v>
      </c>
      <c r="D711" t="s">
        <v>5933</v>
      </c>
      <c r="E711" t="s">
        <v>5934</v>
      </c>
      <c r="F711">
        <v>1992</v>
      </c>
      <c r="G711" t="s">
        <v>61</v>
      </c>
      <c r="H711">
        <v>166</v>
      </c>
      <c r="I711" t="s">
        <v>61</v>
      </c>
      <c r="J711">
        <v>224</v>
      </c>
      <c r="K711" t="s">
        <v>5935</v>
      </c>
      <c r="L711" t="s">
        <v>5936</v>
      </c>
      <c r="M711" t="s">
        <v>5937</v>
      </c>
      <c r="N711" t="s">
        <v>5938</v>
      </c>
      <c r="O711" t="s">
        <v>61</v>
      </c>
      <c r="Q711" t="s">
        <v>61</v>
      </c>
      <c r="R711" t="s">
        <v>61</v>
      </c>
      <c r="S711" t="s">
        <v>61</v>
      </c>
      <c r="T711" t="s">
        <v>61</v>
      </c>
      <c r="X711" t="s">
        <v>61</v>
      </c>
      <c r="Y711" t="s">
        <v>5939</v>
      </c>
      <c r="Z711" t="s">
        <v>61</v>
      </c>
      <c r="AA711" t="s">
        <v>5940</v>
      </c>
      <c r="AB711">
        <v>1638916</v>
      </c>
      <c r="AC711" t="s">
        <v>67</v>
      </c>
      <c r="AD711" t="s">
        <v>61</v>
      </c>
      <c r="AE711" t="s">
        <v>61</v>
      </c>
      <c r="AF711" t="s">
        <v>61</v>
      </c>
      <c r="AG711" t="s">
        <v>5941</v>
      </c>
      <c r="AH711" t="s">
        <v>61</v>
      </c>
      <c r="AI711" t="s">
        <v>61</v>
      </c>
      <c r="AJ711" t="s">
        <v>61</v>
      </c>
      <c r="AK711" t="s">
        <v>61</v>
      </c>
      <c r="AL711" t="s">
        <v>61</v>
      </c>
      <c r="AM711" t="s">
        <v>5942</v>
      </c>
      <c r="AN711" t="s">
        <v>61</v>
      </c>
      <c r="AO711" t="s">
        <v>61</v>
      </c>
      <c r="AP711" t="s">
        <v>61</v>
      </c>
      <c r="AQ711" t="s">
        <v>61</v>
      </c>
      <c r="AR711" t="s">
        <v>61</v>
      </c>
      <c r="AS711" t="s">
        <v>61</v>
      </c>
      <c r="AT711" t="s">
        <v>61</v>
      </c>
      <c r="AU711" t="s">
        <v>61</v>
      </c>
      <c r="AV711" t="s">
        <v>61</v>
      </c>
      <c r="AW711" t="s">
        <v>61</v>
      </c>
      <c r="AX711" t="s">
        <v>61</v>
      </c>
      <c r="AY711" t="s">
        <v>61</v>
      </c>
      <c r="AZ711" t="s">
        <v>61</v>
      </c>
      <c r="BA711" t="s">
        <v>61</v>
      </c>
      <c r="BB711" t="s">
        <v>61</v>
      </c>
      <c r="BC711" t="s">
        <v>61</v>
      </c>
      <c r="BD711" t="s">
        <v>61</v>
      </c>
      <c r="BE711" t="s">
        <v>61</v>
      </c>
      <c r="BF711" t="s">
        <v>61</v>
      </c>
    </row>
    <row r="712" spans="1:58">
      <c r="A712" t="s">
        <v>58</v>
      </c>
      <c r="B712" t="s">
        <v>5943</v>
      </c>
      <c r="C712" t="s">
        <v>5944</v>
      </c>
      <c r="D712" t="s">
        <v>408</v>
      </c>
      <c r="E712" t="s">
        <v>408</v>
      </c>
      <c r="F712">
        <v>2011</v>
      </c>
      <c r="G712" t="s">
        <v>645</v>
      </c>
      <c r="H712">
        <v>31</v>
      </c>
      <c r="I712">
        <v>10</v>
      </c>
      <c r="J712" t="s">
        <v>5945</v>
      </c>
      <c r="K712" t="s">
        <v>61</v>
      </c>
      <c r="L712" t="s">
        <v>5946</v>
      </c>
      <c r="M712" t="s">
        <v>5947</v>
      </c>
      <c r="N712" t="s">
        <v>5948</v>
      </c>
      <c r="O712" t="s">
        <v>61</v>
      </c>
      <c r="Q712" t="s">
        <v>61</v>
      </c>
      <c r="R712" t="s">
        <v>61</v>
      </c>
      <c r="S712" t="s">
        <v>61</v>
      </c>
      <c r="T712" t="s">
        <v>61</v>
      </c>
      <c r="X712" t="s">
        <v>61</v>
      </c>
      <c r="Y712" t="s">
        <v>414</v>
      </c>
      <c r="Z712" t="s">
        <v>61</v>
      </c>
      <c r="AA712" t="s">
        <v>61</v>
      </c>
      <c r="AB712" t="s">
        <v>61</v>
      </c>
      <c r="AC712" t="s">
        <v>67</v>
      </c>
      <c r="AD712" t="s">
        <v>61</v>
      </c>
      <c r="AE712" t="s">
        <v>61</v>
      </c>
      <c r="AF712" t="s">
        <v>61</v>
      </c>
      <c r="AG712" t="s">
        <v>61</v>
      </c>
      <c r="AH712" t="s">
        <v>61</v>
      </c>
      <c r="AI712" t="s">
        <v>61</v>
      </c>
      <c r="AJ712" t="s">
        <v>61</v>
      </c>
      <c r="AK712" t="s">
        <v>61</v>
      </c>
      <c r="AL712" t="s">
        <v>61</v>
      </c>
      <c r="AM712" t="s">
        <v>5944</v>
      </c>
      <c r="AN712" t="s">
        <v>61</v>
      </c>
      <c r="AO712" t="s">
        <v>61</v>
      </c>
      <c r="AP712" t="s">
        <v>61</v>
      </c>
      <c r="AQ712" t="s">
        <v>61</v>
      </c>
      <c r="AR712" t="s">
        <v>61</v>
      </c>
      <c r="AS712" t="s">
        <v>61</v>
      </c>
      <c r="AT712" t="s">
        <v>61</v>
      </c>
      <c r="AU712" t="s">
        <v>61</v>
      </c>
      <c r="AV712" t="s">
        <v>61</v>
      </c>
      <c r="AW712" t="s">
        <v>61</v>
      </c>
      <c r="AX712" t="s">
        <v>61</v>
      </c>
      <c r="AY712" t="s">
        <v>61</v>
      </c>
      <c r="AZ712" t="s">
        <v>61</v>
      </c>
      <c r="BA712" t="s">
        <v>61</v>
      </c>
      <c r="BB712" t="s">
        <v>61</v>
      </c>
      <c r="BC712" t="s">
        <v>61</v>
      </c>
      <c r="BD712" t="s">
        <v>61</v>
      </c>
      <c r="BE712" t="s">
        <v>61</v>
      </c>
      <c r="BF712" t="s">
        <v>61</v>
      </c>
    </row>
    <row r="713" spans="1:58">
      <c r="A713" t="s">
        <v>58</v>
      </c>
      <c r="B713" t="s">
        <v>5949</v>
      </c>
      <c r="C713" t="s">
        <v>5950</v>
      </c>
      <c r="D713" t="s">
        <v>5441</v>
      </c>
      <c r="E713" t="s">
        <v>5441</v>
      </c>
      <c r="F713">
        <v>2002</v>
      </c>
      <c r="G713" t="s">
        <v>61</v>
      </c>
      <c r="H713" t="s">
        <v>5951</v>
      </c>
      <c r="I713" t="s">
        <v>61</v>
      </c>
      <c r="J713">
        <v>25</v>
      </c>
      <c r="K713">
        <v>35</v>
      </c>
      <c r="L713" t="s">
        <v>5952</v>
      </c>
      <c r="M713" t="s">
        <v>5953</v>
      </c>
      <c r="N713" t="s">
        <v>5954</v>
      </c>
      <c r="O713" t="s">
        <v>61</v>
      </c>
      <c r="Q713" t="s">
        <v>61</v>
      </c>
      <c r="R713" t="s">
        <v>61</v>
      </c>
      <c r="S713" t="s">
        <v>61</v>
      </c>
      <c r="T713" t="s">
        <v>61</v>
      </c>
      <c r="X713" t="s">
        <v>61</v>
      </c>
      <c r="Y713" s="2">
        <v>1741447</v>
      </c>
      <c r="Z713" t="s">
        <v>61</v>
      </c>
      <c r="AA713" t="s">
        <v>5955</v>
      </c>
      <c r="AB713">
        <v>12109933</v>
      </c>
      <c r="AC713" t="s">
        <v>67</v>
      </c>
      <c r="AD713" t="s">
        <v>61</v>
      </c>
      <c r="AE713" t="s">
        <v>61</v>
      </c>
      <c r="AF713" t="s">
        <v>61</v>
      </c>
      <c r="AG713" t="s">
        <v>5956</v>
      </c>
      <c r="AH713" t="s">
        <v>61</v>
      </c>
      <c r="AI713" t="s">
        <v>61</v>
      </c>
      <c r="AJ713" t="s">
        <v>61</v>
      </c>
      <c r="AK713" t="s">
        <v>61</v>
      </c>
      <c r="AL713" t="s">
        <v>61</v>
      </c>
      <c r="AM713" t="s">
        <v>5957</v>
      </c>
      <c r="AN713" t="s">
        <v>61</v>
      </c>
      <c r="AO713" t="s">
        <v>61</v>
      </c>
      <c r="AP713" t="s">
        <v>61</v>
      </c>
      <c r="AQ713" t="s">
        <v>61</v>
      </c>
      <c r="AR713" t="s">
        <v>61</v>
      </c>
      <c r="AS713" t="s">
        <v>61</v>
      </c>
      <c r="AT713" t="s">
        <v>61</v>
      </c>
      <c r="AU713" t="s">
        <v>61</v>
      </c>
      <c r="AV713" t="s">
        <v>61</v>
      </c>
      <c r="AW713" t="s">
        <v>61</v>
      </c>
      <c r="AX713" t="s">
        <v>61</v>
      </c>
      <c r="AY713" t="s">
        <v>61</v>
      </c>
      <c r="AZ713" t="s">
        <v>61</v>
      </c>
      <c r="BA713" t="s">
        <v>61</v>
      </c>
      <c r="BB713" t="s">
        <v>61</v>
      </c>
      <c r="BC713" t="s">
        <v>61</v>
      </c>
      <c r="BD713" t="s">
        <v>61</v>
      </c>
      <c r="BE713" t="s">
        <v>61</v>
      </c>
      <c r="BF713" t="s">
        <v>61</v>
      </c>
    </row>
    <row r="714" spans="1:58">
      <c r="A714" t="s">
        <v>58</v>
      </c>
      <c r="B714" t="s">
        <v>5958</v>
      </c>
      <c r="C714" t="s">
        <v>5959</v>
      </c>
      <c r="D714" t="s">
        <v>4265</v>
      </c>
      <c r="E714" t="s">
        <v>61</v>
      </c>
      <c r="F714">
        <v>2012</v>
      </c>
      <c r="G714" t="s">
        <v>1020</v>
      </c>
      <c r="H714">
        <v>21</v>
      </c>
      <c r="I714">
        <v>4</v>
      </c>
      <c r="J714">
        <v>385</v>
      </c>
      <c r="K714" t="s">
        <v>61</v>
      </c>
      <c r="L714" t="s">
        <v>5960</v>
      </c>
      <c r="M714" t="s">
        <v>5961</v>
      </c>
      <c r="N714" t="s">
        <v>5962</v>
      </c>
      <c r="O714" t="s">
        <v>61</v>
      </c>
      <c r="Q714" t="s">
        <v>61</v>
      </c>
      <c r="R714" t="s">
        <v>61</v>
      </c>
      <c r="S714" t="s">
        <v>61</v>
      </c>
      <c r="T714" t="s">
        <v>61</v>
      </c>
      <c r="X714" t="s">
        <v>61</v>
      </c>
      <c r="Y714" t="s">
        <v>4269</v>
      </c>
      <c r="Z714" t="s">
        <v>61</v>
      </c>
      <c r="AA714" t="s">
        <v>61</v>
      </c>
      <c r="AB714" t="s">
        <v>61</v>
      </c>
      <c r="AC714" t="s">
        <v>67</v>
      </c>
      <c r="AD714" t="s">
        <v>61</v>
      </c>
      <c r="AE714" t="s">
        <v>61</v>
      </c>
      <c r="AF714" t="s">
        <v>61</v>
      </c>
      <c r="AG714" t="s">
        <v>61</v>
      </c>
      <c r="AH714" t="s">
        <v>61</v>
      </c>
      <c r="AI714" t="s">
        <v>61</v>
      </c>
      <c r="AJ714" t="s">
        <v>61</v>
      </c>
      <c r="AK714" t="s">
        <v>61</v>
      </c>
      <c r="AL714" t="s">
        <v>61</v>
      </c>
      <c r="AM714" t="s">
        <v>5959</v>
      </c>
      <c r="AN714" t="s">
        <v>61</v>
      </c>
      <c r="AO714" t="s">
        <v>61</v>
      </c>
      <c r="AP714" t="s">
        <v>61</v>
      </c>
      <c r="AQ714" t="s">
        <v>61</v>
      </c>
      <c r="AR714" t="s">
        <v>61</v>
      </c>
      <c r="AS714" t="s">
        <v>61</v>
      </c>
      <c r="AT714" t="s">
        <v>61</v>
      </c>
      <c r="AU714" t="s">
        <v>61</v>
      </c>
      <c r="AV714" t="s">
        <v>61</v>
      </c>
      <c r="AW714" t="s">
        <v>61</v>
      </c>
      <c r="AX714" t="s">
        <v>61</v>
      </c>
      <c r="AY714" t="s">
        <v>61</v>
      </c>
      <c r="AZ714" t="s">
        <v>61</v>
      </c>
      <c r="BA714" t="s">
        <v>61</v>
      </c>
      <c r="BB714" t="s">
        <v>61</v>
      </c>
      <c r="BC714" t="s">
        <v>61</v>
      </c>
      <c r="BD714" t="s">
        <v>61</v>
      </c>
      <c r="BE714" t="s">
        <v>61</v>
      </c>
      <c r="BF714" t="s">
        <v>61</v>
      </c>
    </row>
    <row r="715" spans="1:58">
      <c r="A715" t="s">
        <v>58</v>
      </c>
      <c r="B715" t="s">
        <v>5963</v>
      </c>
      <c r="C715" t="s">
        <v>5964</v>
      </c>
      <c r="D715" t="s">
        <v>5965</v>
      </c>
      <c r="E715" t="s">
        <v>61</v>
      </c>
      <c r="F715">
        <v>2012</v>
      </c>
      <c r="G715" t="s">
        <v>61</v>
      </c>
      <c r="H715">
        <v>50</v>
      </c>
      <c r="I715">
        <v>12</v>
      </c>
      <c r="J715">
        <v>22</v>
      </c>
      <c r="K715" t="s">
        <v>5966</v>
      </c>
      <c r="L715" t="s">
        <v>5967</v>
      </c>
      <c r="M715" t="s">
        <v>5968</v>
      </c>
      <c r="N715" t="s">
        <v>5969</v>
      </c>
      <c r="O715" t="s">
        <v>61</v>
      </c>
      <c r="Q715" t="s">
        <v>61</v>
      </c>
      <c r="R715" t="s">
        <v>61</v>
      </c>
      <c r="S715" t="s">
        <v>61</v>
      </c>
      <c r="T715" t="s">
        <v>61</v>
      </c>
      <c r="X715" t="s">
        <v>61</v>
      </c>
      <c r="Y715" t="s">
        <v>5970</v>
      </c>
      <c r="Z715" t="s">
        <v>61</v>
      </c>
      <c r="AA715" t="s">
        <v>5971</v>
      </c>
      <c r="AB715">
        <v>104391315</v>
      </c>
      <c r="AC715" t="s">
        <v>67</v>
      </c>
      <c r="AD715" t="s">
        <v>61</v>
      </c>
      <c r="AE715" t="s">
        <v>61</v>
      </c>
      <c r="AF715" t="s">
        <v>61</v>
      </c>
      <c r="AG715" t="s">
        <v>5972</v>
      </c>
      <c r="AH715" t="s">
        <v>61</v>
      </c>
      <c r="AI715" t="s">
        <v>5973</v>
      </c>
      <c r="AJ715" t="s">
        <v>61</v>
      </c>
      <c r="AK715" t="s">
        <v>61</v>
      </c>
      <c r="AL715" t="s">
        <v>61</v>
      </c>
      <c r="AM715" t="s">
        <v>5974</v>
      </c>
      <c r="AN715" t="s">
        <v>61</v>
      </c>
      <c r="AO715" t="s">
        <v>61</v>
      </c>
      <c r="AP715" t="s">
        <v>61</v>
      </c>
      <c r="AQ715" t="s">
        <v>61</v>
      </c>
      <c r="AR715" t="s">
        <v>61</v>
      </c>
      <c r="AS715" t="s">
        <v>61</v>
      </c>
      <c r="AT715" t="s">
        <v>61</v>
      </c>
      <c r="AU715" t="s">
        <v>61</v>
      </c>
      <c r="AV715" t="s">
        <v>61</v>
      </c>
      <c r="AW715" t="s">
        <v>61</v>
      </c>
      <c r="AX715" t="s">
        <v>61</v>
      </c>
      <c r="AY715" t="s">
        <v>61</v>
      </c>
      <c r="AZ715" t="s">
        <v>61</v>
      </c>
      <c r="BA715" t="s">
        <v>61</v>
      </c>
      <c r="BB715" t="s">
        <v>61</v>
      </c>
      <c r="BC715" t="s">
        <v>61</v>
      </c>
      <c r="BD715" t="s">
        <v>61</v>
      </c>
      <c r="BE715" t="s">
        <v>61</v>
      </c>
      <c r="BF715" t="s">
        <v>61</v>
      </c>
    </row>
    <row r="716" spans="1:58">
      <c r="A716" t="s">
        <v>58</v>
      </c>
      <c r="B716" t="s">
        <v>5975</v>
      </c>
      <c r="C716" t="s">
        <v>5976</v>
      </c>
      <c r="D716" t="s">
        <v>876</v>
      </c>
      <c r="E716" t="s">
        <v>877</v>
      </c>
      <c r="F716">
        <v>2010</v>
      </c>
      <c r="G716" t="s">
        <v>61</v>
      </c>
      <c r="H716">
        <v>74</v>
      </c>
      <c r="I716">
        <v>10</v>
      </c>
      <c r="J716">
        <v>1</v>
      </c>
      <c r="K716" t="s">
        <v>5977</v>
      </c>
      <c r="L716" t="s">
        <v>61</v>
      </c>
      <c r="M716" t="s">
        <v>61</v>
      </c>
      <c r="N716" t="s">
        <v>5978</v>
      </c>
      <c r="O716" t="s">
        <v>61</v>
      </c>
      <c r="Q716" t="s">
        <v>61</v>
      </c>
      <c r="R716" t="s">
        <v>61</v>
      </c>
      <c r="S716" t="s">
        <v>61</v>
      </c>
      <c r="T716" t="s">
        <v>61</v>
      </c>
      <c r="X716" t="s">
        <v>61</v>
      </c>
      <c r="Y716" s="2">
        <v>2760901</v>
      </c>
      <c r="Z716" t="s">
        <v>61</v>
      </c>
      <c r="AA716" t="s">
        <v>5979</v>
      </c>
      <c r="AB716">
        <v>104338159</v>
      </c>
      <c r="AC716" t="s">
        <v>67</v>
      </c>
      <c r="AD716" t="s">
        <v>61</v>
      </c>
      <c r="AE716" t="s">
        <v>61</v>
      </c>
      <c r="AF716" t="s">
        <v>61</v>
      </c>
      <c r="AG716" t="s">
        <v>5980</v>
      </c>
      <c r="AH716" t="s">
        <v>61</v>
      </c>
      <c r="AI716" t="s">
        <v>61</v>
      </c>
      <c r="AJ716" t="s">
        <v>61</v>
      </c>
      <c r="AK716" t="s">
        <v>61</v>
      </c>
      <c r="AL716" t="s">
        <v>61</v>
      </c>
      <c r="AM716" t="s">
        <v>5981</v>
      </c>
      <c r="AN716" t="s">
        <v>61</v>
      </c>
      <c r="AO716" t="s">
        <v>61</v>
      </c>
      <c r="AP716" t="s">
        <v>61</v>
      </c>
      <c r="AQ716" t="s">
        <v>61</v>
      </c>
      <c r="AR716" t="s">
        <v>61</v>
      </c>
      <c r="AS716" t="s">
        <v>61</v>
      </c>
      <c r="AT716" t="s">
        <v>61</v>
      </c>
      <c r="AU716" t="s">
        <v>61</v>
      </c>
      <c r="AV716" t="s">
        <v>61</v>
      </c>
      <c r="AW716" t="s">
        <v>61</v>
      </c>
      <c r="AX716" t="s">
        <v>61</v>
      </c>
      <c r="AY716" t="s">
        <v>61</v>
      </c>
      <c r="AZ716" t="s">
        <v>61</v>
      </c>
      <c r="BA716" t="s">
        <v>61</v>
      </c>
      <c r="BB716" t="s">
        <v>61</v>
      </c>
      <c r="BC716" t="s">
        <v>61</v>
      </c>
      <c r="BD716" t="s">
        <v>61</v>
      </c>
      <c r="BE716" t="s">
        <v>61</v>
      </c>
      <c r="BF716" t="s">
        <v>61</v>
      </c>
    </row>
    <row r="717" spans="1:58">
      <c r="A717" t="s">
        <v>58</v>
      </c>
      <c r="B717" t="s">
        <v>5982</v>
      </c>
      <c r="C717" t="s">
        <v>5983</v>
      </c>
      <c r="D717" t="s">
        <v>475</v>
      </c>
      <c r="E717" t="s">
        <v>61</v>
      </c>
      <c r="F717">
        <v>2011</v>
      </c>
      <c r="G717" t="s">
        <v>119</v>
      </c>
      <c r="H717">
        <v>33</v>
      </c>
      <c r="I717">
        <v>3</v>
      </c>
      <c r="J717">
        <v>529</v>
      </c>
      <c r="K717">
        <v>536</v>
      </c>
      <c r="L717" t="s">
        <v>5984</v>
      </c>
      <c r="M717" t="s">
        <v>5985</v>
      </c>
      <c r="N717" t="s">
        <v>5986</v>
      </c>
      <c r="O717" t="s">
        <v>61</v>
      </c>
      <c r="Q717" t="s">
        <v>61</v>
      </c>
      <c r="R717" t="s">
        <v>61</v>
      </c>
      <c r="S717" t="s">
        <v>61</v>
      </c>
      <c r="T717" t="s">
        <v>61</v>
      </c>
      <c r="X717" t="s">
        <v>61</v>
      </c>
      <c r="Y717" t="s">
        <v>3663</v>
      </c>
      <c r="Z717" t="s">
        <v>61</v>
      </c>
      <c r="AA717" t="s">
        <v>5987</v>
      </c>
      <c r="AB717">
        <v>21442285</v>
      </c>
      <c r="AC717" t="s">
        <v>67</v>
      </c>
      <c r="AD717" t="s">
        <v>61</v>
      </c>
      <c r="AE717" t="s">
        <v>61</v>
      </c>
      <c r="AF717" t="s">
        <v>61</v>
      </c>
      <c r="AG717" t="s">
        <v>5988</v>
      </c>
      <c r="AH717" t="s">
        <v>61</v>
      </c>
      <c r="AI717" t="s">
        <v>5989</v>
      </c>
      <c r="AJ717" t="s">
        <v>61</v>
      </c>
      <c r="AK717" t="s">
        <v>61</v>
      </c>
      <c r="AL717" t="s">
        <v>61</v>
      </c>
      <c r="AM717" t="s">
        <v>5990</v>
      </c>
      <c r="AN717" t="s">
        <v>61</v>
      </c>
      <c r="AO717" t="s">
        <v>61</v>
      </c>
      <c r="AP717" t="s">
        <v>61</v>
      </c>
      <c r="AQ717" t="s">
        <v>61</v>
      </c>
      <c r="AR717" t="s">
        <v>61</v>
      </c>
      <c r="AS717" t="s">
        <v>61</v>
      </c>
      <c r="AT717" t="s">
        <v>61</v>
      </c>
      <c r="AU717" t="s">
        <v>61</v>
      </c>
      <c r="AV717" t="s">
        <v>61</v>
      </c>
      <c r="AW717" t="s">
        <v>61</v>
      </c>
      <c r="AX717" t="s">
        <v>61</v>
      </c>
      <c r="AY717" t="s">
        <v>61</v>
      </c>
      <c r="AZ717" t="s">
        <v>61</v>
      </c>
      <c r="BA717" t="s">
        <v>61</v>
      </c>
      <c r="BB717" t="s">
        <v>61</v>
      </c>
      <c r="BC717" t="s">
        <v>61</v>
      </c>
      <c r="BD717" t="s">
        <v>61</v>
      </c>
      <c r="BE717" t="s">
        <v>61</v>
      </c>
      <c r="BF717" t="s">
        <v>61</v>
      </c>
    </row>
    <row r="718" spans="1:58">
      <c r="A718" t="s">
        <v>58</v>
      </c>
      <c r="B718" t="s">
        <v>5991</v>
      </c>
      <c r="C718" t="s">
        <v>5992</v>
      </c>
      <c r="D718" t="s">
        <v>876</v>
      </c>
      <c r="E718" t="s">
        <v>877</v>
      </c>
      <c r="F718">
        <v>2013</v>
      </c>
      <c r="G718" s="1">
        <v>42472</v>
      </c>
      <c r="H718">
        <v>77</v>
      </c>
      <c r="I718">
        <v>3</v>
      </c>
      <c r="J718">
        <v>63</v>
      </c>
      <c r="K718" t="s">
        <v>61</v>
      </c>
      <c r="L718" t="s">
        <v>5993</v>
      </c>
      <c r="M718" t="s">
        <v>5994</v>
      </c>
      <c r="N718" t="s">
        <v>5995</v>
      </c>
      <c r="O718" t="s">
        <v>61</v>
      </c>
      <c r="Q718" t="s">
        <v>61</v>
      </c>
      <c r="R718" t="s">
        <v>61</v>
      </c>
      <c r="S718" t="s">
        <v>61</v>
      </c>
      <c r="T718" t="s">
        <v>61</v>
      </c>
      <c r="X718" t="s">
        <v>61</v>
      </c>
      <c r="Y718" t="s">
        <v>881</v>
      </c>
      <c r="Z718" t="s">
        <v>61</v>
      </c>
      <c r="AA718" t="s">
        <v>5996</v>
      </c>
      <c r="AB718">
        <v>23610481</v>
      </c>
      <c r="AC718" t="s">
        <v>67</v>
      </c>
      <c r="AD718" t="s">
        <v>61</v>
      </c>
      <c r="AE718" t="s">
        <v>61</v>
      </c>
      <c r="AF718" t="s">
        <v>61</v>
      </c>
      <c r="AG718" t="s">
        <v>5997</v>
      </c>
      <c r="AH718" t="s">
        <v>61</v>
      </c>
      <c r="AI718" t="s">
        <v>5998</v>
      </c>
      <c r="AJ718" t="s">
        <v>61</v>
      </c>
      <c r="AK718" t="s">
        <v>61</v>
      </c>
      <c r="AL718" t="s">
        <v>61</v>
      </c>
      <c r="AM718" t="s">
        <v>5999</v>
      </c>
      <c r="AN718" t="s">
        <v>61</v>
      </c>
      <c r="AO718" t="s">
        <v>61</v>
      </c>
      <c r="AP718" t="s">
        <v>61</v>
      </c>
      <c r="AQ718" t="s">
        <v>61</v>
      </c>
      <c r="AR718" t="s">
        <v>61</v>
      </c>
      <c r="AS718" t="s">
        <v>61</v>
      </c>
      <c r="AT718" t="s">
        <v>61</v>
      </c>
      <c r="AU718" t="s">
        <v>61</v>
      </c>
      <c r="AV718" t="s">
        <v>61</v>
      </c>
      <c r="AW718" t="s">
        <v>61</v>
      </c>
      <c r="AX718" t="s">
        <v>61</v>
      </c>
      <c r="AY718" t="s">
        <v>61</v>
      </c>
      <c r="AZ718" t="s">
        <v>61</v>
      </c>
      <c r="BA718" t="s">
        <v>61</v>
      </c>
      <c r="BB718" t="s">
        <v>61</v>
      </c>
      <c r="BC718" t="s">
        <v>61</v>
      </c>
      <c r="BD718" t="s">
        <v>61</v>
      </c>
      <c r="BE718" t="s">
        <v>61</v>
      </c>
      <c r="BF718" t="s">
        <v>61</v>
      </c>
    </row>
    <row r="719" spans="1:58">
      <c r="A719" t="s">
        <v>58</v>
      </c>
      <c r="B719" t="s">
        <v>6000</v>
      </c>
      <c r="C719" t="s">
        <v>6001</v>
      </c>
      <c r="D719" t="s">
        <v>2139</v>
      </c>
      <c r="E719" t="s">
        <v>2140</v>
      </c>
      <c r="F719">
        <v>1992</v>
      </c>
      <c r="G719" t="s">
        <v>129</v>
      </c>
      <c r="H719">
        <v>35</v>
      </c>
      <c r="I719">
        <v>8</v>
      </c>
      <c r="J719">
        <v>1015</v>
      </c>
      <c r="K719">
        <v>1025</v>
      </c>
      <c r="L719" t="s">
        <v>6002</v>
      </c>
      <c r="M719" t="s">
        <v>6003</v>
      </c>
      <c r="N719" t="s">
        <v>6004</v>
      </c>
      <c r="O719" t="s">
        <v>61</v>
      </c>
      <c r="Q719" t="s">
        <v>61</v>
      </c>
      <c r="R719" t="s">
        <v>61</v>
      </c>
      <c r="S719" t="s">
        <v>61</v>
      </c>
      <c r="T719" t="s">
        <v>61</v>
      </c>
      <c r="X719" t="s">
        <v>61</v>
      </c>
      <c r="Y719" t="s">
        <v>5472</v>
      </c>
      <c r="Z719" t="s">
        <v>61</v>
      </c>
      <c r="AA719" t="s">
        <v>6005</v>
      </c>
      <c r="AB719">
        <v>1411696</v>
      </c>
      <c r="AC719" t="s">
        <v>67</v>
      </c>
      <c r="AD719" t="s">
        <v>61</v>
      </c>
      <c r="AE719" t="s">
        <v>61</v>
      </c>
      <c r="AF719" t="s">
        <v>61</v>
      </c>
      <c r="AG719" t="s">
        <v>6006</v>
      </c>
      <c r="AH719" t="s">
        <v>61</v>
      </c>
      <c r="AI719" t="s">
        <v>61</v>
      </c>
      <c r="AJ719" t="s">
        <v>61</v>
      </c>
      <c r="AK719" t="s">
        <v>61</v>
      </c>
      <c r="AL719" t="s">
        <v>61</v>
      </c>
      <c r="AM719" t="s">
        <v>6007</v>
      </c>
      <c r="AN719" t="s">
        <v>61</v>
      </c>
      <c r="AO719" t="s">
        <v>61</v>
      </c>
      <c r="AP719" t="s">
        <v>61</v>
      </c>
      <c r="AQ719" t="s">
        <v>61</v>
      </c>
      <c r="AR719" t="s">
        <v>61</v>
      </c>
      <c r="AS719" t="s">
        <v>61</v>
      </c>
      <c r="AT719" t="s">
        <v>61</v>
      </c>
      <c r="AU719" t="s">
        <v>61</v>
      </c>
      <c r="AV719" t="s">
        <v>61</v>
      </c>
      <c r="AW719" t="s">
        <v>61</v>
      </c>
      <c r="AX719" t="s">
        <v>61</v>
      </c>
      <c r="AY719" t="s">
        <v>61</v>
      </c>
      <c r="AZ719" t="s">
        <v>61</v>
      </c>
      <c r="BA719" t="s">
        <v>61</v>
      </c>
      <c r="BB719" t="s">
        <v>61</v>
      </c>
      <c r="BC719" t="s">
        <v>61</v>
      </c>
      <c r="BD719" t="s">
        <v>61</v>
      </c>
      <c r="BE719" t="s">
        <v>61</v>
      </c>
      <c r="BF719" t="s">
        <v>61</v>
      </c>
    </row>
    <row r="720" spans="1:58">
      <c r="A720" t="s">
        <v>58</v>
      </c>
      <c r="B720" t="s">
        <v>6008</v>
      </c>
      <c r="C720" t="s">
        <v>6009</v>
      </c>
      <c r="D720" t="s">
        <v>1761</v>
      </c>
      <c r="E720" t="s">
        <v>61</v>
      </c>
      <c r="F720">
        <v>2011</v>
      </c>
      <c r="G720" t="s">
        <v>409</v>
      </c>
      <c r="H720">
        <v>57</v>
      </c>
      <c r="I720">
        <v>11</v>
      </c>
      <c r="J720" t="s">
        <v>6010</v>
      </c>
      <c r="K720" t="s">
        <v>6011</v>
      </c>
      <c r="L720" t="s">
        <v>6012</v>
      </c>
      <c r="M720" t="s">
        <v>6013</v>
      </c>
      <c r="N720" t="s">
        <v>6014</v>
      </c>
      <c r="O720" t="s">
        <v>61</v>
      </c>
      <c r="Q720" t="s">
        <v>61</v>
      </c>
      <c r="R720" t="s">
        <v>61</v>
      </c>
      <c r="S720" t="s">
        <v>61</v>
      </c>
      <c r="T720" t="s">
        <v>61</v>
      </c>
      <c r="X720" t="s">
        <v>61</v>
      </c>
      <c r="Y720" t="s">
        <v>1764</v>
      </c>
      <c r="Z720" t="s">
        <v>61</v>
      </c>
      <c r="AA720" t="s">
        <v>61</v>
      </c>
      <c r="AB720">
        <v>2011642563</v>
      </c>
      <c r="AC720" t="s">
        <v>67</v>
      </c>
      <c r="AD720" t="s">
        <v>61</v>
      </c>
      <c r="AE720" t="s">
        <v>61</v>
      </c>
      <c r="AF720" t="s">
        <v>61</v>
      </c>
      <c r="AG720" t="s">
        <v>6015</v>
      </c>
      <c r="AH720" t="s">
        <v>61</v>
      </c>
      <c r="AI720" t="s">
        <v>61</v>
      </c>
      <c r="AJ720" t="s">
        <v>61</v>
      </c>
      <c r="AK720" t="s">
        <v>61</v>
      </c>
      <c r="AL720" t="s">
        <v>61</v>
      </c>
      <c r="AM720" t="s">
        <v>6016</v>
      </c>
      <c r="AN720" t="s">
        <v>61</v>
      </c>
      <c r="AO720" t="s">
        <v>61</v>
      </c>
      <c r="AP720" t="s">
        <v>61</v>
      </c>
      <c r="AQ720" t="s">
        <v>61</v>
      </c>
      <c r="AR720" t="s">
        <v>61</v>
      </c>
      <c r="AS720" t="s">
        <v>61</v>
      </c>
      <c r="AT720" t="s">
        <v>61</v>
      </c>
      <c r="AU720" t="s">
        <v>61</v>
      </c>
      <c r="AV720" t="s">
        <v>61</v>
      </c>
      <c r="AW720" t="s">
        <v>61</v>
      </c>
      <c r="AX720" t="s">
        <v>61</v>
      </c>
      <c r="AY720" t="s">
        <v>61</v>
      </c>
      <c r="AZ720" t="s">
        <v>61</v>
      </c>
      <c r="BA720" t="s">
        <v>61</v>
      </c>
      <c r="BB720" t="s">
        <v>61</v>
      </c>
      <c r="BC720" t="s">
        <v>61</v>
      </c>
      <c r="BD720" t="s">
        <v>61</v>
      </c>
      <c r="BE720" t="s">
        <v>61</v>
      </c>
      <c r="BF720" t="s">
        <v>61</v>
      </c>
    </row>
    <row r="721" spans="1:58">
      <c r="A721" t="s">
        <v>58</v>
      </c>
      <c r="B721" t="s">
        <v>6017</v>
      </c>
      <c r="C721" t="s">
        <v>6018</v>
      </c>
      <c r="D721" t="s">
        <v>862</v>
      </c>
      <c r="E721" t="s">
        <v>61</v>
      </c>
      <c r="F721">
        <v>2012</v>
      </c>
      <c r="G721" t="s">
        <v>418</v>
      </c>
      <c r="H721">
        <v>27</v>
      </c>
      <c r="I721">
        <v>8</v>
      </c>
      <c r="J721">
        <v>538</v>
      </c>
      <c r="K721">
        <v>543</v>
      </c>
      <c r="L721" t="s">
        <v>6019</v>
      </c>
      <c r="M721" t="s">
        <v>6020</v>
      </c>
      <c r="N721" t="s">
        <v>6021</v>
      </c>
      <c r="O721" t="s">
        <v>61</v>
      </c>
      <c r="Q721" t="s">
        <v>61</v>
      </c>
      <c r="R721" t="s">
        <v>61</v>
      </c>
      <c r="S721" t="s">
        <v>61</v>
      </c>
      <c r="T721" t="s">
        <v>61</v>
      </c>
      <c r="X721" t="s">
        <v>61</v>
      </c>
      <c r="Y721" t="s">
        <v>866</v>
      </c>
      <c r="Z721" t="s">
        <v>61</v>
      </c>
      <c r="AA721" t="s">
        <v>61</v>
      </c>
      <c r="AB721">
        <v>22910174</v>
      </c>
      <c r="AC721" t="s">
        <v>67</v>
      </c>
      <c r="AD721" t="s">
        <v>61</v>
      </c>
      <c r="AE721" t="s">
        <v>61</v>
      </c>
      <c r="AF721" t="s">
        <v>61</v>
      </c>
      <c r="AG721" t="s">
        <v>6022</v>
      </c>
      <c r="AH721" t="s">
        <v>61</v>
      </c>
      <c r="AI721" t="s">
        <v>6023</v>
      </c>
      <c r="AJ721" t="s">
        <v>61</v>
      </c>
      <c r="AK721" t="s">
        <v>61</v>
      </c>
      <c r="AL721" t="s">
        <v>61</v>
      </c>
      <c r="AM721" t="s">
        <v>6024</v>
      </c>
      <c r="AN721" t="s">
        <v>61</v>
      </c>
      <c r="AO721" t="s">
        <v>61</v>
      </c>
      <c r="AP721" t="s">
        <v>61</v>
      </c>
      <c r="AQ721" t="s">
        <v>61</v>
      </c>
      <c r="AR721" t="s">
        <v>61</v>
      </c>
      <c r="AS721" t="s">
        <v>61</v>
      </c>
      <c r="AT721" t="s">
        <v>61</v>
      </c>
      <c r="AU721" t="s">
        <v>61</v>
      </c>
      <c r="AV721" t="s">
        <v>61</v>
      </c>
      <c r="AW721" t="s">
        <v>61</v>
      </c>
      <c r="AX721" t="s">
        <v>61</v>
      </c>
      <c r="AY721" t="s">
        <v>61</v>
      </c>
      <c r="AZ721" t="s">
        <v>61</v>
      </c>
      <c r="BA721" t="s">
        <v>61</v>
      </c>
      <c r="BB721" t="s">
        <v>61</v>
      </c>
      <c r="BC721" t="s">
        <v>61</v>
      </c>
      <c r="BD721" t="s">
        <v>61</v>
      </c>
      <c r="BE721" t="s">
        <v>61</v>
      </c>
      <c r="BF721" t="s">
        <v>61</v>
      </c>
    </row>
    <row r="722" spans="1:58">
      <c r="A722" t="s">
        <v>58</v>
      </c>
      <c r="B722" t="s">
        <v>6025</v>
      </c>
      <c r="C722" t="s">
        <v>6026</v>
      </c>
      <c r="D722" t="s">
        <v>4265</v>
      </c>
      <c r="E722" t="s">
        <v>61</v>
      </c>
      <c r="F722">
        <v>2007</v>
      </c>
      <c r="G722" t="s">
        <v>3037</v>
      </c>
      <c r="H722">
        <v>16</v>
      </c>
      <c r="I722">
        <v>2</v>
      </c>
      <c r="J722">
        <v>71</v>
      </c>
      <c r="K722">
        <v>78</v>
      </c>
      <c r="L722" t="s">
        <v>6027</v>
      </c>
      <c r="M722" t="s">
        <v>6028</v>
      </c>
      <c r="N722" t="s">
        <v>6029</v>
      </c>
      <c r="O722" t="s">
        <v>61</v>
      </c>
      <c r="Q722" t="s">
        <v>61</v>
      </c>
      <c r="R722" t="s">
        <v>61</v>
      </c>
      <c r="S722" t="s">
        <v>61</v>
      </c>
      <c r="T722" t="s">
        <v>61</v>
      </c>
      <c r="X722" t="s">
        <v>61</v>
      </c>
      <c r="Y722" t="s">
        <v>4269</v>
      </c>
      <c r="Z722" t="s">
        <v>61</v>
      </c>
      <c r="AA722" t="s">
        <v>6030</v>
      </c>
      <c r="AB722">
        <v>17453607</v>
      </c>
      <c r="AC722" t="s">
        <v>67</v>
      </c>
      <c r="AD722" t="s">
        <v>61</v>
      </c>
      <c r="AE722" t="s">
        <v>61</v>
      </c>
      <c r="AF722" t="s">
        <v>61</v>
      </c>
      <c r="AG722" t="s">
        <v>6031</v>
      </c>
      <c r="AH722" t="s">
        <v>61</v>
      </c>
      <c r="AI722" t="s">
        <v>61</v>
      </c>
      <c r="AJ722" t="s">
        <v>61</v>
      </c>
      <c r="AK722" t="s">
        <v>61</v>
      </c>
      <c r="AL722" t="s">
        <v>61</v>
      </c>
      <c r="AM722" t="s">
        <v>6032</v>
      </c>
      <c r="AN722" t="s">
        <v>61</v>
      </c>
      <c r="AO722" t="s">
        <v>61</v>
      </c>
      <c r="AP722" t="s">
        <v>61</v>
      </c>
      <c r="AQ722" t="s">
        <v>61</v>
      </c>
      <c r="AR722" t="s">
        <v>61</v>
      </c>
      <c r="AS722" t="s">
        <v>61</v>
      </c>
      <c r="AT722" t="s">
        <v>61</v>
      </c>
      <c r="AU722" t="s">
        <v>61</v>
      </c>
      <c r="AV722" t="s">
        <v>61</v>
      </c>
      <c r="AW722" t="s">
        <v>61</v>
      </c>
      <c r="AX722" t="s">
        <v>61</v>
      </c>
      <c r="AY722" t="s">
        <v>61</v>
      </c>
      <c r="AZ722" t="s">
        <v>61</v>
      </c>
      <c r="BA722" t="s">
        <v>61</v>
      </c>
      <c r="BB722" t="s">
        <v>61</v>
      </c>
      <c r="BC722" t="s">
        <v>61</v>
      </c>
      <c r="BD722" t="s">
        <v>61</v>
      </c>
      <c r="BE722" t="s">
        <v>61</v>
      </c>
      <c r="BF722" t="s">
        <v>61</v>
      </c>
    </row>
    <row r="723" spans="1:58">
      <c r="A723" t="s">
        <v>58</v>
      </c>
      <c r="B723" t="s">
        <v>6033</v>
      </c>
      <c r="C723" t="s">
        <v>6034</v>
      </c>
      <c r="D723" t="s">
        <v>1699</v>
      </c>
      <c r="E723" t="s">
        <v>61</v>
      </c>
      <c r="F723">
        <v>1998</v>
      </c>
      <c r="G723" t="s">
        <v>61</v>
      </c>
      <c r="H723">
        <v>12</v>
      </c>
      <c r="I723">
        <v>1</v>
      </c>
      <c r="J723">
        <v>49</v>
      </c>
      <c r="K723">
        <v>53</v>
      </c>
      <c r="L723" t="s">
        <v>6035</v>
      </c>
      <c r="M723" t="s">
        <v>6036</v>
      </c>
      <c r="N723" t="s">
        <v>6037</v>
      </c>
      <c r="O723" t="s">
        <v>61</v>
      </c>
      <c r="Q723" t="s">
        <v>61</v>
      </c>
      <c r="R723" t="s">
        <v>61</v>
      </c>
      <c r="S723" t="s">
        <v>61</v>
      </c>
      <c r="T723" t="s">
        <v>61</v>
      </c>
      <c r="X723" t="s">
        <v>61</v>
      </c>
      <c r="Y723" t="s">
        <v>6038</v>
      </c>
      <c r="Z723" t="s">
        <v>61</v>
      </c>
      <c r="AA723" t="s">
        <v>6039</v>
      </c>
      <c r="AB723">
        <v>9584968</v>
      </c>
      <c r="AC723" t="s">
        <v>67</v>
      </c>
      <c r="AD723" t="s">
        <v>61</v>
      </c>
      <c r="AE723" t="s">
        <v>61</v>
      </c>
      <c r="AF723" t="s">
        <v>61</v>
      </c>
      <c r="AG723" t="s">
        <v>6040</v>
      </c>
      <c r="AH723" t="s">
        <v>61</v>
      </c>
      <c r="AI723" t="s">
        <v>61</v>
      </c>
      <c r="AJ723" t="s">
        <v>61</v>
      </c>
      <c r="AK723" t="s">
        <v>61</v>
      </c>
      <c r="AL723" t="s">
        <v>61</v>
      </c>
      <c r="AM723" t="s">
        <v>6041</v>
      </c>
      <c r="AN723" t="s">
        <v>61</v>
      </c>
      <c r="AO723" t="s">
        <v>61</v>
      </c>
      <c r="AP723" t="s">
        <v>61</v>
      </c>
      <c r="AQ723" t="s">
        <v>61</v>
      </c>
      <c r="AR723" t="s">
        <v>61</v>
      </c>
      <c r="AS723" t="s">
        <v>61</v>
      </c>
      <c r="AT723" t="s">
        <v>61</v>
      </c>
      <c r="AU723" t="s">
        <v>61</v>
      </c>
      <c r="AV723" t="s">
        <v>61</v>
      </c>
      <c r="AW723" t="s">
        <v>61</v>
      </c>
      <c r="AX723" t="s">
        <v>61</v>
      </c>
      <c r="AY723" t="s">
        <v>61</v>
      </c>
      <c r="AZ723" t="s">
        <v>61</v>
      </c>
      <c r="BA723" t="s">
        <v>61</v>
      </c>
      <c r="BB723" t="s">
        <v>61</v>
      </c>
      <c r="BC723" t="s">
        <v>61</v>
      </c>
      <c r="BD723" t="s">
        <v>61</v>
      </c>
      <c r="BE723" t="s">
        <v>61</v>
      </c>
      <c r="BF723" t="s">
        <v>61</v>
      </c>
    </row>
    <row r="724" spans="1:58">
      <c r="A724" t="s">
        <v>58</v>
      </c>
      <c r="B724" t="s">
        <v>6042</v>
      </c>
      <c r="C724" t="s">
        <v>6043</v>
      </c>
      <c r="D724" t="s">
        <v>3549</v>
      </c>
      <c r="E724" t="s">
        <v>3550</v>
      </c>
      <c r="F724">
        <v>2003</v>
      </c>
      <c r="G724" t="s">
        <v>61</v>
      </c>
      <c r="H724" t="s">
        <v>6044</v>
      </c>
      <c r="I724" t="s">
        <v>61</v>
      </c>
      <c r="J724">
        <v>5</v>
      </c>
      <c r="K724">
        <v>19</v>
      </c>
      <c r="L724" t="s">
        <v>6045</v>
      </c>
      <c r="M724" t="s">
        <v>6046</v>
      </c>
      <c r="N724" t="s">
        <v>6047</v>
      </c>
      <c r="O724" t="s">
        <v>61</v>
      </c>
      <c r="Q724" t="s">
        <v>61</v>
      </c>
      <c r="R724" t="s">
        <v>61</v>
      </c>
      <c r="S724" t="s">
        <v>61</v>
      </c>
      <c r="T724" t="s">
        <v>61</v>
      </c>
      <c r="X724" t="s">
        <v>61</v>
      </c>
      <c r="Y724" t="s">
        <v>3555</v>
      </c>
      <c r="Z724" t="s">
        <v>61</v>
      </c>
      <c r="AA724" t="s">
        <v>61</v>
      </c>
      <c r="AB724">
        <v>14640142</v>
      </c>
      <c r="AC724" t="s">
        <v>67</v>
      </c>
      <c r="AD724" t="s">
        <v>61</v>
      </c>
      <c r="AE724" t="s">
        <v>61</v>
      </c>
      <c r="AF724" t="s">
        <v>61</v>
      </c>
      <c r="AG724" t="s">
        <v>6048</v>
      </c>
      <c r="AH724" t="s">
        <v>61</v>
      </c>
      <c r="AI724" t="s">
        <v>61</v>
      </c>
      <c r="AJ724" t="s">
        <v>61</v>
      </c>
      <c r="AK724" t="s">
        <v>61</v>
      </c>
      <c r="AL724" t="s">
        <v>61</v>
      </c>
      <c r="AM724" t="s">
        <v>6049</v>
      </c>
      <c r="AN724" t="s">
        <v>61</v>
      </c>
      <c r="AO724" t="s">
        <v>61</v>
      </c>
      <c r="AP724" t="s">
        <v>61</v>
      </c>
      <c r="AQ724" t="s">
        <v>61</v>
      </c>
      <c r="AR724" t="s">
        <v>61</v>
      </c>
      <c r="AS724" t="s">
        <v>61</v>
      </c>
      <c r="AT724" t="s">
        <v>61</v>
      </c>
      <c r="AU724" t="s">
        <v>61</v>
      </c>
      <c r="AV724" t="s">
        <v>61</v>
      </c>
      <c r="AW724" t="s">
        <v>61</v>
      </c>
      <c r="AX724" t="s">
        <v>61</v>
      </c>
      <c r="AY724" t="s">
        <v>61</v>
      </c>
      <c r="AZ724" t="s">
        <v>61</v>
      </c>
      <c r="BA724" t="s">
        <v>61</v>
      </c>
      <c r="BB724" t="s">
        <v>61</v>
      </c>
      <c r="BC724" t="s">
        <v>61</v>
      </c>
      <c r="BD724" t="s">
        <v>61</v>
      </c>
      <c r="BE724" t="s">
        <v>61</v>
      </c>
      <c r="BF724" t="s">
        <v>61</v>
      </c>
    </row>
    <row r="725" spans="1:58">
      <c r="A725" t="s">
        <v>58</v>
      </c>
      <c r="B725" t="s">
        <v>6050</v>
      </c>
      <c r="C725" t="s">
        <v>6051</v>
      </c>
      <c r="D725" t="s">
        <v>876</v>
      </c>
      <c r="E725" t="s">
        <v>877</v>
      </c>
      <c r="F725">
        <v>1993</v>
      </c>
      <c r="G725" t="s">
        <v>1172</v>
      </c>
      <c r="H725">
        <v>57</v>
      </c>
      <c r="I725">
        <v>4</v>
      </c>
      <c r="J725">
        <v>347</v>
      </c>
      <c r="K725">
        <v>351</v>
      </c>
      <c r="L725" t="s">
        <v>6052</v>
      </c>
      <c r="M725" t="s">
        <v>6053</v>
      </c>
      <c r="N725" t="s">
        <v>6054</v>
      </c>
      <c r="O725" t="s">
        <v>61</v>
      </c>
      <c r="Q725" t="s">
        <v>61</v>
      </c>
      <c r="R725" t="s">
        <v>61</v>
      </c>
      <c r="S725" t="s">
        <v>61</v>
      </c>
      <c r="T725" t="s">
        <v>61</v>
      </c>
      <c r="X725" t="s">
        <v>61</v>
      </c>
      <c r="Y725" s="2">
        <v>2760901</v>
      </c>
      <c r="Z725" t="s">
        <v>61</v>
      </c>
      <c r="AA725" t="s">
        <v>61</v>
      </c>
      <c r="AB725" t="s">
        <v>6055</v>
      </c>
      <c r="AC725" t="s">
        <v>67</v>
      </c>
      <c r="AD725" t="s">
        <v>61</v>
      </c>
      <c r="AE725" t="s">
        <v>61</v>
      </c>
      <c r="AF725" t="s">
        <v>61</v>
      </c>
      <c r="AG725" t="s">
        <v>61</v>
      </c>
      <c r="AH725" t="s">
        <v>61</v>
      </c>
      <c r="AI725" t="s">
        <v>61</v>
      </c>
      <c r="AJ725" t="s">
        <v>61</v>
      </c>
      <c r="AK725" t="s">
        <v>61</v>
      </c>
      <c r="AL725" t="s">
        <v>61</v>
      </c>
      <c r="AM725" t="s">
        <v>6056</v>
      </c>
      <c r="AN725" t="s">
        <v>61</v>
      </c>
      <c r="AO725" t="s">
        <v>61</v>
      </c>
      <c r="AP725" t="s">
        <v>61</v>
      </c>
      <c r="AQ725" t="s">
        <v>61</v>
      </c>
      <c r="AR725" t="s">
        <v>61</v>
      </c>
      <c r="AS725" t="s">
        <v>61</v>
      </c>
      <c r="AT725" t="s">
        <v>61</v>
      </c>
      <c r="AU725" t="s">
        <v>61</v>
      </c>
      <c r="AV725" t="s">
        <v>61</v>
      </c>
      <c r="AW725" t="s">
        <v>61</v>
      </c>
      <c r="AX725" t="s">
        <v>61</v>
      </c>
      <c r="AY725" t="s">
        <v>61</v>
      </c>
      <c r="AZ725" t="s">
        <v>61</v>
      </c>
      <c r="BA725" t="s">
        <v>61</v>
      </c>
      <c r="BB725" t="s">
        <v>61</v>
      </c>
      <c r="BC725" t="s">
        <v>61</v>
      </c>
      <c r="BD725" t="s">
        <v>61</v>
      </c>
      <c r="BE725" t="s">
        <v>61</v>
      </c>
      <c r="BF725" t="s">
        <v>61</v>
      </c>
    </row>
    <row r="726" spans="1:58">
      <c r="A726" t="s">
        <v>58</v>
      </c>
      <c r="B726" t="s">
        <v>6057</v>
      </c>
      <c r="C726" t="s">
        <v>6058</v>
      </c>
      <c r="D726" t="s">
        <v>6059</v>
      </c>
      <c r="E726" t="s">
        <v>6060</v>
      </c>
      <c r="F726">
        <v>2011</v>
      </c>
      <c r="G726" t="s">
        <v>363</v>
      </c>
      <c r="H726">
        <v>1216</v>
      </c>
      <c r="I726" t="s">
        <v>61</v>
      </c>
      <c r="J726">
        <v>122</v>
      </c>
      <c r="K726">
        <v>137</v>
      </c>
      <c r="L726" t="s">
        <v>6061</v>
      </c>
      <c r="M726" t="s">
        <v>6062</v>
      </c>
      <c r="N726" t="s">
        <v>6063</v>
      </c>
      <c r="O726" t="s">
        <v>61</v>
      </c>
      <c r="Q726" t="s">
        <v>61</v>
      </c>
      <c r="R726" t="s">
        <v>61</v>
      </c>
      <c r="S726" t="s">
        <v>61</v>
      </c>
      <c r="T726" t="s">
        <v>61</v>
      </c>
      <c r="X726" t="s">
        <v>61</v>
      </c>
      <c r="Y726" t="s">
        <v>6064</v>
      </c>
      <c r="Z726" t="s">
        <v>61</v>
      </c>
      <c r="AA726" t="s">
        <v>6065</v>
      </c>
      <c r="AB726">
        <v>21272016</v>
      </c>
      <c r="AC726" t="s">
        <v>67</v>
      </c>
      <c r="AD726" t="s">
        <v>61</v>
      </c>
      <c r="AE726" t="s">
        <v>61</v>
      </c>
      <c r="AF726" t="s">
        <v>61</v>
      </c>
      <c r="AG726" t="s">
        <v>6066</v>
      </c>
      <c r="AH726" t="s">
        <v>61</v>
      </c>
      <c r="AI726" t="s">
        <v>6067</v>
      </c>
      <c r="AJ726" t="s">
        <v>61</v>
      </c>
      <c r="AK726" t="s">
        <v>61</v>
      </c>
      <c r="AL726" t="s">
        <v>61</v>
      </c>
      <c r="AM726" t="s">
        <v>6068</v>
      </c>
      <c r="AN726" t="s">
        <v>61</v>
      </c>
      <c r="AO726" t="s">
        <v>61</v>
      </c>
      <c r="AP726" t="s">
        <v>61</v>
      </c>
      <c r="AQ726" t="s">
        <v>61</v>
      </c>
      <c r="AR726" t="s">
        <v>61</v>
      </c>
      <c r="AS726" t="s">
        <v>61</v>
      </c>
      <c r="AT726" t="s">
        <v>61</v>
      </c>
      <c r="AU726" t="s">
        <v>61</v>
      </c>
      <c r="AV726" t="s">
        <v>61</v>
      </c>
      <c r="AW726" t="s">
        <v>61</v>
      </c>
      <c r="AX726" t="s">
        <v>61</v>
      </c>
      <c r="AY726" t="s">
        <v>61</v>
      </c>
      <c r="AZ726" t="s">
        <v>61</v>
      </c>
      <c r="BA726" t="s">
        <v>61</v>
      </c>
      <c r="BB726" t="s">
        <v>61</v>
      </c>
      <c r="BC726" t="s">
        <v>61</v>
      </c>
      <c r="BD726" t="s">
        <v>61</v>
      </c>
      <c r="BE726" t="s">
        <v>61</v>
      </c>
      <c r="BF726" t="s">
        <v>61</v>
      </c>
    </row>
    <row r="727" spans="1:58">
      <c r="A727" t="s">
        <v>58</v>
      </c>
      <c r="B727" t="s">
        <v>6069</v>
      </c>
      <c r="C727" t="s">
        <v>6070</v>
      </c>
      <c r="D727" t="s">
        <v>6071</v>
      </c>
      <c r="E727" t="s">
        <v>61</v>
      </c>
      <c r="F727">
        <v>2010</v>
      </c>
      <c r="G727" t="s">
        <v>429</v>
      </c>
      <c r="H727">
        <v>11</v>
      </c>
      <c r="I727">
        <v>4</v>
      </c>
      <c r="J727" t="s">
        <v>6072</v>
      </c>
      <c r="K727" t="s">
        <v>61</v>
      </c>
      <c r="L727" t="s">
        <v>6073</v>
      </c>
      <c r="M727" t="s">
        <v>6074</v>
      </c>
      <c r="N727" t="s">
        <v>6075</v>
      </c>
      <c r="O727" t="s">
        <v>61</v>
      </c>
      <c r="Q727" t="s">
        <v>61</v>
      </c>
      <c r="R727" t="s">
        <v>61</v>
      </c>
      <c r="S727" t="s">
        <v>61</v>
      </c>
      <c r="T727" t="s">
        <v>61</v>
      </c>
      <c r="X727" t="s">
        <v>61</v>
      </c>
      <c r="Y727" t="s">
        <v>6076</v>
      </c>
      <c r="Z727" t="s">
        <v>61</v>
      </c>
      <c r="AA727" t="s">
        <v>61</v>
      </c>
      <c r="AB727" t="s">
        <v>61</v>
      </c>
      <c r="AC727" t="s">
        <v>67</v>
      </c>
      <c r="AD727" t="s">
        <v>61</v>
      </c>
      <c r="AE727" t="s">
        <v>61</v>
      </c>
      <c r="AF727" t="s">
        <v>61</v>
      </c>
      <c r="AG727" t="s">
        <v>61</v>
      </c>
      <c r="AH727" t="s">
        <v>61</v>
      </c>
      <c r="AI727" t="s">
        <v>61</v>
      </c>
      <c r="AJ727" t="s">
        <v>61</v>
      </c>
      <c r="AK727" t="s">
        <v>61</v>
      </c>
      <c r="AL727" t="s">
        <v>61</v>
      </c>
      <c r="AM727" t="s">
        <v>6070</v>
      </c>
      <c r="AN727" t="s">
        <v>61</v>
      </c>
      <c r="AO727" t="s">
        <v>61</v>
      </c>
      <c r="AP727" t="s">
        <v>61</v>
      </c>
      <c r="AQ727" t="s">
        <v>61</v>
      </c>
      <c r="AR727" t="s">
        <v>61</v>
      </c>
      <c r="AS727" t="s">
        <v>61</v>
      </c>
      <c r="AT727" t="s">
        <v>61</v>
      </c>
      <c r="AU727" t="s">
        <v>61</v>
      </c>
      <c r="AV727" t="s">
        <v>61</v>
      </c>
      <c r="AW727" t="s">
        <v>61</v>
      </c>
      <c r="AX727" t="s">
        <v>61</v>
      </c>
      <c r="AY727" t="s">
        <v>61</v>
      </c>
      <c r="AZ727" t="s">
        <v>61</v>
      </c>
      <c r="BA727" t="s">
        <v>61</v>
      </c>
      <c r="BB727" t="s">
        <v>61</v>
      </c>
      <c r="BC727" t="s">
        <v>61</v>
      </c>
      <c r="BD727" t="s">
        <v>61</v>
      </c>
      <c r="BE727" t="s">
        <v>61</v>
      </c>
      <c r="BF727" t="s">
        <v>61</v>
      </c>
    </row>
    <row r="728" spans="1:58">
      <c r="A728" t="s">
        <v>58</v>
      </c>
      <c r="B728" t="s">
        <v>6077</v>
      </c>
      <c r="C728" t="s">
        <v>6078</v>
      </c>
      <c r="D728" t="s">
        <v>1085</v>
      </c>
      <c r="E728" t="s">
        <v>1086</v>
      </c>
      <c r="F728">
        <v>1994</v>
      </c>
      <c r="G728" t="s">
        <v>391</v>
      </c>
      <c r="H728">
        <v>28</v>
      </c>
      <c r="I728">
        <v>3</v>
      </c>
      <c r="J728">
        <v>320</v>
      </c>
      <c r="K728">
        <v>324</v>
      </c>
      <c r="L728" t="s">
        <v>6079</v>
      </c>
      <c r="M728" t="s">
        <v>6080</v>
      </c>
      <c r="N728" t="s">
        <v>6081</v>
      </c>
      <c r="O728" t="s">
        <v>61</v>
      </c>
      <c r="Q728" t="s">
        <v>61</v>
      </c>
      <c r="R728" t="s">
        <v>61</v>
      </c>
      <c r="S728" t="s">
        <v>61</v>
      </c>
      <c r="T728" t="s">
        <v>61</v>
      </c>
      <c r="X728" t="s">
        <v>61</v>
      </c>
      <c r="Y728" t="s">
        <v>3286</v>
      </c>
      <c r="Z728" t="s">
        <v>61</v>
      </c>
      <c r="AA728" t="s">
        <v>6082</v>
      </c>
      <c r="AB728">
        <v>8193417</v>
      </c>
      <c r="AC728" t="s">
        <v>67</v>
      </c>
      <c r="AD728" t="s">
        <v>61</v>
      </c>
      <c r="AE728" t="s">
        <v>61</v>
      </c>
      <c r="AF728" t="s">
        <v>61</v>
      </c>
      <c r="AG728" t="s">
        <v>6083</v>
      </c>
      <c r="AH728" t="s">
        <v>61</v>
      </c>
      <c r="AI728" t="s">
        <v>61</v>
      </c>
      <c r="AJ728" t="s">
        <v>61</v>
      </c>
      <c r="AK728" t="s">
        <v>61</v>
      </c>
      <c r="AL728" t="s">
        <v>61</v>
      </c>
      <c r="AM728" t="s">
        <v>6084</v>
      </c>
      <c r="AN728" t="s">
        <v>61</v>
      </c>
      <c r="AO728" t="s">
        <v>61</v>
      </c>
      <c r="AP728" t="s">
        <v>61</v>
      </c>
      <c r="AQ728" t="s">
        <v>61</v>
      </c>
      <c r="AR728" t="s">
        <v>61</v>
      </c>
      <c r="AS728" t="s">
        <v>61</v>
      </c>
      <c r="AT728" t="s">
        <v>61</v>
      </c>
      <c r="AU728" t="s">
        <v>61</v>
      </c>
      <c r="AV728" t="s">
        <v>61</v>
      </c>
      <c r="AW728" t="s">
        <v>61</v>
      </c>
      <c r="AX728" t="s">
        <v>61</v>
      </c>
      <c r="AY728" t="s">
        <v>61</v>
      </c>
      <c r="AZ728" t="s">
        <v>61</v>
      </c>
      <c r="BA728" t="s">
        <v>61</v>
      </c>
      <c r="BB728" t="s">
        <v>61</v>
      </c>
      <c r="BC728" t="s">
        <v>61</v>
      </c>
      <c r="BD728" t="s">
        <v>61</v>
      </c>
      <c r="BE728" t="s">
        <v>61</v>
      </c>
      <c r="BF728" t="s">
        <v>61</v>
      </c>
    </row>
    <row r="729" spans="1:58">
      <c r="A729" t="s">
        <v>58</v>
      </c>
      <c r="B729" t="s">
        <v>6085</v>
      </c>
      <c r="C729" t="s">
        <v>6086</v>
      </c>
      <c r="D729" t="s">
        <v>6087</v>
      </c>
      <c r="E729" t="s">
        <v>61</v>
      </c>
      <c r="F729">
        <v>2011</v>
      </c>
      <c r="G729" t="s">
        <v>363</v>
      </c>
      <c r="H729">
        <v>97</v>
      </c>
      <c r="I729">
        <v>3</v>
      </c>
      <c r="J729">
        <v>619</v>
      </c>
      <c r="K729">
        <v>625</v>
      </c>
      <c r="L729" t="s">
        <v>6088</v>
      </c>
      <c r="M729" t="s">
        <v>6089</v>
      </c>
      <c r="N729" t="s">
        <v>6090</v>
      </c>
      <c r="O729" t="s">
        <v>61</v>
      </c>
      <c r="Q729" t="s">
        <v>61</v>
      </c>
      <c r="R729" t="s">
        <v>61</v>
      </c>
      <c r="S729" t="s">
        <v>61</v>
      </c>
      <c r="T729" t="s">
        <v>61</v>
      </c>
      <c r="X729" t="s">
        <v>61</v>
      </c>
      <c r="Y729" t="s">
        <v>6091</v>
      </c>
      <c r="Z729" t="s">
        <v>61</v>
      </c>
      <c r="AA729" t="s">
        <v>6092</v>
      </c>
      <c r="AB729">
        <v>20723558</v>
      </c>
      <c r="AC729" t="s">
        <v>67</v>
      </c>
      <c r="AD729" t="s">
        <v>61</v>
      </c>
      <c r="AE729" t="s">
        <v>61</v>
      </c>
      <c r="AF729" t="s">
        <v>61</v>
      </c>
      <c r="AG729" t="s">
        <v>6093</v>
      </c>
      <c r="AH729" t="s">
        <v>61</v>
      </c>
      <c r="AI729" t="s">
        <v>6094</v>
      </c>
      <c r="AJ729" t="s">
        <v>61</v>
      </c>
      <c r="AK729" t="s">
        <v>61</v>
      </c>
      <c r="AL729" t="s">
        <v>61</v>
      </c>
      <c r="AM729" t="s">
        <v>6095</v>
      </c>
      <c r="AN729" t="s">
        <v>61</v>
      </c>
      <c r="AO729" t="s">
        <v>61</v>
      </c>
      <c r="AP729" t="s">
        <v>61</v>
      </c>
      <c r="AQ729" t="s">
        <v>61</v>
      </c>
      <c r="AR729" t="s">
        <v>61</v>
      </c>
      <c r="AS729" t="s">
        <v>61</v>
      </c>
      <c r="AT729" t="s">
        <v>61</v>
      </c>
      <c r="AU729" t="s">
        <v>61</v>
      </c>
      <c r="AV729" t="s">
        <v>61</v>
      </c>
      <c r="AW729" t="s">
        <v>61</v>
      </c>
      <c r="AX729" t="s">
        <v>61</v>
      </c>
      <c r="AY729" t="s">
        <v>61</v>
      </c>
      <c r="AZ729" t="s">
        <v>61</v>
      </c>
      <c r="BA729" t="s">
        <v>61</v>
      </c>
      <c r="BB729" t="s">
        <v>61</v>
      </c>
      <c r="BC729" t="s">
        <v>61</v>
      </c>
      <c r="BD729" t="s">
        <v>61</v>
      </c>
      <c r="BE729" t="s">
        <v>61</v>
      </c>
      <c r="BF729" t="s">
        <v>61</v>
      </c>
    </row>
    <row r="730" spans="1:58">
      <c r="A730" t="s">
        <v>58</v>
      </c>
      <c r="B730" t="s">
        <v>6096</v>
      </c>
      <c r="C730" t="s">
        <v>6097</v>
      </c>
      <c r="D730" t="s">
        <v>373</v>
      </c>
      <c r="E730" t="s">
        <v>61</v>
      </c>
      <c r="F730">
        <v>2011</v>
      </c>
      <c r="G730" t="s">
        <v>344</v>
      </c>
      <c r="H730">
        <v>10</v>
      </c>
      <c r="I730">
        <v>3</v>
      </c>
      <c r="J730">
        <v>577</v>
      </c>
      <c r="K730">
        <v>584</v>
      </c>
      <c r="L730" t="s">
        <v>6098</v>
      </c>
      <c r="M730" t="s">
        <v>6099</v>
      </c>
      <c r="N730" t="s">
        <v>6100</v>
      </c>
      <c r="O730" t="s">
        <v>61</v>
      </c>
      <c r="Q730" t="s">
        <v>61</v>
      </c>
      <c r="R730" t="s">
        <v>61</v>
      </c>
      <c r="S730" t="s">
        <v>61</v>
      </c>
      <c r="T730" t="s">
        <v>61</v>
      </c>
      <c r="X730" t="s">
        <v>61</v>
      </c>
      <c r="Y730" t="s">
        <v>377</v>
      </c>
      <c r="Z730" t="s">
        <v>61</v>
      </c>
      <c r="AA730" t="s">
        <v>61</v>
      </c>
      <c r="AB730">
        <v>2012085277</v>
      </c>
      <c r="AC730" t="s">
        <v>67</v>
      </c>
      <c r="AD730" t="s">
        <v>61</v>
      </c>
      <c r="AE730" t="s">
        <v>61</v>
      </c>
      <c r="AF730" t="s">
        <v>61</v>
      </c>
      <c r="AG730" t="s">
        <v>61</v>
      </c>
      <c r="AH730" t="s">
        <v>61</v>
      </c>
      <c r="AI730" t="s">
        <v>61</v>
      </c>
      <c r="AJ730" t="s">
        <v>61</v>
      </c>
      <c r="AK730" t="s">
        <v>61</v>
      </c>
      <c r="AL730" t="s">
        <v>61</v>
      </c>
      <c r="AM730" t="s">
        <v>6097</v>
      </c>
      <c r="AN730" t="s">
        <v>61</v>
      </c>
      <c r="AO730" t="s">
        <v>61</v>
      </c>
      <c r="AP730" t="s">
        <v>61</v>
      </c>
      <c r="AQ730" t="s">
        <v>61</v>
      </c>
      <c r="AR730" t="s">
        <v>61</v>
      </c>
      <c r="AS730" t="s">
        <v>61</v>
      </c>
      <c r="AT730" t="s">
        <v>61</v>
      </c>
      <c r="AU730" t="s">
        <v>61</v>
      </c>
      <c r="AV730" t="s">
        <v>61</v>
      </c>
      <c r="AW730" t="s">
        <v>61</v>
      </c>
      <c r="AX730" t="s">
        <v>61</v>
      </c>
      <c r="AY730" t="s">
        <v>61</v>
      </c>
      <c r="AZ730" t="s">
        <v>61</v>
      </c>
      <c r="BA730" t="s">
        <v>61</v>
      </c>
      <c r="BB730" t="s">
        <v>61</v>
      </c>
      <c r="BC730" t="s">
        <v>61</v>
      </c>
      <c r="BD730" t="s">
        <v>61</v>
      </c>
      <c r="BE730" t="s">
        <v>61</v>
      </c>
      <c r="BF730" t="s">
        <v>61</v>
      </c>
    </row>
    <row r="731" spans="1:58">
      <c r="A731" t="s">
        <v>58</v>
      </c>
      <c r="B731" t="s">
        <v>6101</v>
      </c>
      <c r="C731" t="s">
        <v>6102</v>
      </c>
      <c r="D731" t="s">
        <v>1085</v>
      </c>
      <c r="E731" t="s">
        <v>1086</v>
      </c>
      <c r="F731">
        <v>2009</v>
      </c>
      <c r="G731" t="s">
        <v>119</v>
      </c>
      <c r="H731">
        <v>43</v>
      </c>
      <c r="I731">
        <v>6</v>
      </c>
      <c r="J731">
        <v>1001</v>
      </c>
      <c r="K731">
        <v>1010</v>
      </c>
      <c r="L731" t="s">
        <v>6103</v>
      </c>
      <c r="M731" t="s">
        <v>6104</v>
      </c>
      <c r="N731" t="s">
        <v>6105</v>
      </c>
      <c r="O731" t="s">
        <v>61</v>
      </c>
      <c r="Q731" t="s">
        <v>61</v>
      </c>
      <c r="R731" t="s">
        <v>61</v>
      </c>
      <c r="S731" t="s">
        <v>61</v>
      </c>
      <c r="T731" t="s">
        <v>61</v>
      </c>
      <c r="X731" t="s">
        <v>61</v>
      </c>
      <c r="Y731" t="s">
        <v>1090</v>
      </c>
      <c r="Z731" t="s">
        <v>61</v>
      </c>
      <c r="AA731" t="s">
        <v>6106</v>
      </c>
      <c r="AB731">
        <v>19491320</v>
      </c>
      <c r="AC731" t="s">
        <v>67</v>
      </c>
      <c r="AD731" t="s">
        <v>61</v>
      </c>
      <c r="AE731" t="s">
        <v>61</v>
      </c>
      <c r="AF731" t="s">
        <v>61</v>
      </c>
      <c r="AG731" t="s">
        <v>6107</v>
      </c>
      <c r="AH731" t="s">
        <v>61</v>
      </c>
      <c r="AI731" t="s">
        <v>6108</v>
      </c>
      <c r="AJ731" t="s">
        <v>61</v>
      </c>
      <c r="AK731" t="s">
        <v>61</v>
      </c>
      <c r="AL731" t="s">
        <v>61</v>
      </c>
      <c r="AM731" t="s">
        <v>6109</v>
      </c>
      <c r="AN731" t="s">
        <v>61</v>
      </c>
      <c r="AO731" t="s">
        <v>61</v>
      </c>
      <c r="AP731" t="s">
        <v>61</v>
      </c>
      <c r="AQ731" t="s">
        <v>61</v>
      </c>
      <c r="AR731" t="s">
        <v>61</v>
      </c>
      <c r="AS731" t="s">
        <v>61</v>
      </c>
      <c r="AT731" t="s">
        <v>61</v>
      </c>
      <c r="AU731" t="s">
        <v>61</v>
      </c>
      <c r="AV731" t="s">
        <v>61</v>
      </c>
      <c r="AW731" t="s">
        <v>61</v>
      </c>
      <c r="AX731" t="s">
        <v>61</v>
      </c>
      <c r="AY731" t="s">
        <v>61</v>
      </c>
      <c r="AZ731" t="s">
        <v>61</v>
      </c>
      <c r="BA731" t="s">
        <v>61</v>
      </c>
      <c r="BB731" t="s">
        <v>61</v>
      </c>
      <c r="BC731" t="s">
        <v>61</v>
      </c>
      <c r="BD731" t="s">
        <v>61</v>
      </c>
      <c r="BE731" t="s">
        <v>61</v>
      </c>
      <c r="BF731" t="s">
        <v>61</v>
      </c>
    </row>
    <row r="732" spans="1:58">
      <c r="A732" t="s">
        <v>58</v>
      </c>
      <c r="B732" t="s">
        <v>6110</v>
      </c>
      <c r="C732" t="s">
        <v>6111</v>
      </c>
      <c r="D732" t="s">
        <v>373</v>
      </c>
      <c r="E732" t="s">
        <v>61</v>
      </c>
      <c r="F732">
        <v>2011</v>
      </c>
      <c r="G732" t="s">
        <v>344</v>
      </c>
      <c r="H732">
        <v>10</v>
      </c>
      <c r="I732">
        <v>3</v>
      </c>
      <c r="J732">
        <v>605</v>
      </c>
      <c r="K732">
        <v>610</v>
      </c>
      <c r="L732" t="s">
        <v>6112</v>
      </c>
      <c r="M732" t="s">
        <v>6113</v>
      </c>
      <c r="N732" t="s">
        <v>6114</v>
      </c>
      <c r="O732" t="s">
        <v>61</v>
      </c>
      <c r="Q732" t="s">
        <v>61</v>
      </c>
      <c r="R732" t="s">
        <v>61</v>
      </c>
      <c r="S732" t="s">
        <v>61</v>
      </c>
      <c r="T732" t="s">
        <v>61</v>
      </c>
      <c r="X732" t="s">
        <v>61</v>
      </c>
      <c r="Y732" t="s">
        <v>377</v>
      </c>
      <c r="Z732" t="s">
        <v>61</v>
      </c>
      <c r="AA732" t="s">
        <v>61</v>
      </c>
      <c r="AB732">
        <v>2012085280</v>
      </c>
      <c r="AC732" t="s">
        <v>67</v>
      </c>
      <c r="AD732" t="s">
        <v>61</v>
      </c>
      <c r="AE732" t="s">
        <v>61</v>
      </c>
      <c r="AF732" t="s">
        <v>61</v>
      </c>
      <c r="AG732" t="s">
        <v>61</v>
      </c>
      <c r="AH732" t="s">
        <v>61</v>
      </c>
      <c r="AI732" t="s">
        <v>61</v>
      </c>
      <c r="AJ732" t="s">
        <v>61</v>
      </c>
      <c r="AK732" t="s">
        <v>61</v>
      </c>
      <c r="AL732" t="s">
        <v>61</v>
      </c>
      <c r="AM732" t="s">
        <v>6111</v>
      </c>
      <c r="AN732" t="s">
        <v>61</v>
      </c>
      <c r="AO732" t="s">
        <v>61</v>
      </c>
      <c r="AP732" t="s">
        <v>61</v>
      </c>
      <c r="AQ732" t="s">
        <v>61</v>
      </c>
      <c r="AR732" t="s">
        <v>61</v>
      </c>
      <c r="AS732" t="s">
        <v>61</v>
      </c>
      <c r="AT732" t="s">
        <v>61</v>
      </c>
      <c r="AU732" t="s">
        <v>61</v>
      </c>
      <c r="AV732" t="s">
        <v>61</v>
      </c>
      <c r="AW732" t="s">
        <v>61</v>
      </c>
      <c r="AX732" t="s">
        <v>61</v>
      </c>
      <c r="AY732" t="s">
        <v>61</v>
      </c>
      <c r="AZ732" t="s">
        <v>61</v>
      </c>
      <c r="BA732" t="s">
        <v>61</v>
      </c>
      <c r="BB732" t="s">
        <v>61</v>
      </c>
      <c r="BC732" t="s">
        <v>61</v>
      </c>
      <c r="BD732" t="s">
        <v>61</v>
      </c>
      <c r="BE732" t="s">
        <v>61</v>
      </c>
      <c r="BF732" t="s">
        <v>61</v>
      </c>
    </row>
    <row r="733" spans="1:58">
      <c r="A733" t="s">
        <v>58</v>
      </c>
      <c r="B733" t="s">
        <v>6115</v>
      </c>
      <c r="C733" t="s">
        <v>6116</v>
      </c>
      <c r="D733" t="s">
        <v>2882</v>
      </c>
      <c r="E733" t="s">
        <v>2883</v>
      </c>
      <c r="F733">
        <v>1994</v>
      </c>
      <c r="G733" t="s">
        <v>61</v>
      </c>
      <c r="H733">
        <v>9</v>
      </c>
      <c r="I733">
        <v>2</v>
      </c>
      <c r="J733">
        <v>69</v>
      </c>
      <c r="K733">
        <v>75</v>
      </c>
      <c r="L733" t="s">
        <v>6117</v>
      </c>
      <c r="M733" t="s">
        <v>6118</v>
      </c>
      <c r="N733" t="s">
        <v>6119</v>
      </c>
      <c r="O733" t="s">
        <v>61</v>
      </c>
      <c r="Q733" t="s">
        <v>61</v>
      </c>
      <c r="R733" t="s">
        <v>61</v>
      </c>
      <c r="S733" t="s">
        <v>61</v>
      </c>
      <c r="T733" t="s">
        <v>61</v>
      </c>
      <c r="X733" t="s">
        <v>61</v>
      </c>
      <c r="Y733" t="s">
        <v>2887</v>
      </c>
      <c r="Z733" t="s">
        <v>61</v>
      </c>
      <c r="AA733" t="s">
        <v>61</v>
      </c>
      <c r="AB733">
        <v>1995113349</v>
      </c>
      <c r="AC733" t="s">
        <v>67</v>
      </c>
      <c r="AD733" t="s">
        <v>61</v>
      </c>
      <c r="AE733" t="s">
        <v>61</v>
      </c>
      <c r="AF733" t="s">
        <v>61</v>
      </c>
      <c r="AG733" t="s">
        <v>61</v>
      </c>
      <c r="AH733" t="s">
        <v>61</v>
      </c>
      <c r="AI733" t="s">
        <v>61</v>
      </c>
      <c r="AJ733" t="s">
        <v>61</v>
      </c>
      <c r="AK733" t="s">
        <v>61</v>
      </c>
      <c r="AL733" t="s">
        <v>61</v>
      </c>
      <c r="AM733" t="s">
        <v>6116</v>
      </c>
      <c r="AN733" t="s">
        <v>61</v>
      </c>
      <c r="AO733" t="s">
        <v>61</v>
      </c>
      <c r="AP733" t="s">
        <v>61</v>
      </c>
      <c r="AQ733" t="s">
        <v>61</v>
      </c>
      <c r="AR733" t="s">
        <v>61</v>
      </c>
      <c r="AS733" t="s">
        <v>61</v>
      </c>
      <c r="AT733" t="s">
        <v>61</v>
      </c>
      <c r="AU733" t="s">
        <v>61</v>
      </c>
      <c r="AV733" t="s">
        <v>61</v>
      </c>
      <c r="AW733" t="s">
        <v>61</v>
      </c>
      <c r="AX733" t="s">
        <v>61</v>
      </c>
      <c r="AY733" t="s">
        <v>61</v>
      </c>
      <c r="AZ733" t="s">
        <v>61</v>
      </c>
      <c r="BA733" t="s">
        <v>61</v>
      </c>
      <c r="BB733" t="s">
        <v>61</v>
      </c>
      <c r="BC733" t="s">
        <v>61</v>
      </c>
      <c r="BD733" t="s">
        <v>61</v>
      </c>
      <c r="BE733" t="s">
        <v>61</v>
      </c>
      <c r="BF733" t="s">
        <v>61</v>
      </c>
    </row>
    <row r="734" spans="1:58">
      <c r="A734" t="s">
        <v>58</v>
      </c>
      <c r="B734" t="s">
        <v>6120</v>
      </c>
      <c r="C734" t="s">
        <v>6121</v>
      </c>
      <c r="D734" t="s">
        <v>6122</v>
      </c>
      <c r="E734" t="s">
        <v>6122</v>
      </c>
      <c r="F734">
        <v>2012</v>
      </c>
      <c r="G734" t="s">
        <v>61</v>
      </c>
      <c r="H734">
        <v>132</v>
      </c>
      <c r="I734">
        <v>12</v>
      </c>
      <c r="J734">
        <v>1325</v>
      </c>
      <c r="K734">
        <v>1328</v>
      </c>
      <c r="L734" t="s">
        <v>6123</v>
      </c>
      <c r="M734" t="s">
        <v>6124</v>
      </c>
      <c r="N734" t="s">
        <v>6125</v>
      </c>
      <c r="O734" t="s">
        <v>61</v>
      </c>
      <c r="Q734" t="s">
        <v>61</v>
      </c>
      <c r="R734" t="s">
        <v>61</v>
      </c>
      <c r="S734" t="s">
        <v>61</v>
      </c>
      <c r="T734" t="s">
        <v>61</v>
      </c>
      <c r="X734" t="s">
        <v>61</v>
      </c>
      <c r="Y734" t="s">
        <v>6126</v>
      </c>
      <c r="Z734" t="s">
        <v>61</v>
      </c>
      <c r="AA734" t="s">
        <v>61</v>
      </c>
      <c r="AB734" t="s">
        <v>6127</v>
      </c>
      <c r="AC734" t="s">
        <v>67</v>
      </c>
      <c r="AD734" t="s">
        <v>61</v>
      </c>
      <c r="AE734" t="s">
        <v>61</v>
      </c>
      <c r="AF734" t="s">
        <v>61</v>
      </c>
      <c r="AG734" t="s">
        <v>61</v>
      </c>
      <c r="AH734" t="s">
        <v>61</v>
      </c>
      <c r="AI734" t="s">
        <v>61</v>
      </c>
      <c r="AJ734" t="s">
        <v>61</v>
      </c>
      <c r="AK734" t="s">
        <v>61</v>
      </c>
      <c r="AL734" t="s">
        <v>61</v>
      </c>
      <c r="AM734" t="s">
        <v>6121</v>
      </c>
      <c r="AN734" t="s">
        <v>61</v>
      </c>
      <c r="AO734" t="s">
        <v>61</v>
      </c>
      <c r="AP734" t="s">
        <v>61</v>
      </c>
      <c r="AQ734" t="s">
        <v>61</v>
      </c>
      <c r="AR734" t="s">
        <v>61</v>
      </c>
      <c r="AS734" t="s">
        <v>61</v>
      </c>
      <c r="AT734" t="s">
        <v>61</v>
      </c>
      <c r="AU734" t="s">
        <v>61</v>
      </c>
      <c r="AV734" t="s">
        <v>61</v>
      </c>
      <c r="AW734" t="s">
        <v>61</v>
      </c>
      <c r="AX734" t="s">
        <v>61</v>
      </c>
      <c r="AY734" t="s">
        <v>61</v>
      </c>
      <c r="AZ734" t="s">
        <v>61</v>
      </c>
      <c r="BA734" t="s">
        <v>61</v>
      </c>
      <c r="BB734" t="s">
        <v>61</v>
      </c>
      <c r="BC734" t="s">
        <v>61</v>
      </c>
      <c r="BD734" t="s">
        <v>61</v>
      </c>
      <c r="BE734" t="s">
        <v>61</v>
      </c>
      <c r="BF734" t="s">
        <v>61</v>
      </c>
    </row>
    <row r="735" spans="1:58">
      <c r="A735" t="s">
        <v>58</v>
      </c>
      <c r="B735" t="s">
        <v>6128</v>
      </c>
      <c r="C735" t="s">
        <v>6129</v>
      </c>
      <c r="D735" t="s">
        <v>271</v>
      </c>
      <c r="E735" t="s">
        <v>272</v>
      </c>
      <c r="F735">
        <v>2001</v>
      </c>
      <c r="G735" t="s">
        <v>1667</v>
      </c>
      <c r="H735">
        <v>41</v>
      </c>
      <c r="I735">
        <v>3</v>
      </c>
      <c r="J735">
        <v>401</v>
      </c>
      <c r="K735">
        <v>410</v>
      </c>
      <c r="L735" t="s">
        <v>6130</v>
      </c>
      <c r="M735" t="s">
        <v>6131</v>
      </c>
      <c r="N735" t="s">
        <v>6132</v>
      </c>
      <c r="O735" t="s">
        <v>61</v>
      </c>
      <c r="Q735" t="s">
        <v>61</v>
      </c>
      <c r="R735" t="s">
        <v>61</v>
      </c>
      <c r="S735" t="s">
        <v>61</v>
      </c>
      <c r="T735" t="s">
        <v>61</v>
      </c>
      <c r="X735" t="s">
        <v>61</v>
      </c>
      <c r="Y735" t="s">
        <v>1661</v>
      </c>
      <c r="Z735" t="s">
        <v>61</v>
      </c>
      <c r="AA735" t="s">
        <v>6133</v>
      </c>
      <c r="AB735">
        <v>11372905</v>
      </c>
      <c r="AC735" t="s">
        <v>67</v>
      </c>
      <c r="AD735" t="s">
        <v>61</v>
      </c>
      <c r="AE735" t="s">
        <v>61</v>
      </c>
      <c r="AF735" t="s">
        <v>61</v>
      </c>
      <c r="AG735" t="s">
        <v>6134</v>
      </c>
      <c r="AH735" t="s">
        <v>61</v>
      </c>
      <c r="AI735" t="s">
        <v>61</v>
      </c>
      <c r="AJ735" t="s">
        <v>61</v>
      </c>
      <c r="AK735" t="s">
        <v>61</v>
      </c>
      <c r="AL735" t="s">
        <v>61</v>
      </c>
      <c r="AM735" t="s">
        <v>6135</v>
      </c>
      <c r="AN735" t="s">
        <v>61</v>
      </c>
      <c r="AO735" t="s">
        <v>61</v>
      </c>
      <c r="AP735" t="s">
        <v>61</v>
      </c>
      <c r="AQ735" t="s">
        <v>61</v>
      </c>
      <c r="AR735" t="s">
        <v>61</v>
      </c>
      <c r="AS735" t="s">
        <v>61</v>
      </c>
      <c r="AT735" t="s">
        <v>61</v>
      </c>
      <c r="AU735" t="s">
        <v>61</v>
      </c>
      <c r="AV735" t="s">
        <v>61</v>
      </c>
      <c r="AW735" t="s">
        <v>61</v>
      </c>
      <c r="AX735" t="s">
        <v>61</v>
      </c>
      <c r="AY735" t="s">
        <v>61</v>
      </c>
      <c r="AZ735" t="s">
        <v>61</v>
      </c>
      <c r="BA735" t="s">
        <v>61</v>
      </c>
      <c r="BB735" t="s">
        <v>61</v>
      </c>
      <c r="BC735" t="s">
        <v>61</v>
      </c>
      <c r="BD735" t="s">
        <v>61</v>
      </c>
      <c r="BE735" t="s">
        <v>61</v>
      </c>
      <c r="BF735" t="s">
        <v>61</v>
      </c>
    </row>
    <row r="736" spans="1:58">
      <c r="A736" t="s">
        <v>58</v>
      </c>
      <c r="B736" t="s">
        <v>6136</v>
      </c>
      <c r="C736" t="s">
        <v>6137</v>
      </c>
      <c r="D736" t="s">
        <v>271</v>
      </c>
      <c r="E736" t="s">
        <v>272</v>
      </c>
      <c r="F736">
        <v>1999</v>
      </c>
      <c r="G736" t="s">
        <v>1332</v>
      </c>
      <c r="H736">
        <v>39</v>
      </c>
      <c r="I736">
        <v>6</v>
      </c>
      <c r="J736">
        <v>843</v>
      </c>
      <c r="K736">
        <v>856</v>
      </c>
      <c r="L736" t="s">
        <v>6138</v>
      </c>
      <c r="M736" t="s">
        <v>6139</v>
      </c>
      <c r="N736" t="s">
        <v>6140</v>
      </c>
      <c r="O736" t="s">
        <v>61</v>
      </c>
      <c r="Q736" t="s">
        <v>61</v>
      </c>
      <c r="R736" t="s">
        <v>61</v>
      </c>
      <c r="S736" t="s">
        <v>61</v>
      </c>
      <c r="T736" t="s">
        <v>61</v>
      </c>
      <c r="X736" t="s">
        <v>61</v>
      </c>
      <c r="Y736" t="s">
        <v>1661</v>
      </c>
      <c r="Z736" t="s">
        <v>61</v>
      </c>
      <c r="AA736" t="s">
        <v>6141</v>
      </c>
      <c r="AB736">
        <v>10609451</v>
      </c>
      <c r="AC736" t="s">
        <v>67</v>
      </c>
      <c r="AD736" t="s">
        <v>61</v>
      </c>
      <c r="AE736" t="s">
        <v>61</v>
      </c>
      <c r="AF736" t="s">
        <v>61</v>
      </c>
      <c r="AG736" t="s">
        <v>6142</v>
      </c>
      <c r="AH736" t="s">
        <v>61</v>
      </c>
      <c r="AI736" t="s">
        <v>61</v>
      </c>
      <c r="AJ736" t="s">
        <v>61</v>
      </c>
      <c r="AK736" t="s">
        <v>61</v>
      </c>
      <c r="AL736" t="s">
        <v>61</v>
      </c>
      <c r="AM736" t="s">
        <v>6143</v>
      </c>
      <c r="AN736" t="s">
        <v>61</v>
      </c>
      <c r="AO736" t="s">
        <v>61</v>
      </c>
      <c r="AP736" t="s">
        <v>61</v>
      </c>
      <c r="AQ736" t="s">
        <v>61</v>
      </c>
      <c r="AR736" t="s">
        <v>61</v>
      </c>
      <c r="AS736" t="s">
        <v>61</v>
      </c>
      <c r="AT736" t="s">
        <v>61</v>
      </c>
      <c r="AU736" t="s">
        <v>61</v>
      </c>
      <c r="AV736" t="s">
        <v>61</v>
      </c>
      <c r="AW736" t="s">
        <v>61</v>
      </c>
      <c r="AX736" t="s">
        <v>61</v>
      </c>
      <c r="AY736" t="s">
        <v>61</v>
      </c>
      <c r="AZ736" t="s">
        <v>61</v>
      </c>
      <c r="BA736" t="s">
        <v>61</v>
      </c>
      <c r="BB736" t="s">
        <v>61</v>
      </c>
      <c r="BC736" t="s">
        <v>61</v>
      </c>
      <c r="BD736" t="s">
        <v>61</v>
      </c>
      <c r="BE736" t="s">
        <v>61</v>
      </c>
      <c r="BF736" t="s">
        <v>61</v>
      </c>
    </row>
    <row r="737" spans="1:58">
      <c r="A737" t="s">
        <v>58</v>
      </c>
      <c r="B737" t="s">
        <v>6144</v>
      </c>
      <c r="C737" t="s">
        <v>6145</v>
      </c>
      <c r="D737" t="s">
        <v>84</v>
      </c>
      <c r="E737" t="s">
        <v>61</v>
      </c>
      <c r="F737">
        <v>2013</v>
      </c>
      <c r="G737" t="s">
        <v>280</v>
      </c>
      <c r="H737">
        <v>21</v>
      </c>
      <c r="I737">
        <v>6</v>
      </c>
      <c r="J737">
        <v>368</v>
      </c>
      <c r="K737">
        <v>377</v>
      </c>
      <c r="L737" t="s">
        <v>6146</v>
      </c>
      <c r="M737" t="s">
        <v>6147</v>
      </c>
      <c r="N737" t="s">
        <v>6148</v>
      </c>
      <c r="O737" t="s">
        <v>61</v>
      </c>
      <c r="Q737" t="s">
        <v>61</v>
      </c>
      <c r="R737" t="s">
        <v>61</v>
      </c>
      <c r="S737" t="s">
        <v>61</v>
      </c>
      <c r="T737" t="s">
        <v>61</v>
      </c>
      <c r="X737" t="s">
        <v>61</v>
      </c>
      <c r="Y737" t="s">
        <v>89</v>
      </c>
      <c r="Z737" t="s">
        <v>61</v>
      </c>
      <c r="AA737" t="s">
        <v>6149</v>
      </c>
      <c r="AB737">
        <v>23419050</v>
      </c>
      <c r="AC737" t="s">
        <v>67</v>
      </c>
      <c r="AD737" t="s">
        <v>61</v>
      </c>
      <c r="AE737" t="s">
        <v>61</v>
      </c>
      <c r="AF737" t="s">
        <v>61</v>
      </c>
      <c r="AG737" t="s">
        <v>6150</v>
      </c>
      <c r="AH737" t="s">
        <v>61</v>
      </c>
      <c r="AI737" t="s">
        <v>6151</v>
      </c>
      <c r="AJ737" t="s">
        <v>61</v>
      </c>
      <c r="AK737" t="s">
        <v>61</v>
      </c>
      <c r="AL737" t="s">
        <v>61</v>
      </c>
      <c r="AM737" t="s">
        <v>6152</v>
      </c>
      <c r="AN737" t="s">
        <v>61</v>
      </c>
      <c r="AO737" t="s">
        <v>61</v>
      </c>
      <c r="AP737" t="s">
        <v>61</v>
      </c>
      <c r="AQ737" t="s">
        <v>61</v>
      </c>
      <c r="AR737" t="s">
        <v>61</v>
      </c>
      <c r="AS737" t="s">
        <v>61</v>
      </c>
      <c r="AT737" t="s">
        <v>61</v>
      </c>
      <c r="AU737" t="s">
        <v>61</v>
      </c>
      <c r="AV737" t="s">
        <v>61</v>
      </c>
      <c r="AW737" t="s">
        <v>61</v>
      </c>
      <c r="AX737" t="s">
        <v>61</v>
      </c>
      <c r="AY737" t="s">
        <v>61</v>
      </c>
      <c r="AZ737" t="s">
        <v>61</v>
      </c>
      <c r="BA737" t="s">
        <v>61</v>
      </c>
      <c r="BB737" t="s">
        <v>61</v>
      </c>
      <c r="BC737" t="s">
        <v>61</v>
      </c>
      <c r="BD737" t="s">
        <v>61</v>
      </c>
      <c r="BE737" t="s">
        <v>61</v>
      </c>
      <c r="BF737" t="s">
        <v>61</v>
      </c>
    </row>
    <row r="738" spans="1:58">
      <c r="A738" t="s">
        <v>58</v>
      </c>
      <c r="B738" t="s">
        <v>6153</v>
      </c>
      <c r="C738" t="s">
        <v>6154</v>
      </c>
      <c r="D738" t="s">
        <v>821</v>
      </c>
      <c r="E738" t="s">
        <v>61</v>
      </c>
      <c r="F738">
        <v>2013</v>
      </c>
      <c r="G738" t="s">
        <v>476</v>
      </c>
      <c r="H738" t="s">
        <v>6155</v>
      </c>
      <c r="I738" t="s">
        <v>61</v>
      </c>
      <c r="J738" t="s">
        <v>6156</v>
      </c>
      <c r="K738" t="s">
        <v>6157</v>
      </c>
      <c r="L738" t="s">
        <v>6158</v>
      </c>
      <c r="M738" t="s">
        <v>6159</v>
      </c>
      <c r="N738" t="s">
        <v>6160</v>
      </c>
      <c r="O738" t="s">
        <v>61</v>
      </c>
      <c r="Q738" t="s">
        <v>61</v>
      </c>
      <c r="R738" t="s">
        <v>61</v>
      </c>
      <c r="S738" t="s">
        <v>61</v>
      </c>
      <c r="T738" t="s">
        <v>61</v>
      </c>
      <c r="X738" t="s">
        <v>61</v>
      </c>
      <c r="Y738" t="s">
        <v>827</v>
      </c>
      <c r="Z738" t="s">
        <v>61</v>
      </c>
      <c r="AA738" t="s">
        <v>61</v>
      </c>
      <c r="AB738" t="s">
        <v>61</v>
      </c>
      <c r="AC738" t="s">
        <v>67</v>
      </c>
      <c r="AD738" t="s">
        <v>61</v>
      </c>
      <c r="AE738" t="s">
        <v>61</v>
      </c>
      <c r="AF738" t="s">
        <v>61</v>
      </c>
      <c r="AG738" t="s">
        <v>61</v>
      </c>
      <c r="AH738" t="s">
        <v>61</v>
      </c>
      <c r="AI738" t="s">
        <v>61</v>
      </c>
      <c r="AJ738" t="s">
        <v>61</v>
      </c>
      <c r="AK738" t="s">
        <v>61</v>
      </c>
      <c r="AL738" t="s">
        <v>61</v>
      </c>
      <c r="AM738" t="s">
        <v>6154</v>
      </c>
      <c r="AN738" t="s">
        <v>61</v>
      </c>
      <c r="AO738" t="s">
        <v>61</v>
      </c>
      <c r="AP738" t="s">
        <v>61</v>
      </c>
      <c r="AQ738" t="s">
        <v>61</v>
      </c>
      <c r="AR738" t="s">
        <v>61</v>
      </c>
      <c r="AS738" t="s">
        <v>61</v>
      </c>
      <c r="AT738" t="s">
        <v>61</v>
      </c>
      <c r="AU738" t="s">
        <v>61</v>
      </c>
      <c r="AV738" t="s">
        <v>61</v>
      </c>
      <c r="AW738" t="s">
        <v>61</v>
      </c>
      <c r="AX738" t="s">
        <v>61</v>
      </c>
      <c r="AY738" t="s">
        <v>61</v>
      </c>
      <c r="AZ738" t="s">
        <v>61</v>
      </c>
      <c r="BA738" t="s">
        <v>61</v>
      </c>
      <c r="BB738" t="s">
        <v>61</v>
      </c>
      <c r="BC738" t="s">
        <v>61</v>
      </c>
      <c r="BD738" t="s">
        <v>61</v>
      </c>
      <c r="BE738" t="s">
        <v>61</v>
      </c>
      <c r="BF738" t="s">
        <v>61</v>
      </c>
    </row>
    <row r="739" spans="1:58">
      <c r="A739" t="s">
        <v>58</v>
      </c>
      <c r="B739" t="s">
        <v>6161</v>
      </c>
      <c r="C739" t="s">
        <v>6162</v>
      </c>
      <c r="D739" t="s">
        <v>6122</v>
      </c>
      <c r="E739" t="s">
        <v>6122</v>
      </c>
      <c r="F739">
        <v>2011</v>
      </c>
      <c r="G739" t="s">
        <v>61</v>
      </c>
      <c r="H739">
        <v>131</v>
      </c>
      <c r="I739">
        <v>12</v>
      </c>
      <c r="J739">
        <v>1757</v>
      </c>
      <c r="K739">
        <v>1760</v>
      </c>
      <c r="L739" t="s">
        <v>6163</v>
      </c>
      <c r="M739" t="s">
        <v>6164</v>
      </c>
      <c r="N739" t="s">
        <v>6165</v>
      </c>
      <c r="O739" t="s">
        <v>61</v>
      </c>
      <c r="Q739" t="s">
        <v>61</v>
      </c>
      <c r="R739" t="s">
        <v>61</v>
      </c>
      <c r="S739" t="s">
        <v>61</v>
      </c>
      <c r="T739" t="s">
        <v>61</v>
      </c>
      <c r="X739" t="s">
        <v>61</v>
      </c>
      <c r="Y739" t="s">
        <v>6126</v>
      </c>
      <c r="Z739" t="s">
        <v>61</v>
      </c>
      <c r="AA739" t="s">
        <v>61</v>
      </c>
      <c r="AB739">
        <v>2011666580</v>
      </c>
      <c r="AC739" t="s">
        <v>67</v>
      </c>
      <c r="AD739" t="s">
        <v>61</v>
      </c>
      <c r="AE739" t="s">
        <v>61</v>
      </c>
      <c r="AF739" t="s">
        <v>61</v>
      </c>
      <c r="AG739" t="s">
        <v>6166</v>
      </c>
      <c r="AH739" t="s">
        <v>61</v>
      </c>
      <c r="AI739" t="s">
        <v>61</v>
      </c>
      <c r="AJ739" t="s">
        <v>61</v>
      </c>
      <c r="AK739" t="s">
        <v>61</v>
      </c>
      <c r="AL739" t="s">
        <v>61</v>
      </c>
      <c r="AM739" t="s">
        <v>6167</v>
      </c>
      <c r="AN739" t="s">
        <v>61</v>
      </c>
      <c r="AO739" t="s">
        <v>61</v>
      </c>
      <c r="AP739" t="s">
        <v>61</v>
      </c>
      <c r="AQ739" t="s">
        <v>61</v>
      </c>
      <c r="AR739" t="s">
        <v>61</v>
      </c>
      <c r="AS739" t="s">
        <v>61</v>
      </c>
      <c r="AT739" t="s">
        <v>61</v>
      </c>
      <c r="AU739" t="s">
        <v>61</v>
      </c>
      <c r="AV739" t="s">
        <v>61</v>
      </c>
      <c r="AW739" t="s">
        <v>61</v>
      </c>
      <c r="AX739" t="s">
        <v>61</v>
      </c>
      <c r="AY739" t="s">
        <v>61</v>
      </c>
      <c r="AZ739" t="s">
        <v>61</v>
      </c>
      <c r="BA739" t="s">
        <v>61</v>
      </c>
      <c r="BB739" t="s">
        <v>61</v>
      </c>
      <c r="BC739" t="s">
        <v>61</v>
      </c>
      <c r="BD739" t="s">
        <v>61</v>
      </c>
      <c r="BE739" t="s">
        <v>61</v>
      </c>
      <c r="BF739" t="s">
        <v>61</v>
      </c>
    </row>
    <row r="740" spans="1:58">
      <c r="A740" t="s">
        <v>58</v>
      </c>
      <c r="B740" t="s">
        <v>6168</v>
      </c>
      <c r="C740" t="s">
        <v>6169</v>
      </c>
      <c r="D740" t="s">
        <v>6071</v>
      </c>
      <c r="E740" t="s">
        <v>61</v>
      </c>
      <c r="F740">
        <v>2010</v>
      </c>
      <c r="G740" t="s">
        <v>85</v>
      </c>
      <c r="H740">
        <v>11</v>
      </c>
      <c r="I740">
        <v>4</v>
      </c>
      <c r="J740">
        <v>303</v>
      </c>
      <c r="K740">
        <v>311</v>
      </c>
      <c r="L740" t="s">
        <v>6170</v>
      </c>
      <c r="M740" t="s">
        <v>6171</v>
      </c>
      <c r="N740" t="s">
        <v>6172</v>
      </c>
      <c r="O740" t="s">
        <v>61</v>
      </c>
      <c r="Q740" t="s">
        <v>61</v>
      </c>
      <c r="R740" t="s">
        <v>61</v>
      </c>
      <c r="S740" t="s">
        <v>61</v>
      </c>
      <c r="T740" t="s">
        <v>61</v>
      </c>
      <c r="X740" t="s">
        <v>61</v>
      </c>
      <c r="Y740" t="s">
        <v>6173</v>
      </c>
      <c r="Z740" t="s">
        <v>61</v>
      </c>
      <c r="AA740" t="s">
        <v>6174</v>
      </c>
      <c r="AB740">
        <v>19944650</v>
      </c>
      <c r="AC740" t="s">
        <v>67</v>
      </c>
      <c r="AD740" t="s">
        <v>61</v>
      </c>
      <c r="AE740" t="s">
        <v>61</v>
      </c>
      <c r="AF740" t="s">
        <v>61</v>
      </c>
      <c r="AG740" t="s">
        <v>6175</v>
      </c>
      <c r="AH740" t="s">
        <v>61</v>
      </c>
      <c r="AI740" t="s">
        <v>6176</v>
      </c>
      <c r="AJ740" t="s">
        <v>61</v>
      </c>
      <c r="AK740" t="s">
        <v>61</v>
      </c>
      <c r="AL740" t="s">
        <v>61</v>
      </c>
      <c r="AM740" t="s">
        <v>6177</v>
      </c>
      <c r="AN740" t="s">
        <v>61</v>
      </c>
      <c r="AO740" t="s">
        <v>61</v>
      </c>
      <c r="AP740" t="s">
        <v>61</v>
      </c>
      <c r="AQ740" t="s">
        <v>61</v>
      </c>
      <c r="AR740" t="s">
        <v>61</v>
      </c>
      <c r="AS740" t="s">
        <v>61</v>
      </c>
      <c r="AT740" t="s">
        <v>61</v>
      </c>
      <c r="AU740" t="s">
        <v>61</v>
      </c>
      <c r="AV740" t="s">
        <v>61</v>
      </c>
      <c r="AW740" t="s">
        <v>61</v>
      </c>
      <c r="AX740" t="s">
        <v>61</v>
      </c>
      <c r="AY740" t="s">
        <v>61</v>
      </c>
      <c r="AZ740" t="s">
        <v>61</v>
      </c>
      <c r="BA740" t="s">
        <v>61</v>
      </c>
      <c r="BB740" t="s">
        <v>61</v>
      </c>
      <c r="BC740" t="s">
        <v>61</v>
      </c>
      <c r="BD740" t="s">
        <v>61</v>
      </c>
      <c r="BE740" t="s">
        <v>61</v>
      </c>
      <c r="BF740" t="s">
        <v>61</v>
      </c>
    </row>
    <row r="741" spans="1:58">
      <c r="A741" t="s">
        <v>58</v>
      </c>
      <c r="B741" t="s">
        <v>6178</v>
      </c>
      <c r="C741" t="s">
        <v>6179</v>
      </c>
      <c r="D741" t="s">
        <v>2197</v>
      </c>
      <c r="E741" t="s">
        <v>2198</v>
      </c>
      <c r="F741">
        <v>2014</v>
      </c>
      <c r="G741" t="s">
        <v>418</v>
      </c>
      <c r="H741">
        <v>104</v>
      </c>
      <c r="I741">
        <v>8</v>
      </c>
      <c r="J741">
        <v>1356</v>
      </c>
      <c r="K741">
        <v>1362</v>
      </c>
      <c r="L741" t="s">
        <v>6180</v>
      </c>
      <c r="M741" t="s">
        <v>6181</v>
      </c>
      <c r="N741" t="s">
        <v>6182</v>
      </c>
      <c r="O741" t="s">
        <v>61</v>
      </c>
      <c r="Q741" t="s">
        <v>61</v>
      </c>
      <c r="R741" t="s">
        <v>61</v>
      </c>
      <c r="S741" t="s">
        <v>61</v>
      </c>
      <c r="T741" t="s">
        <v>61</v>
      </c>
      <c r="X741" t="s">
        <v>61</v>
      </c>
      <c r="Y741" t="s">
        <v>6183</v>
      </c>
      <c r="Z741" t="s">
        <v>61</v>
      </c>
      <c r="AA741" t="s">
        <v>61</v>
      </c>
      <c r="AB741" t="s">
        <v>61</v>
      </c>
      <c r="AC741" t="s">
        <v>67</v>
      </c>
      <c r="AD741" t="s">
        <v>61</v>
      </c>
      <c r="AE741" t="s">
        <v>61</v>
      </c>
      <c r="AF741" t="s">
        <v>61</v>
      </c>
      <c r="AG741" t="s">
        <v>6184</v>
      </c>
      <c r="AH741" t="s">
        <v>61</v>
      </c>
      <c r="AI741" t="s">
        <v>61</v>
      </c>
      <c r="AJ741" t="s">
        <v>61</v>
      </c>
      <c r="AK741" t="s">
        <v>61</v>
      </c>
      <c r="AL741" t="s">
        <v>61</v>
      </c>
      <c r="AM741" t="s">
        <v>6185</v>
      </c>
      <c r="AN741" t="s">
        <v>61</v>
      </c>
      <c r="AO741" t="s">
        <v>61</v>
      </c>
      <c r="AP741" t="s">
        <v>61</v>
      </c>
      <c r="AQ741" t="s">
        <v>61</v>
      </c>
      <c r="AR741" t="s">
        <v>61</v>
      </c>
      <c r="AS741" t="s">
        <v>61</v>
      </c>
      <c r="AT741" t="s">
        <v>61</v>
      </c>
      <c r="AU741" t="s">
        <v>61</v>
      </c>
      <c r="AV741" t="s">
        <v>61</v>
      </c>
      <c r="AW741" t="s">
        <v>61</v>
      </c>
      <c r="AX741" t="s">
        <v>61</v>
      </c>
      <c r="AY741" t="s">
        <v>61</v>
      </c>
      <c r="AZ741" t="s">
        <v>61</v>
      </c>
      <c r="BA741" t="s">
        <v>61</v>
      </c>
      <c r="BB741" t="s">
        <v>61</v>
      </c>
      <c r="BC741" t="s">
        <v>61</v>
      </c>
      <c r="BD741" t="s">
        <v>61</v>
      </c>
      <c r="BE741" t="s">
        <v>61</v>
      </c>
      <c r="BF741" t="s">
        <v>61</v>
      </c>
    </row>
    <row r="742" spans="1:58">
      <c r="A742" t="s">
        <v>58</v>
      </c>
      <c r="B742" t="s">
        <v>6186</v>
      </c>
      <c r="C742" t="s">
        <v>6187</v>
      </c>
      <c r="D742" t="s">
        <v>2731</v>
      </c>
      <c r="E742" t="s">
        <v>61</v>
      </c>
      <c r="F742">
        <v>2014</v>
      </c>
      <c r="G742" t="s">
        <v>851</v>
      </c>
      <c r="H742">
        <v>28</v>
      </c>
      <c r="I742">
        <v>11</v>
      </c>
      <c r="J742">
        <v>1005</v>
      </c>
      <c r="K742">
        <v>1033</v>
      </c>
      <c r="L742" t="s">
        <v>6188</v>
      </c>
      <c r="M742" t="s">
        <v>6189</v>
      </c>
      <c r="N742" t="s">
        <v>6190</v>
      </c>
      <c r="O742" t="s">
        <v>61</v>
      </c>
      <c r="Q742" t="s">
        <v>61</v>
      </c>
      <c r="R742" t="s">
        <v>61</v>
      </c>
      <c r="S742" t="s">
        <v>61</v>
      </c>
      <c r="T742" t="s">
        <v>61</v>
      </c>
      <c r="X742" t="s">
        <v>61</v>
      </c>
      <c r="Y742" t="s">
        <v>2735</v>
      </c>
      <c r="Z742" t="s">
        <v>61</v>
      </c>
      <c r="AA742" t="s">
        <v>6191</v>
      </c>
      <c r="AB742">
        <v>25120227</v>
      </c>
      <c r="AC742" t="s">
        <v>67</v>
      </c>
      <c r="AD742" t="s">
        <v>61</v>
      </c>
      <c r="AE742" t="s">
        <v>61</v>
      </c>
      <c r="AF742" t="s">
        <v>61</v>
      </c>
      <c r="AG742" t="s">
        <v>6192</v>
      </c>
      <c r="AH742" t="s">
        <v>61</v>
      </c>
      <c r="AI742" t="s">
        <v>6193</v>
      </c>
      <c r="AJ742" t="s">
        <v>61</v>
      </c>
      <c r="AK742" t="s">
        <v>61</v>
      </c>
      <c r="AL742" t="s">
        <v>61</v>
      </c>
      <c r="AM742" t="s">
        <v>6194</v>
      </c>
      <c r="AN742" t="s">
        <v>61</v>
      </c>
      <c r="AO742" t="s">
        <v>61</v>
      </c>
      <c r="AP742" t="s">
        <v>61</v>
      </c>
      <c r="AQ742" t="s">
        <v>61</v>
      </c>
      <c r="AR742" t="s">
        <v>61</v>
      </c>
      <c r="AS742" t="s">
        <v>61</v>
      </c>
      <c r="AT742" t="s">
        <v>61</v>
      </c>
      <c r="AU742" t="s">
        <v>61</v>
      </c>
      <c r="AV742" t="s">
        <v>61</v>
      </c>
      <c r="AW742" t="s">
        <v>61</v>
      </c>
      <c r="AX742" t="s">
        <v>61</v>
      </c>
      <c r="AY742" t="s">
        <v>61</v>
      </c>
      <c r="AZ742" t="s">
        <v>61</v>
      </c>
      <c r="BA742" t="s">
        <v>61</v>
      </c>
      <c r="BB742" t="s">
        <v>61</v>
      </c>
      <c r="BC742" t="s">
        <v>61</v>
      </c>
      <c r="BD742" t="s">
        <v>61</v>
      </c>
      <c r="BE742" t="s">
        <v>61</v>
      </c>
      <c r="BF742" t="s">
        <v>61</v>
      </c>
    </row>
    <row r="743" spans="1:58">
      <c r="A743" t="s">
        <v>58</v>
      </c>
      <c r="B743" t="s">
        <v>6195</v>
      </c>
      <c r="C743" t="s">
        <v>6196</v>
      </c>
      <c r="D743" t="s">
        <v>6197</v>
      </c>
      <c r="E743" t="s">
        <v>6198</v>
      </c>
      <c r="F743">
        <v>1983</v>
      </c>
      <c r="G743" t="s">
        <v>6199</v>
      </c>
      <c r="H743">
        <v>3</v>
      </c>
      <c r="I743" s="1">
        <v>42371</v>
      </c>
      <c r="J743">
        <v>7</v>
      </c>
      <c r="K743">
        <v>18</v>
      </c>
      <c r="L743" t="s">
        <v>6200</v>
      </c>
      <c r="M743" t="s">
        <v>6201</v>
      </c>
      <c r="N743" t="s">
        <v>6202</v>
      </c>
      <c r="O743" t="s">
        <v>61</v>
      </c>
      <c r="Q743" t="s">
        <v>61</v>
      </c>
      <c r="R743" t="s">
        <v>61</v>
      </c>
      <c r="S743" t="s">
        <v>61</v>
      </c>
      <c r="T743" t="s">
        <v>61</v>
      </c>
      <c r="X743" t="s">
        <v>61</v>
      </c>
      <c r="Y743" t="s">
        <v>6203</v>
      </c>
      <c r="Z743" t="s">
        <v>61</v>
      </c>
      <c r="AA743" t="s">
        <v>61</v>
      </c>
      <c r="AB743">
        <v>6391104</v>
      </c>
      <c r="AC743" t="s">
        <v>67</v>
      </c>
      <c r="AD743" t="s">
        <v>61</v>
      </c>
      <c r="AE743" t="s">
        <v>61</v>
      </c>
      <c r="AF743" t="s">
        <v>61</v>
      </c>
      <c r="AG743" t="s">
        <v>6204</v>
      </c>
      <c r="AH743" t="s">
        <v>61</v>
      </c>
      <c r="AI743" t="s">
        <v>61</v>
      </c>
      <c r="AJ743" t="s">
        <v>61</v>
      </c>
      <c r="AK743" t="s">
        <v>61</v>
      </c>
      <c r="AL743" t="s">
        <v>61</v>
      </c>
      <c r="AM743" t="s">
        <v>6205</v>
      </c>
      <c r="AN743" t="s">
        <v>61</v>
      </c>
      <c r="AO743" t="s">
        <v>61</v>
      </c>
      <c r="AP743" t="s">
        <v>61</v>
      </c>
      <c r="AQ743" t="s">
        <v>61</v>
      </c>
      <c r="AR743" t="s">
        <v>61</v>
      </c>
      <c r="AS743" t="s">
        <v>61</v>
      </c>
      <c r="AT743" t="s">
        <v>61</v>
      </c>
      <c r="AU743" t="s">
        <v>61</v>
      </c>
      <c r="AV743" t="s">
        <v>61</v>
      </c>
      <c r="AW743" t="s">
        <v>61</v>
      </c>
      <c r="AX743" t="s">
        <v>61</v>
      </c>
      <c r="AY743" t="s">
        <v>61</v>
      </c>
      <c r="AZ743" t="s">
        <v>61</v>
      </c>
      <c r="BA743" t="s">
        <v>61</v>
      </c>
      <c r="BB743" t="s">
        <v>61</v>
      </c>
      <c r="BC743" t="s">
        <v>61</v>
      </c>
      <c r="BD743" t="s">
        <v>61</v>
      </c>
      <c r="BE743" t="s">
        <v>61</v>
      </c>
      <c r="BF743" t="s">
        <v>61</v>
      </c>
    </row>
    <row r="744" spans="1:58">
      <c r="A744" t="s">
        <v>58</v>
      </c>
      <c r="B744" t="s">
        <v>6206</v>
      </c>
      <c r="C744" t="s">
        <v>6207</v>
      </c>
      <c r="D744" t="s">
        <v>6208</v>
      </c>
      <c r="E744" t="s">
        <v>61</v>
      </c>
      <c r="F744">
        <v>2005</v>
      </c>
      <c r="G744" t="s">
        <v>280</v>
      </c>
      <c r="H744">
        <v>149</v>
      </c>
      <c r="I744">
        <v>2</v>
      </c>
      <c r="J744">
        <v>477</v>
      </c>
      <c r="K744">
        <v>480</v>
      </c>
      <c r="L744" t="s">
        <v>6209</v>
      </c>
      <c r="M744" t="s">
        <v>6210</v>
      </c>
      <c r="N744" t="s">
        <v>6211</v>
      </c>
      <c r="O744" t="s">
        <v>61</v>
      </c>
      <c r="Q744" t="s">
        <v>61</v>
      </c>
      <c r="R744" t="s">
        <v>61</v>
      </c>
      <c r="S744" t="s">
        <v>61</v>
      </c>
      <c r="T744" t="s">
        <v>61</v>
      </c>
      <c r="X744" t="s">
        <v>61</v>
      </c>
      <c r="Y744" t="s">
        <v>6212</v>
      </c>
      <c r="Z744" t="s">
        <v>61</v>
      </c>
      <c r="AA744" t="s">
        <v>6213</v>
      </c>
      <c r="AB744">
        <v>16601814</v>
      </c>
      <c r="AC744" t="s">
        <v>67</v>
      </c>
      <c r="AD744" t="s">
        <v>61</v>
      </c>
      <c r="AE744" t="s">
        <v>61</v>
      </c>
      <c r="AF744" t="s">
        <v>61</v>
      </c>
      <c r="AG744" t="s">
        <v>6214</v>
      </c>
      <c r="AH744" t="s">
        <v>61</v>
      </c>
      <c r="AI744" t="s">
        <v>61</v>
      </c>
      <c r="AJ744" t="s">
        <v>61</v>
      </c>
      <c r="AK744" t="s">
        <v>61</v>
      </c>
      <c r="AL744" t="s">
        <v>61</v>
      </c>
      <c r="AM744" t="s">
        <v>6215</v>
      </c>
      <c r="AN744" t="s">
        <v>61</v>
      </c>
      <c r="AO744" t="s">
        <v>61</v>
      </c>
      <c r="AP744" t="s">
        <v>61</v>
      </c>
      <c r="AQ744" t="s">
        <v>61</v>
      </c>
      <c r="AR744" t="s">
        <v>61</v>
      </c>
      <c r="AS744" t="s">
        <v>61</v>
      </c>
      <c r="AT744" t="s">
        <v>61</v>
      </c>
      <c r="AU744" t="s">
        <v>61</v>
      </c>
      <c r="AV744" t="s">
        <v>61</v>
      </c>
      <c r="AW744" t="s">
        <v>61</v>
      </c>
      <c r="AX744" t="s">
        <v>61</v>
      </c>
      <c r="AY744" t="s">
        <v>61</v>
      </c>
      <c r="AZ744" t="s">
        <v>61</v>
      </c>
      <c r="BA744" t="s">
        <v>61</v>
      </c>
      <c r="BB744" t="s">
        <v>61</v>
      </c>
      <c r="BC744" t="s">
        <v>61</v>
      </c>
      <c r="BD744" t="s">
        <v>61</v>
      </c>
      <c r="BE744" t="s">
        <v>61</v>
      </c>
      <c r="BF744" t="s">
        <v>61</v>
      </c>
    </row>
    <row r="745" spans="1:58">
      <c r="A745" t="s">
        <v>58</v>
      </c>
      <c r="B745" t="s">
        <v>6216</v>
      </c>
      <c r="C745" t="s">
        <v>6217</v>
      </c>
      <c r="D745" t="s">
        <v>6218</v>
      </c>
      <c r="E745" t="s">
        <v>61</v>
      </c>
      <c r="F745">
        <v>2013</v>
      </c>
      <c r="G745" t="s">
        <v>61</v>
      </c>
      <c r="H745">
        <v>13</v>
      </c>
      <c r="I745">
        <v>4</v>
      </c>
      <c r="J745">
        <v>525</v>
      </c>
      <c r="K745">
        <v>532</v>
      </c>
      <c r="L745" t="s">
        <v>61</v>
      </c>
      <c r="M745" t="s">
        <v>6219</v>
      </c>
      <c r="N745" t="s">
        <v>6220</v>
      </c>
      <c r="O745" t="s">
        <v>61</v>
      </c>
      <c r="Q745" t="s">
        <v>61</v>
      </c>
      <c r="R745" t="s">
        <v>61</v>
      </c>
      <c r="S745" t="s">
        <v>61</v>
      </c>
      <c r="T745" t="s">
        <v>61</v>
      </c>
      <c r="X745" t="s">
        <v>61</v>
      </c>
      <c r="Y745" t="s">
        <v>6221</v>
      </c>
      <c r="Z745" t="s">
        <v>61</v>
      </c>
      <c r="AA745" t="s">
        <v>6222</v>
      </c>
      <c r="AB745">
        <v>24358001</v>
      </c>
      <c r="AC745" t="s">
        <v>67</v>
      </c>
      <c r="AD745" t="s">
        <v>61</v>
      </c>
      <c r="AE745" t="s">
        <v>61</v>
      </c>
      <c r="AF745" t="s">
        <v>61</v>
      </c>
      <c r="AG745" t="s">
        <v>6223</v>
      </c>
      <c r="AH745" t="s">
        <v>61</v>
      </c>
      <c r="AI745" t="s">
        <v>61</v>
      </c>
      <c r="AJ745" t="s">
        <v>61</v>
      </c>
      <c r="AK745" t="s">
        <v>61</v>
      </c>
      <c r="AL745" t="s">
        <v>61</v>
      </c>
      <c r="AM745" t="s">
        <v>6224</v>
      </c>
      <c r="AN745" t="s">
        <v>61</v>
      </c>
      <c r="AO745" t="s">
        <v>61</v>
      </c>
      <c r="AP745" t="s">
        <v>61</v>
      </c>
      <c r="AQ745" t="s">
        <v>61</v>
      </c>
      <c r="AR745" t="s">
        <v>61</v>
      </c>
      <c r="AS745" t="s">
        <v>61</v>
      </c>
      <c r="AT745" t="s">
        <v>61</v>
      </c>
      <c r="AU745" t="s">
        <v>61</v>
      </c>
      <c r="AV745" t="s">
        <v>61</v>
      </c>
      <c r="AW745" t="s">
        <v>61</v>
      </c>
      <c r="AX745" t="s">
        <v>61</v>
      </c>
      <c r="AY745" t="s">
        <v>61</v>
      </c>
      <c r="AZ745" t="s">
        <v>61</v>
      </c>
      <c r="BA745" t="s">
        <v>61</v>
      </c>
      <c r="BB745" t="s">
        <v>61</v>
      </c>
      <c r="BC745" t="s">
        <v>61</v>
      </c>
      <c r="BD745" t="s">
        <v>61</v>
      </c>
      <c r="BE745" t="s">
        <v>61</v>
      </c>
      <c r="BF745" t="s">
        <v>61</v>
      </c>
    </row>
    <row r="746" spans="1:58">
      <c r="A746" t="s">
        <v>58</v>
      </c>
      <c r="B746" t="s">
        <v>6225</v>
      </c>
      <c r="C746" t="s">
        <v>6226</v>
      </c>
      <c r="D746" t="s">
        <v>1000</v>
      </c>
      <c r="E746" t="s">
        <v>1000</v>
      </c>
      <c r="F746">
        <v>2012</v>
      </c>
      <c r="G746" t="s">
        <v>391</v>
      </c>
      <c r="H746">
        <v>107</v>
      </c>
      <c r="I746">
        <v>3</v>
      </c>
      <c r="J746">
        <v>467</v>
      </c>
      <c r="K746">
        <v>477</v>
      </c>
      <c r="L746" t="s">
        <v>6227</v>
      </c>
      <c r="M746" t="s">
        <v>6228</v>
      </c>
      <c r="N746" t="s">
        <v>6229</v>
      </c>
      <c r="O746" t="s">
        <v>61</v>
      </c>
      <c r="Q746" t="s">
        <v>61</v>
      </c>
      <c r="R746" t="s">
        <v>61</v>
      </c>
      <c r="S746" t="s">
        <v>61</v>
      </c>
      <c r="T746" t="s">
        <v>61</v>
      </c>
      <c r="X746" t="s">
        <v>61</v>
      </c>
      <c r="Y746" t="s">
        <v>4508</v>
      </c>
      <c r="Z746" t="s">
        <v>61</v>
      </c>
      <c r="AA746" t="s">
        <v>6230</v>
      </c>
      <c r="AB746">
        <v>22313101</v>
      </c>
      <c r="AC746" t="s">
        <v>67</v>
      </c>
      <c r="AD746" t="s">
        <v>61</v>
      </c>
      <c r="AE746" t="s">
        <v>61</v>
      </c>
      <c r="AF746" t="s">
        <v>61</v>
      </c>
      <c r="AG746" t="s">
        <v>6231</v>
      </c>
      <c r="AH746" t="s">
        <v>61</v>
      </c>
      <c r="AI746" t="s">
        <v>6232</v>
      </c>
      <c r="AJ746" t="s">
        <v>61</v>
      </c>
      <c r="AK746" t="s">
        <v>61</v>
      </c>
      <c r="AL746" t="s">
        <v>61</v>
      </c>
      <c r="AM746" t="s">
        <v>6233</v>
      </c>
      <c r="AN746" t="s">
        <v>61</v>
      </c>
      <c r="AO746" t="s">
        <v>61</v>
      </c>
      <c r="AP746" t="s">
        <v>61</v>
      </c>
      <c r="AQ746" t="s">
        <v>61</v>
      </c>
      <c r="AR746" t="s">
        <v>61</v>
      </c>
      <c r="AS746" t="s">
        <v>61</v>
      </c>
      <c r="AT746" t="s">
        <v>61</v>
      </c>
      <c r="AU746" t="s">
        <v>61</v>
      </c>
      <c r="AV746" t="s">
        <v>61</v>
      </c>
      <c r="AW746" t="s">
        <v>61</v>
      </c>
      <c r="AX746" t="s">
        <v>61</v>
      </c>
      <c r="AY746" t="s">
        <v>61</v>
      </c>
      <c r="AZ746" t="s">
        <v>61</v>
      </c>
      <c r="BA746" t="s">
        <v>61</v>
      </c>
      <c r="BB746" t="s">
        <v>61</v>
      </c>
      <c r="BC746" t="s">
        <v>61</v>
      </c>
      <c r="BD746" t="s">
        <v>61</v>
      </c>
      <c r="BE746" t="s">
        <v>61</v>
      </c>
      <c r="BF746" t="s">
        <v>61</v>
      </c>
    </row>
    <row r="747" spans="1:58">
      <c r="A747" t="s">
        <v>58</v>
      </c>
      <c r="B747" t="s">
        <v>6234</v>
      </c>
      <c r="C747" t="s">
        <v>6235</v>
      </c>
      <c r="D747" t="s">
        <v>1085</v>
      </c>
      <c r="E747" t="s">
        <v>1086</v>
      </c>
      <c r="F747">
        <v>2008</v>
      </c>
      <c r="G747" t="s">
        <v>273</v>
      </c>
      <c r="H747">
        <v>42</v>
      </c>
      <c r="I747">
        <v>2</v>
      </c>
      <c r="J747">
        <v>270</v>
      </c>
      <c r="K747">
        <v>272</v>
      </c>
      <c r="L747" t="s">
        <v>6236</v>
      </c>
      <c r="M747" t="s">
        <v>6237</v>
      </c>
      <c r="N747" t="s">
        <v>6238</v>
      </c>
      <c r="O747" t="s">
        <v>61</v>
      </c>
      <c r="Q747" t="s">
        <v>61</v>
      </c>
      <c r="R747" t="s">
        <v>61</v>
      </c>
      <c r="S747" t="s">
        <v>61</v>
      </c>
      <c r="T747" t="s">
        <v>61</v>
      </c>
      <c r="X747" t="s">
        <v>61</v>
      </c>
      <c r="Y747" t="s">
        <v>1090</v>
      </c>
      <c r="Z747" t="s">
        <v>61</v>
      </c>
      <c r="AA747" t="s">
        <v>61</v>
      </c>
      <c r="AB747">
        <v>18198240</v>
      </c>
      <c r="AC747" t="s">
        <v>67</v>
      </c>
      <c r="AD747" t="s">
        <v>61</v>
      </c>
      <c r="AE747" t="s">
        <v>61</v>
      </c>
      <c r="AF747" t="s">
        <v>61</v>
      </c>
      <c r="AG747" t="s">
        <v>6239</v>
      </c>
      <c r="AH747" t="s">
        <v>61</v>
      </c>
      <c r="AI747" t="s">
        <v>6240</v>
      </c>
      <c r="AJ747" t="s">
        <v>61</v>
      </c>
      <c r="AK747" t="s">
        <v>61</v>
      </c>
      <c r="AL747" t="s">
        <v>61</v>
      </c>
      <c r="AM747" t="s">
        <v>6241</v>
      </c>
      <c r="AN747" t="s">
        <v>61</v>
      </c>
      <c r="AO747" t="s">
        <v>61</v>
      </c>
      <c r="AP747" t="s">
        <v>61</v>
      </c>
      <c r="AQ747" t="s">
        <v>61</v>
      </c>
      <c r="AR747" t="s">
        <v>61</v>
      </c>
      <c r="AS747" t="s">
        <v>61</v>
      </c>
      <c r="AT747" t="s">
        <v>61</v>
      </c>
      <c r="AU747" t="s">
        <v>61</v>
      </c>
      <c r="AV747" t="s">
        <v>61</v>
      </c>
      <c r="AW747" t="s">
        <v>61</v>
      </c>
      <c r="AX747" t="s">
        <v>61</v>
      </c>
      <c r="AY747" t="s">
        <v>61</v>
      </c>
      <c r="AZ747" t="s">
        <v>61</v>
      </c>
      <c r="BA747" t="s">
        <v>61</v>
      </c>
      <c r="BB747" t="s">
        <v>61</v>
      </c>
      <c r="BC747" t="s">
        <v>61</v>
      </c>
      <c r="BD747" t="s">
        <v>61</v>
      </c>
      <c r="BE747" t="s">
        <v>61</v>
      </c>
      <c r="BF747" t="s">
        <v>61</v>
      </c>
    </row>
    <row r="748" spans="1:58">
      <c r="A748" t="s">
        <v>58</v>
      </c>
      <c r="B748" t="s">
        <v>6242</v>
      </c>
      <c r="C748" t="s">
        <v>6243</v>
      </c>
      <c r="D748" t="s">
        <v>4635</v>
      </c>
      <c r="E748" t="s">
        <v>4636</v>
      </c>
      <c r="F748">
        <v>2012</v>
      </c>
      <c r="G748" t="s">
        <v>61</v>
      </c>
      <c r="H748" t="s">
        <v>6244</v>
      </c>
      <c r="I748" t="s">
        <v>61</v>
      </c>
      <c r="J748" t="s">
        <v>4638</v>
      </c>
      <c r="K748" t="s">
        <v>61</v>
      </c>
      <c r="L748" t="s">
        <v>6245</v>
      </c>
      <c r="M748" t="s">
        <v>6246</v>
      </c>
      <c r="N748" t="s">
        <v>6247</v>
      </c>
      <c r="O748" t="s">
        <v>61</v>
      </c>
      <c r="Q748" t="s">
        <v>61</v>
      </c>
      <c r="R748" t="s">
        <v>61</v>
      </c>
      <c r="S748" t="s">
        <v>61</v>
      </c>
      <c r="T748" t="s">
        <v>61</v>
      </c>
      <c r="X748" t="s">
        <v>61</v>
      </c>
      <c r="Y748" t="s">
        <v>4080</v>
      </c>
      <c r="Z748" t="s">
        <v>61</v>
      </c>
      <c r="AA748" t="s">
        <v>61</v>
      </c>
      <c r="AB748" t="s">
        <v>61</v>
      </c>
      <c r="AC748" t="s">
        <v>67</v>
      </c>
      <c r="AD748" t="s">
        <v>61</v>
      </c>
      <c r="AE748" t="s">
        <v>61</v>
      </c>
      <c r="AF748" t="s">
        <v>61</v>
      </c>
      <c r="AG748" t="s">
        <v>61</v>
      </c>
      <c r="AH748" t="s">
        <v>61</v>
      </c>
      <c r="AI748" t="s">
        <v>61</v>
      </c>
      <c r="AJ748" t="s">
        <v>61</v>
      </c>
      <c r="AK748" t="s">
        <v>61</v>
      </c>
      <c r="AL748" t="s">
        <v>61</v>
      </c>
      <c r="AM748" t="s">
        <v>6243</v>
      </c>
      <c r="AN748" t="s">
        <v>61</v>
      </c>
      <c r="AO748" t="s">
        <v>61</v>
      </c>
      <c r="AP748" t="s">
        <v>61</v>
      </c>
      <c r="AQ748" t="s">
        <v>61</v>
      </c>
      <c r="AR748" t="s">
        <v>61</v>
      </c>
      <c r="AS748" t="s">
        <v>61</v>
      </c>
      <c r="AT748" t="s">
        <v>61</v>
      </c>
      <c r="AU748" t="s">
        <v>61</v>
      </c>
      <c r="AV748" t="s">
        <v>61</v>
      </c>
      <c r="AW748" t="s">
        <v>61</v>
      </c>
      <c r="AX748" t="s">
        <v>61</v>
      </c>
      <c r="AY748" t="s">
        <v>61</v>
      </c>
      <c r="AZ748" t="s">
        <v>61</v>
      </c>
      <c r="BA748" t="s">
        <v>61</v>
      </c>
      <c r="BB748" t="s">
        <v>61</v>
      </c>
      <c r="BC748" t="s">
        <v>61</v>
      </c>
      <c r="BD748" t="s">
        <v>61</v>
      </c>
      <c r="BE748" t="s">
        <v>61</v>
      </c>
      <c r="BF748" t="s">
        <v>61</v>
      </c>
    </row>
    <row r="749" spans="1:58">
      <c r="A749" t="s">
        <v>58</v>
      </c>
      <c r="B749" t="s">
        <v>6248</v>
      </c>
      <c r="C749" t="s">
        <v>6249</v>
      </c>
      <c r="D749" t="s">
        <v>408</v>
      </c>
      <c r="E749" t="s">
        <v>408</v>
      </c>
      <c r="F749">
        <v>2013</v>
      </c>
      <c r="G749" t="s">
        <v>645</v>
      </c>
      <c r="H749">
        <v>33</v>
      </c>
      <c r="I749">
        <v>10</v>
      </c>
      <c r="J749" t="s">
        <v>6250</v>
      </c>
      <c r="K749" t="s">
        <v>61</v>
      </c>
      <c r="L749" t="s">
        <v>6251</v>
      </c>
      <c r="M749" t="s">
        <v>6252</v>
      </c>
      <c r="N749" t="s">
        <v>6253</v>
      </c>
      <c r="O749" t="s">
        <v>61</v>
      </c>
      <c r="Q749" t="s">
        <v>61</v>
      </c>
      <c r="R749" t="s">
        <v>61</v>
      </c>
      <c r="S749" t="s">
        <v>61</v>
      </c>
      <c r="T749" t="s">
        <v>61</v>
      </c>
      <c r="X749" t="s">
        <v>61</v>
      </c>
      <c r="Y749" t="s">
        <v>414</v>
      </c>
      <c r="Z749" t="s">
        <v>61</v>
      </c>
      <c r="AA749" t="s">
        <v>61</v>
      </c>
      <c r="AB749" t="s">
        <v>61</v>
      </c>
      <c r="AC749" t="s">
        <v>67</v>
      </c>
      <c r="AD749" t="s">
        <v>61</v>
      </c>
      <c r="AE749" t="s">
        <v>61</v>
      </c>
      <c r="AF749" t="s">
        <v>61</v>
      </c>
      <c r="AG749" t="s">
        <v>61</v>
      </c>
      <c r="AH749" t="s">
        <v>61</v>
      </c>
      <c r="AI749" t="s">
        <v>61</v>
      </c>
      <c r="AJ749" t="s">
        <v>61</v>
      </c>
      <c r="AK749" t="s">
        <v>61</v>
      </c>
      <c r="AL749" t="s">
        <v>61</v>
      </c>
      <c r="AM749" t="s">
        <v>6249</v>
      </c>
      <c r="AN749" t="s">
        <v>61</v>
      </c>
      <c r="AO749" t="s">
        <v>61</v>
      </c>
      <c r="AP749" t="s">
        <v>61</v>
      </c>
      <c r="AQ749" t="s">
        <v>61</v>
      </c>
      <c r="AR749" t="s">
        <v>61</v>
      </c>
      <c r="AS749" t="s">
        <v>61</v>
      </c>
      <c r="AT749" t="s">
        <v>61</v>
      </c>
      <c r="AU749" t="s">
        <v>61</v>
      </c>
      <c r="AV749" t="s">
        <v>61</v>
      </c>
      <c r="AW749" t="s">
        <v>61</v>
      </c>
      <c r="AX749" t="s">
        <v>61</v>
      </c>
      <c r="AY749" t="s">
        <v>61</v>
      </c>
      <c r="AZ749" t="s">
        <v>61</v>
      </c>
      <c r="BA749" t="s">
        <v>61</v>
      </c>
      <c r="BB749" t="s">
        <v>61</v>
      </c>
      <c r="BC749" t="s">
        <v>61</v>
      </c>
      <c r="BD749" t="s">
        <v>61</v>
      </c>
      <c r="BE749" t="s">
        <v>61</v>
      </c>
      <c r="BF749" t="s">
        <v>61</v>
      </c>
    </row>
    <row r="750" spans="1:58">
      <c r="A750" t="s">
        <v>58</v>
      </c>
      <c r="B750" t="s">
        <v>6254</v>
      </c>
      <c r="C750" t="s">
        <v>6255</v>
      </c>
      <c r="D750" t="s">
        <v>1151</v>
      </c>
      <c r="E750" t="s">
        <v>61</v>
      </c>
      <c r="F750">
        <v>1999</v>
      </c>
      <c r="G750" t="s">
        <v>61</v>
      </c>
      <c r="H750">
        <v>20</v>
      </c>
      <c r="I750">
        <v>3</v>
      </c>
      <c r="J750">
        <v>123</v>
      </c>
      <c r="K750" t="s">
        <v>6256</v>
      </c>
      <c r="L750" t="s">
        <v>6257</v>
      </c>
      <c r="M750" t="s">
        <v>6258</v>
      </c>
      <c r="N750" t="s">
        <v>6259</v>
      </c>
      <c r="O750" t="s">
        <v>61</v>
      </c>
      <c r="Q750" t="s">
        <v>61</v>
      </c>
      <c r="R750" t="s">
        <v>61</v>
      </c>
      <c r="S750" t="s">
        <v>61</v>
      </c>
      <c r="T750" t="s">
        <v>61</v>
      </c>
      <c r="X750" t="s">
        <v>61</v>
      </c>
      <c r="Y750" t="s">
        <v>1156</v>
      </c>
      <c r="Z750" t="s">
        <v>61</v>
      </c>
      <c r="AA750" t="s">
        <v>6260</v>
      </c>
      <c r="AB750">
        <v>107228821</v>
      </c>
      <c r="AC750" t="s">
        <v>67</v>
      </c>
      <c r="AD750" t="s">
        <v>61</v>
      </c>
      <c r="AE750" t="s">
        <v>61</v>
      </c>
      <c r="AF750" t="s">
        <v>61</v>
      </c>
      <c r="AG750" t="s">
        <v>6261</v>
      </c>
      <c r="AH750" t="s">
        <v>61</v>
      </c>
      <c r="AI750" t="s">
        <v>61</v>
      </c>
      <c r="AJ750" t="s">
        <v>61</v>
      </c>
      <c r="AK750" t="s">
        <v>61</v>
      </c>
      <c r="AL750" t="s">
        <v>61</v>
      </c>
      <c r="AM750" t="s">
        <v>6262</v>
      </c>
      <c r="AN750" t="s">
        <v>61</v>
      </c>
      <c r="AO750" t="s">
        <v>61</v>
      </c>
      <c r="AP750" t="s">
        <v>61</v>
      </c>
      <c r="AQ750" t="s">
        <v>61</v>
      </c>
      <c r="AR750" t="s">
        <v>61</v>
      </c>
      <c r="AS750" t="s">
        <v>61</v>
      </c>
      <c r="AT750" t="s">
        <v>61</v>
      </c>
      <c r="AU750" t="s">
        <v>61</v>
      </c>
      <c r="AV750" t="s">
        <v>61</v>
      </c>
      <c r="AW750" t="s">
        <v>61</v>
      </c>
      <c r="AX750" t="s">
        <v>61</v>
      </c>
      <c r="AY750" t="s">
        <v>61</v>
      </c>
      <c r="AZ750" t="s">
        <v>61</v>
      </c>
      <c r="BA750" t="s">
        <v>61</v>
      </c>
      <c r="BB750" t="s">
        <v>61</v>
      </c>
      <c r="BC750" t="s">
        <v>61</v>
      </c>
      <c r="BD750" t="s">
        <v>61</v>
      </c>
      <c r="BE750" t="s">
        <v>61</v>
      </c>
      <c r="BF750" t="s">
        <v>61</v>
      </c>
    </row>
    <row r="751" spans="1:58">
      <c r="A751" t="s">
        <v>58</v>
      </c>
      <c r="B751" t="s">
        <v>6263</v>
      </c>
      <c r="C751" t="s">
        <v>6264</v>
      </c>
      <c r="D751" t="s">
        <v>408</v>
      </c>
      <c r="E751" t="s">
        <v>408</v>
      </c>
      <c r="F751">
        <v>2013</v>
      </c>
      <c r="G751" t="s">
        <v>645</v>
      </c>
      <c r="H751">
        <v>33</v>
      </c>
      <c r="I751">
        <v>10</v>
      </c>
      <c r="J751" t="s">
        <v>6265</v>
      </c>
      <c r="K751" t="s">
        <v>61</v>
      </c>
      <c r="L751" t="s">
        <v>6266</v>
      </c>
      <c r="M751" t="s">
        <v>6267</v>
      </c>
      <c r="N751" t="s">
        <v>6268</v>
      </c>
      <c r="O751" t="s">
        <v>61</v>
      </c>
      <c r="Q751" t="s">
        <v>61</v>
      </c>
      <c r="R751" t="s">
        <v>61</v>
      </c>
      <c r="S751" t="s">
        <v>61</v>
      </c>
      <c r="T751" t="s">
        <v>61</v>
      </c>
      <c r="X751" t="s">
        <v>61</v>
      </c>
      <c r="Y751" t="s">
        <v>414</v>
      </c>
      <c r="Z751" t="s">
        <v>61</v>
      </c>
      <c r="AA751" t="s">
        <v>61</v>
      </c>
      <c r="AB751" t="s">
        <v>61</v>
      </c>
      <c r="AC751" t="s">
        <v>67</v>
      </c>
      <c r="AD751" t="s">
        <v>61</v>
      </c>
      <c r="AE751" t="s">
        <v>61</v>
      </c>
      <c r="AF751" t="s">
        <v>61</v>
      </c>
      <c r="AG751" t="s">
        <v>61</v>
      </c>
      <c r="AH751" t="s">
        <v>61</v>
      </c>
      <c r="AI751" t="s">
        <v>61</v>
      </c>
      <c r="AJ751" t="s">
        <v>61</v>
      </c>
      <c r="AK751" t="s">
        <v>61</v>
      </c>
      <c r="AL751" t="s">
        <v>61</v>
      </c>
      <c r="AM751" t="s">
        <v>6264</v>
      </c>
      <c r="AN751" t="s">
        <v>61</v>
      </c>
      <c r="AO751" t="s">
        <v>61</v>
      </c>
      <c r="AP751" t="s">
        <v>61</v>
      </c>
      <c r="AQ751" t="s">
        <v>61</v>
      </c>
      <c r="AR751" t="s">
        <v>61</v>
      </c>
      <c r="AS751" t="s">
        <v>61</v>
      </c>
      <c r="AT751" t="s">
        <v>61</v>
      </c>
      <c r="AU751" t="s">
        <v>61</v>
      </c>
      <c r="AV751" t="s">
        <v>61</v>
      </c>
      <c r="AW751" t="s">
        <v>61</v>
      </c>
      <c r="AX751" t="s">
        <v>61</v>
      </c>
      <c r="AY751" t="s">
        <v>61</v>
      </c>
      <c r="AZ751" t="s">
        <v>61</v>
      </c>
      <c r="BA751" t="s">
        <v>61</v>
      </c>
      <c r="BB751" t="s">
        <v>61</v>
      </c>
      <c r="BC751" t="s">
        <v>61</v>
      </c>
      <c r="BD751" t="s">
        <v>61</v>
      </c>
      <c r="BE751" t="s">
        <v>61</v>
      </c>
      <c r="BF751" t="s">
        <v>61</v>
      </c>
    </row>
    <row r="752" spans="1:58">
      <c r="A752" t="s">
        <v>58</v>
      </c>
      <c r="B752" t="s">
        <v>6269</v>
      </c>
      <c r="C752" t="s">
        <v>6270</v>
      </c>
      <c r="D752" t="s">
        <v>1151</v>
      </c>
      <c r="E752" t="s">
        <v>61</v>
      </c>
      <c r="F752">
        <v>2009</v>
      </c>
      <c r="G752" t="s">
        <v>429</v>
      </c>
      <c r="H752">
        <v>30</v>
      </c>
      <c r="I752">
        <v>2</v>
      </c>
      <c r="J752">
        <v>212</v>
      </c>
      <c r="K752" t="s">
        <v>61</v>
      </c>
      <c r="L752" t="s">
        <v>6271</v>
      </c>
      <c r="M752" t="s">
        <v>6272</v>
      </c>
      <c r="N752" t="s">
        <v>6273</v>
      </c>
      <c r="O752" t="s">
        <v>61</v>
      </c>
      <c r="Q752" t="s">
        <v>61</v>
      </c>
      <c r="R752" t="s">
        <v>61</v>
      </c>
      <c r="S752" t="s">
        <v>61</v>
      </c>
      <c r="T752" t="s">
        <v>61</v>
      </c>
      <c r="X752" t="s">
        <v>61</v>
      </c>
      <c r="Y752" t="s">
        <v>1156</v>
      </c>
      <c r="Z752" t="s">
        <v>61</v>
      </c>
      <c r="AA752" t="s">
        <v>61</v>
      </c>
      <c r="AB752" t="s">
        <v>61</v>
      </c>
      <c r="AC752" t="s">
        <v>67</v>
      </c>
      <c r="AD752" t="s">
        <v>61</v>
      </c>
      <c r="AE752" t="s">
        <v>61</v>
      </c>
      <c r="AF752" t="s">
        <v>61</v>
      </c>
      <c r="AG752" t="s">
        <v>61</v>
      </c>
      <c r="AH752" t="s">
        <v>61</v>
      </c>
      <c r="AI752" t="s">
        <v>61</v>
      </c>
      <c r="AJ752" t="s">
        <v>61</v>
      </c>
      <c r="AK752" t="s">
        <v>61</v>
      </c>
      <c r="AL752" t="s">
        <v>61</v>
      </c>
      <c r="AM752" t="s">
        <v>6270</v>
      </c>
      <c r="AN752" t="s">
        <v>61</v>
      </c>
      <c r="AO752" t="s">
        <v>61</v>
      </c>
      <c r="AP752" t="s">
        <v>61</v>
      </c>
      <c r="AQ752" t="s">
        <v>61</v>
      </c>
      <c r="AR752" t="s">
        <v>61</v>
      </c>
      <c r="AS752" t="s">
        <v>61</v>
      </c>
      <c r="AT752" t="s">
        <v>61</v>
      </c>
      <c r="AU752" t="s">
        <v>61</v>
      </c>
      <c r="AV752" t="s">
        <v>61</v>
      </c>
      <c r="AW752" t="s">
        <v>61</v>
      </c>
      <c r="AX752" t="s">
        <v>61</v>
      </c>
      <c r="AY752" t="s">
        <v>61</v>
      </c>
      <c r="AZ752" t="s">
        <v>61</v>
      </c>
      <c r="BA752" t="s">
        <v>61</v>
      </c>
      <c r="BB752" t="s">
        <v>61</v>
      </c>
      <c r="BC752" t="s">
        <v>61</v>
      </c>
      <c r="BD752" t="s">
        <v>61</v>
      </c>
      <c r="BE752" t="s">
        <v>61</v>
      </c>
      <c r="BF752" t="s">
        <v>61</v>
      </c>
    </row>
    <row r="753" spans="1:58">
      <c r="A753" t="s">
        <v>58</v>
      </c>
      <c r="B753" t="s">
        <v>6274</v>
      </c>
      <c r="C753" t="s">
        <v>6275</v>
      </c>
      <c r="D753" t="s">
        <v>153</v>
      </c>
      <c r="E753" t="s">
        <v>61</v>
      </c>
      <c r="F753">
        <v>2004</v>
      </c>
      <c r="G753" t="s">
        <v>1332</v>
      </c>
      <c r="H753">
        <v>44</v>
      </c>
      <c r="I753">
        <v>6</v>
      </c>
      <c r="J753">
        <v>684</v>
      </c>
      <c r="K753">
        <v>693</v>
      </c>
      <c r="L753" t="s">
        <v>6276</v>
      </c>
      <c r="M753" t="s">
        <v>6277</v>
      </c>
      <c r="N753" t="s">
        <v>6278</v>
      </c>
      <c r="O753" t="s">
        <v>61</v>
      </c>
      <c r="Q753" t="s">
        <v>61</v>
      </c>
      <c r="R753" t="s">
        <v>61</v>
      </c>
      <c r="S753" t="s">
        <v>61</v>
      </c>
      <c r="T753" t="s">
        <v>61</v>
      </c>
      <c r="X753" t="s">
        <v>61</v>
      </c>
      <c r="Y753" t="s">
        <v>632</v>
      </c>
      <c r="Z753" t="s">
        <v>61</v>
      </c>
      <c r="AA753" t="s">
        <v>6279</v>
      </c>
      <c r="AB753">
        <v>15637851</v>
      </c>
      <c r="AC753" t="s">
        <v>67</v>
      </c>
      <c r="AD753" t="s">
        <v>61</v>
      </c>
      <c r="AE753" t="s">
        <v>61</v>
      </c>
      <c r="AF753" t="s">
        <v>61</v>
      </c>
      <c r="AG753" t="s">
        <v>6280</v>
      </c>
      <c r="AH753" t="s">
        <v>61</v>
      </c>
      <c r="AI753" t="s">
        <v>61</v>
      </c>
      <c r="AJ753" t="s">
        <v>61</v>
      </c>
      <c r="AK753" t="s">
        <v>61</v>
      </c>
      <c r="AL753" t="s">
        <v>61</v>
      </c>
      <c r="AM753" t="s">
        <v>6281</v>
      </c>
      <c r="AN753" t="s">
        <v>61</v>
      </c>
      <c r="AO753" t="s">
        <v>61</v>
      </c>
      <c r="AP753" t="s">
        <v>61</v>
      </c>
      <c r="AQ753" t="s">
        <v>61</v>
      </c>
      <c r="AR753" t="s">
        <v>61</v>
      </c>
      <c r="AS753" t="s">
        <v>61</v>
      </c>
      <c r="AT753" t="s">
        <v>61</v>
      </c>
      <c r="AU753" t="s">
        <v>61</v>
      </c>
      <c r="AV753" t="s">
        <v>61</v>
      </c>
      <c r="AW753" t="s">
        <v>61</v>
      </c>
      <c r="AX753" t="s">
        <v>61</v>
      </c>
      <c r="AY753" t="s">
        <v>61</v>
      </c>
      <c r="AZ753" t="s">
        <v>61</v>
      </c>
      <c r="BA753" t="s">
        <v>61</v>
      </c>
      <c r="BB753" t="s">
        <v>61</v>
      </c>
      <c r="BC753" t="s">
        <v>61</v>
      </c>
      <c r="BD753" t="s">
        <v>61</v>
      </c>
      <c r="BE753" t="s">
        <v>61</v>
      </c>
      <c r="BF753" t="s">
        <v>61</v>
      </c>
    </row>
    <row r="754" spans="1:58">
      <c r="A754" t="s">
        <v>58</v>
      </c>
      <c r="B754" t="s">
        <v>6274</v>
      </c>
      <c r="C754" t="s">
        <v>6282</v>
      </c>
      <c r="D754" t="s">
        <v>60</v>
      </c>
      <c r="E754" t="s">
        <v>61</v>
      </c>
      <c r="F754">
        <v>2004</v>
      </c>
      <c r="G754" s="1">
        <v>42491</v>
      </c>
      <c r="H754">
        <v>61</v>
      </c>
      <c r="I754">
        <v>9</v>
      </c>
      <c r="J754">
        <v>921</v>
      </c>
      <c r="K754">
        <v>930</v>
      </c>
      <c r="L754" t="s">
        <v>6283</v>
      </c>
      <c r="M754" t="s">
        <v>6284</v>
      </c>
      <c r="N754" t="s">
        <v>6285</v>
      </c>
      <c r="O754" t="s">
        <v>61</v>
      </c>
      <c r="Q754" t="s">
        <v>61</v>
      </c>
      <c r="R754" t="s">
        <v>61</v>
      </c>
      <c r="S754" t="s">
        <v>61</v>
      </c>
      <c r="T754" t="s">
        <v>61</v>
      </c>
      <c r="X754" t="s">
        <v>61</v>
      </c>
      <c r="Y754" t="s">
        <v>66</v>
      </c>
      <c r="Z754" t="s">
        <v>61</v>
      </c>
      <c r="AA754" t="s">
        <v>6286</v>
      </c>
      <c r="AB754">
        <v>15156968</v>
      </c>
      <c r="AC754" t="s">
        <v>67</v>
      </c>
      <c r="AD754" t="s">
        <v>61</v>
      </c>
      <c r="AE754" t="s">
        <v>61</v>
      </c>
      <c r="AF754" t="s">
        <v>61</v>
      </c>
      <c r="AG754" t="s">
        <v>6287</v>
      </c>
      <c r="AH754" t="s">
        <v>61</v>
      </c>
      <c r="AI754" t="s">
        <v>61</v>
      </c>
      <c r="AJ754" t="s">
        <v>61</v>
      </c>
      <c r="AK754" t="s">
        <v>61</v>
      </c>
      <c r="AL754" t="s">
        <v>61</v>
      </c>
      <c r="AM754" t="s">
        <v>6288</v>
      </c>
      <c r="AN754" t="s">
        <v>61</v>
      </c>
      <c r="AO754" t="s">
        <v>61</v>
      </c>
      <c r="AP754" t="s">
        <v>61</v>
      </c>
      <c r="AQ754" t="s">
        <v>61</v>
      </c>
      <c r="AR754" t="s">
        <v>61</v>
      </c>
      <c r="AS754" t="s">
        <v>61</v>
      </c>
      <c r="AT754" t="s">
        <v>61</v>
      </c>
      <c r="AU754" t="s">
        <v>61</v>
      </c>
      <c r="AV754" t="s">
        <v>61</v>
      </c>
      <c r="AW754" t="s">
        <v>61</v>
      </c>
      <c r="AX754" t="s">
        <v>61</v>
      </c>
      <c r="AY754" t="s">
        <v>61</v>
      </c>
      <c r="AZ754" t="s">
        <v>61</v>
      </c>
      <c r="BA754" t="s">
        <v>61</v>
      </c>
      <c r="BB754" t="s">
        <v>61</v>
      </c>
      <c r="BC754" t="s">
        <v>61</v>
      </c>
      <c r="BD754" t="s">
        <v>61</v>
      </c>
      <c r="BE754" t="s">
        <v>61</v>
      </c>
      <c r="BF754" t="s">
        <v>61</v>
      </c>
    </row>
    <row r="755" spans="1:58">
      <c r="A755" t="s">
        <v>58</v>
      </c>
      <c r="B755" t="s">
        <v>6289</v>
      </c>
      <c r="C755" t="s">
        <v>6290</v>
      </c>
      <c r="D755" t="s">
        <v>6291</v>
      </c>
      <c r="E755" t="s">
        <v>61</v>
      </c>
      <c r="F755">
        <v>2015</v>
      </c>
      <c r="G755" t="s">
        <v>273</v>
      </c>
      <c r="H755">
        <v>18</v>
      </c>
      <c r="I755">
        <v>1</v>
      </c>
      <c r="J755">
        <v>23</v>
      </c>
      <c r="K755">
        <v>29</v>
      </c>
      <c r="L755" t="s">
        <v>6292</v>
      </c>
      <c r="M755" t="s">
        <v>6293</v>
      </c>
      <c r="N755" t="s">
        <v>6294</v>
      </c>
      <c r="O755" t="s">
        <v>61</v>
      </c>
      <c r="Q755" t="s">
        <v>61</v>
      </c>
      <c r="R755" t="s">
        <v>61</v>
      </c>
      <c r="S755" t="s">
        <v>61</v>
      </c>
      <c r="T755" t="s">
        <v>61</v>
      </c>
      <c r="X755" t="s">
        <v>61</v>
      </c>
      <c r="Y755" t="s">
        <v>6295</v>
      </c>
      <c r="Z755" t="s">
        <v>61</v>
      </c>
      <c r="AA755" t="s">
        <v>6296</v>
      </c>
      <c r="AB755">
        <v>25029631</v>
      </c>
      <c r="AC755" t="s">
        <v>67</v>
      </c>
      <c r="AD755" t="s">
        <v>61</v>
      </c>
      <c r="AE755" t="s">
        <v>61</v>
      </c>
      <c r="AF755" t="s">
        <v>61</v>
      </c>
      <c r="AG755" t="s">
        <v>6297</v>
      </c>
      <c r="AH755" t="s">
        <v>61</v>
      </c>
      <c r="AI755" t="s">
        <v>6298</v>
      </c>
      <c r="AJ755" t="s">
        <v>61</v>
      </c>
      <c r="AK755" t="s">
        <v>61</v>
      </c>
      <c r="AL755" t="s">
        <v>61</v>
      </c>
      <c r="AM755" t="s">
        <v>6299</v>
      </c>
      <c r="AN755" t="s">
        <v>61</v>
      </c>
      <c r="AO755" t="s">
        <v>61</v>
      </c>
      <c r="AP755" t="s">
        <v>61</v>
      </c>
      <c r="AQ755" t="s">
        <v>61</v>
      </c>
      <c r="AR755" t="s">
        <v>61</v>
      </c>
      <c r="AS755" t="s">
        <v>61</v>
      </c>
      <c r="AT755" t="s">
        <v>61</v>
      </c>
      <c r="AU755" t="s">
        <v>61</v>
      </c>
      <c r="AV755" t="s">
        <v>61</v>
      </c>
      <c r="AW755" t="s">
        <v>61</v>
      </c>
      <c r="AX755" t="s">
        <v>61</v>
      </c>
      <c r="AY755" t="s">
        <v>61</v>
      </c>
      <c r="AZ755" t="s">
        <v>61</v>
      </c>
      <c r="BA755" t="s">
        <v>61</v>
      </c>
      <c r="BB755" t="s">
        <v>61</v>
      </c>
      <c r="BC755" t="s">
        <v>61</v>
      </c>
      <c r="BD755" t="s">
        <v>61</v>
      </c>
      <c r="BE755" t="s">
        <v>61</v>
      </c>
      <c r="BF755" t="s">
        <v>61</v>
      </c>
    </row>
    <row r="756" spans="1:58">
      <c r="A756" t="s">
        <v>58</v>
      </c>
      <c r="B756" t="s">
        <v>6300</v>
      </c>
      <c r="C756" t="s">
        <v>6301</v>
      </c>
      <c r="D756" t="s">
        <v>271</v>
      </c>
      <c r="E756" t="s">
        <v>272</v>
      </c>
      <c r="F756">
        <v>2002</v>
      </c>
      <c r="G756" t="s">
        <v>2798</v>
      </c>
      <c r="H756">
        <v>42</v>
      </c>
      <c r="I756">
        <v>1</v>
      </c>
      <c r="J756">
        <v>51</v>
      </c>
      <c r="K756">
        <v>56</v>
      </c>
      <c r="L756" t="s">
        <v>6302</v>
      </c>
      <c r="M756" t="s">
        <v>6303</v>
      </c>
      <c r="N756" t="s">
        <v>6304</v>
      </c>
      <c r="O756" t="s">
        <v>61</v>
      </c>
      <c r="Q756" t="s">
        <v>61</v>
      </c>
      <c r="R756" t="s">
        <v>61</v>
      </c>
      <c r="S756" t="s">
        <v>61</v>
      </c>
      <c r="T756" t="s">
        <v>61</v>
      </c>
      <c r="X756" t="s">
        <v>61</v>
      </c>
      <c r="Y756" t="s">
        <v>1661</v>
      </c>
      <c r="Z756" t="s">
        <v>61</v>
      </c>
      <c r="AA756" t="s">
        <v>6305</v>
      </c>
      <c r="AB756">
        <v>11833517</v>
      </c>
      <c r="AC756" t="s">
        <v>67</v>
      </c>
      <c r="AD756" t="s">
        <v>61</v>
      </c>
      <c r="AE756" t="s">
        <v>61</v>
      </c>
      <c r="AF756" t="s">
        <v>61</v>
      </c>
      <c r="AG756" t="s">
        <v>6306</v>
      </c>
      <c r="AH756" t="s">
        <v>61</v>
      </c>
      <c r="AI756" t="s">
        <v>61</v>
      </c>
      <c r="AJ756" t="s">
        <v>61</v>
      </c>
      <c r="AK756" t="s">
        <v>61</v>
      </c>
      <c r="AL756" t="s">
        <v>61</v>
      </c>
      <c r="AM756" t="s">
        <v>6307</v>
      </c>
      <c r="AN756" t="s">
        <v>61</v>
      </c>
      <c r="AO756" t="s">
        <v>61</v>
      </c>
      <c r="AP756" t="s">
        <v>61</v>
      </c>
      <c r="AQ756" t="s">
        <v>61</v>
      </c>
      <c r="AR756" t="s">
        <v>61</v>
      </c>
      <c r="AS756" t="s">
        <v>61</v>
      </c>
      <c r="AT756" t="s">
        <v>61</v>
      </c>
      <c r="AU756" t="s">
        <v>61</v>
      </c>
      <c r="AV756" t="s">
        <v>61</v>
      </c>
      <c r="AW756" t="s">
        <v>61</v>
      </c>
      <c r="AX756" t="s">
        <v>61</v>
      </c>
      <c r="AY756" t="s">
        <v>61</v>
      </c>
      <c r="AZ756" t="s">
        <v>61</v>
      </c>
      <c r="BA756" t="s">
        <v>61</v>
      </c>
      <c r="BB756" t="s">
        <v>61</v>
      </c>
      <c r="BC756" t="s">
        <v>61</v>
      </c>
      <c r="BD756" t="s">
        <v>61</v>
      </c>
      <c r="BE756" t="s">
        <v>61</v>
      </c>
      <c r="BF756" t="s">
        <v>61</v>
      </c>
    </row>
    <row r="757" spans="1:58">
      <c r="A757" t="s">
        <v>58</v>
      </c>
      <c r="B757" t="s">
        <v>6308</v>
      </c>
      <c r="C757" t="s">
        <v>6309</v>
      </c>
      <c r="D757" t="s">
        <v>271</v>
      </c>
      <c r="E757" t="s">
        <v>272</v>
      </c>
      <c r="F757">
        <v>2002</v>
      </c>
      <c r="G757" t="s">
        <v>2798</v>
      </c>
      <c r="H757">
        <v>42</v>
      </c>
      <c r="I757">
        <v>1</v>
      </c>
      <c r="J757">
        <v>83</v>
      </c>
      <c r="K757">
        <v>92</v>
      </c>
      <c r="L757" t="s">
        <v>6310</v>
      </c>
      <c r="M757" t="s">
        <v>6311</v>
      </c>
      <c r="N757" t="s">
        <v>6312</v>
      </c>
      <c r="O757" t="s">
        <v>61</v>
      </c>
      <c r="Q757" t="s">
        <v>61</v>
      </c>
      <c r="R757" t="s">
        <v>61</v>
      </c>
      <c r="S757" t="s">
        <v>61</v>
      </c>
      <c r="T757" t="s">
        <v>61</v>
      </c>
      <c r="X757" t="s">
        <v>61</v>
      </c>
      <c r="Y757" t="s">
        <v>1661</v>
      </c>
      <c r="Z757" t="s">
        <v>61</v>
      </c>
      <c r="AA757" t="s">
        <v>6313</v>
      </c>
      <c r="AB757">
        <v>11833523</v>
      </c>
      <c r="AC757" t="s">
        <v>67</v>
      </c>
      <c r="AD757" t="s">
        <v>61</v>
      </c>
      <c r="AE757" t="s">
        <v>61</v>
      </c>
      <c r="AF757" t="s">
        <v>61</v>
      </c>
      <c r="AG757" t="s">
        <v>6314</v>
      </c>
      <c r="AH757" t="s">
        <v>61</v>
      </c>
      <c r="AI757" t="s">
        <v>61</v>
      </c>
      <c r="AJ757" t="s">
        <v>61</v>
      </c>
      <c r="AK757" t="s">
        <v>61</v>
      </c>
      <c r="AL757" t="s">
        <v>61</v>
      </c>
      <c r="AM757" t="s">
        <v>6315</v>
      </c>
      <c r="AN757" t="s">
        <v>61</v>
      </c>
      <c r="AO757" t="s">
        <v>61</v>
      </c>
      <c r="AP757" t="s">
        <v>61</v>
      </c>
      <c r="AQ757" t="s">
        <v>61</v>
      </c>
      <c r="AR757" t="s">
        <v>61</v>
      </c>
      <c r="AS757" t="s">
        <v>61</v>
      </c>
      <c r="AT757" t="s">
        <v>61</v>
      </c>
      <c r="AU757" t="s">
        <v>61</v>
      </c>
      <c r="AV757" t="s">
        <v>61</v>
      </c>
      <c r="AW757" t="s">
        <v>61</v>
      </c>
      <c r="AX757" t="s">
        <v>61</v>
      </c>
      <c r="AY757" t="s">
        <v>61</v>
      </c>
      <c r="AZ757" t="s">
        <v>61</v>
      </c>
      <c r="BA757" t="s">
        <v>61</v>
      </c>
      <c r="BB757" t="s">
        <v>61</v>
      </c>
      <c r="BC757" t="s">
        <v>61</v>
      </c>
      <c r="BD757" t="s">
        <v>61</v>
      </c>
      <c r="BE757" t="s">
        <v>61</v>
      </c>
      <c r="BF757" t="s">
        <v>61</v>
      </c>
    </row>
    <row r="758" spans="1:58">
      <c r="A758" t="s">
        <v>58</v>
      </c>
      <c r="B758" t="s">
        <v>6316</v>
      </c>
      <c r="C758" t="s">
        <v>6317</v>
      </c>
      <c r="D758" t="s">
        <v>6318</v>
      </c>
      <c r="E758" t="s">
        <v>61</v>
      </c>
      <c r="F758">
        <v>2011</v>
      </c>
      <c r="G758" t="s">
        <v>85</v>
      </c>
      <c r="H758">
        <v>16</v>
      </c>
      <c r="I758">
        <v>2</v>
      </c>
      <c r="J758">
        <v>118</v>
      </c>
      <c r="K758">
        <v>122</v>
      </c>
      <c r="L758" t="s">
        <v>61</v>
      </c>
      <c r="M758" t="s">
        <v>6319</v>
      </c>
      <c r="N758" t="s">
        <v>6320</v>
      </c>
      <c r="O758" t="s">
        <v>61</v>
      </c>
      <c r="Q758" t="s">
        <v>61</v>
      </c>
      <c r="R758" t="s">
        <v>61</v>
      </c>
      <c r="S758" t="s">
        <v>61</v>
      </c>
      <c r="T758" t="s">
        <v>61</v>
      </c>
      <c r="X758" t="s">
        <v>61</v>
      </c>
      <c r="Y758" t="s">
        <v>6321</v>
      </c>
      <c r="Z758" t="s">
        <v>61</v>
      </c>
      <c r="AA758" t="s">
        <v>61</v>
      </c>
      <c r="AB758">
        <v>22477836</v>
      </c>
      <c r="AC758" t="s">
        <v>67</v>
      </c>
      <c r="AD758" t="s">
        <v>61</v>
      </c>
      <c r="AE758" t="s">
        <v>61</v>
      </c>
      <c r="AF758" t="s">
        <v>61</v>
      </c>
      <c r="AG758" t="s">
        <v>6322</v>
      </c>
      <c r="AH758" t="s">
        <v>61</v>
      </c>
      <c r="AI758" t="s">
        <v>6323</v>
      </c>
      <c r="AJ758" t="s">
        <v>61</v>
      </c>
      <c r="AK758" t="s">
        <v>61</v>
      </c>
      <c r="AL758" t="s">
        <v>61</v>
      </c>
      <c r="AM758" t="s">
        <v>6324</v>
      </c>
      <c r="AN758" t="s">
        <v>61</v>
      </c>
      <c r="AO758" t="s">
        <v>61</v>
      </c>
      <c r="AP758" t="s">
        <v>61</v>
      </c>
      <c r="AQ758" t="s">
        <v>61</v>
      </c>
      <c r="AR758" t="s">
        <v>61</v>
      </c>
      <c r="AS758" t="s">
        <v>61</v>
      </c>
      <c r="AT758" t="s">
        <v>61</v>
      </c>
      <c r="AU758" t="s">
        <v>61</v>
      </c>
      <c r="AV758" t="s">
        <v>61</v>
      </c>
      <c r="AW758" t="s">
        <v>61</v>
      </c>
      <c r="AX758" t="s">
        <v>61</v>
      </c>
      <c r="AY758" t="s">
        <v>61</v>
      </c>
      <c r="AZ758" t="s">
        <v>61</v>
      </c>
      <c r="BA758" t="s">
        <v>61</v>
      </c>
      <c r="BB758" t="s">
        <v>61</v>
      </c>
      <c r="BC758" t="s">
        <v>61</v>
      </c>
      <c r="BD758" t="s">
        <v>61</v>
      </c>
      <c r="BE758" t="s">
        <v>61</v>
      </c>
      <c r="BF758" t="s">
        <v>61</v>
      </c>
    </row>
    <row r="759" spans="1:58">
      <c r="A759" t="s">
        <v>58</v>
      </c>
      <c r="B759" t="s">
        <v>6325</v>
      </c>
      <c r="C759" t="s">
        <v>6326</v>
      </c>
      <c r="D759" t="s">
        <v>5500</v>
      </c>
      <c r="E759" t="s">
        <v>61</v>
      </c>
      <c r="F759">
        <v>2013</v>
      </c>
      <c r="G759" t="s">
        <v>61</v>
      </c>
      <c r="H759">
        <v>8</v>
      </c>
      <c r="I759">
        <v>4</v>
      </c>
      <c r="J759" t="s">
        <v>6327</v>
      </c>
      <c r="K759" t="s">
        <v>61</v>
      </c>
      <c r="L759" t="s">
        <v>6328</v>
      </c>
      <c r="M759" t="s">
        <v>6329</v>
      </c>
      <c r="N759" t="s">
        <v>6330</v>
      </c>
      <c r="O759" t="s">
        <v>61</v>
      </c>
      <c r="Q759" t="s">
        <v>61</v>
      </c>
      <c r="R759" t="s">
        <v>61</v>
      </c>
      <c r="S759" t="s">
        <v>61</v>
      </c>
      <c r="T759" t="s">
        <v>61</v>
      </c>
      <c r="X759" t="s">
        <v>61</v>
      </c>
      <c r="Y759" t="s">
        <v>5505</v>
      </c>
      <c r="Z759" t="s">
        <v>61</v>
      </c>
      <c r="AA759" t="s">
        <v>6331</v>
      </c>
      <c r="AB759">
        <v>23637842</v>
      </c>
      <c r="AC759" t="s">
        <v>67</v>
      </c>
      <c r="AD759" t="s">
        <v>61</v>
      </c>
      <c r="AE759" t="s">
        <v>61</v>
      </c>
      <c r="AF759" t="s">
        <v>61</v>
      </c>
      <c r="AG759" t="s">
        <v>6332</v>
      </c>
      <c r="AH759" t="s">
        <v>61</v>
      </c>
      <c r="AI759" t="s">
        <v>6333</v>
      </c>
      <c r="AJ759" t="s">
        <v>61</v>
      </c>
      <c r="AK759" t="s">
        <v>61</v>
      </c>
      <c r="AL759" t="s">
        <v>61</v>
      </c>
      <c r="AM759" t="s">
        <v>6334</v>
      </c>
      <c r="AN759" t="s">
        <v>61</v>
      </c>
      <c r="AO759" t="s">
        <v>61</v>
      </c>
      <c r="AP759" t="s">
        <v>61</v>
      </c>
      <c r="AQ759" t="s">
        <v>61</v>
      </c>
      <c r="AR759" t="s">
        <v>61</v>
      </c>
      <c r="AS759" t="s">
        <v>61</v>
      </c>
      <c r="AT759" t="s">
        <v>61</v>
      </c>
      <c r="AU759" t="s">
        <v>61</v>
      </c>
      <c r="AV759" t="s">
        <v>61</v>
      </c>
      <c r="AW759" t="s">
        <v>61</v>
      </c>
      <c r="AX759" t="s">
        <v>61</v>
      </c>
      <c r="AY759" t="s">
        <v>61</v>
      </c>
      <c r="AZ759" t="s">
        <v>61</v>
      </c>
      <c r="BA759" t="s">
        <v>61</v>
      </c>
      <c r="BB759" t="s">
        <v>61</v>
      </c>
      <c r="BC759" t="s">
        <v>61</v>
      </c>
      <c r="BD759" t="s">
        <v>61</v>
      </c>
      <c r="BE759" t="s">
        <v>61</v>
      </c>
      <c r="BF759" t="s">
        <v>61</v>
      </c>
    </row>
    <row r="760" spans="1:58">
      <c r="A760" t="s">
        <v>58</v>
      </c>
      <c r="B760" t="s">
        <v>6335</v>
      </c>
      <c r="C760" t="s">
        <v>6336</v>
      </c>
      <c r="D760" t="s">
        <v>475</v>
      </c>
      <c r="E760" t="s">
        <v>61</v>
      </c>
      <c r="F760">
        <v>2011</v>
      </c>
      <c r="G760" t="s">
        <v>85</v>
      </c>
      <c r="H760">
        <v>33</v>
      </c>
      <c r="I760">
        <v>2</v>
      </c>
      <c r="J760">
        <v>281</v>
      </c>
      <c r="K760">
        <v>284</v>
      </c>
      <c r="L760" t="s">
        <v>6337</v>
      </c>
      <c r="M760" t="s">
        <v>6338</v>
      </c>
      <c r="N760" t="s">
        <v>6339</v>
      </c>
      <c r="O760" t="s">
        <v>61</v>
      </c>
      <c r="Q760" t="s">
        <v>61</v>
      </c>
      <c r="R760" t="s">
        <v>61</v>
      </c>
      <c r="S760" t="s">
        <v>61</v>
      </c>
      <c r="T760" t="s">
        <v>61</v>
      </c>
      <c r="X760" t="s">
        <v>61</v>
      </c>
      <c r="Y760" t="s">
        <v>3663</v>
      </c>
      <c r="Z760" t="s">
        <v>61</v>
      </c>
      <c r="AA760" t="s">
        <v>6340</v>
      </c>
      <c r="AB760">
        <v>21394569</v>
      </c>
      <c r="AC760" t="s">
        <v>67</v>
      </c>
      <c r="AD760" t="s">
        <v>61</v>
      </c>
      <c r="AE760" t="s">
        <v>61</v>
      </c>
      <c r="AF760" t="s">
        <v>61</v>
      </c>
      <c r="AG760" t="s">
        <v>6341</v>
      </c>
      <c r="AH760" t="s">
        <v>61</v>
      </c>
      <c r="AI760" t="s">
        <v>6342</v>
      </c>
      <c r="AJ760" t="s">
        <v>61</v>
      </c>
      <c r="AK760" t="s">
        <v>61</v>
      </c>
      <c r="AL760" t="s">
        <v>61</v>
      </c>
      <c r="AM760" t="s">
        <v>6343</v>
      </c>
      <c r="AN760" t="s">
        <v>61</v>
      </c>
      <c r="AO760" t="s">
        <v>61</v>
      </c>
      <c r="AP760" t="s">
        <v>61</v>
      </c>
      <c r="AQ760" t="s">
        <v>61</v>
      </c>
      <c r="AR760" t="s">
        <v>61</v>
      </c>
      <c r="AS760" t="s">
        <v>61</v>
      </c>
      <c r="AT760" t="s">
        <v>61</v>
      </c>
      <c r="AU760" t="s">
        <v>61</v>
      </c>
      <c r="AV760" t="s">
        <v>61</v>
      </c>
      <c r="AW760" t="s">
        <v>61</v>
      </c>
      <c r="AX760" t="s">
        <v>61</v>
      </c>
      <c r="AY760" t="s">
        <v>61</v>
      </c>
      <c r="AZ760" t="s">
        <v>61</v>
      </c>
      <c r="BA760" t="s">
        <v>61</v>
      </c>
      <c r="BB760" t="s">
        <v>61</v>
      </c>
      <c r="BC760" t="s">
        <v>61</v>
      </c>
      <c r="BD760" t="s">
        <v>61</v>
      </c>
      <c r="BE760" t="s">
        <v>61</v>
      </c>
      <c r="BF760" t="s">
        <v>61</v>
      </c>
    </row>
    <row r="761" spans="1:58">
      <c r="A761" t="s">
        <v>58</v>
      </c>
      <c r="B761" t="s">
        <v>6344</v>
      </c>
      <c r="C761" t="s">
        <v>6345</v>
      </c>
      <c r="D761" t="s">
        <v>6346</v>
      </c>
      <c r="E761" t="s">
        <v>6347</v>
      </c>
      <c r="F761">
        <v>1992</v>
      </c>
      <c r="G761" t="s">
        <v>61</v>
      </c>
      <c r="H761">
        <v>13</v>
      </c>
      <c r="I761">
        <v>1</v>
      </c>
      <c r="J761">
        <v>57</v>
      </c>
      <c r="K761">
        <v>58</v>
      </c>
      <c r="L761" t="s">
        <v>6348</v>
      </c>
      <c r="M761" t="s">
        <v>61</v>
      </c>
      <c r="N761" t="s">
        <v>6349</v>
      </c>
      <c r="O761" t="s">
        <v>61</v>
      </c>
      <c r="Q761" t="s">
        <v>61</v>
      </c>
      <c r="R761" t="s">
        <v>61</v>
      </c>
      <c r="S761" t="s">
        <v>61</v>
      </c>
      <c r="T761" t="s">
        <v>61</v>
      </c>
      <c r="X761" t="s">
        <v>61</v>
      </c>
      <c r="Y761" t="s">
        <v>6350</v>
      </c>
      <c r="Z761" t="s">
        <v>61</v>
      </c>
      <c r="AA761" t="s">
        <v>61</v>
      </c>
      <c r="AB761">
        <v>1637476</v>
      </c>
      <c r="AC761" t="s">
        <v>67</v>
      </c>
      <c r="AD761" t="s">
        <v>61</v>
      </c>
      <c r="AE761" t="s">
        <v>61</v>
      </c>
      <c r="AF761" t="s">
        <v>61</v>
      </c>
      <c r="AG761" t="s">
        <v>6351</v>
      </c>
      <c r="AH761" t="s">
        <v>61</v>
      </c>
      <c r="AI761" t="s">
        <v>61</v>
      </c>
      <c r="AJ761" t="s">
        <v>61</v>
      </c>
      <c r="AK761" t="s">
        <v>61</v>
      </c>
      <c r="AL761" t="s">
        <v>61</v>
      </c>
      <c r="AM761" t="s">
        <v>6352</v>
      </c>
      <c r="AN761" t="s">
        <v>61</v>
      </c>
      <c r="AO761" t="s">
        <v>61</v>
      </c>
      <c r="AP761" t="s">
        <v>61</v>
      </c>
      <c r="AQ761" t="s">
        <v>61</v>
      </c>
      <c r="AR761" t="s">
        <v>61</v>
      </c>
      <c r="AS761" t="s">
        <v>61</v>
      </c>
      <c r="AT761" t="s">
        <v>61</v>
      </c>
      <c r="AU761" t="s">
        <v>61</v>
      </c>
      <c r="AV761" t="s">
        <v>61</v>
      </c>
      <c r="AW761" t="s">
        <v>61</v>
      </c>
      <c r="AX761" t="s">
        <v>61</v>
      </c>
      <c r="AY761" t="s">
        <v>61</v>
      </c>
      <c r="AZ761" t="s">
        <v>61</v>
      </c>
      <c r="BA761" t="s">
        <v>61</v>
      </c>
      <c r="BB761" t="s">
        <v>61</v>
      </c>
      <c r="BC761" t="s">
        <v>61</v>
      </c>
      <c r="BD761" t="s">
        <v>61</v>
      </c>
      <c r="BE761" t="s">
        <v>61</v>
      </c>
      <c r="BF761" t="s">
        <v>61</v>
      </c>
    </row>
    <row r="762" spans="1:58">
      <c r="A762" t="s">
        <v>58</v>
      </c>
      <c r="B762" t="s">
        <v>6353</v>
      </c>
      <c r="C762" t="s">
        <v>6354</v>
      </c>
      <c r="D762" t="s">
        <v>373</v>
      </c>
      <c r="E762" t="s">
        <v>61</v>
      </c>
      <c r="F762">
        <v>2013</v>
      </c>
      <c r="G762" t="s">
        <v>61</v>
      </c>
      <c r="H762">
        <v>12</v>
      </c>
      <c r="I762">
        <v>3</v>
      </c>
      <c r="J762">
        <v>521</v>
      </c>
      <c r="K762">
        <v>527</v>
      </c>
      <c r="L762" t="s">
        <v>6355</v>
      </c>
      <c r="M762" t="s">
        <v>6356</v>
      </c>
      <c r="N762" t="s">
        <v>6357</v>
      </c>
      <c r="O762" t="s">
        <v>61</v>
      </c>
      <c r="Q762" t="s">
        <v>61</v>
      </c>
      <c r="R762" t="s">
        <v>61</v>
      </c>
      <c r="S762" t="s">
        <v>61</v>
      </c>
      <c r="T762" t="s">
        <v>61</v>
      </c>
      <c r="X762" t="s">
        <v>61</v>
      </c>
      <c r="Y762" t="s">
        <v>377</v>
      </c>
      <c r="Z762" t="s">
        <v>61</v>
      </c>
      <c r="AA762" t="s">
        <v>61</v>
      </c>
      <c r="AB762">
        <v>2013571695</v>
      </c>
      <c r="AC762" t="s">
        <v>67</v>
      </c>
      <c r="AD762" t="s">
        <v>61</v>
      </c>
      <c r="AE762" t="s">
        <v>61</v>
      </c>
      <c r="AF762" t="s">
        <v>61</v>
      </c>
      <c r="AG762" t="s">
        <v>61</v>
      </c>
      <c r="AH762" t="s">
        <v>61</v>
      </c>
      <c r="AI762" t="s">
        <v>61</v>
      </c>
      <c r="AJ762" t="s">
        <v>61</v>
      </c>
      <c r="AK762" t="s">
        <v>61</v>
      </c>
      <c r="AL762" t="s">
        <v>61</v>
      </c>
      <c r="AM762" t="s">
        <v>6354</v>
      </c>
      <c r="AN762" t="s">
        <v>61</v>
      </c>
      <c r="AO762" t="s">
        <v>61</v>
      </c>
      <c r="AP762" t="s">
        <v>61</v>
      </c>
      <c r="AQ762" t="s">
        <v>61</v>
      </c>
      <c r="AR762" t="s">
        <v>61</v>
      </c>
      <c r="AS762" t="s">
        <v>61</v>
      </c>
      <c r="AT762" t="s">
        <v>61</v>
      </c>
      <c r="AU762" t="s">
        <v>61</v>
      </c>
      <c r="AV762" t="s">
        <v>61</v>
      </c>
      <c r="AW762" t="s">
        <v>61</v>
      </c>
      <c r="AX762" t="s">
        <v>61</v>
      </c>
      <c r="AY762" t="s">
        <v>61</v>
      </c>
      <c r="AZ762" t="s">
        <v>61</v>
      </c>
      <c r="BA762" t="s">
        <v>61</v>
      </c>
      <c r="BB762" t="s">
        <v>61</v>
      </c>
      <c r="BC762" t="s">
        <v>61</v>
      </c>
      <c r="BD762" t="s">
        <v>61</v>
      </c>
      <c r="BE762" t="s">
        <v>61</v>
      </c>
      <c r="BF762" t="s">
        <v>61</v>
      </c>
    </row>
    <row r="763" spans="1:58">
      <c r="A763" t="s">
        <v>58</v>
      </c>
      <c r="B763" t="s">
        <v>6358</v>
      </c>
      <c r="C763" t="s">
        <v>6359</v>
      </c>
      <c r="D763" t="s">
        <v>6360</v>
      </c>
      <c r="E763" t="s">
        <v>6361</v>
      </c>
      <c r="F763">
        <v>2013</v>
      </c>
      <c r="G763" t="s">
        <v>1667</v>
      </c>
      <c r="H763">
        <v>35</v>
      </c>
      <c r="I763">
        <v>3</v>
      </c>
      <c r="J763">
        <v>314</v>
      </c>
      <c r="K763">
        <v>319</v>
      </c>
      <c r="L763" t="s">
        <v>6362</v>
      </c>
      <c r="M763" t="s">
        <v>6363</v>
      </c>
      <c r="N763" t="s">
        <v>6364</v>
      </c>
      <c r="O763" t="s">
        <v>61</v>
      </c>
      <c r="Q763" t="s">
        <v>61</v>
      </c>
      <c r="R763" t="s">
        <v>61</v>
      </c>
      <c r="S763" t="s">
        <v>61</v>
      </c>
      <c r="T763" t="s">
        <v>61</v>
      </c>
      <c r="X763" t="s">
        <v>61</v>
      </c>
      <c r="Y763" t="s">
        <v>6365</v>
      </c>
      <c r="Z763" t="s">
        <v>61</v>
      </c>
      <c r="AA763" t="s">
        <v>6366</v>
      </c>
      <c r="AB763">
        <v>23265950</v>
      </c>
      <c r="AC763" t="s">
        <v>67</v>
      </c>
      <c r="AD763" t="s">
        <v>61</v>
      </c>
      <c r="AE763" t="s">
        <v>61</v>
      </c>
      <c r="AF763" t="s">
        <v>61</v>
      </c>
      <c r="AG763" t="s">
        <v>6367</v>
      </c>
      <c r="AH763" t="s">
        <v>61</v>
      </c>
      <c r="AI763" t="s">
        <v>6368</v>
      </c>
      <c r="AJ763" t="s">
        <v>61</v>
      </c>
      <c r="AK763" t="s">
        <v>61</v>
      </c>
      <c r="AL763" t="s">
        <v>61</v>
      </c>
      <c r="AM763" t="s">
        <v>6369</v>
      </c>
      <c r="AN763" t="s">
        <v>61</v>
      </c>
      <c r="AO763" t="s">
        <v>61</v>
      </c>
      <c r="AP763" t="s">
        <v>61</v>
      </c>
      <c r="AQ763" t="s">
        <v>61</v>
      </c>
      <c r="AR763" t="s">
        <v>61</v>
      </c>
      <c r="AS763" t="s">
        <v>61</v>
      </c>
      <c r="AT763" t="s">
        <v>61</v>
      </c>
      <c r="AU763" t="s">
        <v>61</v>
      </c>
      <c r="AV763" t="s">
        <v>61</v>
      </c>
      <c r="AW763" t="s">
        <v>61</v>
      </c>
      <c r="AX763" t="s">
        <v>61</v>
      </c>
      <c r="AY763" t="s">
        <v>61</v>
      </c>
      <c r="AZ763" t="s">
        <v>61</v>
      </c>
      <c r="BA763" t="s">
        <v>61</v>
      </c>
      <c r="BB763" t="s">
        <v>61</v>
      </c>
      <c r="BC763" t="s">
        <v>61</v>
      </c>
      <c r="BD763" t="s">
        <v>61</v>
      </c>
      <c r="BE763" t="s">
        <v>61</v>
      </c>
      <c r="BF763" t="s">
        <v>61</v>
      </c>
    </row>
    <row r="764" spans="1:58">
      <c r="A764" t="s">
        <v>58</v>
      </c>
      <c r="B764" t="s">
        <v>6370</v>
      </c>
      <c r="C764" t="s">
        <v>6371</v>
      </c>
      <c r="D764" t="s">
        <v>84</v>
      </c>
      <c r="E764" t="s">
        <v>61</v>
      </c>
      <c r="F764">
        <v>2013</v>
      </c>
      <c r="G764" t="s">
        <v>119</v>
      </c>
      <c r="H764">
        <v>21</v>
      </c>
      <c r="I764">
        <v>3</v>
      </c>
      <c r="J764">
        <v>178</v>
      </c>
      <c r="K764">
        <v>184</v>
      </c>
      <c r="L764" t="s">
        <v>6372</v>
      </c>
      <c r="M764" t="s">
        <v>6373</v>
      </c>
      <c r="N764" t="s">
        <v>6374</v>
      </c>
      <c r="O764" t="s">
        <v>61</v>
      </c>
      <c r="Q764" t="s">
        <v>61</v>
      </c>
      <c r="R764" t="s">
        <v>61</v>
      </c>
      <c r="S764" t="s">
        <v>61</v>
      </c>
      <c r="T764" t="s">
        <v>61</v>
      </c>
      <c r="X764" t="s">
        <v>61</v>
      </c>
      <c r="Y764" t="s">
        <v>89</v>
      </c>
      <c r="Z764" t="s">
        <v>61</v>
      </c>
      <c r="AA764" t="s">
        <v>6375</v>
      </c>
      <c r="AB764">
        <v>23418962</v>
      </c>
      <c r="AC764" t="s">
        <v>67</v>
      </c>
      <c r="AD764" t="s">
        <v>61</v>
      </c>
      <c r="AE764" t="s">
        <v>61</v>
      </c>
      <c r="AF764" t="s">
        <v>61</v>
      </c>
      <c r="AG764" t="s">
        <v>6376</v>
      </c>
      <c r="AH764" t="s">
        <v>61</v>
      </c>
      <c r="AI764" t="s">
        <v>6377</v>
      </c>
      <c r="AJ764" t="s">
        <v>61</v>
      </c>
      <c r="AK764" t="s">
        <v>61</v>
      </c>
      <c r="AL764" t="s">
        <v>61</v>
      </c>
      <c r="AM764" t="s">
        <v>6378</v>
      </c>
      <c r="AN764" t="s">
        <v>61</v>
      </c>
      <c r="AO764" t="s">
        <v>61</v>
      </c>
      <c r="AP764" t="s">
        <v>61</v>
      </c>
      <c r="AQ764" t="s">
        <v>61</v>
      </c>
      <c r="AR764" t="s">
        <v>61</v>
      </c>
      <c r="AS764" t="s">
        <v>61</v>
      </c>
      <c r="AT764" t="s">
        <v>61</v>
      </c>
      <c r="AU764" t="s">
        <v>61</v>
      </c>
      <c r="AV764" t="s">
        <v>61</v>
      </c>
      <c r="AW764" t="s">
        <v>61</v>
      </c>
      <c r="AX764" t="s">
        <v>61</v>
      </c>
      <c r="AY764" t="s">
        <v>61</v>
      </c>
      <c r="AZ764" t="s">
        <v>61</v>
      </c>
      <c r="BA764" t="s">
        <v>61</v>
      </c>
      <c r="BB764" t="s">
        <v>61</v>
      </c>
      <c r="BC764" t="s">
        <v>61</v>
      </c>
      <c r="BD764" t="s">
        <v>61</v>
      </c>
      <c r="BE764" t="s">
        <v>61</v>
      </c>
      <c r="BF764" t="s">
        <v>61</v>
      </c>
    </row>
    <row r="765" spans="1:58">
      <c r="A765" t="s">
        <v>58</v>
      </c>
      <c r="B765" t="s">
        <v>6379</v>
      </c>
      <c r="C765" t="s">
        <v>6380</v>
      </c>
      <c r="D765" t="s">
        <v>6381</v>
      </c>
      <c r="E765" t="s">
        <v>61</v>
      </c>
      <c r="F765">
        <v>2014</v>
      </c>
      <c r="G765" t="s">
        <v>61</v>
      </c>
      <c r="H765">
        <v>4</v>
      </c>
      <c r="I765">
        <v>1</v>
      </c>
      <c r="J765">
        <v>1</v>
      </c>
      <c r="K765">
        <v>3</v>
      </c>
      <c r="L765" t="s">
        <v>6382</v>
      </c>
      <c r="M765" t="s">
        <v>6383</v>
      </c>
      <c r="N765" t="s">
        <v>6384</v>
      </c>
      <c r="O765" t="s">
        <v>61</v>
      </c>
      <c r="Q765" t="s">
        <v>61</v>
      </c>
      <c r="R765" t="s">
        <v>61</v>
      </c>
      <c r="S765" t="s">
        <v>61</v>
      </c>
      <c r="T765" t="s">
        <v>61</v>
      </c>
      <c r="X765" t="s">
        <v>61</v>
      </c>
      <c r="Y765" t="s">
        <v>6385</v>
      </c>
      <c r="Z765" t="s">
        <v>61</v>
      </c>
      <c r="AA765" t="s">
        <v>61</v>
      </c>
      <c r="AB765" t="s">
        <v>6386</v>
      </c>
      <c r="AC765" t="s">
        <v>67</v>
      </c>
      <c r="AD765" t="s">
        <v>61</v>
      </c>
      <c r="AE765" t="s">
        <v>61</v>
      </c>
      <c r="AF765" t="s">
        <v>61</v>
      </c>
      <c r="AG765" t="s">
        <v>61</v>
      </c>
      <c r="AH765" t="s">
        <v>61</v>
      </c>
      <c r="AI765" t="s">
        <v>61</v>
      </c>
      <c r="AJ765" t="s">
        <v>61</v>
      </c>
      <c r="AK765" t="s">
        <v>61</v>
      </c>
      <c r="AL765" t="s">
        <v>61</v>
      </c>
      <c r="AM765" t="s">
        <v>6380</v>
      </c>
      <c r="AN765" t="s">
        <v>61</v>
      </c>
      <c r="AO765" t="s">
        <v>61</v>
      </c>
      <c r="AP765" t="s">
        <v>61</v>
      </c>
      <c r="AQ765" t="s">
        <v>61</v>
      </c>
      <c r="AR765" t="s">
        <v>61</v>
      </c>
      <c r="AS765" t="s">
        <v>61</v>
      </c>
      <c r="AT765" t="s">
        <v>61</v>
      </c>
      <c r="AU765" t="s">
        <v>61</v>
      </c>
      <c r="AV765" t="s">
        <v>61</v>
      </c>
      <c r="AW765" t="s">
        <v>61</v>
      </c>
      <c r="AX765" t="s">
        <v>61</v>
      </c>
      <c r="AY765" t="s">
        <v>61</v>
      </c>
      <c r="AZ765" t="s">
        <v>61</v>
      </c>
      <c r="BA765" t="s">
        <v>61</v>
      </c>
      <c r="BB765" t="s">
        <v>61</v>
      </c>
      <c r="BC765" t="s">
        <v>61</v>
      </c>
      <c r="BD765" t="s">
        <v>61</v>
      </c>
      <c r="BE765" t="s">
        <v>61</v>
      </c>
      <c r="BF765" t="s">
        <v>61</v>
      </c>
    </row>
    <row r="766" spans="1:58">
      <c r="A766" t="s">
        <v>58</v>
      </c>
      <c r="B766" t="s">
        <v>6387</v>
      </c>
      <c r="C766" t="s">
        <v>6388</v>
      </c>
      <c r="D766" t="s">
        <v>5668</v>
      </c>
      <c r="E766" t="s">
        <v>61</v>
      </c>
      <c r="F766">
        <v>2014</v>
      </c>
      <c r="G766" t="s">
        <v>61</v>
      </c>
      <c r="H766" t="s">
        <v>6389</v>
      </c>
      <c r="I766" t="s">
        <v>61</v>
      </c>
      <c r="J766" t="s">
        <v>61</v>
      </c>
      <c r="K766" t="s">
        <v>61</v>
      </c>
      <c r="L766" t="s">
        <v>6390</v>
      </c>
      <c r="M766" t="s">
        <v>6391</v>
      </c>
      <c r="N766" t="s">
        <v>6392</v>
      </c>
      <c r="O766" t="s">
        <v>61</v>
      </c>
      <c r="Q766" t="s">
        <v>61</v>
      </c>
      <c r="R766" t="s">
        <v>61</v>
      </c>
      <c r="S766" t="s">
        <v>61</v>
      </c>
      <c r="T766" t="s">
        <v>61</v>
      </c>
      <c r="X766" t="s">
        <v>61</v>
      </c>
      <c r="Y766" t="s">
        <v>5673</v>
      </c>
      <c r="Z766" t="s">
        <v>61</v>
      </c>
      <c r="AA766" t="s">
        <v>61</v>
      </c>
      <c r="AB766">
        <v>2014518269</v>
      </c>
      <c r="AC766" t="s">
        <v>67</v>
      </c>
      <c r="AD766" t="s">
        <v>61</v>
      </c>
      <c r="AE766" t="s">
        <v>61</v>
      </c>
      <c r="AF766" t="s">
        <v>61</v>
      </c>
      <c r="AG766" t="s">
        <v>61</v>
      </c>
      <c r="AH766" t="s">
        <v>61</v>
      </c>
      <c r="AI766" t="s">
        <v>61</v>
      </c>
      <c r="AJ766" t="s">
        <v>61</v>
      </c>
      <c r="AK766" t="s">
        <v>61</v>
      </c>
      <c r="AL766" t="s">
        <v>61</v>
      </c>
      <c r="AM766" t="s">
        <v>6388</v>
      </c>
      <c r="AN766" t="s">
        <v>61</v>
      </c>
      <c r="AO766" t="s">
        <v>61</v>
      </c>
      <c r="AP766" t="s">
        <v>61</v>
      </c>
      <c r="AQ766" t="s">
        <v>61</v>
      </c>
      <c r="AR766" t="s">
        <v>61</v>
      </c>
      <c r="AS766" t="s">
        <v>61</v>
      </c>
      <c r="AT766" t="s">
        <v>61</v>
      </c>
      <c r="AU766" t="s">
        <v>61</v>
      </c>
      <c r="AV766" t="s">
        <v>61</v>
      </c>
      <c r="AW766" t="s">
        <v>61</v>
      </c>
      <c r="AX766" t="s">
        <v>61</v>
      </c>
      <c r="AY766" t="s">
        <v>61</v>
      </c>
      <c r="AZ766" t="s">
        <v>61</v>
      </c>
      <c r="BA766" t="s">
        <v>61</v>
      </c>
      <c r="BB766" t="s">
        <v>61</v>
      </c>
      <c r="BC766" t="s">
        <v>61</v>
      </c>
      <c r="BD766" t="s">
        <v>61</v>
      </c>
      <c r="BE766" t="s">
        <v>61</v>
      </c>
      <c r="BF766" t="s">
        <v>61</v>
      </c>
    </row>
    <row r="767" spans="1:58">
      <c r="A767" t="s">
        <v>58</v>
      </c>
      <c r="B767" t="s">
        <v>6393</v>
      </c>
      <c r="C767" t="s">
        <v>6394</v>
      </c>
      <c r="D767" t="s">
        <v>428</v>
      </c>
      <c r="E767" t="s">
        <v>61</v>
      </c>
      <c r="F767">
        <v>2012</v>
      </c>
      <c r="G767" t="s">
        <v>429</v>
      </c>
      <c r="H767">
        <v>25</v>
      </c>
      <c r="I767">
        <v>2</v>
      </c>
      <c r="J767">
        <v>289</v>
      </c>
      <c r="K767" t="s">
        <v>61</v>
      </c>
      <c r="L767" t="s">
        <v>6395</v>
      </c>
      <c r="M767" t="s">
        <v>6396</v>
      </c>
      <c r="N767" t="s">
        <v>6397</v>
      </c>
      <c r="O767" t="s">
        <v>61</v>
      </c>
      <c r="Q767" t="s">
        <v>61</v>
      </c>
      <c r="R767" t="s">
        <v>61</v>
      </c>
      <c r="S767" t="s">
        <v>61</v>
      </c>
      <c r="T767" t="s">
        <v>61</v>
      </c>
      <c r="X767" t="s">
        <v>61</v>
      </c>
      <c r="Y767" t="s">
        <v>433</v>
      </c>
      <c r="Z767" t="s">
        <v>61</v>
      </c>
      <c r="AA767" t="s">
        <v>61</v>
      </c>
      <c r="AB767" t="s">
        <v>61</v>
      </c>
      <c r="AC767" t="s">
        <v>67</v>
      </c>
      <c r="AD767" t="s">
        <v>61</v>
      </c>
      <c r="AE767" t="s">
        <v>61</v>
      </c>
      <c r="AF767" t="s">
        <v>61</v>
      </c>
      <c r="AG767" t="s">
        <v>61</v>
      </c>
      <c r="AH767" t="s">
        <v>61</v>
      </c>
      <c r="AI767" t="s">
        <v>61</v>
      </c>
      <c r="AJ767" t="s">
        <v>61</v>
      </c>
      <c r="AK767" t="s">
        <v>61</v>
      </c>
      <c r="AL767" t="s">
        <v>61</v>
      </c>
      <c r="AM767" t="s">
        <v>6394</v>
      </c>
      <c r="AN767" t="s">
        <v>61</v>
      </c>
      <c r="AO767" t="s">
        <v>61</v>
      </c>
      <c r="AP767" t="s">
        <v>61</v>
      </c>
      <c r="AQ767" t="s">
        <v>61</v>
      </c>
      <c r="AR767" t="s">
        <v>61</v>
      </c>
      <c r="AS767" t="s">
        <v>61</v>
      </c>
      <c r="AT767" t="s">
        <v>61</v>
      </c>
      <c r="AU767" t="s">
        <v>61</v>
      </c>
      <c r="AV767" t="s">
        <v>61</v>
      </c>
      <c r="AW767" t="s">
        <v>61</v>
      </c>
      <c r="AX767" t="s">
        <v>61</v>
      </c>
      <c r="AY767" t="s">
        <v>61</v>
      </c>
      <c r="AZ767" t="s">
        <v>61</v>
      </c>
      <c r="BA767" t="s">
        <v>61</v>
      </c>
      <c r="BB767" t="s">
        <v>61</v>
      </c>
      <c r="BC767" t="s">
        <v>61</v>
      </c>
      <c r="BD767" t="s">
        <v>61</v>
      </c>
      <c r="BE767" t="s">
        <v>61</v>
      </c>
      <c r="BF767" t="s">
        <v>61</v>
      </c>
    </row>
    <row r="768" spans="1:58">
      <c r="A768" t="s">
        <v>58</v>
      </c>
      <c r="B768" t="s">
        <v>6398</v>
      </c>
      <c r="C768" t="s">
        <v>6399</v>
      </c>
      <c r="D768" t="s">
        <v>428</v>
      </c>
      <c r="E768" t="s">
        <v>61</v>
      </c>
      <c r="F768">
        <v>2011</v>
      </c>
      <c r="G768" t="s">
        <v>429</v>
      </c>
      <c r="H768">
        <v>24</v>
      </c>
      <c r="I768">
        <v>2</v>
      </c>
      <c r="J768">
        <v>253</v>
      </c>
      <c r="K768" t="s">
        <v>61</v>
      </c>
      <c r="L768" t="s">
        <v>6400</v>
      </c>
      <c r="M768" t="s">
        <v>6401</v>
      </c>
      <c r="N768" t="s">
        <v>6402</v>
      </c>
      <c r="O768" t="s">
        <v>61</v>
      </c>
      <c r="Q768" t="s">
        <v>61</v>
      </c>
      <c r="R768" t="s">
        <v>61</v>
      </c>
      <c r="S768" t="s">
        <v>61</v>
      </c>
      <c r="T768" t="s">
        <v>61</v>
      </c>
      <c r="X768" t="s">
        <v>61</v>
      </c>
      <c r="Y768" t="s">
        <v>433</v>
      </c>
      <c r="Z768" t="s">
        <v>61</v>
      </c>
      <c r="AA768" t="s">
        <v>61</v>
      </c>
      <c r="AB768" t="s">
        <v>61</v>
      </c>
      <c r="AC768" t="s">
        <v>67</v>
      </c>
      <c r="AD768" t="s">
        <v>61</v>
      </c>
      <c r="AE768" t="s">
        <v>61</v>
      </c>
      <c r="AF768" t="s">
        <v>61</v>
      </c>
      <c r="AG768" t="s">
        <v>61</v>
      </c>
      <c r="AH768" t="s">
        <v>61</v>
      </c>
      <c r="AI768" t="s">
        <v>61</v>
      </c>
      <c r="AJ768" t="s">
        <v>61</v>
      </c>
      <c r="AK768" t="s">
        <v>61</v>
      </c>
      <c r="AL768" t="s">
        <v>61</v>
      </c>
      <c r="AM768" t="s">
        <v>6399</v>
      </c>
      <c r="AN768" t="s">
        <v>61</v>
      </c>
      <c r="AO768" t="s">
        <v>61</v>
      </c>
      <c r="AP768" t="s">
        <v>61</v>
      </c>
      <c r="AQ768" t="s">
        <v>61</v>
      </c>
      <c r="AR768" t="s">
        <v>61</v>
      </c>
      <c r="AS768" t="s">
        <v>61</v>
      </c>
      <c r="AT768" t="s">
        <v>61</v>
      </c>
      <c r="AU768" t="s">
        <v>61</v>
      </c>
      <c r="AV768" t="s">
        <v>61</v>
      </c>
      <c r="AW768" t="s">
        <v>61</v>
      </c>
      <c r="AX768" t="s">
        <v>61</v>
      </c>
      <c r="AY768" t="s">
        <v>61</v>
      </c>
      <c r="AZ768" t="s">
        <v>61</v>
      </c>
      <c r="BA768" t="s">
        <v>61</v>
      </c>
      <c r="BB768" t="s">
        <v>61</v>
      </c>
      <c r="BC768" t="s">
        <v>61</v>
      </c>
      <c r="BD768" t="s">
        <v>61</v>
      </c>
      <c r="BE768" t="s">
        <v>61</v>
      </c>
      <c r="BF768" t="s">
        <v>61</v>
      </c>
    </row>
    <row r="769" spans="1:58">
      <c r="A769" t="s">
        <v>58</v>
      </c>
      <c r="B769" t="s">
        <v>6403</v>
      </c>
      <c r="C769" t="s">
        <v>6404</v>
      </c>
      <c r="D769" t="s">
        <v>6405</v>
      </c>
      <c r="E769" t="s">
        <v>61</v>
      </c>
      <c r="F769">
        <v>2007</v>
      </c>
      <c r="G769" t="s">
        <v>61</v>
      </c>
      <c r="H769">
        <v>15</v>
      </c>
      <c r="I769">
        <v>4</v>
      </c>
      <c r="J769">
        <v>221</v>
      </c>
      <c r="K769" t="s">
        <v>6406</v>
      </c>
      <c r="L769" t="s">
        <v>6407</v>
      </c>
      <c r="M769" t="s">
        <v>6408</v>
      </c>
      <c r="N769" t="s">
        <v>6409</v>
      </c>
      <c r="O769" t="s">
        <v>61</v>
      </c>
      <c r="Q769" t="s">
        <v>61</v>
      </c>
      <c r="R769" t="s">
        <v>61</v>
      </c>
      <c r="S769" t="s">
        <v>61</v>
      </c>
      <c r="T769" t="s">
        <v>61</v>
      </c>
      <c r="X769" t="s">
        <v>61</v>
      </c>
      <c r="Y769" t="s">
        <v>6410</v>
      </c>
      <c r="Z769" t="s">
        <v>61</v>
      </c>
      <c r="AA769" t="s">
        <v>61</v>
      </c>
      <c r="AB769">
        <v>106200286</v>
      </c>
      <c r="AC769" t="s">
        <v>67</v>
      </c>
      <c r="AD769" t="s">
        <v>61</v>
      </c>
      <c r="AE769" t="s">
        <v>61</v>
      </c>
      <c r="AF769" t="s">
        <v>61</v>
      </c>
      <c r="AG769" t="s">
        <v>6411</v>
      </c>
      <c r="AH769" t="s">
        <v>61</v>
      </c>
      <c r="AI769" t="s">
        <v>61</v>
      </c>
      <c r="AJ769" t="s">
        <v>61</v>
      </c>
      <c r="AK769" t="s">
        <v>61</v>
      </c>
      <c r="AL769" t="s">
        <v>61</v>
      </c>
      <c r="AM769" t="s">
        <v>6412</v>
      </c>
      <c r="AN769" t="s">
        <v>61</v>
      </c>
      <c r="AO769" t="s">
        <v>61</v>
      </c>
      <c r="AP769" t="s">
        <v>61</v>
      </c>
      <c r="AQ769" t="s">
        <v>61</v>
      </c>
      <c r="AR769" t="s">
        <v>61</v>
      </c>
      <c r="AS769" t="s">
        <v>61</v>
      </c>
      <c r="AT769" t="s">
        <v>61</v>
      </c>
      <c r="AU769" t="s">
        <v>61</v>
      </c>
      <c r="AV769" t="s">
        <v>61</v>
      </c>
      <c r="AW769" t="s">
        <v>61</v>
      </c>
      <c r="AX769" t="s">
        <v>61</v>
      </c>
      <c r="AY769" t="s">
        <v>61</v>
      </c>
      <c r="AZ769" t="s">
        <v>61</v>
      </c>
      <c r="BA769" t="s">
        <v>61</v>
      </c>
      <c r="BB769" t="s">
        <v>61</v>
      </c>
      <c r="BC769" t="s">
        <v>61</v>
      </c>
      <c r="BD769" t="s">
        <v>61</v>
      </c>
      <c r="BE769" t="s">
        <v>61</v>
      </c>
      <c r="BF769" t="s">
        <v>61</v>
      </c>
    </row>
    <row r="770" spans="1:58">
      <c r="A770" t="s">
        <v>58</v>
      </c>
      <c r="B770" t="s">
        <v>6413</v>
      </c>
      <c r="C770" t="s">
        <v>6414</v>
      </c>
      <c r="D770" t="s">
        <v>1813</v>
      </c>
      <c r="E770" t="s">
        <v>61</v>
      </c>
      <c r="F770">
        <v>2014</v>
      </c>
      <c r="G770" t="s">
        <v>4981</v>
      </c>
      <c r="H770">
        <v>6</v>
      </c>
      <c r="I770">
        <v>1</v>
      </c>
      <c r="J770">
        <v>58</v>
      </c>
      <c r="K770">
        <v>68</v>
      </c>
      <c r="L770" t="s">
        <v>6415</v>
      </c>
      <c r="M770" t="s">
        <v>6416</v>
      </c>
      <c r="N770" t="s">
        <v>6417</v>
      </c>
      <c r="O770" t="s">
        <v>61</v>
      </c>
      <c r="Q770" t="s">
        <v>61</v>
      </c>
      <c r="R770" t="s">
        <v>61</v>
      </c>
      <c r="S770" t="s">
        <v>61</v>
      </c>
      <c r="T770" t="s">
        <v>61</v>
      </c>
      <c r="X770" t="s">
        <v>61</v>
      </c>
      <c r="Y770" t="s">
        <v>1817</v>
      </c>
      <c r="Z770" t="s">
        <v>61</v>
      </c>
      <c r="AA770" t="s">
        <v>61</v>
      </c>
      <c r="AB770" t="s">
        <v>6418</v>
      </c>
      <c r="AC770" t="s">
        <v>67</v>
      </c>
      <c r="AD770" t="s">
        <v>61</v>
      </c>
      <c r="AE770" t="s">
        <v>61</v>
      </c>
      <c r="AF770" t="s">
        <v>61</v>
      </c>
      <c r="AG770" t="s">
        <v>61</v>
      </c>
      <c r="AH770" t="s">
        <v>61</v>
      </c>
      <c r="AI770" t="s">
        <v>61</v>
      </c>
      <c r="AJ770" t="s">
        <v>61</v>
      </c>
      <c r="AK770" t="s">
        <v>61</v>
      </c>
      <c r="AL770" t="s">
        <v>61</v>
      </c>
      <c r="AM770" t="s">
        <v>6414</v>
      </c>
      <c r="AN770" t="s">
        <v>61</v>
      </c>
      <c r="AO770" t="s">
        <v>61</v>
      </c>
      <c r="AP770" t="s">
        <v>61</v>
      </c>
      <c r="AQ770" t="s">
        <v>61</v>
      </c>
      <c r="AR770" t="s">
        <v>61</v>
      </c>
      <c r="AS770" t="s">
        <v>61</v>
      </c>
      <c r="AT770" t="s">
        <v>61</v>
      </c>
      <c r="AU770" t="s">
        <v>61</v>
      </c>
      <c r="AV770" t="s">
        <v>61</v>
      </c>
      <c r="AW770" t="s">
        <v>61</v>
      </c>
      <c r="AX770" t="s">
        <v>61</v>
      </c>
      <c r="AY770" t="s">
        <v>61</v>
      </c>
      <c r="AZ770" t="s">
        <v>61</v>
      </c>
      <c r="BA770" t="s">
        <v>61</v>
      </c>
      <c r="BB770" t="s">
        <v>61</v>
      </c>
      <c r="BC770" t="s">
        <v>61</v>
      </c>
      <c r="BD770" t="s">
        <v>61</v>
      </c>
      <c r="BE770" t="s">
        <v>61</v>
      </c>
      <c r="BF770" t="s">
        <v>61</v>
      </c>
    </row>
    <row r="771" spans="1:58">
      <c r="A771" t="s">
        <v>58</v>
      </c>
      <c r="B771" t="s">
        <v>6419</v>
      </c>
      <c r="C771" t="s">
        <v>6420</v>
      </c>
      <c r="D771" t="s">
        <v>6421</v>
      </c>
      <c r="E771" t="s">
        <v>6422</v>
      </c>
      <c r="F771">
        <v>2007</v>
      </c>
      <c r="G771" s="1">
        <v>42521</v>
      </c>
      <c r="H771">
        <v>50</v>
      </c>
      <c r="I771">
        <v>11</v>
      </c>
      <c r="J771">
        <v>2718</v>
      </c>
      <c r="K771">
        <v>2731</v>
      </c>
      <c r="L771" t="s">
        <v>6423</v>
      </c>
      <c r="M771" t="s">
        <v>6424</v>
      </c>
      <c r="N771" t="s">
        <v>6425</v>
      </c>
      <c r="O771" t="s">
        <v>61</v>
      </c>
      <c r="Q771" t="s">
        <v>61</v>
      </c>
      <c r="R771" t="s">
        <v>61</v>
      </c>
      <c r="S771" t="s">
        <v>61</v>
      </c>
      <c r="T771" t="s">
        <v>61</v>
      </c>
      <c r="X771" t="s">
        <v>61</v>
      </c>
      <c r="Y771" t="s">
        <v>6426</v>
      </c>
      <c r="Z771" t="s">
        <v>61</v>
      </c>
      <c r="AA771" t="s">
        <v>6427</v>
      </c>
      <c r="AB771">
        <v>17489581</v>
      </c>
      <c r="AC771" t="s">
        <v>67</v>
      </c>
      <c r="AD771" t="s">
        <v>61</v>
      </c>
      <c r="AE771" t="s">
        <v>61</v>
      </c>
      <c r="AF771" t="s">
        <v>61</v>
      </c>
      <c r="AG771" t="s">
        <v>6428</v>
      </c>
      <c r="AH771" t="s">
        <v>61</v>
      </c>
      <c r="AI771" t="s">
        <v>61</v>
      </c>
      <c r="AJ771" t="s">
        <v>61</v>
      </c>
      <c r="AK771" t="s">
        <v>61</v>
      </c>
      <c r="AL771" t="s">
        <v>61</v>
      </c>
      <c r="AM771" t="s">
        <v>6429</v>
      </c>
      <c r="AN771" t="s">
        <v>61</v>
      </c>
      <c r="AO771" t="s">
        <v>61</v>
      </c>
      <c r="AP771" t="s">
        <v>61</v>
      </c>
      <c r="AQ771" t="s">
        <v>61</v>
      </c>
      <c r="AR771" t="s">
        <v>61</v>
      </c>
      <c r="AS771" t="s">
        <v>61</v>
      </c>
      <c r="AT771" t="s">
        <v>61</v>
      </c>
      <c r="AU771" t="s">
        <v>61</v>
      </c>
      <c r="AV771" t="s">
        <v>61</v>
      </c>
      <c r="AW771" t="s">
        <v>61</v>
      </c>
      <c r="AX771" t="s">
        <v>61</v>
      </c>
      <c r="AY771" t="s">
        <v>61</v>
      </c>
      <c r="AZ771" t="s">
        <v>61</v>
      </c>
      <c r="BA771" t="s">
        <v>61</v>
      </c>
      <c r="BB771" t="s">
        <v>61</v>
      </c>
      <c r="BC771" t="s">
        <v>61</v>
      </c>
      <c r="BD771" t="s">
        <v>61</v>
      </c>
      <c r="BE771" t="s">
        <v>61</v>
      </c>
      <c r="BF771" t="s">
        <v>61</v>
      </c>
    </row>
    <row r="772" spans="1:58">
      <c r="A772" t="s">
        <v>58</v>
      </c>
      <c r="B772" t="s">
        <v>6430</v>
      </c>
      <c r="C772" t="s">
        <v>6431</v>
      </c>
      <c r="D772" t="s">
        <v>3990</v>
      </c>
      <c r="E772" t="s">
        <v>3991</v>
      </c>
      <c r="F772">
        <v>1993</v>
      </c>
      <c r="G772" t="s">
        <v>559</v>
      </c>
      <c r="H772">
        <v>31</v>
      </c>
      <c r="I772">
        <v>5</v>
      </c>
      <c r="J772">
        <v>451</v>
      </c>
      <c r="K772">
        <v>468</v>
      </c>
      <c r="L772" t="s">
        <v>6432</v>
      </c>
      <c r="M772" t="s">
        <v>6433</v>
      </c>
      <c r="N772" t="s">
        <v>6434</v>
      </c>
      <c r="O772" t="s">
        <v>61</v>
      </c>
      <c r="Q772" t="s">
        <v>61</v>
      </c>
      <c r="R772" t="s">
        <v>61</v>
      </c>
      <c r="S772" t="s">
        <v>61</v>
      </c>
      <c r="T772" t="s">
        <v>61</v>
      </c>
      <c r="X772" t="s">
        <v>61</v>
      </c>
      <c r="Y772" t="s">
        <v>6435</v>
      </c>
      <c r="Z772" t="s">
        <v>61</v>
      </c>
      <c r="AA772" t="s">
        <v>6436</v>
      </c>
      <c r="AB772">
        <v>8501992</v>
      </c>
      <c r="AC772" t="s">
        <v>67</v>
      </c>
      <c r="AD772" t="s">
        <v>61</v>
      </c>
      <c r="AE772" t="s">
        <v>61</v>
      </c>
      <c r="AF772" t="s">
        <v>61</v>
      </c>
      <c r="AG772" t="s">
        <v>6437</v>
      </c>
      <c r="AH772" t="s">
        <v>61</v>
      </c>
      <c r="AI772" t="s">
        <v>61</v>
      </c>
      <c r="AJ772" t="s">
        <v>61</v>
      </c>
      <c r="AK772" t="s">
        <v>61</v>
      </c>
      <c r="AL772" t="s">
        <v>61</v>
      </c>
      <c r="AM772" t="s">
        <v>6438</v>
      </c>
      <c r="AN772" t="s">
        <v>61</v>
      </c>
      <c r="AO772" t="s">
        <v>61</v>
      </c>
      <c r="AP772" t="s">
        <v>61</v>
      </c>
      <c r="AQ772" t="s">
        <v>61</v>
      </c>
      <c r="AR772" t="s">
        <v>61</v>
      </c>
      <c r="AS772" t="s">
        <v>61</v>
      </c>
      <c r="AT772" t="s">
        <v>61</v>
      </c>
      <c r="AU772" t="s">
        <v>61</v>
      </c>
      <c r="AV772" t="s">
        <v>61</v>
      </c>
      <c r="AW772" t="s">
        <v>61</v>
      </c>
      <c r="AX772" t="s">
        <v>61</v>
      </c>
      <c r="AY772" t="s">
        <v>61</v>
      </c>
      <c r="AZ772" t="s">
        <v>61</v>
      </c>
      <c r="BA772" t="s">
        <v>61</v>
      </c>
      <c r="BB772" t="s">
        <v>61</v>
      </c>
      <c r="BC772" t="s">
        <v>61</v>
      </c>
      <c r="BD772" t="s">
        <v>61</v>
      </c>
      <c r="BE772" t="s">
        <v>61</v>
      </c>
      <c r="BF772" t="s">
        <v>61</v>
      </c>
    </row>
    <row r="773" spans="1:58">
      <c r="A773" t="s">
        <v>58</v>
      </c>
      <c r="B773" t="s">
        <v>6439</v>
      </c>
      <c r="C773" t="s">
        <v>6440</v>
      </c>
      <c r="D773" t="s">
        <v>6441</v>
      </c>
      <c r="E773" t="s">
        <v>6442</v>
      </c>
      <c r="F773">
        <v>1995</v>
      </c>
      <c r="G773" t="s">
        <v>61</v>
      </c>
      <c r="H773">
        <v>28</v>
      </c>
      <c r="I773">
        <v>1</v>
      </c>
      <c r="J773">
        <v>105</v>
      </c>
      <c r="K773">
        <v>112</v>
      </c>
      <c r="L773" t="s">
        <v>6443</v>
      </c>
      <c r="M773" t="s">
        <v>6444</v>
      </c>
      <c r="N773" t="s">
        <v>6445</v>
      </c>
      <c r="O773" t="s">
        <v>61</v>
      </c>
      <c r="Q773" t="s">
        <v>61</v>
      </c>
      <c r="R773" t="s">
        <v>61</v>
      </c>
      <c r="S773" t="s">
        <v>61</v>
      </c>
      <c r="T773" t="s">
        <v>61</v>
      </c>
      <c r="X773" t="s">
        <v>61</v>
      </c>
      <c r="Y773" t="s">
        <v>6446</v>
      </c>
      <c r="Z773" t="s">
        <v>61</v>
      </c>
      <c r="AA773" t="s">
        <v>61</v>
      </c>
      <c r="AB773" t="s">
        <v>61</v>
      </c>
      <c r="AC773" t="s">
        <v>67</v>
      </c>
      <c r="AD773" t="s">
        <v>61</v>
      </c>
      <c r="AE773" t="s">
        <v>61</v>
      </c>
      <c r="AF773" t="s">
        <v>61</v>
      </c>
      <c r="AG773" t="s">
        <v>6447</v>
      </c>
      <c r="AH773" t="s">
        <v>61</v>
      </c>
      <c r="AI773" t="s">
        <v>61</v>
      </c>
      <c r="AJ773" t="s">
        <v>61</v>
      </c>
      <c r="AK773" t="s">
        <v>61</v>
      </c>
      <c r="AL773" t="s">
        <v>61</v>
      </c>
      <c r="AM773" t="s">
        <v>6448</v>
      </c>
      <c r="AN773" t="s">
        <v>61</v>
      </c>
      <c r="AO773" t="s">
        <v>61</v>
      </c>
      <c r="AP773" t="s">
        <v>61</v>
      </c>
      <c r="AQ773" t="s">
        <v>61</v>
      </c>
      <c r="AR773" t="s">
        <v>61</v>
      </c>
      <c r="AS773" t="s">
        <v>61</v>
      </c>
      <c r="AT773" t="s">
        <v>61</v>
      </c>
      <c r="AU773" t="s">
        <v>61</v>
      </c>
      <c r="AV773" t="s">
        <v>61</v>
      </c>
      <c r="AW773" t="s">
        <v>61</v>
      </c>
      <c r="AX773" t="s">
        <v>61</v>
      </c>
      <c r="AY773" t="s">
        <v>61</v>
      </c>
      <c r="AZ773" t="s">
        <v>61</v>
      </c>
      <c r="BA773" t="s">
        <v>61</v>
      </c>
      <c r="BB773" t="s">
        <v>61</v>
      </c>
      <c r="BC773" t="s">
        <v>61</v>
      </c>
      <c r="BD773" t="s">
        <v>61</v>
      </c>
      <c r="BE773" t="s">
        <v>61</v>
      </c>
      <c r="BF773" t="s">
        <v>61</v>
      </c>
    </row>
    <row r="774" spans="1:58">
      <c r="A774" t="s">
        <v>58</v>
      </c>
      <c r="B774" t="s">
        <v>6449</v>
      </c>
      <c r="C774" t="s">
        <v>6450</v>
      </c>
      <c r="D774" t="s">
        <v>6451</v>
      </c>
      <c r="E774" t="s">
        <v>6452</v>
      </c>
      <c r="F774">
        <v>2014</v>
      </c>
      <c r="G774" t="s">
        <v>61</v>
      </c>
      <c r="H774">
        <v>25</v>
      </c>
      <c r="I774">
        <v>2</v>
      </c>
      <c r="J774">
        <v>207</v>
      </c>
      <c r="K774">
        <v>221</v>
      </c>
      <c r="L774" t="s">
        <v>6453</v>
      </c>
      <c r="M774" t="s">
        <v>6454</v>
      </c>
      <c r="N774" t="s">
        <v>6455</v>
      </c>
      <c r="O774" t="s">
        <v>61</v>
      </c>
      <c r="Q774" t="s">
        <v>61</v>
      </c>
      <c r="R774" t="s">
        <v>61</v>
      </c>
      <c r="S774" t="s">
        <v>61</v>
      </c>
      <c r="T774" t="s">
        <v>61</v>
      </c>
      <c r="X774" t="s">
        <v>61</v>
      </c>
      <c r="Y774" t="s">
        <v>6456</v>
      </c>
      <c r="Z774" t="s">
        <v>61</v>
      </c>
      <c r="AA774" t="s">
        <v>61</v>
      </c>
      <c r="AB774">
        <v>24535300</v>
      </c>
      <c r="AC774" t="s">
        <v>67</v>
      </c>
      <c r="AD774" t="s">
        <v>61</v>
      </c>
      <c r="AE774" t="s">
        <v>61</v>
      </c>
      <c r="AF774" t="s">
        <v>61</v>
      </c>
      <c r="AG774" t="s">
        <v>6457</v>
      </c>
      <c r="AH774" t="s">
        <v>61</v>
      </c>
      <c r="AI774" t="s">
        <v>6458</v>
      </c>
      <c r="AJ774" t="s">
        <v>61</v>
      </c>
      <c r="AK774" t="s">
        <v>61</v>
      </c>
      <c r="AL774" t="s">
        <v>61</v>
      </c>
      <c r="AM774" t="s">
        <v>6459</v>
      </c>
      <c r="AN774" t="s">
        <v>61</v>
      </c>
      <c r="AO774" t="s">
        <v>61</v>
      </c>
      <c r="AP774" t="s">
        <v>61</v>
      </c>
      <c r="AQ774" t="s">
        <v>61</v>
      </c>
      <c r="AR774" t="s">
        <v>61</v>
      </c>
      <c r="AS774" t="s">
        <v>61</v>
      </c>
      <c r="AT774" t="s">
        <v>61</v>
      </c>
      <c r="AU774" t="s">
        <v>61</v>
      </c>
      <c r="AV774" t="s">
        <v>61</v>
      </c>
      <c r="AW774" t="s">
        <v>61</v>
      </c>
      <c r="AX774" t="s">
        <v>61</v>
      </c>
      <c r="AY774" t="s">
        <v>61</v>
      </c>
      <c r="AZ774" t="s">
        <v>61</v>
      </c>
      <c r="BA774" t="s">
        <v>61</v>
      </c>
      <c r="BB774" t="s">
        <v>61</v>
      </c>
      <c r="BC774" t="s">
        <v>61</v>
      </c>
      <c r="BD774" t="s">
        <v>61</v>
      </c>
      <c r="BE774" t="s">
        <v>61</v>
      </c>
      <c r="BF774" t="s">
        <v>61</v>
      </c>
    </row>
    <row r="775" spans="1:58">
      <c r="A775" t="s">
        <v>58</v>
      </c>
      <c r="B775" t="s">
        <v>6460</v>
      </c>
      <c r="C775" t="s">
        <v>6461</v>
      </c>
      <c r="D775" t="s">
        <v>6462</v>
      </c>
      <c r="E775" t="s">
        <v>6463</v>
      </c>
      <c r="F775">
        <v>2004</v>
      </c>
      <c r="G775" s="1">
        <v>42476</v>
      </c>
      <c r="H775">
        <v>1005</v>
      </c>
      <c r="I775" s="1">
        <v>42371</v>
      </c>
      <c r="J775">
        <v>101</v>
      </c>
      <c r="K775">
        <v>116</v>
      </c>
      <c r="L775" t="s">
        <v>6464</v>
      </c>
      <c r="M775" t="s">
        <v>6465</v>
      </c>
      <c r="N775" t="s">
        <v>6466</v>
      </c>
      <c r="O775" t="s">
        <v>61</v>
      </c>
      <c r="Q775" t="s">
        <v>61</v>
      </c>
      <c r="R775" t="s">
        <v>61</v>
      </c>
      <c r="S775" t="s">
        <v>61</v>
      </c>
      <c r="T775" t="s">
        <v>61</v>
      </c>
      <c r="X775" t="s">
        <v>61</v>
      </c>
      <c r="Y775" s="2">
        <v>2590819</v>
      </c>
      <c r="Z775" t="s">
        <v>61</v>
      </c>
      <c r="AA775" t="s">
        <v>6467</v>
      </c>
      <c r="AB775">
        <v>15044070</v>
      </c>
      <c r="AC775" t="s">
        <v>67</v>
      </c>
      <c r="AD775" t="s">
        <v>61</v>
      </c>
      <c r="AE775" t="s">
        <v>61</v>
      </c>
      <c r="AF775" t="s">
        <v>61</v>
      </c>
      <c r="AG775" t="s">
        <v>6468</v>
      </c>
      <c r="AH775" t="s">
        <v>61</v>
      </c>
      <c r="AI775" t="s">
        <v>61</v>
      </c>
      <c r="AJ775" t="s">
        <v>61</v>
      </c>
      <c r="AK775" t="s">
        <v>61</v>
      </c>
      <c r="AL775" t="s">
        <v>61</v>
      </c>
      <c r="AM775" t="s">
        <v>6469</v>
      </c>
      <c r="AN775" t="s">
        <v>61</v>
      </c>
      <c r="AO775" t="s">
        <v>61</v>
      </c>
      <c r="AP775" t="s">
        <v>61</v>
      </c>
      <c r="AQ775" t="s">
        <v>61</v>
      </c>
      <c r="AR775" t="s">
        <v>61</v>
      </c>
      <c r="AS775" t="s">
        <v>61</v>
      </c>
      <c r="AT775" t="s">
        <v>61</v>
      </c>
      <c r="AU775" t="s">
        <v>61</v>
      </c>
      <c r="AV775" t="s">
        <v>61</v>
      </c>
      <c r="AW775" t="s">
        <v>61</v>
      </c>
      <c r="AX775" t="s">
        <v>61</v>
      </c>
      <c r="AY775" t="s">
        <v>61</v>
      </c>
      <c r="AZ775" t="s">
        <v>61</v>
      </c>
      <c r="BA775" t="s">
        <v>61</v>
      </c>
      <c r="BB775" t="s">
        <v>61</v>
      </c>
      <c r="BC775" t="s">
        <v>61</v>
      </c>
      <c r="BD775" t="s">
        <v>61</v>
      </c>
      <c r="BE775" t="s">
        <v>61</v>
      </c>
      <c r="BF775" t="s">
        <v>61</v>
      </c>
    </row>
    <row r="776" spans="1:58">
      <c r="A776" t="s">
        <v>58</v>
      </c>
      <c r="B776" t="s">
        <v>6470</v>
      </c>
      <c r="C776" t="s">
        <v>6471</v>
      </c>
      <c r="D776" t="s">
        <v>475</v>
      </c>
      <c r="E776" t="s">
        <v>61</v>
      </c>
      <c r="F776">
        <v>2013</v>
      </c>
      <c r="G776" t="s">
        <v>645</v>
      </c>
      <c r="H776">
        <v>35</v>
      </c>
      <c r="I776">
        <v>5</v>
      </c>
      <c r="J776">
        <v>933</v>
      </c>
      <c r="K776" t="s">
        <v>61</v>
      </c>
      <c r="L776" t="s">
        <v>6472</v>
      </c>
      <c r="M776" t="s">
        <v>6473</v>
      </c>
      <c r="N776" t="s">
        <v>6474</v>
      </c>
      <c r="O776" t="s">
        <v>61</v>
      </c>
      <c r="Q776" t="s">
        <v>61</v>
      </c>
      <c r="R776" t="s">
        <v>61</v>
      </c>
      <c r="S776" t="s">
        <v>61</v>
      </c>
      <c r="T776" t="s">
        <v>61</v>
      </c>
      <c r="X776" t="s">
        <v>61</v>
      </c>
      <c r="Y776" t="s">
        <v>308</v>
      </c>
      <c r="Z776" t="s">
        <v>61</v>
      </c>
      <c r="AA776" t="s">
        <v>61</v>
      </c>
      <c r="AB776" t="s">
        <v>61</v>
      </c>
      <c r="AC776" t="s">
        <v>67</v>
      </c>
      <c r="AD776" t="s">
        <v>61</v>
      </c>
      <c r="AE776" t="s">
        <v>61</v>
      </c>
      <c r="AF776" t="s">
        <v>61</v>
      </c>
      <c r="AG776" t="s">
        <v>61</v>
      </c>
      <c r="AH776" t="s">
        <v>61</v>
      </c>
      <c r="AI776" t="s">
        <v>61</v>
      </c>
      <c r="AJ776" t="s">
        <v>61</v>
      </c>
      <c r="AK776" t="s">
        <v>61</v>
      </c>
      <c r="AL776" t="s">
        <v>61</v>
      </c>
      <c r="AM776" t="s">
        <v>6471</v>
      </c>
      <c r="AN776" t="s">
        <v>61</v>
      </c>
      <c r="AO776" t="s">
        <v>61</v>
      </c>
      <c r="AP776" t="s">
        <v>61</v>
      </c>
      <c r="AQ776" t="s">
        <v>61</v>
      </c>
      <c r="AR776" t="s">
        <v>61</v>
      </c>
      <c r="AS776" t="s">
        <v>61</v>
      </c>
      <c r="AT776" t="s">
        <v>61</v>
      </c>
      <c r="AU776" t="s">
        <v>61</v>
      </c>
      <c r="AV776" t="s">
        <v>61</v>
      </c>
      <c r="AW776" t="s">
        <v>61</v>
      </c>
      <c r="AX776" t="s">
        <v>61</v>
      </c>
      <c r="AY776" t="s">
        <v>61</v>
      </c>
      <c r="AZ776" t="s">
        <v>61</v>
      </c>
      <c r="BA776" t="s">
        <v>61</v>
      </c>
      <c r="BB776" t="s">
        <v>61</v>
      </c>
      <c r="BC776" t="s">
        <v>61</v>
      </c>
      <c r="BD776" t="s">
        <v>61</v>
      </c>
      <c r="BE776" t="s">
        <v>61</v>
      </c>
      <c r="BF776" t="s">
        <v>61</v>
      </c>
    </row>
    <row r="777" spans="1:58">
      <c r="A777" t="s">
        <v>58</v>
      </c>
      <c r="B777" t="s">
        <v>6475</v>
      </c>
      <c r="C777" t="s">
        <v>6476</v>
      </c>
      <c r="D777" t="s">
        <v>6477</v>
      </c>
      <c r="E777" t="s">
        <v>61</v>
      </c>
      <c r="F777">
        <v>2012</v>
      </c>
      <c r="G777" s="1">
        <v>42471</v>
      </c>
      <c r="H777">
        <v>45</v>
      </c>
      <c r="I777">
        <v>5</v>
      </c>
      <c r="J777">
        <v>515</v>
      </c>
      <c r="K777">
        <v>520</v>
      </c>
      <c r="L777" t="s">
        <v>6478</v>
      </c>
      <c r="M777" t="s">
        <v>6479</v>
      </c>
      <c r="N777" t="s">
        <v>6480</v>
      </c>
      <c r="O777" t="s">
        <v>61</v>
      </c>
      <c r="Q777" t="s">
        <v>61</v>
      </c>
      <c r="R777" t="s">
        <v>61</v>
      </c>
      <c r="S777" t="s">
        <v>61</v>
      </c>
      <c r="T777" t="s">
        <v>61</v>
      </c>
      <c r="X777" t="s">
        <v>61</v>
      </c>
      <c r="Y777" t="s">
        <v>6481</v>
      </c>
      <c r="Z777" t="s">
        <v>61</v>
      </c>
      <c r="AA777" t="s">
        <v>6482</v>
      </c>
      <c r="AB777">
        <v>22178534</v>
      </c>
      <c r="AC777" t="s">
        <v>67</v>
      </c>
      <c r="AD777" t="s">
        <v>61</v>
      </c>
      <c r="AE777" t="s">
        <v>61</v>
      </c>
      <c r="AF777" t="s">
        <v>61</v>
      </c>
      <c r="AG777" t="s">
        <v>6483</v>
      </c>
      <c r="AH777" t="s">
        <v>61</v>
      </c>
      <c r="AI777" t="s">
        <v>6484</v>
      </c>
      <c r="AJ777" t="s">
        <v>61</v>
      </c>
      <c r="AK777" t="s">
        <v>61</v>
      </c>
      <c r="AL777" t="s">
        <v>61</v>
      </c>
      <c r="AM777" t="s">
        <v>6485</v>
      </c>
      <c r="AN777" t="s">
        <v>61</v>
      </c>
      <c r="AO777" t="s">
        <v>61</v>
      </c>
      <c r="AP777" t="s">
        <v>61</v>
      </c>
      <c r="AQ777" t="s">
        <v>61</v>
      </c>
      <c r="AR777" t="s">
        <v>61</v>
      </c>
      <c r="AS777" t="s">
        <v>61</v>
      </c>
      <c r="AT777" t="s">
        <v>61</v>
      </c>
      <c r="AU777" t="s">
        <v>61</v>
      </c>
      <c r="AV777" t="s">
        <v>61</v>
      </c>
      <c r="AW777" t="s">
        <v>61</v>
      </c>
      <c r="AX777" t="s">
        <v>61</v>
      </c>
      <c r="AY777" t="s">
        <v>61</v>
      </c>
      <c r="AZ777" t="s">
        <v>61</v>
      </c>
      <c r="BA777" t="s">
        <v>61</v>
      </c>
      <c r="BB777" t="s">
        <v>61</v>
      </c>
      <c r="BC777" t="s">
        <v>61</v>
      </c>
      <c r="BD777" t="s">
        <v>61</v>
      </c>
      <c r="BE777" t="s">
        <v>61</v>
      </c>
      <c r="BF777" t="s">
        <v>61</v>
      </c>
    </row>
    <row r="778" spans="1:58">
      <c r="A778" t="s">
        <v>58</v>
      </c>
      <c r="B778" t="s">
        <v>6486</v>
      </c>
      <c r="C778" t="s">
        <v>6487</v>
      </c>
      <c r="D778" t="s">
        <v>1465</v>
      </c>
      <c r="E778" t="s">
        <v>61</v>
      </c>
      <c r="F778">
        <v>2001</v>
      </c>
      <c r="G778" t="s">
        <v>280</v>
      </c>
      <c r="H778">
        <v>78</v>
      </c>
      <c r="I778">
        <v>4</v>
      </c>
      <c r="J778">
        <v>679</v>
      </c>
      <c r="K778">
        <v>689</v>
      </c>
      <c r="L778" t="s">
        <v>6488</v>
      </c>
      <c r="M778" t="s">
        <v>6489</v>
      </c>
      <c r="N778" t="s">
        <v>6490</v>
      </c>
      <c r="O778" t="s">
        <v>61</v>
      </c>
      <c r="Q778" t="s">
        <v>61</v>
      </c>
      <c r="R778" t="s">
        <v>61</v>
      </c>
      <c r="S778" t="s">
        <v>61</v>
      </c>
      <c r="T778" t="s">
        <v>61</v>
      </c>
      <c r="X778" t="s">
        <v>61</v>
      </c>
      <c r="Y778" t="s">
        <v>2792</v>
      </c>
      <c r="Z778" t="s">
        <v>61</v>
      </c>
      <c r="AA778" t="s">
        <v>6491</v>
      </c>
      <c r="AB778">
        <v>11796814</v>
      </c>
      <c r="AC778" t="s">
        <v>67</v>
      </c>
      <c r="AD778" t="s">
        <v>61</v>
      </c>
      <c r="AE778" t="s">
        <v>61</v>
      </c>
      <c r="AF778" t="s">
        <v>61</v>
      </c>
      <c r="AG778" t="s">
        <v>6492</v>
      </c>
      <c r="AH778" t="s">
        <v>61</v>
      </c>
      <c r="AI778" t="s">
        <v>61</v>
      </c>
      <c r="AJ778" t="s">
        <v>61</v>
      </c>
      <c r="AK778" t="s">
        <v>61</v>
      </c>
      <c r="AL778" t="s">
        <v>61</v>
      </c>
      <c r="AM778" t="s">
        <v>6493</v>
      </c>
      <c r="AN778" t="s">
        <v>61</v>
      </c>
      <c r="AO778" t="s">
        <v>61</v>
      </c>
      <c r="AP778" t="s">
        <v>61</v>
      </c>
      <c r="AQ778" t="s">
        <v>61</v>
      </c>
      <c r="AR778" t="s">
        <v>61</v>
      </c>
      <c r="AS778" t="s">
        <v>61</v>
      </c>
      <c r="AT778" t="s">
        <v>61</v>
      </c>
      <c r="AU778" t="s">
        <v>61</v>
      </c>
      <c r="AV778" t="s">
        <v>61</v>
      </c>
      <c r="AW778" t="s">
        <v>61</v>
      </c>
      <c r="AX778" t="s">
        <v>61</v>
      </c>
      <c r="AY778" t="s">
        <v>61</v>
      </c>
      <c r="AZ778" t="s">
        <v>61</v>
      </c>
      <c r="BA778" t="s">
        <v>61</v>
      </c>
      <c r="BB778" t="s">
        <v>61</v>
      </c>
      <c r="BC778" t="s">
        <v>61</v>
      </c>
      <c r="BD778" t="s">
        <v>61</v>
      </c>
      <c r="BE778" t="s">
        <v>61</v>
      </c>
      <c r="BF778" t="s">
        <v>61</v>
      </c>
    </row>
    <row r="779" spans="1:58">
      <c r="A779" t="s">
        <v>58</v>
      </c>
      <c r="B779" t="s">
        <v>6494</v>
      </c>
      <c r="C779" t="s">
        <v>6495</v>
      </c>
      <c r="D779" t="s">
        <v>6496</v>
      </c>
      <c r="E779" t="s">
        <v>6497</v>
      </c>
      <c r="F779">
        <v>2009</v>
      </c>
      <c r="G779" t="s">
        <v>61</v>
      </c>
      <c r="H779" t="s">
        <v>61</v>
      </c>
      <c r="I779">
        <v>191</v>
      </c>
      <c r="J779">
        <v>549</v>
      </c>
      <c r="K779">
        <v>579</v>
      </c>
      <c r="L779" t="s">
        <v>6498</v>
      </c>
      <c r="M779" t="s">
        <v>6499</v>
      </c>
      <c r="N779" t="s">
        <v>6500</v>
      </c>
      <c r="O779" t="s">
        <v>61</v>
      </c>
      <c r="Q779" t="s">
        <v>61</v>
      </c>
      <c r="R779" t="s">
        <v>61</v>
      </c>
      <c r="S779" t="s">
        <v>61</v>
      </c>
      <c r="T779" t="s">
        <v>61</v>
      </c>
      <c r="X779" t="s">
        <v>61</v>
      </c>
      <c r="Y779" t="s">
        <v>6501</v>
      </c>
      <c r="Z779" t="s">
        <v>61</v>
      </c>
      <c r="AA779" t="s">
        <v>6502</v>
      </c>
      <c r="AB779">
        <v>19089345</v>
      </c>
      <c r="AC779" t="s">
        <v>67</v>
      </c>
      <c r="AD779" t="s">
        <v>61</v>
      </c>
      <c r="AE779" t="s">
        <v>61</v>
      </c>
      <c r="AF779" t="s">
        <v>61</v>
      </c>
      <c r="AG779" t="s">
        <v>6503</v>
      </c>
      <c r="AH779" t="s">
        <v>61</v>
      </c>
      <c r="AI779" t="s">
        <v>6504</v>
      </c>
      <c r="AJ779" t="s">
        <v>61</v>
      </c>
      <c r="AK779" t="s">
        <v>61</v>
      </c>
      <c r="AL779" t="s">
        <v>61</v>
      </c>
      <c r="AM779" t="s">
        <v>6505</v>
      </c>
      <c r="AN779" t="s">
        <v>61</v>
      </c>
      <c r="AO779" t="s">
        <v>61</v>
      </c>
      <c r="AP779" t="s">
        <v>61</v>
      </c>
      <c r="AQ779" t="s">
        <v>61</v>
      </c>
      <c r="AR779" t="s">
        <v>61</v>
      </c>
      <c r="AS779" t="s">
        <v>61</v>
      </c>
      <c r="AT779" t="s">
        <v>61</v>
      </c>
      <c r="AU779" t="s">
        <v>61</v>
      </c>
      <c r="AV779" t="s">
        <v>61</v>
      </c>
      <c r="AW779" t="s">
        <v>61</v>
      </c>
      <c r="AX779" t="s">
        <v>61</v>
      </c>
      <c r="AY779" t="s">
        <v>61</v>
      </c>
      <c r="AZ779" t="s">
        <v>61</v>
      </c>
      <c r="BA779" t="s">
        <v>61</v>
      </c>
      <c r="BB779" t="s">
        <v>61</v>
      </c>
      <c r="BC779" t="s">
        <v>61</v>
      </c>
      <c r="BD779" t="s">
        <v>61</v>
      </c>
      <c r="BE779" t="s">
        <v>61</v>
      </c>
      <c r="BF779" t="s">
        <v>61</v>
      </c>
    </row>
    <row r="780" spans="1:58">
      <c r="A780" t="s">
        <v>58</v>
      </c>
      <c r="B780" t="s">
        <v>6506</v>
      </c>
      <c r="C780" t="s">
        <v>6507</v>
      </c>
      <c r="D780" t="s">
        <v>60</v>
      </c>
      <c r="E780" t="s">
        <v>61</v>
      </c>
      <c r="F780">
        <v>2008</v>
      </c>
      <c r="G780" s="1">
        <v>42491</v>
      </c>
      <c r="H780">
        <v>65</v>
      </c>
      <c r="I780">
        <v>9</v>
      </c>
      <c r="J780">
        <v>844</v>
      </c>
      <c r="K780">
        <v>856</v>
      </c>
      <c r="L780" t="s">
        <v>6508</v>
      </c>
      <c r="M780" t="s">
        <v>6509</v>
      </c>
      <c r="N780" t="s">
        <v>6510</v>
      </c>
      <c r="O780" t="s">
        <v>61</v>
      </c>
      <c r="Q780" t="s">
        <v>61</v>
      </c>
      <c r="R780" t="s">
        <v>61</v>
      </c>
      <c r="S780" t="s">
        <v>61</v>
      </c>
      <c r="T780" t="s">
        <v>61</v>
      </c>
      <c r="X780" t="s">
        <v>61</v>
      </c>
      <c r="Y780" t="s">
        <v>97</v>
      </c>
      <c r="Z780" t="s">
        <v>61</v>
      </c>
      <c r="AA780" t="s">
        <v>6511</v>
      </c>
      <c r="AB780">
        <v>18436731</v>
      </c>
      <c r="AC780" t="s">
        <v>67</v>
      </c>
      <c r="AD780" t="s">
        <v>61</v>
      </c>
      <c r="AE780" t="s">
        <v>61</v>
      </c>
      <c r="AF780" t="s">
        <v>61</v>
      </c>
      <c r="AG780" t="s">
        <v>6512</v>
      </c>
      <c r="AH780" t="s">
        <v>61</v>
      </c>
      <c r="AI780" t="s">
        <v>6513</v>
      </c>
      <c r="AJ780" t="s">
        <v>61</v>
      </c>
      <c r="AK780" t="s">
        <v>61</v>
      </c>
      <c r="AL780" t="s">
        <v>61</v>
      </c>
      <c r="AM780" t="s">
        <v>6514</v>
      </c>
      <c r="AN780" t="s">
        <v>61</v>
      </c>
      <c r="AO780" t="s">
        <v>61</v>
      </c>
      <c r="AP780" t="s">
        <v>61</v>
      </c>
      <c r="AQ780" t="s">
        <v>61</v>
      </c>
      <c r="AR780" t="s">
        <v>61</v>
      </c>
      <c r="AS780" t="s">
        <v>61</v>
      </c>
      <c r="AT780" t="s">
        <v>61</v>
      </c>
      <c r="AU780" t="s">
        <v>61</v>
      </c>
      <c r="AV780" t="s">
        <v>61</v>
      </c>
      <c r="AW780" t="s">
        <v>61</v>
      </c>
      <c r="AX780" t="s">
        <v>61</v>
      </c>
      <c r="AY780" t="s">
        <v>61</v>
      </c>
      <c r="AZ780" t="s">
        <v>61</v>
      </c>
      <c r="BA780" t="s">
        <v>61</v>
      </c>
      <c r="BB780" t="s">
        <v>61</v>
      </c>
      <c r="BC780" t="s">
        <v>61</v>
      </c>
      <c r="BD780" t="s">
        <v>61</v>
      </c>
      <c r="BE780" t="s">
        <v>61</v>
      </c>
      <c r="BF780" t="s">
        <v>61</v>
      </c>
    </row>
    <row r="781" spans="1:58">
      <c r="A781" t="s">
        <v>58</v>
      </c>
      <c r="B781" t="s">
        <v>6515</v>
      </c>
      <c r="C781" t="s">
        <v>6516</v>
      </c>
      <c r="D781" t="s">
        <v>876</v>
      </c>
      <c r="E781" t="s">
        <v>877</v>
      </c>
      <c r="F781">
        <v>1975</v>
      </c>
      <c r="G781" t="s">
        <v>280</v>
      </c>
      <c r="H781">
        <v>39</v>
      </c>
      <c r="I781">
        <v>5</v>
      </c>
      <c r="J781">
        <v>599</v>
      </c>
      <c r="K781">
        <v>600</v>
      </c>
      <c r="L781" t="s">
        <v>6517</v>
      </c>
      <c r="M781" t="s">
        <v>61</v>
      </c>
      <c r="N781" t="s">
        <v>6518</v>
      </c>
      <c r="O781" t="s">
        <v>61</v>
      </c>
      <c r="Q781" t="s">
        <v>61</v>
      </c>
      <c r="R781" t="s">
        <v>61</v>
      </c>
      <c r="S781" t="s">
        <v>61</v>
      </c>
      <c r="T781" t="s">
        <v>61</v>
      </c>
      <c r="X781" t="s">
        <v>61</v>
      </c>
      <c r="Y781" s="2">
        <v>2760901</v>
      </c>
      <c r="Z781" t="s">
        <v>61</v>
      </c>
      <c r="AA781" t="s">
        <v>61</v>
      </c>
      <c r="AB781">
        <v>10237167</v>
      </c>
      <c r="AC781" t="s">
        <v>67</v>
      </c>
      <c r="AD781" t="s">
        <v>61</v>
      </c>
      <c r="AE781" t="s">
        <v>61</v>
      </c>
      <c r="AF781" t="s">
        <v>61</v>
      </c>
      <c r="AG781" t="s">
        <v>6519</v>
      </c>
      <c r="AH781" t="s">
        <v>61</v>
      </c>
      <c r="AI781" t="s">
        <v>61</v>
      </c>
      <c r="AJ781" t="s">
        <v>61</v>
      </c>
      <c r="AK781" t="s">
        <v>61</v>
      </c>
      <c r="AL781" t="s">
        <v>61</v>
      </c>
      <c r="AM781" t="s">
        <v>6520</v>
      </c>
      <c r="AN781" t="s">
        <v>61</v>
      </c>
      <c r="AO781" t="s">
        <v>61</v>
      </c>
      <c r="AP781" t="s">
        <v>61</v>
      </c>
      <c r="AQ781" t="s">
        <v>61</v>
      </c>
      <c r="AR781" t="s">
        <v>61</v>
      </c>
      <c r="AS781" t="s">
        <v>61</v>
      </c>
      <c r="AT781" t="s">
        <v>61</v>
      </c>
      <c r="AU781" t="s">
        <v>61</v>
      </c>
      <c r="AV781" t="s">
        <v>61</v>
      </c>
      <c r="AW781" t="s">
        <v>61</v>
      </c>
      <c r="AX781" t="s">
        <v>61</v>
      </c>
      <c r="AY781" t="s">
        <v>61</v>
      </c>
      <c r="AZ781" t="s">
        <v>61</v>
      </c>
      <c r="BA781" t="s">
        <v>61</v>
      </c>
      <c r="BB781" t="s">
        <v>61</v>
      </c>
      <c r="BC781" t="s">
        <v>61</v>
      </c>
      <c r="BD781" t="s">
        <v>61</v>
      </c>
      <c r="BE781" t="s">
        <v>61</v>
      </c>
      <c r="BF781" t="s">
        <v>61</v>
      </c>
    </row>
    <row r="782" spans="1:58">
      <c r="A782" t="s">
        <v>58</v>
      </c>
      <c r="B782" t="s">
        <v>6521</v>
      </c>
      <c r="C782" t="s">
        <v>6522</v>
      </c>
      <c r="D782" t="s">
        <v>6523</v>
      </c>
      <c r="E782" t="s">
        <v>61</v>
      </c>
      <c r="F782">
        <v>2014</v>
      </c>
      <c r="G782" t="s">
        <v>559</v>
      </c>
      <c r="H782">
        <v>75</v>
      </c>
      <c r="I782">
        <v>3</v>
      </c>
      <c r="J782">
        <v>467</v>
      </c>
      <c r="K782">
        <v>475</v>
      </c>
      <c r="L782" t="s">
        <v>6524</v>
      </c>
      <c r="M782" t="s">
        <v>6525</v>
      </c>
      <c r="N782" t="s">
        <v>6526</v>
      </c>
      <c r="O782" t="s">
        <v>61</v>
      </c>
      <c r="Q782" t="s">
        <v>61</v>
      </c>
      <c r="R782" t="s">
        <v>61</v>
      </c>
      <c r="S782" t="s">
        <v>61</v>
      </c>
      <c r="T782" t="s">
        <v>61</v>
      </c>
      <c r="X782" t="s">
        <v>61</v>
      </c>
      <c r="Y782" t="s">
        <v>6527</v>
      </c>
      <c r="Z782" t="s">
        <v>61</v>
      </c>
      <c r="AA782" t="s">
        <v>6528</v>
      </c>
      <c r="AB782">
        <v>24766759</v>
      </c>
      <c r="AC782" t="s">
        <v>67</v>
      </c>
      <c r="AD782" t="s">
        <v>61</v>
      </c>
      <c r="AE782" t="s">
        <v>61</v>
      </c>
      <c r="AF782" t="s">
        <v>61</v>
      </c>
      <c r="AG782" t="s">
        <v>6529</v>
      </c>
      <c r="AH782" t="s">
        <v>61</v>
      </c>
      <c r="AI782" t="s">
        <v>61</v>
      </c>
      <c r="AJ782" t="s">
        <v>61</v>
      </c>
      <c r="AK782" t="s">
        <v>61</v>
      </c>
      <c r="AL782" t="s">
        <v>61</v>
      </c>
      <c r="AM782" t="s">
        <v>6530</v>
      </c>
      <c r="AN782" t="s">
        <v>61</v>
      </c>
      <c r="AO782" t="s">
        <v>61</v>
      </c>
      <c r="AP782" t="s">
        <v>61</v>
      </c>
      <c r="AQ782" t="s">
        <v>61</v>
      </c>
      <c r="AR782" t="s">
        <v>61</v>
      </c>
      <c r="AS782" t="s">
        <v>61</v>
      </c>
      <c r="AT782" t="s">
        <v>61</v>
      </c>
      <c r="AU782" t="s">
        <v>61</v>
      </c>
      <c r="AV782" t="s">
        <v>61</v>
      </c>
      <c r="AW782" t="s">
        <v>61</v>
      </c>
      <c r="AX782" t="s">
        <v>61</v>
      </c>
      <c r="AY782" t="s">
        <v>61</v>
      </c>
      <c r="AZ782" t="s">
        <v>61</v>
      </c>
      <c r="BA782" t="s">
        <v>61</v>
      </c>
      <c r="BB782" t="s">
        <v>61</v>
      </c>
      <c r="BC782" t="s">
        <v>61</v>
      </c>
      <c r="BD782" t="s">
        <v>61</v>
      </c>
      <c r="BE782" t="s">
        <v>61</v>
      </c>
      <c r="BF782" t="s">
        <v>61</v>
      </c>
    </row>
    <row r="783" spans="1:58">
      <c r="A783" t="s">
        <v>58</v>
      </c>
      <c r="B783" t="s">
        <v>6531</v>
      </c>
      <c r="C783" t="s">
        <v>6532</v>
      </c>
      <c r="D783" t="s">
        <v>6533</v>
      </c>
      <c r="E783" t="s">
        <v>61</v>
      </c>
      <c r="F783">
        <v>2006</v>
      </c>
      <c r="G783" t="s">
        <v>61</v>
      </c>
      <c r="H783">
        <v>3</v>
      </c>
      <c r="I783">
        <v>2</v>
      </c>
      <c r="J783">
        <v>91</v>
      </c>
      <c r="K783">
        <v>103</v>
      </c>
      <c r="L783" t="s">
        <v>6534</v>
      </c>
      <c r="M783" t="s">
        <v>6535</v>
      </c>
      <c r="N783" t="s">
        <v>6536</v>
      </c>
      <c r="O783" t="s">
        <v>61</v>
      </c>
      <c r="Q783" t="s">
        <v>61</v>
      </c>
      <c r="R783" t="s">
        <v>61</v>
      </c>
      <c r="S783" t="s">
        <v>61</v>
      </c>
      <c r="T783" t="s">
        <v>61</v>
      </c>
      <c r="X783" t="s">
        <v>61</v>
      </c>
      <c r="Y783" t="s">
        <v>6537</v>
      </c>
      <c r="Z783" t="s">
        <v>61</v>
      </c>
      <c r="AA783" t="s">
        <v>61</v>
      </c>
      <c r="AB783">
        <v>2007309084</v>
      </c>
      <c r="AC783" t="s">
        <v>67</v>
      </c>
      <c r="AD783" t="s">
        <v>61</v>
      </c>
      <c r="AE783" t="s">
        <v>61</v>
      </c>
      <c r="AF783" t="s">
        <v>61</v>
      </c>
      <c r="AG783" t="s">
        <v>61</v>
      </c>
      <c r="AH783" t="s">
        <v>61</v>
      </c>
      <c r="AI783" t="s">
        <v>61</v>
      </c>
      <c r="AJ783" t="s">
        <v>61</v>
      </c>
      <c r="AK783" t="s">
        <v>61</v>
      </c>
      <c r="AL783" t="s">
        <v>61</v>
      </c>
      <c r="AM783" t="s">
        <v>6532</v>
      </c>
      <c r="AN783" t="s">
        <v>61</v>
      </c>
      <c r="AO783" t="s">
        <v>61</v>
      </c>
      <c r="AP783" t="s">
        <v>61</v>
      </c>
      <c r="AQ783" t="s">
        <v>61</v>
      </c>
      <c r="AR783" t="s">
        <v>61</v>
      </c>
      <c r="AS783" t="s">
        <v>61</v>
      </c>
      <c r="AT783" t="s">
        <v>61</v>
      </c>
      <c r="AU783" t="s">
        <v>61</v>
      </c>
      <c r="AV783" t="s">
        <v>61</v>
      </c>
      <c r="AW783" t="s">
        <v>61</v>
      </c>
      <c r="AX783" t="s">
        <v>61</v>
      </c>
      <c r="AY783" t="s">
        <v>61</v>
      </c>
      <c r="AZ783" t="s">
        <v>61</v>
      </c>
      <c r="BA783" t="s">
        <v>61</v>
      </c>
      <c r="BB783" t="s">
        <v>61</v>
      </c>
      <c r="BC783" t="s">
        <v>61</v>
      </c>
      <c r="BD783" t="s">
        <v>61</v>
      </c>
      <c r="BE783" t="s">
        <v>61</v>
      </c>
      <c r="BF783" t="s">
        <v>61</v>
      </c>
    </row>
    <row r="784" spans="1:58">
      <c r="A784" t="s">
        <v>58</v>
      </c>
      <c r="B784" t="s">
        <v>6538</v>
      </c>
      <c r="C784" t="s">
        <v>6539</v>
      </c>
      <c r="D784" t="s">
        <v>6540</v>
      </c>
      <c r="E784" t="s">
        <v>6541</v>
      </c>
      <c r="F784">
        <v>2002</v>
      </c>
      <c r="G784" t="s">
        <v>61</v>
      </c>
      <c r="H784">
        <v>49</v>
      </c>
      <c r="I784">
        <v>2</v>
      </c>
      <c r="J784">
        <v>415</v>
      </c>
      <c r="K784">
        <v>433</v>
      </c>
      <c r="L784" t="s">
        <v>6542</v>
      </c>
      <c r="M784" t="s">
        <v>6543</v>
      </c>
      <c r="N784" t="s">
        <v>6544</v>
      </c>
      <c r="O784" t="s">
        <v>61</v>
      </c>
      <c r="Q784" t="s">
        <v>61</v>
      </c>
      <c r="R784" t="s">
        <v>61</v>
      </c>
      <c r="S784" t="s">
        <v>61</v>
      </c>
      <c r="T784" t="s">
        <v>61</v>
      </c>
      <c r="X784" t="s">
        <v>61</v>
      </c>
      <c r="Y784" t="s">
        <v>6545</v>
      </c>
      <c r="Z784" t="s">
        <v>61</v>
      </c>
      <c r="AA784" t="s">
        <v>61</v>
      </c>
      <c r="AB784">
        <v>2002153642</v>
      </c>
      <c r="AC784" t="s">
        <v>67</v>
      </c>
      <c r="AD784" t="s">
        <v>61</v>
      </c>
      <c r="AE784" t="s">
        <v>61</v>
      </c>
      <c r="AF784" t="s">
        <v>61</v>
      </c>
      <c r="AG784" t="s">
        <v>6546</v>
      </c>
      <c r="AH784" t="s">
        <v>61</v>
      </c>
      <c r="AI784" t="s">
        <v>61</v>
      </c>
      <c r="AJ784" t="s">
        <v>61</v>
      </c>
      <c r="AK784" t="s">
        <v>61</v>
      </c>
      <c r="AL784" t="s">
        <v>61</v>
      </c>
      <c r="AM784" t="s">
        <v>6547</v>
      </c>
      <c r="AN784" t="s">
        <v>61</v>
      </c>
      <c r="AO784" t="s">
        <v>61</v>
      </c>
      <c r="AP784" t="s">
        <v>61</v>
      </c>
      <c r="AQ784" t="s">
        <v>61</v>
      </c>
      <c r="AR784" t="s">
        <v>61</v>
      </c>
      <c r="AS784" t="s">
        <v>61</v>
      </c>
      <c r="AT784" t="s">
        <v>61</v>
      </c>
      <c r="AU784" t="s">
        <v>61</v>
      </c>
      <c r="AV784" t="s">
        <v>61</v>
      </c>
      <c r="AW784" t="s">
        <v>61</v>
      </c>
      <c r="AX784" t="s">
        <v>61</v>
      </c>
      <c r="AY784" t="s">
        <v>61</v>
      </c>
      <c r="AZ784" t="s">
        <v>61</v>
      </c>
      <c r="BA784" t="s">
        <v>61</v>
      </c>
      <c r="BB784" t="s">
        <v>61</v>
      </c>
      <c r="BC784" t="s">
        <v>61</v>
      </c>
      <c r="BD784" t="s">
        <v>61</v>
      </c>
      <c r="BE784" t="s">
        <v>61</v>
      </c>
      <c r="BF784" t="s">
        <v>61</v>
      </c>
    </row>
    <row r="785" spans="1:58">
      <c r="A785" t="s">
        <v>142</v>
      </c>
      <c r="B785" t="s">
        <v>6548</v>
      </c>
      <c r="C785" t="s">
        <v>6549</v>
      </c>
      <c r="D785" t="s">
        <v>61</v>
      </c>
      <c r="E785" t="s">
        <v>61</v>
      </c>
      <c r="F785">
        <v>1995</v>
      </c>
      <c r="G785" t="s">
        <v>61</v>
      </c>
      <c r="H785" t="s">
        <v>61</v>
      </c>
      <c r="I785" t="s">
        <v>61</v>
      </c>
      <c r="J785">
        <v>204</v>
      </c>
      <c r="K785" t="s">
        <v>61</v>
      </c>
      <c r="L785" t="s">
        <v>6550</v>
      </c>
      <c r="M785" t="s">
        <v>6551</v>
      </c>
      <c r="N785" t="s">
        <v>6552</v>
      </c>
      <c r="O785" t="s">
        <v>61</v>
      </c>
      <c r="Q785" t="s">
        <v>61</v>
      </c>
      <c r="R785" t="s">
        <v>61</v>
      </c>
      <c r="S785" t="s">
        <v>61</v>
      </c>
      <c r="T785" t="s">
        <v>61</v>
      </c>
      <c r="X785" t="s">
        <v>61</v>
      </c>
      <c r="Y785" t="s">
        <v>61</v>
      </c>
      <c r="Z785" t="s">
        <v>61</v>
      </c>
      <c r="AA785" t="s">
        <v>61</v>
      </c>
      <c r="AB785" t="s">
        <v>6553</v>
      </c>
      <c r="AC785" t="s">
        <v>67</v>
      </c>
      <c r="AD785" t="s">
        <v>61</v>
      </c>
      <c r="AE785" t="s">
        <v>61</v>
      </c>
      <c r="AF785" t="s">
        <v>61</v>
      </c>
      <c r="AG785" t="s">
        <v>61</v>
      </c>
      <c r="AH785" t="s">
        <v>61</v>
      </c>
      <c r="AI785" t="s">
        <v>61</v>
      </c>
      <c r="AJ785" t="s">
        <v>61</v>
      </c>
      <c r="AK785" t="s">
        <v>61</v>
      </c>
      <c r="AL785" t="s">
        <v>61</v>
      </c>
      <c r="AM785" t="s">
        <v>6554</v>
      </c>
      <c r="AN785" t="s">
        <v>61</v>
      </c>
      <c r="AO785" t="s">
        <v>61</v>
      </c>
      <c r="AP785" t="s">
        <v>61</v>
      </c>
      <c r="AQ785" t="s">
        <v>61</v>
      </c>
      <c r="AR785" t="s">
        <v>61</v>
      </c>
      <c r="AS785" t="s">
        <v>61</v>
      </c>
      <c r="AT785" t="s">
        <v>61</v>
      </c>
      <c r="AU785" t="s">
        <v>61</v>
      </c>
      <c r="AV785" t="s">
        <v>61</v>
      </c>
      <c r="AW785" t="s">
        <v>61</v>
      </c>
      <c r="AX785" t="s">
        <v>61</v>
      </c>
      <c r="AY785" t="s">
        <v>61</v>
      </c>
      <c r="AZ785" t="s">
        <v>61</v>
      </c>
      <c r="BA785" t="s">
        <v>61</v>
      </c>
      <c r="BB785" t="s">
        <v>61</v>
      </c>
      <c r="BC785" t="s">
        <v>61</v>
      </c>
      <c r="BD785" t="s">
        <v>61</v>
      </c>
      <c r="BE785" t="s">
        <v>61</v>
      </c>
      <c r="BF785" t="s">
        <v>61</v>
      </c>
    </row>
    <row r="786" spans="1:58">
      <c r="A786" t="s">
        <v>142</v>
      </c>
      <c r="B786" t="s">
        <v>6548</v>
      </c>
      <c r="C786" t="s">
        <v>6555</v>
      </c>
      <c r="D786" t="s">
        <v>61</v>
      </c>
      <c r="E786" t="s">
        <v>61</v>
      </c>
      <c r="F786">
        <v>1995</v>
      </c>
      <c r="G786" t="s">
        <v>61</v>
      </c>
      <c r="H786" t="s">
        <v>61</v>
      </c>
      <c r="I786" t="s">
        <v>61</v>
      </c>
      <c r="J786">
        <v>224</v>
      </c>
      <c r="K786" t="s">
        <v>61</v>
      </c>
      <c r="L786" t="s">
        <v>6550</v>
      </c>
      <c r="M786" t="s">
        <v>6556</v>
      </c>
      <c r="N786" t="s">
        <v>6557</v>
      </c>
      <c r="O786" t="s">
        <v>61</v>
      </c>
      <c r="Q786" t="s">
        <v>61</v>
      </c>
      <c r="R786" t="s">
        <v>61</v>
      </c>
      <c r="S786" t="s">
        <v>61</v>
      </c>
      <c r="T786" t="s">
        <v>61</v>
      </c>
      <c r="X786" t="s">
        <v>61</v>
      </c>
      <c r="Y786" t="s">
        <v>61</v>
      </c>
      <c r="Z786" t="s">
        <v>61</v>
      </c>
      <c r="AA786" t="s">
        <v>61</v>
      </c>
      <c r="AB786" t="s">
        <v>6558</v>
      </c>
      <c r="AC786" t="s">
        <v>67</v>
      </c>
      <c r="AD786" t="s">
        <v>61</v>
      </c>
      <c r="AE786" t="s">
        <v>61</v>
      </c>
      <c r="AF786" t="s">
        <v>61</v>
      </c>
      <c r="AG786" t="s">
        <v>61</v>
      </c>
      <c r="AH786" t="s">
        <v>61</v>
      </c>
      <c r="AI786" t="s">
        <v>61</v>
      </c>
      <c r="AJ786" t="s">
        <v>61</v>
      </c>
      <c r="AK786" t="s">
        <v>61</v>
      </c>
      <c r="AL786" t="s">
        <v>61</v>
      </c>
      <c r="AM786" t="s">
        <v>6559</v>
      </c>
      <c r="AN786" t="s">
        <v>61</v>
      </c>
      <c r="AO786" t="s">
        <v>61</v>
      </c>
      <c r="AP786" t="s">
        <v>61</v>
      </c>
      <c r="AQ786" t="s">
        <v>61</v>
      </c>
      <c r="AR786" t="s">
        <v>61</v>
      </c>
      <c r="AS786" t="s">
        <v>61</v>
      </c>
      <c r="AT786" t="s">
        <v>61</v>
      </c>
      <c r="AU786" t="s">
        <v>61</v>
      </c>
      <c r="AV786" t="s">
        <v>61</v>
      </c>
      <c r="AW786" t="s">
        <v>61</v>
      </c>
      <c r="AX786" t="s">
        <v>61</v>
      </c>
      <c r="AY786" t="s">
        <v>61</v>
      </c>
      <c r="AZ786" t="s">
        <v>61</v>
      </c>
      <c r="BA786" t="s">
        <v>61</v>
      </c>
      <c r="BB786" t="s">
        <v>61</v>
      </c>
      <c r="BC786" t="s">
        <v>61</v>
      </c>
      <c r="BD786" t="s">
        <v>61</v>
      </c>
      <c r="BE786" t="s">
        <v>61</v>
      </c>
      <c r="BF786" t="s">
        <v>61</v>
      </c>
    </row>
    <row r="787" spans="1:58">
      <c r="A787" t="s">
        <v>58</v>
      </c>
      <c r="B787" t="s">
        <v>6560</v>
      </c>
      <c r="C787" t="s">
        <v>6561</v>
      </c>
      <c r="D787" t="s">
        <v>661</v>
      </c>
      <c r="E787" t="s">
        <v>61</v>
      </c>
      <c r="F787">
        <v>2010</v>
      </c>
      <c r="G787" t="s">
        <v>391</v>
      </c>
      <c r="H787">
        <v>10</v>
      </c>
      <c r="I787">
        <v>1</v>
      </c>
      <c r="J787">
        <v>17</v>
      </c>
      <c r="K787">
        <v>18</v>
      </c>
      <c r="L787" t="s">
        <v>6562</v>
      </c>
      <c r="M787" t="s">
        <v>6563</v>
      </c>
      <c r="N787" t="s">
        <v>6564</v>
      </c>
      <c r="O787" t="s">
        <v>61</v>
      </c>
      <c r="Q787" t="s">
        <v>61</v>
      </c>
      <c r="R787" t="s">
        <v>61</v>
      </c>
      <c r="S787" t="s">
        <v>61</v>
      </c>
      <c r="T787" t="s">
        <v>61</v>
      </c>
      <c r="X787" t="s">
        <v>61</v>
      </c>
      <c r="Y787" t="s">
        <v>2932</v>
      </c>
      <c r="Z787" t="s">
        <v>61</v>
      </c>
      <c r="AA787" t="s">
        <v>61</v>
      </c>
      <c r="AB787" t="s">
        <v>61</v>
      </c>
      <c r="AC787" t="s">
        <v>67</v>
      </c>
      <c r="AD787" t="s">
        <v>61</v>
      </c>
      <c r="AE787" t="s">
        <v>61</v>
      </c>
      <c r="AF787" t="s">
        <v>61</v>
      </c>
      <c r="AG787" t="s">
        <v>61</v>
      </c>
      <c r="AH787" t="s">
        <v>61</v>
      </c>
      <c r="AI787" t="s">
        <v>61</v>
      </c>
      <c r="AJ787" t="s">
        <v>61</v>
      </c>
      <c r="AK787" t="s">
        <v>61</v>
      </c>
      <c r="AL787" t="s">
        <v>61</v>
      </c>
      <c r="AM787" t="s">
        <v>6561</v>
      </c>
      <c r="AN787" t="s">
        <v>61</v>
      </c>
      <c r="AO787" t="s">
        <v>61</v>
      </c>
      <c r="AP787" t="s">
        <v>61</v>
      </c>
      <c r="AQ787" t="s">
        <v>61</v>
      </c>
      <c r="AR787" t="s">
        <v>61</v>
      </c>
      <c r="AS787" t="s">
        <v>61</v>
      </c>
      <c r="AT787" t="s">
        <v>61</v>
      </c>
      <c r="AU787" t="s">
        <v>61</v>
      </c>
      <c r="AV787" t="s">
        <v>61</v>
      </c>
      <c r="AW787" t="s">
        <v>61</v>
      </c>
      <c r="AX787" t="s">
        <v>61</v>
      </c>
      <c r="AY787" t="s">
        <v>61</v>
      </c>
      <c r="AZ787" t="s">
        <v>61</v>
      </c>
      <c r="BA787" t="s">
        <v>61</v>
      </c>
      <c r="BB787" t="s">
        <v>61</v>
      </c>
      <c r="BC787" t="s">
        <v>61</v>
      </c>
      <c r="BD787" t="s">
        <v>61</v>
      </c>
      <c r="BE787" t="s">
        <v>61</v>
      </c>
      <c r="BF787" t="s">
        <v>61</v>
      </c>
    </row>
    <row r="788" spans="1:58">
      <c r="A788" t="s">
        <v>58</v>
      </c>
      <c r="B788" t="s">
        <v>6565</v>
      </c>
      <c r="C788" t="s">
        <v>6566</v>
      </c>
      <c r="D788" t="s">
        <v>6567</v>
      </c>
      <c r="E788" t="s">
        <v>61</v>
      </c>
      <c r="F788">
        <v>2015</v>
      </c>
      <c r="G788" t="s">
        <v>237</v>
      </c>
      <c r="H788">
        <v>24</v>
      </c>
      <c r="I788">
        <v>7</v>
      </c>
      <c r="J788">
        <v>716</v>
      </c>
      <c r="K788">
        <v>721</v>
      </c>
      <c r="L788" t="s">
        <v>6568</v>
      </c>
      <c r="M788" t="s">
        <v>6569</v>
      </c>
      <c r="N788" t="s">
        <v>6570</v>
      </c>
      <c r="O788" t="s">
        <v>61</v>
      </c>
      <c r="Q788" t="s">
        <v>61</v>
      </c>
      <c r="R788" t="s">
        <v>61</v>
      </c>
      <c r="S788" t="s">
        <v>61</v>
      </c>
      <c r="T788" t="s">
        <v>61</v>
      </c>
      <c r="X788" t="s">
        <v>61</v>
      </c>
      <c r="Y788" t="s">
        <v>6571</v>
      </c>
      <c r="Z788" t="s">
        <v>61</v>
      </c>
      <c r="AA788" t="s">
        <v>6572</v>
      </c>
      <c r="AB788">
        <v>26016832</v>
      </c>
      <c r="AC788" t="s">
        <v>67</v>
      </c>
      <c r="AD788" t="s">
        <v>61</v>
      </c>
      <c r="AE788" t="s">
        <v>61</v>
      </c>
      <c r="AF788" t="s">
        <v>61</v>
      </c>
      <c r="AG788" t="s">
        <v>6573</v>
      </c>
      <c r="AH788" t="s">
        <v>61</v>
      </c>
      <c r="AI788" t="s">
        <v>6574</v>
      </c>
      <c r="AJ788" t="s">
        <v>61</v>
      </c>
      <c r="AK788" t="s">
        <v>61</v>
      </c>
      <c r="AL788" t="s">
        <v>61</v>
      </c>
      <c r="AM788" t="s">
        <v>6575</v>
      </c>
      <c r="AN788" t="s">
        <v>61</v>
      </c>
      <c r="AO788" t="s">
        <v>61</v>
      </c>
      <c r="AP788" t="s">
        <v>61</v>
      </c>
      <c r="AQ788" t="s">
        <v>61</v>
      </c>
      <c r="AR788" t="s">
        <v>61</v>
      </c>
      <c r="AS788" t="s">
        <v>61</v>
      </c>
      <c r="AT788" t="s">
        <v>61</v>
      </c>
      <c r="AU788" t="s">
        <v>61</v>
      </c>
      <c r="AV788" t="s">
        <v>61</v>
      </c>
      <c r="AW788" t="s">
        <v>61</v>
      </c>
      <c r="AX788" t="s">
        <v>61</v>
      </c>
      <c r="AY788" t="s">
        <v>61</v>
      </c>
      <c r="AZ788" t="s">
        <v>61</v>
      </c>
      <c r="BA788" t="s">
        <v>61</v>
      </c>
      <c r="BB788" t="s">
        <v>61</v>
      </c>
      <c r="BC788" t="s">
        <v>61</v>
      </c>
      <c r="BD788" t="s">
        <v>61</v>
      </c>
      <c r="BE788" t="s">
        <v>61</v>
      </c>
      <c r="BF788" t="s">
        <v>61</v>
      </c>
    </row>
    <row r="789" spans="1:58">
      <c r="A789" t="s">
        <v>58</v>
      </c>
      <c r="B789" t="s">
        <v>6576</v>
      </c>
      <c r="C789" t="s">
        <v>6577</v>
      </c>
      <c r="D789" t="s">
        <v>635</v>
      </c>
      <c r="E789" t="s">
        <v>636</v>
      </c>
      <c r="F789">
        <v>2015</v>
      </c>
      <c r="G789">
        <v>1</v>
      </c>
      <c r="H789" t="s">
        <v>6578</v>
      </c>
      <c r="I789" t="s">
        <v>61</v>
      </c>
      <c r="J789">
        <v>161</v>
      </c>
      <c r="K789">
        <v>162</v>
      </c>
      <c r="L789" t="s">
        <v>6579</v>
      </c>
      <c r="M789" t="s">
        <v>6580</v>
      </c>
      <c r="N789" t="s">
        <v>6581</v>
      </c>
      <c r="O789" t="s">
        <v>61</v>
      </c>
      <c r="Q789" t="s">
        <v>61</v>
      </c>
      <c r="R789" t="s">
        <v>61</v>
      </c>
      <c r="S789" t="s">
        <v>61</v>
      </c>
      <c r="T789" t="s">
        <v>61</v>
      </c>
      <c r="X789" t="s">
        <v>61</v>
      </c>
      <c r="Y789" t="s">
        <v>642</v>
      </c>
      <c r="Z789" t="s">
        <v>61</v>
      </c>
      <c r="AA789" t="s">
        <v>61</v>
      </c>
      <c r="AB789" t="s">
        <v>61</v>
      </c>
      <c r="AC789" t="s">
        <v>67</v>
      </c>
      <c r="AD789" t="s">
        <v>61</v>
      </c>
      <c r="AE789" t="s">
        <v>61</v>
      </c>
      <c r="AF789" t="s">
        <v>61</v>
      </c>
      <c r="AG789" t="s">
        <v>61</v>
      </c>
      <c r="AH789" t="s">
        <v>61</v>
      </c>
      <c r="AI789" t="s">
        <v>61</v>
      </c>
      <c r="AJ789" t="s">
        <v>61</v>
      </c>
      <c r="AK789" t="s">
        <v>61</v>
      </c>
      <c r="AL789" t="s">
        <v>61</v>
      </c>
      <c r="AM789" t="s">
        <v>6577</v>
      </c>
      <c r="AN789" t="s">
        <v>61</v>
      </c>
      <c r="AO789" t="s">
        <v>61</v>
      </c>
      <c r="AP789" t="s">
        <v>61</v>
      </c>
      <c r="AQ789" t="s">
        <v>61</v>
      </c>
      <c r="AR789" t="s">
        <v>61</v>
      </c>
      <c r="AS789" t="s">
        <v>61</v>
      </c>
      <c r="AT789" t="s">
        <v>61</v>
      </c>
      <c r="AU789" t="s">
        <v>61</v>
      </c>
      <c r="AV789" t="s">
        <v>61</v>
      </c>
      <c r="AW789" t="s">
        <v>61</v>
      </c>
      <c r="AX789" t="s">
        <v>61</v>
      </c>
      <c r="AY789" t="s">
        <v>61</v>
      </c>
      <c r="AZ789" t="s">
        <v>61</v>
      </c>
      <c r="BA789" t="s">
        <v>61</v>
      </c>
      <c r="BB789" t="s">
        <v>61</v>
      </c>
      <c r="BC789" t="s">
        <v>61</v>
      </c>
      <c r="BD789" t="s">
        <v>61</v>
      </c>
      <c r="BE789" t="s">
        <v>61</v>
      </c>
      <c r="BF789" t="s">
        <v>61</v>
      </c>
    </row>
    <row r="790" spans="1:58">
      <c r="A790" t="s">
        <v>58</v>
      </c>
      <c r="B790" t="s">
        <v>6582</v>
      </c>
      <c r="C790" t="s">
        <v>6583</v>
      </c>
      <c r="D790" t="s">
        <v>6584</v>
      </c>
      <c r="E790" t="s">
        <v>6585</v>
      </c>
      <c r="F790">
        <v>1997</v>
      </c>
      <c r="G790" t="s">
        <v>61</v>
      </c>
      <c r="H790">
        <v>22</v>
      </c>
      <c r="I790">
        <v>6</v>
      </c>
      <c r="J790">
        <v>469</v>
      </c>
      <c r="K790">
        <v>479</v>
      </c>
      <c r="L790" t="s">
        <v>6586</v>
      </c>
      <c r="M790" t="s">
        <v>6587</v>
      </c>
      <c r="N790" t="s">
        <v>6588</v>
      </c>
      <c r="O790" t="s">
        <v>61</v>
      </c>
      <c r="Q790" t="s">
        <v>61</v>
      </c>
      <c r="R790" t="s">
        <v>61</v>
      </c>
      <c r="S790" t="s">
        <v>61</v>
      </c>
      <c r="T790" t="s">
        <v>61</v>
      </c>
      <c r="X790" t="s">
        <v>61</v>
      </c>
      <c r="Y790" t="s">
        <v>6589</v>
      </c>
      <c r="Z790" t="s">
        <v>61</v>
      </c>
      <c r="AA790" t="s">
        <v>61</v>
      </c>
      <c r="AB790">
        <v>1997369620</v>
      </c>
      <c r="AC790" t="s">
        <v>67</v>
      </c>
      <c r="AD790" t="s">
        <v>61</v>
      </c>
      <c r="AE790" t="s">
        <v>61</v>
      </c>
      <c r="AF790" t="s">
        <v>61</v>
      </c>
      <c r="AG790" t="s">
        <v>6590</v>
      </c>
      <c r="AH790" t="s">
        <v>61</v>
      </c>
      <c r="AI790" t="s">
        <v>61</v>
      </c>
      <c r="AJ790" t="s">
        <v>61</v>
      </c>
      <c r="AK790" t="s">
        <v>61</v>
      </c>
      <c r="AL790" t="s">
        <v>61</v>
      </c>
      <c r="AM790" t="s">
        <v>6591</v>
      </c>
      <c r="AN790" t="s">
        <v>61</v>
      </c>
      <c r="AO790" t="s">
        <v>61</v>
      </c>
      <c r="AP790" t="s">
        <v>61</v>
      </c>
      <c r="AQ790" t="s">
        <v>61</v>
      </c>
      <c r="AR790" t="s">
        <v>61</v>
      </c>
      <c r="AS790" t="s">
        <v>61</v>
      </c>
      <c r="AT790" t="s">
        <v>61</v>
      </c>
      <c r="AU790" t="s">
        <v>61</v>
      </c>
      <c r="AV790" t="s">
        <v>61</v>
      </c>
      <c r="AW790" t="s">
        <v>61</v>
      </c>
      <c r="AX790" t="s">
        <v>61</v>
      </c>
      <c r="AY790" t="s">
        <v>61</v>
      </c>
      <c r="AZ790" t="s">
        <v>61</v>
      </c>
      <c r="BA790" t="s">
        <v>61</v>
      </c>
      <c r="BB790" t="s">
        <v>61</v>
      </c>
      <c r="BC790" t="s">
        <v>61</v>
      </c>
      <c r="BD790" t="s">
        <v>61</v>
      </c>
      <c r="BE790" t="s">
        <v>61</v>
      </c>
      <c r="BF790" t="s">
        <v>61</v>
      </c>
    </row>
    <row r="791" spans="1:58">
      <c r="A791" t="s">
        <v>58</v>
      </c>
      <c r="B791" t="s">
        <v>6592</v>
      </c>
      <c r="C791" t="s">
        <v>6593</v>
      </c>
      <c r="D791" t="s">
        <v>475</v>
      </c>
      <c r="E791" t="s">
        <v>61</v>
      </c>
      <c r="F791">
        <v>2014</v>
      </c>
      <c r="G791" t="s">
        <v>637</v>
      </c>
      <c r="H791">
        <v>36</v>
      </c>
      <c r="I791">
        <v>4</v>
      </c>
      <c r="J791">
        <v>856</v>
      </c>
      <c r="K791" t="s">
        <v>61</v>
      </c>
      <c r="L791" t="s">
        <v>6594</v>
      </c>
      <c r="M791" t="s">
        <v>6595</v>
      </c>
      <c r="N791" t="s">
        <v>6596</v>
      </c>
      <c r="O791" t="s">
        <v>61</v>
      </c>
      <c r="Q791" t="s">
        <v>61</v>
      </c>
      <c r="R791" t="s">
        <v>61</v>
      </c>
      <c r="S791" t="s">
        <v>61</v>
      </c>
      <c r="T791" t="s">
        <v>61</v>
      </c>
      <c r="X791" t="s">
        <v>61</v>
      </c>
      <c r="Y791" t="s">
        <v>308</v>
      </c>
      <c r="Z791" t="s">
        <v>61</v>
      </c>
      <c r="AA791" t="s">
        <v>61</v>
      </c>
      <c r="AB791" t="s">
        <v>61</v>
      </c>
      <c r="AC791" t="s">
        <v>67</v>
      </c>
      <c r="AD791" t="s">
        <v>61</v>
      </c>
      <c r="AE791" t="s">
        <v>61</v>
      </c>
      <c r="AF791" t="s">
        <v>61</v>
      </c>
      <c r="AG791" t="s">
        <v>61</v>
      </c>
      <c r="AH791" t="s">
        <v>61</v>
      </c>
      <c r="AI791" t="s">
        <v>61</v>
      </c>
      <c r="AJ791" t="s">
        <v>61</v>
      </c>
      <c r="AK791" t="s">
        <v>61</v>
      </c>
      <c r="AL791" t="s">
        <v>61</v>
      </c>
      <c r="AM791" t="s">
        <v>6593</v>
      </c>
      <c r="AN791" t="s">
        <v>61</v>
      </c>
      <c r="AO791" t="s">
        <v>61</v>
      </c>
      <c r="AP791" t="s">
        <v>61</v>
      </c>
      <c r="AQ791" t="s">
        <v>61</v>
      </c>
      <c r="AR791" t="s">
        <v>61</v>
      </c>
      <c r="AS791" t="s">
        <v>61</v>
      </c>
      <c r="AT791" t="s">
        <v>61</v>
      </c>
      <c r="AU791" t="s">
        <v>61</v>
      </c>
      <c r="AV791" t="s">
        <v>61</v>
      </c>
      <c r="AW791" t="s">
        <v>61</v>
      </c>
      <c r="AX791" t="s">
        <v>61</v>
      </c>
      <c r="AY791" t="s">
        <v>61</v>
      </c>
      <c r="AZ791" t="s">
        <v>61</v>
      </c>
      <c r="BA791" t="s">
        <v>61</v>
      </c>
      <c r="BB791" t="s">
        <v>61</v>
      </c>
      <c r="BC791" t="s">
        <v>61</v>
      </c>
      <c r="BD791" t="s">
        <v>61</v>
      </c>
      <c r="BE791" t="s">
        <v>61</v>
      </c>
      <c r="BF791" t="s">
        <v>61</v>
      </c>
    </row>
    <row r="792" spans="1:58">
      <c r="A792" t="s">
        <v>58</v>
      </c>
      <c r="B792" t="s">
        <v>6597</v>
      </c>
      <c r="C792" t="s">
        <v>6598</v>
      </c>
      <c r="D792" t="s">
        <v>162</v>
      </c>
      <c r="E792" t="s">
        <v>163</v>
      </c>
      <c r="F792">
        <v>2006</v>
      </c>
      <c r="G792" t="s">
        <v>381</v>
      </c>
      <c r="H792">
        <v>46</v>
      </c>
      <c r="I792">
        <v>2</v>
      </c>
      <c r="J792">
        <v>149</v>
      </c>
      <c r="K792">
        <v>156</v>
      </c>
      <c r="L792" t="s">
        <v>6599</v>
      </c>
      <c r="M792" t="s">
        <v>6600</v>
      </c>
      <c r="N792" t="s">
        <v>6601</v>
      </c>
      <c r="O792" t="s">
        <v>61</v>
      </c>
      <c r="Q792" t="s">
        <v>61</v>
      </c>
      <c r="R792" t="s">
        <v>61</v>
      </c>
      <c r="S792" t="s">
        <v>61</v>
      </c>
      <c r="T792" t="s">
        <v>61</v>
      </c>
      <c r="X792" t="s">
        <v>61</v>
      </c>
      <c r="Y792" t="s">
        <v>902</v>
      </c>
      <c r="Z792" t="s">
        <v>61</v>
      </c>
      <c r="AA792" t="s">
        <v>61</v>
      </c>
      <c r="AB792">
        <v>2006050155</v>
      </c>
      <c r="AC792" t="s">
        <v>67</v>
      </c>
      <c r="AD792" t="s">
        <v>61</v>
      </c>
      <c r="AE792" t="s">
        <v>61</v>
      </c>
      <c r="AF792" t="s">
        <v>61</v>
      </c>
      <c r="AG792" t="s">
        <v>6602</v>
      </c>
      <c r="AH792" t="s">
        <v>61</v>
      </c>
      <c r="AI792" t="s">
        <v>61</v>
      </c>
      <c r="AJ792" t="s">
        <v>61</v>
      </c>
      <c r="AK792" t="s">
        <v>61</v>
      </c>
      <c r="AL792" t="s">
        <v>61</v>
      </c>
      <c r="AM792" t="s">
        <v>6603</v>
      </c>
      <c r="AN792" t="s">
        <v>61</v>
      </c>
      <c r="AO792" t="s">
        <v>61</v>
      </c>
      <c r="AP792" t="s">
        <v>61</v>
      </c>
      <c r="AQ792" t="s">
        <v>61</v>
      </c>
      <c r="AR792" t="s">
        <v>61</v>
      </c>
      <c r="AS792" t="s">
        <v>61</v>
      </c>
      <c r="AT792" t="s">
        <v>61</v>
      </c>
      <c r="AU792" t="s">
        <v>61</v>
      </c>
      <c r="AV792" t="s">
        <v>61</v>
      </c>
      <c r="AW792" t="s">
        <v>61</v>
      </c>
      <c r="AX792" t="s">
        <v>61</v>
      </c>
      <c r="AY792" t="s">
        <v>61</v>
      </c>
      <c r="AZ792" t="s">
        <v>61</v>
      </c>
      <c r="BA792" t="s">
        <v>61</v>
      </c>
      <c r="BB792" t="s">
        <v>61</v>
      </c>
      <c r="BC792" t="s">
        <v>61</v>
      </c>
      <c r="BD792" t="s">
        <v>61</v>
      </c>
      <c r="BE792" t="s">
        <v>61</v>
      </c>
      <c r="BF792" t="s">
        <v>61</v>
      </c>
    </row>
    <row r="793" spans="1:58">
      <c r="A793" t="s">
        <v>58</v>
      </c>
      <c r="B793" t="s">
        <v>6604</v>
      </c>
      <c r="C793" t="s">
        <v>6605</v>
      </c>
      <c r="D793" t="s">
        <v>6606</v>
      </c>
      <c r="E793" t="s">
        <v>61</v>
      </c>
      <c r="F793">
        <v>2014</v>
      </c>
      <c r="G793" t="s">
        <v>61</v>
      </c>
      <c r="H793" t="s">
        <v>6607</v>
      </c>
      <c r="I793" t="s">
        <v>61</v>
      </c>
      <c r="J793" t="s">
        <v>6608</v>
      </c>
      <c r="K793">
        <v>8</v>
      </c>
      <c r="L793" t="s">
        <v>6609</v>
      </c>
      <c r="M793" t="s">
        <v>6610</v>
      </c>
      <c r="N793" t="s">
        <v>6611</v>
      </c>
      <c r="O793" t="s">
        <v>61</v>
      </c>
      <c r="Q793" t="s">
        <v>61</v>
      </c>
      <c r="R793" t="s">
        <v>61</v>
      </c>
      <c r="S793" t="s">
        <v>61</v>
      </c>
      <c r="T793" t="s">
        <v>61</v>
      </c>
      <c r="X793" t="s">
        <v>61</v>
      </c>
      <c r="Y793" t="s">
        <v>6612</v>
      </c>
      <c r="Z793" t="s">
        <v>61</v>
      </c>
      <c r="AA793" t="s">
        <v>6613</v>
      </c>
      <c r="AB793">
        <v>25428741</v>
      </c>
      <c r="AC793" t="s">
        <v>67</v>
      </c>
      <c r="AD793" t="s">
        <v>61</v>
      </c>
      <c r="AE793" t="s">
        <v>61</v>
      </c>
      <c r="AF793" t="s">
        <v>61</v>
      </c>
      <c r="AG793" t="s">
        <v>6614</v>
      </c>
      <c r="AH793" t="s">
        <v>61</v>
      </c>
      <c r="AI793" t="s">
        <v>61</v>
      </c>
      <c r="AJ793" t="s">
        <v>61</v>
      </c>
      <c r="AK793" t="s">
        <v>61</v>
      </c>
      <c r="AL793" t="s">
        <v>61</v>
      </c>
      <c r="AM793" t="s">
        <v>6615</v>
      </c>
      <c r="AN793" t="s">
        <v>61</v>
      </c>
      <c r="AO793" t="s">
        <v>61</v>
      </c>
      <c r="AP793" t="s">
        <v>61</v>
      </c>
      <c r="AQ793" t="s">
        <v>61</v>
      </c>
      <c r="AR793" t="s">
        <v>61</v>
      </c>
      <c r="AS793" t="s">
        <v>61</v>
      </c>
      <c r="AT793" t="s">
        <v>61</v>
      </c>
      <c r="AU793" t="s">
        <v>61</v>
      </c>
      <c r="AV793" t="s">
        <v>61</v>
      </c>
      <c r="AW793" t="s">
        <v>61</v>
      </c>
      <c r="AX793" t="s">
        <v>61</v>
      </c>
      <c r="AY793" t="s">
        <v>61</v>
      </c>
      <c r="AZ793" t="s">
        <v>61</v>
      </c>
      <c r="BA793" t="s">
        <v>61</v>
      </c>
      <c r="BB793" t="s">
        <v>61</v>
      </c>
      <c r="BC793" t="s">
        <v>61</v>
      </c>
      <c r="BD793" t="s">
        <v>61</v>
      </c>
      <c r="BE793" t="s">
        <v>61</v>
      </c>
      <c r="BF793" t="s">
        <v>61</v>
      </c>
    </row>
    <row r="794" spans="1:58">
      <c r="A794" t="s">
        <v>58</v>
      </c>
      <c r="B794" t="s">
        <v>6616</v>
      </c>
      <c r="C794" t="s">
        <v>6617</v>
      </c>
      <c r="D794" t="s">
        <v>6618</v>
      </c>
      <c r="E794" t="s">
        <v>6619</v>
      </c>
      <c r="F794">
        <v>1977</v>
      </c>
      <c r="G794" t="s">
        <v>61</v>
      </c>
      <c r="H794">
        <v>9</v>
      </c>
      <c r="I794">
        <v>3</v>
      </c>
      <c r="J794">
        <v>193</v>
      </c>
      <c r="K794" t="s">
        <v>61</v>
      </c>
      <c r="L794" t="s">
        <v>6620</v>
      </c>
      <c r="M794" t="s">
        <v>6621</v>
      </c>
      <c r="N794" t="s">
        <v>6622</v>
      </c>
      <c r="O794" t="s">
        <v>61</v>
      </c>
      <c r="Q794" t="s">
        <v>61</v>
      </c>
      <c r="R794" t="s">
        <v>61</v>
      </c>
      <c r="S794" t="s">
        <v>61</v>
      </c>
      <c r="T794" t="s">
        <v>61</v>
      </c>
      <c r="X794" t="s">
        <v>61</v>
      </c>
      <c r="Y794" t="s">
        <v>6623</v>
      </c>
      <c r="Z794" t="s">
        <v>61</v>
      </c>
      <c r="AA794" t="s">
        <v>61</v>
      </c>
      <c r="AB794">
        <v>1978393383</v>
      </c>
      <c r="AC794" t="s">
        <v>67</v>
      </c>
      <c r="AD794" t="s">
        <v>61</v>
      </c>
      <c r="AE794" t="s">
        <v>61</v>
      </c>
      <c r="AF794" t="s">
        <v>61</v>
      </c>
      <c r="AG794" t="s">
        <v>61</v>
      </c>
      <c r="AH794" t="s">
        <v>61</v>
      </c>
      <c r="AI794" t="s">
        <v>61</v>
      </c>
      <c r="AJ794" t="s">
        <v>61</v>
      </c>
      <c r="AK794" t="s">
        <v>61</v>
      </c>
      <c r="AL794" t="s">
        <v>61</v>
      </c>
      <c r="AM794" t="s">
        <v>6617</v>
      </c>
      <c r="AN794" t="s">
        <v>61</v>
      </c>
      <c r="AO794" t="s">
        <v>61</v>
      </c>
      <c r="AP794" t="s">
        <v>61</v>
      </c>
      <c r="AQ794" t="s">
        <v>61</v>
      </c>
      <c r="AR794" t="s">
        <v>61</v>
      </c>
      <c r="AS794" t="s">
        <v>61</v>
      </c>
      <c r="AT794" t="s">
        <v>61</v>
      </c>
      <c r="AU794" t="s">
        <v>61</v>
      </c>
      <c r="AV794" t="s">
        <v>61</v>
      </c>
      <c r="AW794" t="s">
        <v>61</v>
      </c>
      <c r="AX794" t="s">
        <v>61</v>
      </c>
      <c r="AY794" t="s">
        <v>61</v>
      </c>
      <c r="AZ794" t="s">
        <v>61</v>
      </c>
      <c r="BA794" t="s">
        <v>61</v>
      </c>
      <c r="BB794" t="s">
        <v>61</v>
      </c>
      <c r="BC794" t="s">
        <v>61</v>
      </c>
      <c r="BD794" t="s">
        <v>61</v>
      </c>
      <c r="BE794" t="s">
        <v>61</v>
      </c>
      <c r="BF794" t="s">
        <v>61</v>
      </c>
    </row>
    <row r="795" spans="1:58">
      <c r="A795" t="s">
        <v>58</v>
      </c>
      <c r="B795" t="s">
        <v>6624</v>
      </c>
      <c r="C795" t="s">
        <v>6625</v>
      </c>
      <c r="D795" t="s">
        <v>1287</v>
      </c>
      <c r="E795" t="s">
        <v>1288</v>
      </c>
      <c r="F795">
        <v>2015</v>
      </c>
      <c r="G795" t="s">
        <v>637</v>
      </c>
      <c r="H795">
        <v>37</v>
      </c>
      <c r="I795">
        <v>8</v>
      </c>
      <c r="J795" t="s">
        <v>6626</v>
      </c>
      <c r="K795" t="s">
        <v>6627</v>
      </c>
      <c r="L795" t="s">
        <v>6628</v>
      </c>
      <c r="M795" t="s">
        <v>6629</v>
      </c>
      <c r="N795" t="s">
        <v>6630</v>
      </c>
      <c r="O795" t="s">
        <v>61</v>
      </c>
      <c r="Q795" t="s">
        <v>61</v>
      </c>
      <c r="R795" t="s">
        <v>61</v>
      </c>
      <c r="S795" t="s">
        <v>61</v>
      </c>
      <c r="T795" t="s">
        <v>61</v>
      </c>
      <c r="X795" t="s">
        <v>61</v>
      </c>
      <c r="Y795" t="s">
        <v>1293</v>
      </c>
      <c r="Z795" t="s">
        <v>61</v>
      </c>
      <c r="AA795" t="s">
        <v>61</v>
      </c>
      <c r="AB795" t="s">
        <v>61</v>
      </c>
      <c r="AC795" t="s">
        <v>67</v>
      </c>
      <c r="AD795" t="s">
        <v>61</v>
      </c>
      <c r="AE795" t="s">
        <v>61</v>
      </c>
      <c r="AF795" t="s">
        <v>61</v>
      </c>
      <c r="AG795" t="s">
        <v>61</v>
      </c>
      <c r="AH795" t="s">
        <v>61</v>
      </c>
      <c r="AI795" t="s">
        <v>61</v>
      </c>
      <c r="AJ795" t="s">
        <v>61</v>
      </c>
      <c r="AK795" t="s">
        <v>61</v>
      </c>
      <c r="AL795" t="s">
        <v>61</v>
      </c>
      <c r="AM795" t="s">
        <v>6625</v>
      </c>
      <c r="AN795" t="s">
        <v>61</v>
      </c>
      <c r="AO795" t="s">
        <v>61</v>
      </c>
      <c r="AP795" t="s">
        <v>61</v>
      </c>
      <c r="AQ795" t="s">
        <v>61</v>
      </c>
      <c r="AR795" t="s">
        <v>61</v>
      </c>
      <c r="AS795" t="s">
        <v>61</v>
      </c>
      <c r="AT795" t="s">
        <v>61</v>
      </c>
      <c r="AU795" t="s">
        <v>61</v>
      </c>
      <c r="AV795" t="s">
        <v>61</v>
      </c>
      <c r="AW795" t="s">
        <v>61</v>
      </c>
      <c r="AX795" t="s">
        <v>61</v>
      </c>
      <c r="AY795" t="s">
        <v>61</v>
      </c>
      <c r="AZ795" t="s">
        <v>61</v>
      </c>
      <c r="BA795" t="s">
        <v>61</v>
      </c>
      <c r="BB795" t="s">
        <v>61</v>
      </c>
      <c r="BC795" t="s">
        <v>61</v>
      </c>
      <c r="BD795" t="s">
        <v>61</v>
      </c>
      <c r="BE795" t="s">
        <v>61</v>
      </c>
      <c r="BF795" t="s">
        <v>61</v>
      </c>
    </row>
    <row r="796" spans="1:58">
      <c r="A796" t="s">
        <v>58</v>
      </c>
      <c r="B796" t="s">
        <v>6631</v>
      </c>
      <c r="C796" t="s">
        <v>6632</v>
      </c>
      <c r="D796" t="s">
        <v>1877</v>
      </c>
      <c r="E796" t="s">
        <v>61</v>
      </c>
      <c r="F796">
        <v>2000</v>
      </c>
      <c r="G796" t="s">
        <v>61</v>
      </c>
      <c r="H796">
        <v>35</v>
      </c>
      <c r="I796">
        <v>6</v>
      </c>
      <c r="J796">
        <v>537</v>
      </c>
      <c r="K796">
        <v>547</v>
      </c>
      <c r="L796" t="s">
        <v>6633</v>
      </c>
      <c r="M796" t="s">
        <v>6634</v>
      </c>
      <c r="N796" t="s">
        <v>6635</v>
      </c>
      <c r="O796" t="s">
        <v>61</v>
      </c>
      <c r="Q796" t="s">
        <v>61</v>
      </c>
      <c r="R796" t="s">
        <v>61</v>
      </c>
      <c r="S796" t="s">
        <v>61</v>
      </c>
      <c r="T796" t="s">
        <v>61</v>
      </c>
      <c r="X796" t="s">
        <v>61</v>
      </c>
      <c r="Y796" t="s">
        <v>1883</v>
      </c>
      <c r="Z796" t="s">
        <v>61</v>
      </c>
      <c r="AA796" t="s">
        <v>61</v>
      </c>
      <c r="AB796">
        <v>2000431831</v>
      </c>
      <c r="AC796" t="s">
        <v>67</v>
      </c>
      <c r="AD796" t="s">
        <v>61</v>
      </c>
      <c r="AE796" t="s">
        <v>61</v>
      </c>
      <c r="AF796" t="s">
        <v>61</v>
      </c>
      <c r="AG796" t="s">
        <v>6636</v>
      </c>
      <c r="AH796" t="s">
        <v>61</v>
      </c>
      <c r="AI796" t="s">
        <v>61</v>
      </c>
      <c r="AJ796" t="s">
        <v>61</v>
      </c>
      <c r="AK796" t="s">
        <v>61</v>
      </c>
      <c r="AL796" t="s">
        <v>61</v>
      </c>
      <c r="AM796" t="s">
        <v>6637</v>
      </c>
      <c r="AN796" t="s">
        <v>61</v>
      </c>
      <c r="AO796" t="s">
        <v>61</v>
      </c>
      <c r="AP796" t="s">
        <v>61</v>
      </c>
      <c r="AQ796" t="s">
        <v>61</v>
      </c>
      <c r="AR796" t="s">
        <v>61</v>
      </c>
      <c r="AS796" t="s">
        <v>61</v>
      </c>
      <c r="AT796" t="s">
        <v>61</v>
      </c>
      <c r="AU796" t="s">
        <v>61</v>
      </c>
      <c r="AV796" t="s">
        <v>61</v>
      </c>
      <c r="AW796" t="s">
        <v>61</v>
      </c>
      <c r="AX796" t="s">
        <v>61</v>
      </c>
      <c r="AY796" t="s">
        <v>61</v>
      </c>
      <c r="AZ796" t="s">
        <v>61</v>
      </c>
      <c r="BA796" t="s">
        <v>61</v>
      </c>
      <c r="BB796" t="s">
        <v>61</v>
      </c>
      <c r="BC796" t="s">
        <v>61</v>
      </c>
      <c r="BD796" t="s">
        <v>61</v>
      </c>
      <c r="BE796" t="s">
        <v>61</v>
      </c>
      <c r="BF796" t="s">
        <v>61</v>
      </c>
    </row>
    <row r="797" spans="1:58">
      <c r="A797" t="s">
        <v>58</v>
      </c>
      <c r="B797" t="s">
        <v>6638</v>
      </c>
      <c r="C797" t="s">
        <v>6639</v>
      </c>
      <c r="D797" t="s">
        <v>6640</v>
      </c>
      <c r="E797" t="s">
        <v>61</v>
      </c>
      <c r="F797">
        <v>1970</v>
      </c>
      <c r="G797" t="s">
        <v>154</v>
      </c>
      <c r="H797">
        <v>142</v>
      </c>
      <c r="I797">
        <v>4</v>
      </c>
      <c r="J797">
        <v>180</v>
      </c>
      <c r="K797">
        <v>183</v>
      </c>
      <c r="L797" t="s">
        <v>6641</v>
      </c>
      <c r="M797" t="s">
        <v>61</v>
      </c>
      <c r="N797" t="s">
        <v>6642</v>
      </c>
      <c r="O797" t="s">
        <v>61</v>
      </c>
      <c r="Q797" t="s">
        <v>61</v>
      </c>
      <c r="R797" t="s">
        <v>61</v>
      </c>
      <c r="S797" t="s">
        <v>61</v>
      </c>
      <c r="T797" t="s">
        <v>61</v>
      </c>
      <c r="X797" t="s">
        <v>61</v>
      </c>
      <c r="Y797" s="2">
        <v>2763823</v>
      </c>
      <c r="Z797" t="s">
        <v>61</v>
      </c>
      <c r="AA797" t="s">
        <v>61</v>
      </c>
      <c r="AB797">
        <v>5514566</v>
      </c>
      <c r="AC797" t="s">
        <v>67</v>
      </c>
      <c r="AD797" t="s">
        <v>61</v>
      </c>
      <c r="AE797" t="s">
        <v>61</v>
      </c>
      <c r="AF797" t="s">
        <v>61</v>
      </c>
      <c r="AG797" t="s">
        <v>6643</v>
      </c>
      <c r="AH797" t="s">
        <v>61</v>
      </c>
      <c r="AI797" t="s">
        <v>61</v>
      </c>
      <c r="AJ797" t="s">
        <v>61</v>
      </c>
      <c r="AK797" t="s">
        <v>61</v>
      </c>
      <c r="AL797" t="s">
        <v>61</v>
      </c>
      <c r="AM797" t="s">
        <v>6644</v>
      </c>
      <c r="AN797" t="s">
        <v>61</v>
      </c>
      <c r="AO797" t="s">
        <v>61</v>
      </c>
      <c r="AP797" t="s">
        <v>61</v>
      </c>
      <c r="AQ797" t="s">
        <v>61</v>
      </c>
      <c r="AR797" t="s">
        <v>61</v>
      </c>
      <c r="AS797" t="s">
        <v>61</v>
      </c>
      <c r="AT797" t="s">
        <v>61</v>
      </c>
      <c r="AU797" t="s">
        <v>61</v>
      </c>
      <c r="AV797" t="s">
        <v>61</v>
      </c>
      <c r="AW797" t="s">
        <v>61</v>
      </c>
      <c r="AX797" t="s">
        <v>61</v>
      </c>
      <c r="AY797" t="s">
        <v>61</v>
      </c>
      <c r="AZ797" t="s">
        <v>61</v>
      </c>
      <c r="BA797" t="s">
        <v>61</v>
      </c>
      <c r="BB797" t="s">
        <v>61</v>
      </c>
      <c r="BC797" t="s">
        <v>61</v>
      </c>
      <c r="BD797" t="s">
        <v>61</v>
      </c>
      <c r="BE797" t="s">
        <v>61</v>
      </c>
      <c r="BF797" t="s">
        <v>61</v>
      </c>
    </row>
    <row r="798" spans="1:58">
      <c r="A798" t="s">
        <v>58</v>
      </c>
      <c r="B798" t="s">
        <v>6645</v>
      </c>
      <c r="C798" t="s">
        <v>6646</v>
      </c>
      <c r="D798" t="s">
        <v>6059</v>
      </c>
      <c r="E798" t="s">
        <v>6060</v>
      </c>
      <c r="F798">
        <v>2000</v>
      </c>
      <c r="G798" t="s">
        <v>61</v>
      </c>
      <c r="H798">
        <v>909</v>
      </c>
      <c r="I798" t="s">
        <v>61</v>
      </c>
      <c r="J798">
        <v>186</v>
      </c>
      <c r="K798">
        <v>216</v>
      </c>
      <c r="L798" t="s">
        <v>6647</v>
      </c>
      <c r="M798" t="s">
        <v>6648</v>
      </c>
      <c r="N798" t="s">
        <v>6649</v>
      </c>
      <c r="O798" t="s">
        <v>61</v>
      </c>
      <c r="Q798" t="s">
        <v>61</v>
      </c>
      <c r="R798" t="s">
        <v>61</v>
      </c>
      <c r="S798" t="s">
        <v>61</v>
      </c>
      <c r="T798" t="s">
        <v>61</v>
      </c>
      <c r="X798" t="s">
        <v>61</v>
      </c>
      <c r="Y798" t="s">
        <v>6650</v>
      </c>
      <c r="Z798" t="s">
        <v>61</v>
      </c>
      <c r="AA798" t="s">
        <v>6651</v>
      </c>
      <c r="AB798">
        <v>10911931</v>
      </c>
      <c r="AC798" t="s">
        <v>67</v>
      </c>
      <c r="AD798" t="s">
        <v>61</v>
      </c>
      <c r="AE798" t="s">
        <v>61</v>
      </c>
      <c r="AF798" t="s">
        <v>61</v>
      </c>
      <c r="AG798" t="s">
        <v>6652</v>
      </c>
      <c r="AH798" t="s">
        <v>61</v>
      </c>
      <c r="AI798" t="s">
        <v>61</v>
      </c>
      <c r="AJ798" t="s">
        <v>61</v>
      </c>
      <c r="AK798" t="s">
        <v>61</v>
      </c>
      <c r="AL798" t="s">
        <v>61</v>
      </c>
      <c r="AM798" t="s">
        <v>6653</v>
      </c>
      <c r="AN798" t="s">
        <v>61</v>
      </c>
      <c r="AO798" t="s">
        <v>61</v>
      </c>
      <c r="AP798" t="s">
        <v>61</v>
      </c>
      <c r="AQ798" t="s">
        <v>61</v>
      </c>
      <c r="AR798" t="s">
        <v>61</v>
      </c>
      <c r="AS798" t="s">
        <v>61</v>
      </c>
      <c r="AT798" t="s">
        <v>61</v>
      </c>
      <c r="AU798" t="s">
        <v>61</v>
      </c>
      <c r="AV798" t="s">
        <v>61</v>
      </c>
      <c r="AW798" t="s">
        <v>61</v>
      </c>
      <c r="AX798" t="s">
        <v>61</v>
      </c>
      <c r="AY798" t="s">
        <v>61</v>
      </c>
      <c r="AZ798" t="s">
        <v>61</v>
      </c>
      <c r="BA798" t="s">
        <v>61</v>
      </c>
      <c r="BB798" t="s">
        <v>61</v>
      </c>
      <c r="BC798" t="s">
        <v>61</v>
      </c>
      <c r="BD798" t="s">
        <v>61</v>
      </c>
      <c r="BE798" t="s">
        <v>61</v>
      </c>
      <c r="BF798" t="s">
        <v>61</v>
      </c>
    </row>
    <row r="799" spans="1:58">
      <c r="A799" t="s">
        <v>58</v>
      </c>
      <c r="B799" t="s">
        <v>6645</v>
      </c>
      <c r="C799" t="s">
        <v>6654</v>
      </c>
      <c r="D799" t="s">
        <v>6087</v>
      </c>
      <c r="E799" t="s">
        <v>61</v>
      </c>
      <c r="F799">
        <v>1997</v>
      </c>
      <c r="G799" t="s">
        <v>237</v>
      </c>
      <c r="H799">
        <v>57</v>
      </c>
      <c r="I799">
        <v>3</v>
      </c>
      <c r="J799">
        <v>551</v>
      </c>
      <c r="K799">
        <v>569</v>
      </c>
      <c r="L799" t="s">
        <v>6655</v>
      </c>
      <c r="M799" t="s">
        <v>6656</v>
      </c>
      <c r="N799" t="s">
        <v>6657</v>
      </c>
      <c r="O799" t="s">
        <v>61</v>
      </c>
      <c r="Q799" t="s">
        <v>61</v>
      </c>
      <c r="R799" t="s">
        <v>61</v>
      </c>
      <c r="S799" t="s">
        <v>61</v>
      </c>
      <c r="T799" t="s">
        <v>61</v>
      </c>
      <c r="X799" t="s">
        <v>61</v>
      </c>
      <c r="Y799" t="s">
        <v>6658</v>
      </c>
      <c r="Z799" t="s">
        <v>61</v>
      </c>
      <c r="AA799" t="s">
        <v>6659</v>
      </c>
      <c r="AB799">
        <v>9218280</v>
      </c>
      <c r="AC799" t="s">
        <v>67</v>
      </c>
      <c r="AD799" t="s">
        <v>61</v>
      </c>
      <c r="AE799" t="s">
        <v>61</v>
      </c>
      <c r="AF799" t="s">
        <v>61</v>
      </c>
      <c r="AG799" t="s">
        <v>6660</v>
      </c>
      <c r="AH799" t="s">
        <v>61</v>
      </c>
      <c r="AI799" t="s">
        <v>61</v>
      </c>
      <c r="AJ799" t="s">
        <v>61</v>
      </c>
      <c r="AK799" t="s">
        <v>61</v>
      </c>
      <c r="AL799" t="s">
        <v>61</v>
      </c>
      <c r="AM799" t="s">
        <v>6661</v>
      </c>
      <c r="AN799" t="s">
        <v>61</v>
      </c>
      <c r="AO799" t="s">
        <v>61</v>
      </c>
      <c r="AP799" t="s">
        <v>61</v>
      </c>
      <c r="AQ799" t="s">
        <v>61</v>
      </c>
      <c r="AR799" t="s">
        <v>61</v>
      </c>
      <c r="AS799" t="s">
        <v>61</v>
      </c>
      <c r="AT799" t="s">
        <v>61</v>
      </c>
      <c r="AU799" t="s">
        <v>61</v>
      </c>
      <c r="AV799" t="s">
        <v>61</v>
      </c>
      <c r="AW799" t="s">
        <v>61</v>
      </c>
      <c r="AX799" t="s">
        <v>61</v>
      </c>
      <c r="AY799" t="s">
        <v>61</v>
      </c>
      <c r="AZ799" t="s">
        <v>61</v>
      </c>
      <c r="BA799" t="s">
        <v>61</v>
      </c>
      <c r="BB799" t="s">
        <v>61</v>
      </c>
      <c r="BC799" t="s">
        <v>61</v>
      </c>
      <c r="BD799" t="s">
        <v>61</v>
      </c>
      <c r="BE799" t="s">
        <v>61</v>
      </c>
      <c r="BF799" t="s">
        <v>61</v>
      </c>
    </row>
    <row r="800" spans="1:58">
      <c r="A800" t="s">
        <v>58</v>
      </c>
      <c r="B800" t="s">
        <v>6662</v>
      </c>
      <c r="C800" t="s">
        <v>6663</v>
      </c>
      <c r="D800" t="s">
        <v>4877</v>
      </c>
      <c r="E800" t="s">
        <v>4878</v>
      </c>
      <c r="F800">
        <v>2002</v>
      </c>
      <c r="G800" t="s">
        <v>1152</v>
      </c>
      <c r="H800">
        <v>23</v>
      </c>
      <c r="I800">
        <v>2</v>
      </c>
      <c r="J800">
        <v>93</v>
      </c>
      <c r="K800">
        <v>105</v>
      </c>
      <c r="L800" t="s">
        <v>6664</v>
      </c>
      <c r="M800" t="s">
        <v>6665</v>
      </c>
      <c r="N800" t="s">
        <v>6666</v>
      </c>
      <c r="O800" t="s">
        <v>61</v>
      </c>
      <c r="Q800" t="s">
        <v>61</v>
      </c>
      <c r="R800" t="s">
        <v>61</v>
      </c>
      <c r="S800" t="s">
        <v>61</v>
      </c>
      <c r="T800" t="s">
        <v>61</v>
      </c>
      <c r="X800" t="s">
        <v>61</v>
      </c>
      <c r="Y800" t="s">
        <v>6667</v>
      </c>
      <c r="Z800" t="s">
        <v>61</v>
      </c>
      <c r="AA800" t="s">
        <v>6668</v>
      </c>
      <c r="AB800">
        <v>12220607</v>
      </c>
      <c r="AC800" t="s">
        <v>67</v>
      </c>
      <c r="AD800" t="s">
        <v>61</v>
      </c>
      <c r="AE800" t="s">
        <v>61</v>
      </c>
      <c r="AF800" t="s">
        <v>61</v>
      </c>
      <c r="AG800" t="s">
        <v>6669</v>
      </c>
      <c r="AH800" t="s">
        <v>61</v>
      </c>
      <c r="AI800" t="s">
        <v>61</v>
      </c>
      <c r="AJ800" t="s">
        <v>61</v>
      </c>
      <c r="AK800" t="s">
        <v>61</v>
      </c>
      <c r="AL800" t="s">
        <v>61</v>
      </c>
      <c r="AM800" t="s">
        <v>6670</v>
      </c>
      <c r="AN800" t="s">
        <v>61</v>
      </c>
      <c r="AO800" t="s">
        <v>61</v>
      </c>
      <c r="AP800" t="s">
        <v>61</v>
      </c>
      <c r="AQ800" t="s">
        <v>61</v>
      </c>
      <c r="AR800" t="s">
        <v>61</v>
      </c>
      <c r="AS800" t="s">
        <v>61</v>
      </c>
      <c r="AT800" t="s">
        <v>61</v>
      </c>
      <c r="AU800" t="s">
        <v>61</v>
      </c>
      <c r="AV800" t="s">
        <v>61</v>
      </c>
      <c r="AW800" t="s">
        <v>61</v>
      </c>
      <c r="AX800" t="s">
        <v>61</v>
      </c>
      <c r="AY800" t="s">
        <v>61</v>
      </c>
      <c r="AZ800" t="s">
        <v>61</v>
      </c>
      <c r="BA800" t="s">
        <v>61</v>
      </c>
      <c r="BB800" t="s">
        <v>61</v>
      </c>
      <c r="BC800" t="s">
        <v>61</v>
      </c>
      <c r="BD800" t="s">
        <v>61</v>
      </c>
      <c r="BE800" t="s">
        <v>61</v>
      </c>
      <c r="BF800" t="s">
        <v>61</v>
      </c>
    </row>
    <row r="801" spans="1:58">
      <c r="A801" t="s">
        <v>58</v>
      </c>
      <c r="B801" t="s">
        <v>6671</v>
      </c>
      <c r="C801" t="s">
        <v>6672</v>
      </c>
      <c r="D801" t="s">
        <v>6673</v>
      </c>
      <c r="E801" t="s">
        <v>61</v>
      </c>
      <c r="F801">
        <v>2009</v>
      </c>
      <c r="G801" t="s">
        <v>1152</v>
      </c>
      <c r="H801">
        <v>47</v>
      </c>
      <c r="I801">
        <v>8</v>
      </c>
      <c r="J801">
        <v>784</v>
      </c>
      <c r="K801">
        <v>789</v>
      </c>
      <c r="L801" t="s">
        <v>6674</v>
      </c>
      <c r="M801" t="s">
        <v>6675</v>
      </c>
      <c r="N801" t="s">
        <v>6676</v>
      </c>
      <c r="O801" t="s">
        <v>61</v>
      </c>
      <c r="Q801" t="s">
        <v>61</v>
      </c>
      <c r="R801" t="s">
        <v>61</v>
      </c>
      <c r="S801" t="s">
        <v>61</v>
      </c>
      <c r="T801" t="s">
        <v>61</v>
      </c>
      <c r="X801" t="s">
        <v>61</v>
      </c>
      <c r="Y801" t="s">
        <v>6677</v>
      </c>
      <c r="Z801" t="s">
        <v>61</v>
      </c>
      <c r="AA801" t="s">
        <v>6678</v>
      </c>
      <c r="AB801">
        <v>19735211</v>
      </c>
      <c r="AC801" t="s">
        <v>67</v>
      </c>
      <c r="AD801" t="s">
        <v>61</v>
      </c>
      <c r="AE801" t="s">
        <v>61</v>
      </c>
      <c r="AF801" t="s">
        <v>61</v>
      </c>
      <c r="AG801" t="s">
        <v>6679</v>
      </c>
      <c r="AH801" t="s">
        <v>61</v>
      </c>
      <c r="AI801" t="s">
        <v>6680</v>
      </c>
      <c r="AJ801" t="s">
        <v>61</v>
      </c>
      <c r="AK801" t="s">
        <v>61</v>
      </c>
      <c r="AL801" t="s">
        <v>61</v>
      </c>
      <c r="AM801" t="s">
        <v>6681</v>
      </c>
      <c r="AN801" t="s">
        <v>61</v>
      </c>
      <c r="AO801" t="s">
        <v>61</v>
      </c>
      <c r="AP801" t="s">
        <v>61</v>
      </c>
      <c r="AQ801" t="s">
        <v>61</v>
      </c>
      <c r="AR801" t="s">
        <v>61</v>
      </c>
      <c r="AS801" t="s">
        <v>61</v>
      </c>
      <c r="AT801" t="s">
        <v>61</v>
      </c>
      <c r="AU801" t="s">
        <v>61</v>
      </c>
      <c r="AV801" t="s">
        <v>61</v>
      </c>
      <c r="AW801" t="s">
        <v>61</v>
      </c>
      <c r="AX801" t="s">
        <v>61</v>
      </c>
      <c r="AY801" t="s">
        <v>61</v>
      </c>
      <c r="AZ801" t="s">
        <v>61</v>
      </c>
      <c r="BA801" t="s">
        <v>61</v>
      </c>
      <c r="BB801" t="s">
        <v>61</v>
      </c>
      <c r="BC801" t="s">
        <v>61</v>
      </c>
      <c r="BD801" t="s">
        <v>61</v>
      </c>
      <c r="BE801" t="s">
        <v>61</v>
      </c>
      <c r="BF801" t="s">
        <v>61</v>
      </c>
    </row>
    <row r="802" spans="1:58">
      <c r="A802" t="s">
        <v>58</v>
      </c>
      <c r="B802" t="s">
        <v>6682</v>
      </c>
      <c r="C802" t="s">
        <v>6683</v>
      </c>
      <c r="D802" t="s">
        <v>1151</v>
      </c>
      <c r="E802" t="s">
        <v>61</v>
      </c>
      <c r="F802">
        <v>2008</v>
      </c>
      <c r="G802" t="s">
        <v>61</v>
      </c>
      <c r="H802">
        <v>1</v>
      </c>
      <c r="I802" t="s">
        <v>61</v>
      </c>
      <c r="J802">
        <v>15</v>
      </c>
      <c r="K802">
        <v>61</v>
      </c>
      <c r="L802" t="s">
        <v>61</v>
      </c>
      <c r="M802" t="s">
        <v>6684</v>
      </c>
      <c r="N802" t="s">
        <v>6685</v>
      </c>
      <c r="O802" t="s">
        <v>61</v>
      </c>
      <c r="Q802" t="s">
        <v>61</v>
      </c>
      <c r="R802" t="s">
        <v>61</v>
      </c>
      <c r="S802" t="s">
        <v>61</v>
      </c>
      <c r="T802" t="s">
        <v>61</v>
      </c>
      <c r="X802" t="s">
        <v>61</v>
      </c>
      <c r="Y802" t="s">
        <v>6686</v>
      </c>
      <c r="Z802" t="s">
        <v>61</v>
      </c>
      <c r="AA802" t="s">
        <v>6687</v>
      </c>
      <c r="AB802">
        <v>25977607</v>
      </c>
      <c r="AC802" t="s">
        <v>67</v>
      </c>
      <c r="AD802" t="s">
        <v>61</v>
      </c>
      <c r="AE802" t="s">
        <v>61</v>
      </c>
      <c r="AF802" t="s">
        <v>61</v>
      </c>
      <c r="AG802" t="s">
        <v>6688</v>
      </c>
      <c r="AH802" t="s">
        <v>61</v>
      </c>
      <c r="AI802" t="s">
        <v>61</v>
      </c>
      <c r="AJ802" t="s">
        <v>61</v>
      </c>
      <c r="AK802" t="s">
        <v>61</v>
      </c>
      <c r="AL802" t="s">
        <v>61</v>
      </c>
      <c r="AM802" t="s">
        <v>6689</v>
      </c>
      <c r="AN802" t="s">
        <v>61</v>
      </c>
      <c r="AO802" t="s">
        <v>61</v>
      </c>
      <c r="AP802" t="s">
        <v>61</v>
      </c>
      <c r="AQ802" t="s">
        <v>61</v>
      </c>
      <c r="AR802" t="s">
        <v>61</v>
      </c>
      <c r="AS802" t="s">
        <v>61</v>
      </c>
      <c r="AT802" t="s">
        <v>61</v>
      </c>
      <c r="AU802" t="s">
        <v>61</v>
      </c>
      <c r="AV802" t="s">
        <v>61</v>
      </c>
      <c r="AW802" t="s">
        <v>61</v>
      </c>
      <c r="AX802" t="s">
        <v>61</v>
      </c>
      <c r="AY802" t="s">
        <v>61</v>
      </c>
      <c r="AZ802" t="s">
        <v>61</v>
      </c>
      <c r="BA802" t="s">
        <v>61</v>
      </c>
      <c r="BB802" t="s">
        <v>61</v>
      </c>
      <c r="BC802" t="s">
        <v>61</v>
      </c>
      <c r="BD802" t="s">
        <v>61</v>
      </c>
      <c r="BE802" t="s">
        <v>61</v>
      </c>
      <c r="BF802" t="s">
        <v>61</v>
      </c>
    </row>
    <row r="803" spans="1:58">
      <c r="A803" t="s">
        <v>58</v>
      </c>
      <c r="B803" t="s">
        <v>6690</v>
      </c>
      <c r="C803" t="s">
        <v>6691</v>
      </c>
      <c r="D803" t="s">
        <v>6692</v>
      </c>
      <c r="E803" t="s">
        <v>61</v>
      </c>
      <c r="F803">
        <v>2007</v>
      </c>
      <c r="G803" t="s">
        <v>1775</v>
      </c>
      <c r="H803">
        <v>58</v>
      </c>
      <c r="I803">
        <v>7</v>
      </c>
      <c r="J803">
        <v>983</v>
      </c>
      <c r="K803">
        <v>990</v>
      </c>
      <c r="L803" t="s">
        <v>6693</v>
      </c>
      <c r="M803" t="s">
        <v>6694</v>
      </c>
      <c r="N803" t="s">
        <v>6695</v>
      </c>
      <c r="O803" t="s">
        <v>61</v>
      </c>
      <c r="Q803" t="s">
        <v>61</v>
      </c>
      <c r="R803" t="s">
        <v>61</v>
      </c>
      <c r="S803" t="s">
        <v>61</v>
      </c>
      <c r="T803" t="s">
        <v>61</v>
      </c>
      <c r="X803" t="s">
        <v>61</v>
      </c>
      <c r="Y803" t="s">
        <v>6696</v>
      </c>
      <c r="Z803" t="s">
        <v>61</v>
      </c>
      <c r="AA803" t="s">
        <v>61</v>
      </c>
      <c r="AB803">
        <v>2007367911</v>
      </c>
      <c r="AC803" t="s">
        <v>67</v>
      </c>
      <c r="AD803" t="s">
        <v>61</v>
      </c>
      <c r="AE803" t="s">
        <v>61</v>
      </c>
      <c r="AF803" t="s">
        <v>61</v>
      </c>
      <c r="AG803" t="s">
        <v>6697</v>
      </c>
      <c r="AH803" t="s">
        <v>61</v>
      </c>
      <c r="AI803" t="s">
        <v>61</v>
      </c>
      <c r="AJ803" t="s">
        <v>61</v>
      </c>
      <c r="AK803" t="s">
        <v>61</v>
      </c>
      <c r="AL803" t="s">
        <v>61</v>
      </c>
      <c r="AM803" t="s">
        <v>6698</v>
      </c>
      <c r="AN803" t="s">
        <v>61</v>
      </c>
      <c r="AO803" t="s">
        <v>61</v>
      </c>
      <c r="AP803" t="s">
        <v>61</v>
      </c>
      <c r="AQ803" t="s">
        <v>61</v>
      </c>
      <c r="AR803" t="s">
        <v>61</v>
      </c>
      <c r="AS803" t="s">
        <v>61</v>
      </c>
      <c r="AT803" t="s">
        <v>61</v>
      </c>
      <c r="AU803" t="s">
        <v>61</v>
      </c>
      <c r="AV803" t="s">
        <v>61</v>
      </c>
      <c r="AW803" t="s">
        <v>61</v>
      </c>
      <c r="AX803" t="s">
        <v>61</v>
      </c>
      <c r="AY803" t="s">
        <v>61</v>
      </c>
      <c r="AZ803" t="s">
        <v>61</v>
      </c>
      <c r="BA803" t="s">
        <v>61</v>
      </c>
      <c r="BB803" t="s">
        <v>61</v>
      </c>
      <c r="BC803" t="s">
        <v>61</v>
      </c>
      <c r="BD803" t="s">
        <v>61</v>
      </c>
      <c r="BE803" t="s">
        <v>61</v>
      </c>
      <c r="BF803" t="s">
        <v>61</v>
      </c>
    </row>
    <row r="804" spans="1:58">
      <c r="A804" t="s">
        <v>58</v>
      </c>
      <c r="B804" t="s">
        <v>6699</v>
      </c>
      <c r="C804" t="s">
        <v>6700</v>
      </c>
      <c r="D804" t="s">
        <v>428</v>
      </c>
      <c r="E804" t="s">
        <v>61</v>
      </c>
      <c r="F804">
        <v>2010</v>
      </c>
      <c r="G804" t="s">
        <v>429</v>
      </c>
      <c r="H804">
        <v>23</v>
      </c>
      <c r="I804">
        <v>2</v>
      </c>
      <c r="J804">
        <v>156</v>
      </c>
      <c r="K804" t="s">
        <v>61</v>
      </c>
      <c r="L804" t="s">
        <v>6701</v>
      </c>
      <c r="M804" t="s">
        <v>6702</v>
      </c>
      <c r="N804" t="s">
        <v>6703</v>
      </c>
      <c r="O804" t="s">
        <v>61</v>
      </c>
      <c r="Q804" t="s">
        <v>61</v>
      </c>
      <c r="R804" t="s">
        <v>61</v>
      </c>
      <c r="S804" t="s">
        <v>61</v>
      </c>
      <c r="T804" t="s">
        <v>61</v>
      </c>
      <c r="X804" t="s">
        <v>61</v>
      </c>
      <c r="Y804" t="s">
        <v>433</v>
      </c>
      <c r="Z804" t="s">
        <v>61</v>
      </c>
      <c r="AA804" t="s">
        <v>61</v>
      </c>
      <c r="AB804" t="s">
        <v>61</v>
      </c>
      <c r="AC804" t="s">
        <v>67</v>
      </c>
      <c r="AD804" t="s">
        <v>61</v>
      </c>
      <c r="AE804" t="s">
        <v>61</v>
      </c>
      <c r="AF804" t="s">
        <v>61</v>
      </c>
      <c r="AG804" t="s">
        <v>61</v>
      </c>
      <c r="AH804" t="s">
        <v>61</v>
      </c>
      <c r="AI804" t="s">
        <v>61</v>
      </c>
      <c r="AJ804" t="s">
        <v>61</v>
      </c>
      <c r="AK804" t="s">
        <v>61</v>
      </c>
      <c r="AL804" t="s">
        <v>61</v>
      </c>
      <c r="AM804" t="s">
        <v>6700</v>
      </c>
      <c r="AN804" t="s">
        <v>61</v>
      </c>
      <c r="AO804" t="s">
        <v>61</v>
      </c>
      <c r="AP804" t="s">
        <v>61</v>
      </c>
      <c r="AQ804" t="s">
        <v>61</v>
      </c>
      <c r="AR804" t="s">
        <v>61</v>
      </c>
      <c r="AS804" t="s">
        <v>61</v>
      </c>
      <c r="AT804" t="s">
        <v>61</v>
      </c>
      <c r="AU804" t="s">
        <v>61</v>
      </c>
      <c r="AV804" t="s">
        <v>61</v>
      </c>
      <c r="AW804" t="s">
        <v>61</v>
      </c>
      <c r="AX804" t="s">
        <v>61</v>
      </c>
      <c r="AY804" t="s">
        <v>61</v>
      </c>
      <c r="AZ804" t="s">
        <v>61</v>
      </c>
      <c r="BA804" t="s">
        <v>61</v>
      </c>
      <c r="BB804" t="s">
        <v>61</v>
      </c>
      <c r="BC804" t="s">
        <v>61</v>
      </c>
      <c r="BD804" t="s">
        <v>61</v>
      </c>
      <c r="BE804" t="s">
        <v>61</v>
      </c>
      <c r="BF804" t="s">
        <v>61</v>
      </c>
    </row>
    <row r="805" spans="1:58">
      <c r="A805" t="s">
        <v>58</v>
      </c>
      <c r="B805" t="s">
        <v>6704</v>
      </c>
      <c r="C805" t="s">
        <v>6705</v>
      </c>
      <c r="D805" t="s">
        <v>1085</v>
      </c>
      <c r="E805" t="s">
        <v>1086</v>
      </c>
      <c r="F805">
        <v>1994</v>
      </c>
      <c r="G805" t="s">
        <v>154</v>
      </c>
      <c r="H805">
        <v>28</v>
      </c>
      <c r="I805" s="1">
        <v>42559</v>
      </c>
      <c r="J805">
        <v>857</v>
      </c>
      <c r="K805">
        <v>862</v>
      </c>
      <c r="L805" t="s">
        <v>6706</v>
      </c>
      <c r="M805" t="s">
        <v>6707</v>
      </c>
      <c r="N805" t="s">
        <v>6708</v>
      </c>
      <c r="O805" t="s">
        <v>61</v>
      </c>
      <c r="Q805" t="s">
        <v>61</v>
      </c>
      <c r="R805" t="s">
        <v>61</v>
      </c>
      <c r="S805" t="s">
        <v>61</v>
      </c>
      <c r="T805" t="s">
        <v>61</v>
      </c>
      <c r="X805" t="s">
        <v>61</v>
      </c>
      <c r="Y805" t="s">
        <v>3286</v>
      </c>
      <c r="Z805" t="s">
        <v>61</v>
      </c>
      <c r="AA805" t="s">
        <v>6709</v>
      </c>
      <c r="AB805">
        <v>7949500</v>
      </c>
      <c r="AC805" t="s">
        <v>67</v>
      </c>
      <c r="AD805" t="s">
        <v>61</v>
      </c>
      <c r="AE805" t="s">
        <v>61</v>
      </c>
      <c r="AF805" t="s">
        <v>61</v>
      </c>
      <c r="AG805" t="s">
        <v>6710</v>
      </c>
      <c r="AH805" t="s">
        <v>61</v>
      </c>
      <c r="AI805" t="s">
        <v>61</v>
      </c>
      <c r="AJ805" t="s">
        <v>61</v>
      </c>
      <c r="AK805" t="s">
        <v>61</v>
      </c>
      <c r="AL805" t="s">
        <v>61</v>
      </c>
      <c r="AM805" t="s">
        <v>6711</v>
      </c>
      <c r="AN805" t="s">
        <v>61</v>
      </c>
      <c r="AO805" t="s">
        <v>61</v>
      </c>
      <c r="AP805" t="s">
        <v>61</v>
      </c>
      <c r="AQ805" t="s">
        <v>61</v>
      </c>
      <c r="AR805" t="s">
        <v>61</v>
      </c>
      <c r="AS805" t="s">
        <v>61</v>
      </c>
      <c r="AT805" t="s">
        <v>61</v>
      </c>
      <c r="AU805" t="s">
        <v>61</v>
      </c>
      <c r="AV805" t="s">
        <v>61</v>
      </c>
      <c r="AW805" t="s">
        <v>61</v>
      </c>
      <c r="AX805" t="s">
        <v>61</v>
      </c>
      <c r="AY805" t="s">
        <v>61</v>
      </c>
      <c r="AZ805" t="s">
        <v>61</v>
      </c>
      <c r="BA805" t="s">
        <v>61</v>
      </c>
      <c r="BB805" t="s">
        <v>61</v>
      </c>
      <c r="BC805" t="s">
        <v>61</v>
      </c>
      <c r="BD805" t="s">
        <v>61</v>
      </c>
      <c r="BE805" t="s">
        <v>61</v>
      </c>
      <c r="BF805" t="s">
        <v>61</v>
      </c>
    </row>
    <row r="806" spans="1:58">
      <c r="A806" t="s">
        <v>58</v>
      </c>
      <c r="B806" t="s">
        <v>6712</v>
      </c>
      <c r="C806" t="s">
        <v>6713</v>
      </c>
      <c r="D806" t="s">
        <v>428</v>
      </c>
      <c r="E806" t="s">
        <v>61</v>
      </c>
      <c r="F806">
        <v>2012</v>
      </c>
      <c r="G806" t="s">
        <v>429</v>
      </c>
      <c r="H806">
        <v>25</v>
      </c>
      <c r="I806">
        <v>2</v>
      </c>
      <c r="J806">
        <v>288</v>
      </c>
      <c r="K806" t="s">
        <v>61</v>
      </c>
      <c r="L806" t="s">
        <v>6714</v>
      </c>
      <c r="M806" t="s">
        <v>6715</v>
      </c>
      <c r="N806" t="s">
        <v>6716</v>
      </c>
      <c r="O806" t="s">
        <v>61</v>
      </c>
      <c r="Q806" t="s">
        <v>61</v>
      </c>
      <c r="R806" t="s">
        <v>61</v>
      </c>
      <c r="S806" t="s">
        <v>61</v>
      </c>
      <c r="T806" t="s">
        <v>61</v>
      </c>
      <c r="X806" t="s">
        <v>61</v>
      </c>
      <c r="Y806" t="s">
        <v>433</v>
      </c>
      <c r="Z806" t="s">
        <v>61</v>
      </c>
      <c r="AA806" t="s">
        <v>61</v>
      </c>
      <c r="AB806" t="s">
        <v>61</v>
      </c>
      <c r="AC806" t="s">
        <v>67</v>
      </c>
      <c r="AD806" t="s">
        <v>61</v>
      </c>
      <c r="AE806" t="s">
        <v>61</v>
      </c>
      <c r="AF806" t="s">
        <v>61</v>
      </c>
      <c r="AG806" t="s">
        <v>61</v>
      </c>
      <c r="AH806" t="s">
        <v>61</v>
      </c>
      <c r="AI806" t="s">
        <v>61</v>
      </c>
      <c r="AJ806" t="s">
        <v>61</v>
      </c>
      <c r="AK806" t="s">
        <v>61</v>
      </c>
      <c r="AL806" t="s">
        <v>61</v>
      </c>
      <c r="AM806" t="s">
        <v>6713</v>
      </c>
      <c r="AN806" t="s">
        <v>61</v>
      </c>
      <c r="AO806" t="s">
        <v>61</v>
      </c>
      <c r="AP806" t="s">
        <v>61</v>
      </c>
      <c r="AQ806" t="s">
        <v>61</v>
      </c>
      <c r="AR806" t="s">
        <v>61</v>
      </c>
      <c r="AS806" t="s">
        <v>61</v>
      </c>
      <c r="AT806" t="s">
        <v>61</v>
      </c>
      <c r="AU806" t="s">
        <v>61</v>
      </c>
      <c r="AV806" t="s">
        <v>61</v>
      </c>
      <c r="AW806" t="s">
        <v>61</v>
      </c>
      <c r="AX806" t="s">
        <v>61</v>
      </c>
      <c r="AY806" t="s">
        <v>61</v>
      </c>
      <c r="AZ806" t="s">
        <v>61</v>
      </c>
      <c r="BA806" t="s">
        <v>61</v>
      </c>
      <c r="BB806" t="s">
        <v>61</v>
      </c>
      <c r="BC806" t="s">
        <v>61</v>
      </c>
      <c r="BD806" t="s">
        <v>61</v>
      </c>
      <c r="BE806" t="s">
        <v>61</v>
      </c>
      <c r="BF806" t="s">
        <v>61</v>
      </c>
    </row>
    <row r="807" spans="1:58">
      <c r="A807" t="s">
        <v>58</v>
      </c>
      <c r="B807" t="s">
        <v>6717</v>
      </c>
      <c r="C807" t="s">
        <v>6718</v>
      </c>
      <c r="D807" t="s">
        <v>2386</v>
      </c>
      <c r="E807" t="s">
        <v>61</v>
      </c>
      <c r="F807">
        <v>1994</v>
      </c>
      <c r="G807" t="s">
        <v>559</v>
      </c>
      <c r="H807">
        <v>42</v>
      </c>
      <c r="I807">
        <v>6</v>
      </c>
      <c r="J807">
        <v>259</v>
      </c>
      <c r="K807">
        <v>265</v>
      </c>
      <c r="L807" t="s">
        <v>6719</v>
      </c>
      <c r="M807" t="s">
        <v>6720</v>
      </c>
      <c r="N807" t="s">
        <v>6721</v>
      </c>
      <c r="O807" t="s">
        <v>61</v>
      </c>
      <c r="Q807" t="s">
        <v>61</v>
      </c>
      <c r="R807" t="s">
        <v>61</v>
      </c>
      <c r="S807" t="s">
        <v>61</v>
      </c>
      <c r="T807" t="s">
        <v>61</v>
      </c>
      <c r="X807" t="s">
        <v>61</v>
      </c>
      <c r="Y807" t="s">
        <v>3271</v>
      </c>
      <c r="Z807" t="s">
        <v>61</v>
      </c>
      <c r="AA807" t="s">
        <v>6722</v>
      </c>
      <c r="AB807">
        <v>8046165</v>
      </c>
      <c r="AC807" t="s">
        <v>67</v>
      </c>
      <c r="AD807" t="s">
        <v>61</v>
      </c>
      <c r="AE807" t="s">
        <v>61</v>
      </c>
      <c r="AF807" t="s">
        <v>61</v>
      </c>
      <c r="AG807" t="s">
        <v>6723</v>
      </c>
      <c r="AH807" t="s">
        <v>61</v>
      </c>
      <c r="AI807" t="s">
        <v>61</v>
      </c>
      <c r="AJ807" t="s">
        <v>61</v>
      </c>
      <c r="AK807" t="s">
        <v>61</v>
      </c>
      <c r="AL807" t="s">
        <v>61</v>
      </c>
      <c r="AM807" t="s">
        <v>6724</v>
      </c>
      <c r="AN807" t="s">
        <v>61</v>
      </c>
      <c r="AO807" t="s">
        <v>61</v>
      </c>
      <c r="AP807" t="s">
        <v>61</v>
      </c>
      <c r="AQ807" t="s">
        <v>61</v>
      </c>
      <c r="AR807" t="s">
        <v>61</v>
      </c>
      <c r="AS807" t="s">
        <v>61</v>
      </c>
      <c r="AT807" t="s">
        <v>61</v>
      </c>
      <c r="AU807" t="s">
        <v>61</v>
      </c>
      <c r="AV807" t="s">
        <v>61</v>
      </c>
      <c r="AW807" t="s">
        <v>61</v>
      </c>
      <c r="AX807" t="s">
        <v>61</v>
      </c>
      <c r="AY807" t="s">
        <v>61</v>
      </c>
      <c r="AZ807" t="s">
        <v>61</v>
      </c>
      <c r="BA807" t="s">
        <v>61</v>
      </c>
      <c r="BB807" t="s">
        <v>61</v>
      </c>
      <c r="BC807" t="s">
        <v>61</v>
      </c>
      <c r="BD807" t="s">
        <v>61</v>
      </c>
      <c r="BE807" t="s">
        <v>61</v>
      </c>
      <c r="BF807" t="s">
        <v>61</v>
      </c>
    </row>
    <row r="808" spans="1:58">
      <c r="A808" t="s">
        <v>58</v>
      </c>
      <c r="B808" t="s">
        <v>6725</v>
      </c>
      <c r="C808" t="s">
        <v>6726</v>
      </c>
      <c r="D808" t="s">
        <v>627</v>
      </c>
      <c r="E808" t="s">
        <v>61</v>
      </c>
      <c r="F808">
        <v>2015</v>
      </c>
      <c r="G808" t="s">
        <v>628</v>
      </c>
      <c r="H808">
        <v>55</v>
      </c>
      <c r="I808">
        <v>2</v>
      </c>
      <c r="J808" t="s">
        <v>6727</v>
      </c>
      <c r="K808" t="s">
        <v>1305</v>
      </c>
      <c r="L808" t="s">
        <v>6728</v>
      </c>
      <c r="M808" t="s">
        <v>6729</v>
      </c>
      <c r="N808" t="s">
        <v>6730</v>
      </c>
      <c r="O808" t="s">
        <v>61</v>
      </c>
      <c r="Q808" t="s">
        <v>61</v>
      </c>
      <c r="R808" t="s">
        <v>61</v>
      </c>
      <c r="S808" t="s">
        <v>61</v>
      </c>
      <c r="T808" t="s">
        <v>61</v>
      </c>
      <c r="X808" t="s">
        <v>61</v>
      </c>
      <c r="Y808" t="s">
        <v>632</v>
      </c>
      <c r="Z808" t="s">
        <v>61</v>
      </c>
      <c r="AA808" t="s">
        <v>61</v>
      </c>
      <c r="AB808" t="s">
        <v>61</v>
      </c>
      <c r="AC808" t="s">
        <v>67</v>
      </c>
      <c r="AD808" t="s">
        <v>61</v>
      </c>
      <c r="AE808" t="s">
        <v>61</v>
      </c>
      <c r="AF808" t="s">
        <v>61</v>
      </c>
      <c r="AG808" t="s">
        <v>61</v>
      </c>
      <c r="AH808" t="s">
        <v>61</v>
      </c>
      <c r="AI808" t="s">
        <v>61</v>
      </c>
      <c r="AJ808" t="s">
        <v>61</v>
      </c>
      <c r="AK808" t="s">
        <v>61</v>
      </c>
      <c r="AL808" t="s">
        <v>61</v>
      </c>
      <c r="AM808" t="s">
        <v>6726</v>
      </c>
      <c r="AN808" t="s">
        <v>61</v>
      </c>
      <c r="AO808" t="s">
        <v>61</v>
      </c>
      <c r="AP808" t="s">
        <v>61</v>
      </c>
      <c r="AQ808" t="s">
        <v>61</v>
      </c>
      <c r="AR808" t="s">
        <v>61</v>
      </c>
      <c r="AS808" t="s">
        <v>61</v>
      </c>
      <c r="AT808" t="s">
        <v>61</v>
      </c>
      <c r="AU808" t="s">
        <v>61</v>
      </c>
      <c r="AV808" t="s">
        <v>61</v>
      </c>
      <c r="AW808" t="s">
        <v>61</v>
      </c>
      <c r="AX808" t="s">
        <v>61</v>
      </c>
      <c r="AY808" t="s">
        <v>61</v>
      </c>
      <c r="AZ808" t="s">
        <v>61</v>
      </c>
      <c r="BA808" t="s">
        <v>61</v>
      </c>
      <c r="BB808" t="s">
        <v>61</v>
      </c>
      <c r="BC808" t="s">
        <v>61</v>
      </c>
      <c r="BD808" t="s">
        <v>61</v>
      </c>
      <c r="BE808" t="s">
        <v>61</v>
      </c>
      <c r="BF808" t="s">
        <v>61</v>
      </c>
    </row>
    <row r="809" spans="1:58">
      <c r="A809" t="s">
        <v>58</v>
      </c>
      <c r="B809" t="s">
        <v>6731</v>
      </c>
      <c r="C809" t="s">
        <v>6732</v>
      </c>
      <c r="D809" t="s">
        <v>627</v>
      </c>
      <c r="E809" t="s">
        <v>61</v>
      </c>
      <c r="F809">
        <v>2013</v>
      </c>
      <c r="G809" t="s">
        <v>628</v>
      </c>
      <c r="H809">
        <v>53</v>
      </c>
      <c r="I809">
        <v>2</v>
      </c>
      <c r="J809" t="s">
        <v>6733</v>
      </c>
      <c r="K809" t="s">
        <v>61</v>
      </c>
      <c r="L809" t="s">
        <v>6734</v>
      </c>
      <c r="M809" t="s">
        <v>6735</v>
      </c>
      <c r="N809" t="s">
        <v>6736</v>
      </c>
      <c r="O809" t="s">
        <v>61</v>
      </c>
      <c r="Q809" t="s">
        <v>61</v>
      </c>
      <c r="R809" t="s">
        <v>61</v>
      </c>
      <c r="S809" t="s">
        <v>61</v>
      </c>
      <c r="T809" t="s">
        <v>61</v>
      </c>
      <c r="X809" t="s">
        <v>61</v>
      </c>
      <c r="Y809" t="s">
        <v>632</v>
      </c>
      <c r="Z809" t="s">
        <v>61</v>
      </c>
      <c r="AA809" t="s">
        <v>61</v>
      </c>
      <c r="AB809" t="s">
        <v>61</v>
      </c>
      <c r="AC809" t="s">
        <v>67</v>
      </c>
      <c r="AD809" t="s">
        <v>61</v>
      </c>
      <c r="AE809" t="s">
        <v>61</v>
      </c>
      <c r="AF809" t="s">
        <v>61</v>
      </c>
      <c r="AG809" t="s">
        <v>61</v>
      </c>
      <c r="AH809" t="s">
        <v>61</v>
      </c>
      <c r="AI809" t="s">
        <v>61</v>
      </c>
      <c r="AJ809" t="s">
        <v>61</v>
      </c>
      <c r="AK809" t="s">
        <v>61</v>
      </c>
      <c r="AL809" t="s">
        <v>61</v>
      </c>
      <c r="AM809" t="s">
        <v>6732</v>
      </c>
      <c r="AN809" t="s">
        <v>61</v>
      </c>
      <c r="AO809" t="s">
        <v>61</v>
      </c>
      <c r="AP809" t="s">
        <v>61</v>
      </c>
      <c r="AQ809" t="s">
        <v>61</v>
      </c>
      <c r="AR809" t="s">
        <v>61</v>
      </c>
      <c r="AS809" t="s">
        <v>61</v>
      </c>
      <c r="AT809" t="s">
        <v>61</v>
      </c>
      <c r="AU809" t="s">
        <v>61</v>
      </c>
      <c r="AV809" t="s">
        <v>61</v>
      </c>
      <c r="AW809" t="s">
        <v>61</v>
      </c>
      <c r="AX809" t="s">
        <v>61</v>
      </c>
      <c r="AY809" t="s">
        <v>61</v>
      </c>
      <c r="AZ809" t="s">
        <v>61</v>
      </c>
      <c r="BA809" t="s">
        <v>61</v>
      </c>
      <c r="BB809" t="s">
        <v>61</v>
      </c>
      <c r="BC809" t="s">
        <v>61</v>
      </c>
      <c r="BD809" t="s">
        <v>61</v>
      </c>
      <c r="BE809" t="s">
        <v>61</v>
      </c>
      <c r="BF809" t="s">
        <v>61</v>
      </c>
    </row>
    <row r="810" spans="1:58">
      <c r="A810" t="s">
        <v>58</v>
      </c>
      <c r="B810" t="s">
        <v>6737</v>
      </c>
      <c r="C810" t="s">
        <v>6738</v>
      </c>
      <c r="D810" t="s">
        <v>6739</v>
      </c>
      <c r="E810" t="s">
        <v>61</v>
      </c>
      <c r="F810">
        <v>2014</v>
      </c>
      <c r="G810" t="s">
        <v>61</v>
      </c>
      <c r="H810">
        <v>15</v>
      </c>
      <c r="I810">
        <v>24</v>
      </c>
      <c r="J810">
        <v>10783</v>
      </c>
      <c r="K810">
        <v>10786</v>
      </c>
      <c r="L810" t="s">
        <v>6740</v>
      </c>
      <c r="M810" t="s">
        <v>6741</v>
      </c>
      <c r="N810" t="s">
        <v>6742</v>
      </c>
      <c r="O810" t="s">
        <v>61</v>
      </c>
      <c r="Q810" t="s">
        <v>61</v>
      </c>
      <c r="R810" t="s">
        <v>61</v>
      </c>
      <c r="S810" t="s">
        <v>61</v>
      </c>
      <c r="T810" t="s">
        <v>61</v>
      </c>
      <c r="X810" t="s">
        <v>61</v>
      </c>
      <c r="Y810" t="s">
        <v>6743</v>
      </c>
      <c r="Z810" t="s">
        <v>61</v>
      </c>
      <c r="AA810" t="s">
        <v>6744</v>
      </c>
      <c r="AB810">
        <v>25605176</v>
      </c>
      <c r="AC810" t="s">
        <v>67</v>
      </c>
      <c r="AD810" t="s">
        <v>61</v>
      </c>
      <c r="AE810" t="s">
        <v>61</v>
      </c>
      <c r="AF810" t="s">
        <v>61</v>
      </c>
      <c r="AG810" t="s">
        <v>6745</v>
      </c>
      <c r="AH810" t="s">
        <v>61</v>
      </c>
      <c r="AI810" t="s">
        <v>61</v>
      </c>
      <c r="AJ810" t="s">
        <v>61</v>
      </c>
      <c r="AK810" t="s">
        <v>61</v>
      </c>
      <c r="AL810" t="s">
        <v>61</v>
      </c>
      <c r="AM810" t="s">
        <v>6746</v>
      </c>
      <c r="AN810" t="s">
        <v>61</v>
      </c>
      <c r="AO810" t="s">
        <v>61</v>
      </c>
      <c r="AP810" t="s">
        <v>61</v>
      </c>
      <c r="AQ810" t="s">
        <v>61</v>
      </c>
      <c r="AR810" t="s">
        <v>61</v>
      </c>
      <c r="AS810" t="s">
        <v>61</v>
      </c>
      <c r="AT810" t="s">
        <v>61</v>
      </c>
      <c r="AU810" t="s">
        <v>61</v>
      </c>
      <c r="AV810" t="s">
        <v>61</v>
      </c>
      <c r="AW810" t="s">
        <v>61</v>
      </c>
      <c r="AX810" t="s">
        <v>61</v>
      </c>
      <c r="AY810" t="s">
        <v>61</v>
      </c>
      <c r="AZ810" t="s">
        <v>61</v>
      </c>
      <c r="BA810" t="s">
        <v>61</v>
      </c>
      <c r="BB810" t="s">
        <v>61</v>
      </c>
      <c r="BC810" t="s">
        <v>61</v>
      </c>
      <c r="BD810" t="s">
        <v>61</v>
      </c>
      <c r="BE810" t="s">
        <v>61</v>
      </c>
      <c r="BF810" t="s">
        <v>61</v>
      </c>
    </row>
    <row r="811" spans="1:58">
      <c r="A811" t="s">
        <v>58</v>
      </c>
      <c r="B811" t="s">
        <v>6747</v>
      </c>
      <c r="C811" t="s">
        <v>6748</v>
      </c>
      <c r="D811" t="s">
        <v>6749</v>
      </c>
      <c r="E811" t="s">
        <v>61</v>
      </c>
      <c r="F811">
        <v>2011</v>
      </c>
      <c r="G811" t="s">
        <v>391</v>
      </c>
      <c r="H811">
        <v>4</v>
      </c>
      <c r="I811">
        <v>1</v>
      </c>
      <c r="J811">
        <v>40</v>
      </c>
      <c r="K811">
        <v>46</v>
      </c>
      <c r="L811" t="s">
        <v>61</v>
      </c>
      <c r="M811" t="s">
        <v>6750</v>
      </c>
      <c r="N811" t="s">
        <v>6751</v>
      </c>
      <c r="O811" t="s">
        <v>61</v>
      </c>
      <c r="Q811" t="s">
        <v>61</v>
      </c>
      <c r="R811" t="s">
        <v>61</v>
      </c>
      <c r="S811" t="s">
        <v>61</v>
      </c>
      <c r="T811" t="s">
        <v>61</v>
      </c>
      <c r="X811" t="s">
        <v>61</v>
      </c>
      <c r="Y811" t="s">
        <v>6752</v>
      </c>
      <c r="Z811" t="s">
        <v>61</v>
      </c>
      <c r="AA811" t="s">
        <v>6753</v>
      </c>
      <c r="AB811">
        <v>21577283</v>
      </c>
      <c r="AC811" t="s">
        <v>67</v>
      </c>
      <c r="AD811" t="s">
        <v>61</v>
      </c>
      <c r="AE811" t="s">
        <v>61</v>
      </c>
      <c r="AF811" t="s">
        <v>61</v>
      </c>
      <c r="AG811" t="s">
        <v>6754</v>
      </c>
      <c r="AH811" t="s">
        <v>61</v>
      </c>
      <c r="AI811" t="s">
        <v>6755</v>
      </c>
      <c r="AJ811" t="s">
        <v>61</v>
      </c>
      <c r="AK811" t="s">
        <v>61</v>
      </c>
      <c r="AL811" t="s">
        <v>61</v>
      </c>
      <c r="AM811" t="s">
        <v>6756</v>
      </c>
      <c r="AN811" t="s">
        <v>61</v>
      </c>
      <c r="AO811" t="s">
        <v>61</v>
      </c>
      <c r="AP811" t="s">
        <v>61</v>
      </c>
      <c r="AQ811" t="s">
        <v>61</v>
      </c>
      <c r="AR811" t="s">
        <v>61</v>
      </c>
      <c r="AS811" t="s">
        <v>61</v>
      </c>
      <c r="AT811" t="s">
        <v>61</v>
      </c>
      <c r="AU811" t="s">
        <v>61</v>
      </c>
      <c r="AV811" t="s">
        <v>61</v>
      </c>
      <c r="AW811" t="s">
        <v>61</v>
      </c>
      <c r="AX811" t="s">
        <v>61</v>
      </c>
      <c r="AY811" t="s">
        <v>61</v>
      </c>
      <c r="AZ811" t="s">
        <v>61</v>
      </c>
      <c r="BA811" t="s">
        <v>61</v>
      </c>
      <c r="BB811" t="s">
        <v>61</v>
      </c>
      <c r="BC811" t="s">
        <v>61</v>
      </c>
      <c r="BD811" t="s">
        <v>61</v>
      </c>
      <c r="BE811" t="s">
        <v>61</v>
      </c>
      <c r="BF811" t="s">
        <v>61</v>
      </c>
    </row>
    <row r="812" spans="1:58">
      <c r="A812" t="s">
        <v>58</v>
      </c>
      <c r="B812" t="s">
        <v>6757</v>
      </c>
      <c r="C812" t="s">
        <v>6758</v>
      </c>
      <c r="D812" t="s">
        <v>1085</v>
      </c>
      <c r="E812" t="s">
        <v>1086</v>
      </c>
      <c r="F812">
        <v>2000</v>
      </c>
      <c r="G812" t="s">
        <v>391</v>
      </c>
      <c r="H812">
        <v>34</v>
      </c>
      <c r="I812">
        <v>3</v>
      </c>
      <c r="J812">
        <v>309</v>
      </c>
      <c r="K812">
        <v>316</v>
      </c>
      <c r="L812" t="s">
        <v>6759</v>
      </c>
      <c r="M812" t="s">
        <v>6760</v>
      </c>
      <c r="N812" t="s">
        <v>6761</v>
      </c>
      <c r="O812" t="s">
        <v>61</v>
      </c>
      <c r="Q812" t="s">
        <v>61</v>
      </c>
      <c r="R812" t="s">
        <v>61</v>
      </c>
      <c r="S812" t="s">
        <v>61</v>
      </c>
      <c r="T812" t="s">
        <v>61</v>
      </c>
      <c r="X812" t="s">
        <v>61</v>
      </c>
      <c r="Y812" t="s">
        <v>3286</v>
      </c>
      <c r="Z812" t="s">
        <v>61</v>
      </c>
      <c r="AA812" t="s">
        <v>6762</v>
      </c>
      <c r="AB812">
        <v>10917375</v>
      </c>
      <c r="AC812" t="s">
        <v>67</v>
      </c>
      <c r="AD812" t="s">
        <v>61</v>
      </c>
      <c r="AE812" t="s">
        <v>61</v>
      </c>
      <c r="AF812" t="s">
        <v>61</v>
      </c>
      <c r="AG812" t="s">
        <v>6763</v>
      </c>
      <c r="AH812" t="s">
        <v>61</v>
      </c>
      <c r="AI812" t="s">
        <v>61</v>
      </c>
      <c r="AJ812" t="s">
        <v>61</v>
      </c>
      <c r="AK812" t="s">
        <v>61</v>
      </c>
      <c r="AL812" t="s">
        <v>61</v>
      </c>
      <c r="AM812" t="s">
        <v>6764</v>
      </c>
      <c r="AN812" t="s">
        <v>61</v>
      </c>
      <c r="AO812" t="s">
        <v>61</v>
      </c>
      <c r="AP812" t="s">
        <v>61</v>
      </c>
      <c r="AQ812" t="s">
        <v>61</v>
      </c>
      <c r="AR812" t="s">
        <v>61</v>
      </c>
      <c r="AS812" t="s">
        <v>61</v>
      </c>
      <c r="AT812" t="s">
        <v>61</v>
      </c>
      <c r="AU812" t="s">
        <v>61</v>
      </c>
      <c r="AV812" t="s">
        <v>61</v>
      </c>
      <c r="AW812" t="s">
        <v>61</v>
      </c>
      <c r="AX812" t="s">
        <v>61</v>
      </c>
      <c r="AY812" t="s">
        <v>61</v>
      </c>
      <c r="AZ812" t="s">
        <v>61</v>
      </c>
      <c r="BA812" t="s">
        <v>61</v>
      </c>
      <c r="BB812" t="s">
        <v>61</v>
      </c>
      <c r="BC812" t="s">
        <v>61</v>
      </c>
      <c r="BD812" t="s">
        <v>61</v>
      </c>
      <c r="BE812" t="s">
        <v>61</v>
      </c>
      <c r="BF812" t="s">
        <v>61</v>
      </c>
    </row>
    <row r="813" spans="1:58">
      <c r="A813" t="s">
        <v>58</v>
      </c>
      <c r="B813" t="s">
        <v>6765</v>
      </c>
      <c r="C813" t="s">
        <v>6766</v>
      </c>
      <c r="D813" t="s">
        <v>588</v>
      </c>
      <c r="E813" t="s">
        <v>589</v>
      </c>
      <c r="F813">
        <v>2013</v>
      </c>
      <c r="G813" t="s">
        <v>739</v>
      </c>
      <c r="H813">
        <v>45</v>
      </c>
      <c r="I813">
        <v>4</v>
      </c>
      <c r="J813">
        <v>360</v>
      </c>
      <c r="K813">
        <v>365</v>
      </c>
      <c r="L813" t="s">
        <v>6767</v>
      </c>
      <c r="M813" t="s">
        <v>6768</v>
      </c>
      <c r="N813" t="s">
        <v>6769</v>
      </c>
      <c r="O813" t="s">
        <v>61</v>
      </c>
      <c r="Q813" t="s">
        <v>61</v>
      </c>
      <c r="R813" t="s">
        <v>61</v>
      </c>
      <c r="S813" t="s">
        <v>61</v>
      </c>
      <c r="T813" t="s">
        <v>61</v>
      </c>
      <c r="X813" t="s">
        <v>61</v>
      </c>
      <c r="Y813" t="s">
        <v>593</v>
      </c>
      <c r="Z813" t="s">
        <v>61</v>
      </c>
      <c r="AA813" t="s">
        <v>6770</v>
      </c>
      <c r="AB813">
        <v>24377176</v>
      </c>
      <c r="AC813" t="s">
        <v>67</v>
      </c>
      <c r="AD813" t="s">
        <v>61</v>
      </c>
      <c r="AE813" t="s">
        <v>61</v>
      </c>
      <c r="AF813" t="s">
        <v>61</v>
      </c>
      <c r="AG813" t="s">
        <v>6771</v>
      </c>
      <c r="AH813" t="s">
        <v>61</v>
      </c>
      <c r="AI813" t="s">
        <v>61</v>
      </c>
      <c r="AJ813" t="s">
        <v>61</v>
      </c>
      <c r="AK813" t="s">
        <v>61</v>
      </c>
      <c r="AL813" t="s">
        <v>61</v>
      </c>
      <c r="AM813" t="s">
        <v>6772</v>
      </c>
      <c r="AN813" t="s">
        <v>61</v>
      </c>
      <c r="AO813" t="s">
        <v>61</v>
      </c>
      <c r="AP813" t="s">
        <v>61</v>
      </c>
      <c r="AQ813" t="s">
        <v>61</v>
      </c>
      <c r="AR813" t="s">
        <v>61</v>
      </c>
      <c r="AS813" t="s">
        <v>61</v>
      </c>
      <c r="AT813" t="s">
        <v>61</v>
      </c>
      <c r="AU813" t="s">
        <v>61</v>
      </c>
      <c r="AV813" t="s">
        <v>61</v>
      </c>
      <c r="AW813" t="s">
        <v>61</v>
      </c>
      <c r="AX813" t="s">
        <v>61</v>
      </c>
      <c r="AY813" t="s">
        <v>61</v>
      </c>
      <c r="AZ813" t="s">
        <v>61</v>
      </c>
      <c r="BA813" t="s">
        <v>61</v>
      </c>
      <c r="BB813" t="s">
        <v>61</v>
      </c>
      <c r="BC813" t="s">
        <v>61</v>
      </c>
      <c r="BD813" t="s">
        <v>61</v>
      </c>
      <c r="BE813" t="s">
        <v>61</v>
      </c>
      <c r="BF813" t="s">
        <v>61</v>
      </c>
    </row>
    <row r="814" spans="1:58">
      <c r="A814" t="s">
        <v>58</v>
      </c>
      <c r="B814" t="s">
        <v>6773</v>
      </c>
      <c r="C814" t="s">
        <v>6774</v>
      </c>
      <c r="D814" t="s">
        <v>627</v>
      </c>
      <c r="E814" t="s">
        <v>61</v>
      </c>
      <c r="F814">
        <v>2010</v>
      </c>
      <c r="G814" t="s">
        <v>628</v>
      </c>
      <c r="H814">
        <v>50</v>
      </c>
      <c r="I814">
        <v>2</v>
      </c>
      <c r="J814">
        <v>279</v>
      </c>
      <c r="K814">
        <v>280</v>
      </c>
      <c r="L814" t="s">
        <v>6775</v>
      </c>
      <c r="M814" t="s">
        <v>6776</v>
      </c>
      <c r="N814" t="s">
        <v>6777</v>
      </c>
      <c r="O814" t="s">
        <v>61</v>
      </c>
      <c r="Q814" t="s">
        <v>61</v>
      </c>
      <c r="R814" t="s">
        <v>61</v>
      </c>
      <c r="S814" t="s">
        <v>61</v>
      </c>
      <c r="T814" t="s">
        <v>61</v>
      </c>
      <c r="X814" t="s">
        <v>61</v>
      </c>
      <c r="Y814" t="s">
        <v>632</v>
      </c>
      <c r="Z814" t="s">
        <v>61</v>
      </c>
      <c r="AA814" t="s">
        <v>61</v>
      </c>
      <c r="AB814" t="s">
        <v>61</v>
      </c>
      <c r="AC814" t="s">
        <v>67</v>
      </c>
      <c r="AD814" t="s">
        <v>61</v>
      </c>
      <c r="AE814" t="s">
        <v>61</v>
      </c>
      <c r="AF814" t="s">
        <v>61</v>
      </c>
      <c r="AG814" t="s">
        <v>61</v>
      </c>
      <c r="AH814" t="s">
        <v>61</v>
      </c>
      <c r="AI814" t="s">
        <v>61</v>
      </c>
      <c r="AJ814" t="s">
        <v>61</v>
      </c>
      <c r="AK814" t="s">
        <v>61</v>
      </c>
      <c r="AL814" t="s">
        <v>61</v>
      </c>
      <c r="AM814" t="s">
        <v>6774</v>
      </c>
      <c r="AN814" t="s">
        <v>61</v>
      </c>
      <c r="AO814" t="s">
        <v>61</v>
      </c>
      <c r="AP814" t="s">
        <v>61</v>
      </c>
      <c r="AQ814" t="s">
        <v>61</v>
      </c>
      <c r="AR814" t="s">
        <v>61</v>
      </c>
      <c r="AS814" t="s">
        <v>61</v>
      </c>
      <c r="AT814" t="s">
        <v>61</v>
      </c>
      <c r="AU814" t="s">
        <v>61</v>
      </c>
      <c r="AV814" t="s">
        <v>61</v>
      </c>
      <c r="AW814" t="s">
        <v>61</v>
      </c>
      <c r="AX814" t="s">
        <v>61</v>
      </c>
      <c r="AY814" t="s">
        <v>61</v>
      </c>
      <c r="AZ814" t="s">
        <v>61</v>
      </c>
      <c r="BA814" t="s">
        <v>61</v>
      </c>
      <c r="BB814" t="s">
        <v>61</v>
      </c>
      <c r="BC814" t="s">
        <v>61</v>
      </c>
      <c r="BD814" t="s">
        <v>61</v>
      </c>
      <c r="BE814" t="s">
        <v>61</v>
      </c>
      <c r="BF814" t="s">
        <v>61</v>
      </c>
    </row>
    <row r="815" spans="1:58">
      <c r="A815" t="s">
        <v>58</v>
      </c>
      <c r="B815" t="s">
        <v>6778</v>
      </c>
      <c r="C815" t="s">
        <v>6779</v>
      </c>
      <c r="D815" t="s">
        <v>5313</v>
      </c>
      <c r="E815" t="s">
        <v>5314</v>
      </c>
      <c r="F815">
        <v>1978</v>
      </c>
      <c r="G815" t="s">
        <v>851</v>
      </c>
      <c r="H815">
        <v>89</v>
      </c>
      <c r="I815">
        <v>5</v>
      </c>
      <c r="J815">
        <v>802</v>
      </c>
      <c r="K815">
        <v>805</v>
      </c>
      <c r="L815" t="s">
        <v>6780</v>
      </c>
      <c r="M815" t="s">
        <v>6781</v>
      </c>
      <c r="N815" t="s">
        <v>6782</v>
      </c>
      <c r="O815" t="s">
        <v>61</v>
      </c>
      <c r="Q815" t="s">
        <v>61</v>
      </c>
      <c r="R815" t="s">
        <v>61</v>
      </c>
      <c r="S815" t="s">
        <v>61</v>
      </c>
      <c r="T815" t="s">
        <v>61</v>
      </c>
      <c r="X815" t="s">
        <v>61</v>
      </c>
      <c r="Y815" s="2">
        <v>1066204</v>
      </c>
      <c r="Z815" t="s">
        <v>61</v>
      </c>
      <c r="AA815" t="s">
        <v>61</v>
      </c>
      <c r="AB815">
        <v>717959</v>
      </c>
      <c r="AC815" t="s">
        <v>67</v>
      </c>
      <c r="AD815" t="s">
        <v>61</v>
      </c>
      <c r="AE815" t="s">
        <v>61</v>
      </c>
      <c r="AF815" t="s">
        <v>61</v>
      </c>
      <c r="AG815" t="s">
        <v>6783</v>
      </c>
      <c r="AH815" t="s">
        <v>61</v>
      </c>
      <c r="AI815" t="s">
        <v>61</v>
      </c>
      <c r="AJ815" t="s">
        <v>61</v>
      </c>
      <c r="AK815" t="s">
        <v>61</v>
      </c>
      <c r="AL815" t="s">
        <v>61</v>
      </c>
      <c r="AM815" t="s">
        <v>6784</v>
      </c>
      <c r="AN815" t="s">
        <v>61</v>
      </c>
      <c r="AO815" t="s">
        <v>61</v>
      </c>
      <c r="AP815" t="s">
        <v>61</v>
      </c>
      <c r="AQ815" t="s">
        <v>61</v>
      </c>
      <c r="AR815" t="s">
        <v>61</v>
      </c>
      <c r="AS815" t="s">
        <v>61</v>
      </c>
      <c r="AT815" t="s">
        <v>61</v>
      </c>
      <c r="AU815" t="s">
        <v>61</v>
      </c>
      <c r="AV815" t="s">
        <v>61</v>
      </c>
      <c r="AW815" t="s">
        <v>61</v>
      </c>
      <c r="AX815" t="s">
        <v>61</v>
      </c>
      <c r="AY815" t="s">
        <v>61</v>
      </c>
      <c r="AZ815" t="s">
        <v>61</v>
      </c>
      <c r="BA815" t="s">
        <v>61</v>
      </c>
      <c r="BB815" t="s">
        <v>61</v>
      </c>
      <c r="BC815" t="s">
        <v>61</v>
      </c>
      <c r="BD815" t="s">
        <v>61</v>
      </c>
      <c r="BE815" t="s">
        <v>61</v>
      </c>
      <c r="BF815" t="s">
        <v>61</v>
      </c>
    </row>
    <row r="816" spans="1:58">
      <c r="A816" t="s">
        <v>58</v>
      </c>
      <c r="B816" t="s">
        <v>6785</v>
      </c>
      <c r="C816" t="s">
        <v>6786</v>
      </c>
      <c r="D816" t="s">
        <v>6787</v>
      </c>
      <c r="E816" t="s">
        <v>6788</v>
      </c>
      <c r="F816">
        <v>2015</v>
      </c>
      <c r="G816" t="s">
        <v>363</v>
      </c>
      <c r="H816">
        <v>172</v>
      </c>
      <c r="I816">
        <v>2</v>
      </c>
      <c r="J816">
        <v>532</v>
      </c>
      <c r="K816">
        <v>548</v>
      </c>
      <c r="L816" t="s">
        <v>6789</v>
      </c>
      <c r="M816" t="s">
        <v>6790</v>
      </c>
      <c r="N816" t="s">
        <v>6791</v>
      </c>
      <c r="O816" t="s">
        <v>61</v>
      </c>
      <c r="Q816" t="s">
        <v>61</v>
      </c>
      <c r="R816" t="s">
        <v>61</v>
      </c>
      <c r="S816" t="s">
        <v>61</v>
      </c>
      <c r="T816" t="s">
        <v>61</v>
      </c>
      <c r="X816" t="s">
        <v>61</v>
      </c>
      <c r="Y816" t="s">
        <v>6792</v>
      </c>
      <c r="Z816" t="s">
        <v>61</v>
      </c>
      <c r="AA816" t="s">
        <v>6793</v>
      </c>
      <c r="AB816">
        <v>24641546</v>
      </c>
      <c r="AC816" t="s">
        <v>67</v>
      </c>
      <c r="AD816" t="s">
        <v>61</v>
      </c>
      <c r="AE816" t="s">
        <v>61</v>
      </c>
      <c r="AF816" t="s">
        <v>61</v>
      </c>
      <c r="AG816" t="s">
        <v>6794</v>
      </c>
      <c r="AH816" t="s">
        <v>61</v>
      </c>
      <c r="AI816" t="s">
        <v>6795</v>
      </c>
      <c r="AJ816" t="s">
        <v>61</v>
      </c>
      <c r="AK816" t="s">
        <v>61</v>
      </c>
      <c r="AL816" t="s">
        <v>61</v>
      </c>
      <c r="AM816" t="s">
        <v>6796</v>
      </c>
      <c r="AN816" t="s">
        <v>61</v>
      </c>
      <c r="AO816" t="s">
        <v>61</v>
      </c>
      <c r="AP816" t="s">
        <v>61</v>
      </c>
      <c r="AQ816" t="s">
        <v>61</v>
      </c>
      <c r="AR816" t="s">
        <v>61</v>
      </c>
      <c r="AS816" t="s">
        <v>61</v>
      </c>
      <c r="AT816" t="s">
        <v>61</v>
      </c>
      <c r="AU816" t="s">
        <v>61</v>
      </c>
      <c r="AV816" t="s">
        <v>61</v>
      </c>
      <c r="AW816" t="s">
        <v>61</v>
      </c>
      <c r="AX816" t="s">
        <v>61</v>
      </c>
      <c r="AY816" t="s">
        <v>61</v>
      </c>
      <c r="AZ816" t="s">
        <v>61</v>
      </c>
      <c r="BA816" t="s">
        <v>61</v>
      </c>
      <c r="BB816" t="s">
        <v>61</v>
      </c>
      <c r="BC816" t="s">
        <v>61</v>
      </c>
      <c r="BD816" t="s">
        <v>61</v>
      </c>
      <c r="BE816" t="s">
        <v>61</v>
      </c>
      <c r="BF816" t="s">
        <v>61</v>
      </c>
    </row>
    <row r="817" spans="1:58">
      <c r="A817" t="s">
        <v>58</v>
      </c>
      <c r="B817" t="s">
        <v>6797</v>
      </c>
      <c r="C817" t="s">
        <v>6798</v>
      </c>
      <c r="D817" t="s">
        <v>408</v>
      </c>
      <c r="E817" t="s">
        <v>408</v>
      </c>
      <c r="F817">
        <v>2013</v>
      </c>
      <c r="G817" t="s">
        <v>645</v>
      </c>
      <c r="H817">
        <v>33</v>
      </c>
      <c r="I817">
        <v>10</v>
      </c>
      <c r="J817" t="s">
        <v>6799</v>
      </c>
      <c r="K817" t="s">
        <v>61</v>
      </c>
      <c r="L817" t="s">
        <v>6800</v>
      </c>
      <c r="M817" t="s">
        <v>6801</v>
      </c>
      <c r="N817" t="s">
        <v>6802</v>
      </c>
      <c r="O817" t="s">
        <v>61</v>
      </c>
      <c r="Q817" t="s">
        <v>61</v>
      </c>
      <c r="R817" t="s">
        <v>61</v>
      </c>
      <c r="S817" t="s">
        <v>61</v>
      </c>
      <c r="T817" t="s">
        <v>61</v>
      </c>
      <c r="X817" t="s">
        <v>61</v>
      </c>
      <c r="Y817" t="s">
        <v>414</v>
      </c>
      <c r="Z817" t="s">
        <v>61</v>
      </c>
      <c r="AA817" t="s">
        <v>61</v>
      </c>
      <c r="AB817" t="s">
        <v>61</v>
      </c>
      <c r="AC817" t="s">
        <v>67</v>
      </c>
      <c r="AD817" t="s">
        <v>61</v>
      </c>
      <c r="AE817" t="s">
        <v>61</v>
      </c>
      <c r="AF817" t="s">
        <v>61</v>
      </c>
      <c r="AG817" t="s">
        <v>61</v>
      </c>
      <c r="AH817" t="s">
        <v>61</v>
      </c>
      <c r="AI817" t="s">
        <v>61</v>
      </c>
      <c r="AJ817" t="s">
        <v>61</v>
      </c>
      <c r="AK817" t="s">
        <v>61</v>
      </c>
      <c r="AL817" t="s">
        <v>61</v>
      </c>
      <c r="AM817" t="s">
        <v>6798</v>
      </c>
      <c r="AN817" t="s">
        <v>61</v>
      </c>
      <c r="AO817" t="s">
        <v>61</v>
      </c>
      <c r="AP817" t="s">
        <v>61</v>
      </c>
      <c r="AQ817" t="s">
        <v>61</v>
      </c>
      <c r="AR817" t="s">
        <v>61</v>
      </c>
      <c r="AS817" t="s">
        <v>61</v>
      </c>
      <c r="AT817" t="s">
        <v>61</v>
      </c>
      <c r="AU817" t="s">
        <v>61</v>
      </c>
      <c r="AV817" t="s">
        <v>61</v>
      </c>
      <c r="AW817" t="s">
        <v>61</v>
      </c>
      <c r="AX817" t="s">
        <v>61</v>
      </c>
      <c r="AY817" t="s">
        <v>61</v>
      </c>
      <c r="AZ817" t="s">
        <v>61</v>
      </c>
      <c r="BA817" t="s">
        <v>61</v>
      </c>
      <c r="BB817" t="s">
        <v>61</v>
      </c>
      <c r="BC817" t="s">
        <v>61</v>
      </c>
      <c r="BD817" t="s">
        <v>61</v>
      </c>
      <c r="BE817" t="s">
        <v>61</v>
      </c>
      <c r="BF817" t="s">
        <v>61</v>
      </c>
    </row>
    <row r="818" spans="1:58">
      <c r="A818" t="s">
        <v>58</v>
      </c>
      <c r="B818" t="s">
        <v>6803</v>
      </c>
      <c r="C818" t="s">
        <v>6804</v>
      </c>
      <c r="D818" t="s">
        <v>2105</v>
      </c>
      <c r="E818" t="s">
        <v>2106</v>
      </c>
      <c r="F818">
        <v>2011</v>
      </c>
      <c r="G818" t="s">
        <v>645</v>
      </c>
      <c r="H818">
        <v>58</v>
      </c>
      <c r="I818">
        <v>4</v>
      </c>
      <c r="J818" t="s">
        <v>6805</v>
      </c>
      <c r="K818" t="s">
        <v>61</v>
      </c>
      <c r="L818" t="s">
        <v>6806</v>
      </c>
      <c r="M818" t="s">
        <v>6807</v>
      </c>
      <c r="N818" t="s">
        <v>6808</v>
      </c>
      <c r="O818" t="s">
        <v>61</v>
      </c>
      <c r="Q818" t="s">
        <v>61</v>
      </c>
      <c r="R818" t="s">
        <v>61</v>
      </c>
      <c r="S818" t="s">
        <v>61</v>
      </c>
      <c r="T818" t="s">
        <v>61</v>
      </c>
      <c r="X818" t="s">
        <v>61</v>
      </c>
      <c r="Y818" t="s">
        <v>2112</v>
      </c>
      <c r="Z818" t="s">
        <v>61</v>
      </c>
      <c r="AA818" t="s">
        <v>61</v>
      </c>
      <c r="AB818" t="s">
        <v>61</v>
      </c>
      <c r="AC818" t="s">
        <v>67</v>
      </c>
      <c r="AD818" t="s">
        <v>61</v>
      </c>
      <c r="AE818" t="s">
        <v>61</v>
      </c>
      <c r="AF818" t="s">
        <v>61</v>
      </c>
      <c r="AG818" t="s">
        <v>61</v>
      </c>
      <c r="AH818" t="s">
        <v>61</v>
      </c>
      <c r="AI818" t="s">
        <v>61</v>
      </c>
      <c r="AJ818" t="s">
        <v>61</v>
      </c>
      <c r="AK818" t="s">
        <v>61</v>
      </c>
      <c r="AL818" t="s">
        <v>61</v>
      </c>
      <c r="AM818" t="s">
        <v>6804</v>
      </c>
      <c r="AN818" t="s">
        <v>61</v>
      </c>
      <c r="AO818" t="s">
        <v>61</v>
      </c>
      <c r="AP818" t="s">
        <v>61</v>
      </c>
      <c r="AQ818" t="s">
        <v>61</v>
      </c>
      <c r="AR818" t="s">
        <v>61</v>
      </c>
      <c r="AS818" t="s">
        <v>61</v>
      </c>
      <c r="AT818" t="s">
        <v>61</v>
      </c>
      <c r="AU818" t="s">
        <v>61</v>
      </c>
      <c r="AV818" t="s">
        <v>61</v>
      </c>
      <c r="AW818" t="s">
        <v>61</v>
      </c>
      <c r="AX818" t="s">
        <v>61</v>
      </c>
      <c r="AY818" t="s">
        <v>61</v>
      </c>
      <c r="AZ818" t="s">
        <v>61</v>
      </c>
      <c r="BA818" t="s">
        <v>61</v>
      </c>
      <c r="BB818" t="s">
        <v>61</v>
      </c>
      <c r="BC818" t="s">
        <v>61</v>
      </c>
      <c r="BD818" t="s">
        <v>61</v>
      </c>
      <c r="BE818" t="s">
        <v>61</v>
      </c>
      <c r="BF818" t="s">
        <v>61</v>
      </c>
    </row>
    <row r="819" spans="1:58">
      <c r="A819" t="s">
        <v>58</v>
      </c>
      <c r="B819" t="s">
        <v>6809</v>
      </c>
      <c r="C819" t="s">
        <v>6810</v>
      </c>
      <c r="D819" t="s">
        <v>408</v>
      </c>
      <c r="E819" t="s">
        <v>408</v>
      </c>
      <c r="F819">
        <v>2014</v>
      </c>
      <c r="G819" t="s">
        <v>645</v>
      </c>
      <c r="H819">
        <v>34</v>
      </c>
      <c r="I819">
        <v>10</v>
      </c>
      <c r="J819" t="s">
        <v>6811</v>
      </c>
      <c r="K819" t="s">
        <v>2430</v>
      </c>
      <c r="L819" t="s">
        <v>6812</v>
      </c>
      <c r="M819" t="s">
        <v>6813</v>
      </c>
      <c r="N819" t="s">
        <v>6814</v>
      </c>
      <c r="O819" t="s">
        <v>61</v>
      </c>
      <c r="Q819" t="s">
        <v>61</v>
      </c>
      <c r="R819" t="s">
        <v>61</v>
      </c>
      <c r="S819" t="s">
        <v>61</v>
      </c>
      <c r="T819" t="s">
        <v>61</v>
      </c>
      <c r="X819" t="s">
        <v>61</v>
      </c>
      <c r="Y819" t="s">
        <v>414</v>
      </c>
      <c r="Z819" t="s">
        <v>61</v>
      </c>
      <c r="AA819" t="s">
        <v>61</v>
      </c>
      <c r="AB819" t="s">
        <v>61</v>
      </c>
      <c r="AC819" t="s">
        <v>67</v>
      </c>
      <c r="AD819" t="s">
        <v>61</v>
      </c>
      <c r="AE819" t="s">
        <v>61</v>
      </c>
      <c r="AF819" t="s">
        <v>61</v>
      </c>
      <c r="AG819" t="s">
        <v>61</v>
      </c>
      <c r="AH819" t="s">
        <v>61</v>
      </c>
      <c r="AI819" t="s">
        <v>61</v>
      </c>
      <c r="AJ819" t="s">
        <v>61</v>
      </c>
      <c r="AK819" t="s">
        <v>61</v>
      </c>
      <c r="AL819" t="s">
        <v>61</v>
      </c>
      <c r="AM819" t="s">
        <v>6810</v>
      </c>
      <c r="AN819" t="s">
        <v>61</v>
      </c>
      <c r="AO819" t="s">
        <v>61</v>
      </c>
      <c r="AP819" t="s">
        <v>61</v>
      </c>
      <c r="AQ819" t="s">
        <v>61</v>
      </c>
      <c r="AR819" t="s">
        <v>61</v>
      </c>
      <c r="AS819" t="s">
        <v>61</v>
      </c>
      <c r="AT819" t="s">
        <v>61</v>
      </c>
      <c r="AU819" t="s">
        <v>61</v>
      </c>
      <c r="AV819" t="s">
        <v>61</v>
      </c>
      <c r="AW819" t="s">
        <v>61</v>
      </c>
      <c r="AX819" t="s">
        <v>61</v>
      </c>
      <c r="AY819" t="s">
        <v>61</v>
      </c>
      <c r="AZ819" t="s">
        <v>61</v>
      </c>
      <c r="BA819" t="s">
        <v>61</v>
      </c>
      <c r="BB819" t="s">
        <v>61</v>
      </c>
      <c r="BC819" t="s">
        <v>61</v>
      </c>
      <c r="BD819" t="s">
        <v>61</v>
      </c>
      <c r="BE819" t="s">
        <v>61</v>
      </c>
      <c r="BF819" t="s">
        <v>61</v>
      </c>
    </row>
    <row r="820" spans="1:58">
      <c r="A820" t="s">
        <v>58</v>
      </c>
      <c r="B820" t="s">
        <v>6815</v>
      </c>
      <c r="C820" t="s">
        <v>6816</v>
      </c>
      <c r="D820" t="s">
        <v>661</v>
      </c>
      <c r="E820" t="s">
        <v>61</v>
      </c>
      <c r="F820">
        <v>2010</v>
      </c>
      <c r="G820" t="s">
        <v>391</v>
      </c>
      <c r="H820">
        <v>10</v>
      </c>
      <c r="I820">
        <v>1</v>
      </c>
      <c r="J820">
        <v>21</v>
      </c>
      <c r="K820">
        <v>22</v>
      </c>
      <c r="L820" t="s">
        <v>6817</v>
      </c>
      <c r="M820" t="s">
        <v>6818</v>
      </c>
      <c r="N820" t="s">
        <v>6819</v>
      </c>
      <c r="O820" t="s">
        <v>61</v>
      </c>
      <c r="Q820" t="s">
        <v>61</v>
      </c>
      <c r="R820" t="s">
        <v>61</v>
      </c>
      <c r="S820" t="s">
        <v>61</v>
      </c>
      <c r="T820" t="s">
        <v>61</v>
      </c>
      <c r="X820" t="s">
        <v>61</v>
      </c>
      <c r="Y820" t="s">
        <v>2932</v>
      </c>
      <c r="Z820" t="s">
        <v>61</v>
      </c>
      <c r="AA820" t="s">
        <v>61</v>
      </c>
      <c r="AB820" t="s">
        <v>61</v>
      </c>
      <c r="AC820" t="s">
        <v>67</v>
      </c>
      <c r="AD820" t="s">
        <v>61</v>
      </c>
      <c r="AE820" t="s">
        <v>61</v>
      </c>
      <c r="AF820" t="s">
        <v>61</v>
      </c>
      <c r="AG820" t="s">
        <v>61</v>
      </c>
      <c r="AH820" t="s">
        <v>61</v>
      </c>
      <c r="AI820" t="s">
        <v>61</v>
      </c>
      <c r="AJ820" t="s">
        <v>61</v>
      </c>
      <c r="AK820" t="s">
        <v>61</v>
      </c>
      <c r="AL820" t="s">
        <v>61</v>
      </c>
      <c r="AM820" t="s">
        <v>6816</v>
      </c>
      <c r="AN820" t="s">
        <v>61</v>
      </c>
      <c r="AO820" t="s">
        <v>61</v>
      </c>
      <c r="AP820" t="s">
        <v>61</v>
      </c>
      <c r="AQ820" t="s">
        <v>61</v>
      </c>
      <c r="AR820" t="s">
        <v>61</v>
      </c>
      <c r="AS820" t="s">
        <v>61</v>
      </c>
      <c r="AT820" t="s">
        <v>61</v>
      </c>
      <c r="AU820" t="s">
        <v>61</v>
      </c>
      <c r="AV820" t="s">
        <v>61</v>
      </c>
      <c r="AW820" t="s">
        <v>61</v>
      </c>
      <c r="AX820" t="s">
        <v>61</v>
      </c>
      <c r="AY820" t="s">
        <v>61</v>
      </c>
      <c r="AZ820" t="s">
        <v>61</v>
      </c>
      <c r="BA820" t="s">
        <v>61</v>
      </c>
      <c r="BB820" t="s">
        <v>61</v>
      </c>
      <c r="BC820" t="s">
        <v>61</v>
      </c>
      <c r="BD820" t="s">
        <v>61</v>
      </c>
      <c r="BE820" t="s">
        <v>61</v>
      </c>
      <c r="BF820" t="s">
        <v>61</v>
      </c>
    </row>
    <row r="821" spans="1:58">
      <c r="A821" t="s">
        <v>58</v>
      </c>
      <c r="B821" t="s">
        <v>6820</v>
      </c>
      <c r="C821" t="s">
        <v>6821</v>
      </c>
      <c r="D821" t="s">
        <v>6822</v>
      </c>
      <c r="E821" t="s">
        <v>61</v>
      </c>
      <c r="F821">
        <v>2007</v>
      </c>
      <c r="G821" t="s">
        <v>1152</v>
      </c>
      <c r="H821">
        <v>79</v>
      </c>
      <c r="I821">
        <v>3</v>
      </c>
      <c r="J821">
        <v>118</v>
      </c>
      <c r="K821">
        <v>121</v>
      </c>
      <c r="L821" t="s">
        <v>6823</v>
      </c>
      <c r="M821" t="s">
        <v>6824</v>
      </c>
      <c r="N821" t="s">
        <v>6825</v>
      </c>
      <c r="O821" t="s">
        <v>61</v>
      </c>
      <c r="Q821" t="s">
        <v>61</v>
      </c>
      <c r="R821" t="s">
        <v>61</v>
      </c>
      <c r="S821" t="s">
        <v>61</v>
      </c>
      <c r="T821" t="s">
        <v>61</v>
      </c>
      <c r="X821" t="s">
        <v>61</v>
      </c>
      <c r="Y821" t="s">
        <v>6826</v>
      </c>
      <c r="Z821" t="s">
        <v>61</v>
      </c>
      <c r="AA821" t="s">
        <v>6827</v>
      </c>
      <c r="AB821">
        <v>18041362</v>
      </c>
      <c r="AC821" t="s">
        <v>67</v>
      </c>
      <c r="AD821" t="s">
        <v>61</v>
      </c>
      <c r="AE821" t="s">
        <v>61</v>
      </c>
      <c r="AF821" t="s">
        <v>61</v>
      </c>
      <c r="AG821" t="s">
        <v>6828</v>
      </c>
      <c r="AH821" t="s">
        <v>61</v>
      </c>
      <c r="AI821" t="s">
        <v>61</v>
      </c>
      <c r="AJ821" t="s">
        <v>61</v>
      </c>
      <c r="AK821" t="s">
        <v>61</v>
      </c>
      <c r="AL821" t="s">
        <v>61</v>
      </c>
      <c r="AM821" t="s">
        <v>6829</v>
      </c>
      <c r="AN821" t="s">
        <v>61</v>
      </c>
      <c r="AO821" t="s">
        <v>61</v>
      </c>
      <c r="AP821" t="s">
        <v>61</v>
      </c>
      <c r="AQ821" t="s">
        <v>61</v>
      </c>
      <c r="AR821" t="s">
        <v>61</v>
      </c>
      <c r="AS821" t="s">
        <v>61</v>
      </c>
      <c r="AT821" t="s">
        <v>61</v>
      </c>
      <c r="AU821" t="s">
        <v>61</v>
      </c>
      <c r="AV821" t="s">
        <v>61</v>
      </c>
      <c r="AW821" t="s">
        <v>61</v>
      </c>
      <c r="AX821" t="s">
        <v>61</v>
      </c>
      <c r="AY821" t="s">
        <v>61</v>
      </c>
      <c r="AZ821" t="s">
        <v>61</v>
      </c>
      <c r="BA821" t="s">
        <v>61</v>
      </c>
      <c r="BB821" t="s">
        <v>61</v>
      </c>
      <c r="BC821" t="s">
        <v>61</v>
      </c>
      <c r="BD821" t="s">
        <v>61</v>
      </c>
      <c r="BE821" t="s">
        <v>61</v>
      </c>
      <c r="BF821" t="s">
        <v>61</v>
      </c>
    </row>
    <row r="822" spans="1:58">
      <c r="A822" t="s">
        <v>58</v>
      </c>
      <c r="B822" t="s">
        <v>6830</v>
      </c>
      <c r="C822" t="s">
        <v>6831</v>
      </c>
      <c r="D822" t="s">
        <v>661</v>
      </c>
      <c r="E822" t="s">
        <v>61</v>
      </c>
      <c r="F822">
        <v>2007</v>
      </c>
      <c r="G822" t="s">
        <v>344</v>
      </c>
      <c r="H822">
        <v>7</v>
      </c>
      <c r="I822">
        <v>3</v>
      </c>
      <c r="J822">
        <v>257</v>
      </c>
      <c r="K822">
        <v>265</v>
      </c>
      <c r="L822" t="s">
        <v>6832</v>
      </c>
      <c r="M822" t="s">
        <v>6833</v>
      </c>
      <c r="N822" t="s">
        <v>6834</v>
      </c>
      <c r="O822" t="s">
        <v>61</v>
      </c>
      <c r="Q822" t="s">
        <v>61</v>
      </c>
      <c r="R822" t="s">
        <v>61</v>
      </c>
      <c r="S822" t="s">
        <v>61</v>
      </c>
      <c r="T822" t="s">
        <v>61</v>
      </c>
      <c r="X822" t="s">
        <v>61</v>
      </c>
      <c r="Y822" t="s">
        <v>2932</v>
      </c>
      <c r="Z822" t="s">
        <v>61</v>
      </c>
      <c r="AA822" t="s">
        <v>61</v>
      </c>
      <c r="AB822" t="s">
        <v>6835</v>
      </c>
      <c r="AC822" t="s">
        <v>67</v>
      </c>
      <c r="AD822" t="s">
        <v>61</v>
      </c>
      <c r="AE822" t="s">
        <v>61</v>
      </c>
      <c r="AF822" t="s">
        <v>61</v>
      </c>
      <c r="AG822" t="s">
        <v>61</v>
      </c>
      <c r="AH822" t="s">
        <v>61</v>
      </c>
      <c r="AI822" t="s">
        <v>61</v>
      </c>
      <c r="AJ822" t="s">
        <v>61</v>
      </c>
      <c r="AK822" t="s">
        <v>61</v>
      </c>
      <c r="AL822" t="s">
        <v>61</v>
      </c>
      <c r="AM822" t="s">
        <v>6831</v>
      </c>
      <c r="AN822" t="s">
        <v>61</v>
      </c>
      <c r="AO822" t="s">
        <v>61</v>
      </c>
      <c r="AP822" t="s">
        <v>61</v>
      </c>
      <c r="AQ822" t="s">
        <v>61</v>
      </c>
      <c r="AR822" t="s">
        <v>61</v>
      </c>
      <c r="AS822" t="s">
        <v>61</v>
      </c>
      <c r="AT822" t="s">
        <v>61</v>
      </c>
      <c r="AU822" t="s">
        <v>61</v>
      </c>
      <c r="AV822" t="s">
        <v>61</v>
      </c>
      <c r="AW822" t="s">
        <v>61</v>
      </c>
      <c r="AX822" t="s">
        <v>61</v>
      </c>
      <c r="AY822" t="s">
        <v>61</v>
      </c>
      <c r="AZ822" t="s">
        <v>61</v>
      </c>
      <c r="BA822" t="s">
        <v>61</v>
      </c>
      <c r="BB822" t="s">
        <v>61</v>
      </c>
      <c r="BC822" t="s">
        <v>61</v>
      </c>
      <c r="BD822" t="s">
        <v>61</v>
      </c>
      <c r="BE822" t="s">
        <v>61</v>
      </c>
      <c r="BF822" t="s">
        <v>61</v>
      </c>
    </row>
    <row r="823" spans="1:58">
      <c r="A823" t="s">
        <v>58</v>
      </c>
      <c r="B823" t="s">
        <v>6836</v>
      </c>
      <c r="C823" t="s">
        <v>6837</v>
      </c>
      <c r="D823" t="s">
        <v>6838</v>
      </c>
      <c r="E823" t="s">
        <v>6839</v>
      </c>
      <c r="F823">
        <v>2005</v>
      </c>
      <c r="G823" t="s">
        <v>61</v>
      </c>
      <c r="H823">
        <v>21</v>
      </c>
      <c r="I823">
        <v>4</v>
      </c>
      <c r="J823">
        <v>246</v>
      </c>
      <c r="K823">
        <v>251</v>
      </c>
      <c r="L823" t="s">
        <v>6840</v>
      </c>
      <c r="M823" t="s">
        <v>6841</v>
      </c>
      <c r="N823" t="s">
        <v>6842</v>
      </c>
      <c r="O823" t="s">
        <v>61</v>
      </c>
      <c r="Q823" t="s">
        <v>61</v>
      </c>
      <c r="R823" t="s">
        <v>61</v>
      </c>
      <c r="S823" t="s">
        <v>61</v>
      </c>
      <c r="T823" t="s">
        <v>61</v>
      </c>
      <c r="X823" t="s">
        <v>61</v>
      </c>
      <c r="Y823" t="s">
        <v>6843</v>
      </c>
      <c r="Z823" t="s">
        <v>61</v>
      </c>
      <c r="AA823" t="s">
        <v>6844</v>
      </c>
      <c r="AB823">
        <v>16483093</v>
      </c>
      <c r="AC823" t="s">
        <v>67</v>
      </c>
      <c r="AD823" t="s">
        <v>61</v>
      </c>
      <c r="AE823" t="s">
        <v>61</v>
      </c>
      <c r="AF823" t="s">
        <v>61</v>
      </c>
      <c r="AG823" t="s">
        <v>6845</v>
      </c>
      <c r="AH823" t="s">
        <v>61</v>
      </c>
      <c r="AI823" t="s">
        <v>61</v>
      </c>
      <c r="AJ823" t="s">
        <v>61</v>
      </c>
      <c r="AK823" t="s">
        <v>61</v>
      </c>
      <c r="AL823" t="s">
        <v>61</v>
      </c>
      <c r="AM823" t="s">
        <v>6846</v>
      </c>
      <c r="AN823" t="s">
        <v>61</v>
      </c>
      <c r="AO823" t="s">
        <v>61</v>
      </c>
      <c r="AP823" t="s">
        <v>61</v>
      </c>
      <c r="AQ823" t="s">
        <v>61</v>
      </c>
      <c r="AR823" t="s">
        <v>61</v>
      </c>
      <c r="AS823" t="s">
        <v>61</v>
      </c>
      <c r="AT823" t="s">
        <v>61</v>
      </c>
      <c r="AU823" t="s">
        <v>61</v>
      </c>
      <c r="AV823" t="s">
        <v>61</v>
      </c>
      <c r="AW823" t="s">
        <v>61</v>
      </c>
      <c r="AX823" t="s">
        <v>61</v>
      </c>
      <c r="AY823" t="s">
        <v>61</v>
      </c>
      <c r="AZ823" t="s">
        <v>61</v>
      </c>
      <c r="BA823" t="s">
        <v>61</v>
      </c>
      <c r="BB823" t="s">
        <v>61</v>
      </c>
      <c r="BC823" t="s">
        <v>61</v>
      </c>
      <c r="BD823" t="s">
        <v>61</v>
      </c>
      <c r="BE823" t="s">
        <v>61</v>
      </c>
      <c r="BF823" t="s">
        <v>61</v>
      </c>
    </row>
    <row r="824" spans="1:58">
      <c r="A824" t="s">
        <v>58</v>
      </c>
      <c r="B824" t="s">
        <v>6847</v>
      </c>
      <c r="C824" t="s">
        <v>6848</v>
      </c>
      <c r="D824" t="s">
        <v>627</v>
      </c>
      <c r="E824" t="s">
        <v>61</v>
      </c>
      <c r="F824">
        <v>2014</v>
      </c>
      <c r="G824" t="s">
        <v>628</v>
      </c>
      <c r="H824">
        <v>54</v>
      </c>
      <c r="I824">
        <v>2</v>
      </c>
      <c r="J824" t="s">
        <v>6849</v>
      </c>
      <c r="K824" t="s">
        <v>61</v>
      </c>
      <c r="L824" t="s">
        <v>6850</v>
      </c>
      <c r="M824" t="s">
        <v>6851</v>
      </c>
      <c r="N824" t="s">
        <v>6852</v>
      </c>
      <c r="O824" t="s">
        <v>61</v>
      </c>
      <c r="Q824" t="s">
        <v>61</v>
      </c>
      <c r="R824" t="s">
        <v>61</v>
      </c>
      <c r="S824" t="s">
        <v>61</v>
      </c>
      <c r="T824" t="s">
        <v>61</v>
      </c>
      <c r="X824" t="s">
        <v>61</v>
      </c>
      <c r="Y824" t="s">
        <v>632</v>
      </c>
      <c r="Z824" t="s">
        <v>61</v>
      </c>
      <c r="AA824" t="s">
        <v>61</v>
      </c>
      <c r="AB824" t="s">
        <v>61</v>
      </c>
      <c r="AC824" t="s">
        <v>67</v>
      </c>
      <c r="AD824" t="s">
        <v>61</v>
      </c>
      <c r="AE824" t="s">
        <v>61</v>
      </c>
      <c r="AF824" t="s">
        <v>61</v>
      </c>
      <c r="AG824" t="s">
        <v>61</v>
      </c>
      <c r="AH824" t="s">
        <v>61</v>
      </c>
      <c r="AI824" t="s">
        <v>61</v>
      </c>
      <c r="AJ824" t="s">
        <v>61</v>
      </c>
      <c r="AK824" t="s">
        <v>61</v>
      </c>
      <c r="AL824" t="s">
        <v>61</v>
      </c>
      <c r="AM824" t="s">
        <v>6848</v>
      </c>
      <c r="AN824" t="s">
        <v>61</v>
      </c>
      <c r="AO824" t="s">
        <v>61</v>
      </c>
      <c r="AP824" t="s">
        <v>61</v>
      </c>
      <c r="AQ824" t="s">
        <v>61</v>
      </c>
      <c r="AR824" t="s">
        <v>61</v>
      </c>
      <c r="AS824" t="s">
        <v>61</v>
      </c>
      <c r="AT824" t="s">
        <v>61</v>
      </c>
      <c r="AU824" t="s">
        <v>61</v>
      </c>
      <c r="AV824" t="s">
        <v>61</v>
      </c>
      <c r="AW824" t="s">
        <v>61</v>
      </c>
      <c r="AX824" t="s">
        <v>61</v>
      </c>
      <c r="AY824" t="s">
        <v>61</v>
      </c>
      <c r="AZ824" t="s">
        <v>61</v>
      </c>
      <c r="BA824" t="s">
        <v>61</v>
      </c>
      <c r="BB824" t="s">
        <v>61</v>
      </c>
      <c r="BC824" t="s">
        <v>61</v>
      </c>
      <c r="BD824" t="s">
        <v>61</v>
      </c>
      <c r="BE824" t="s">
        <v>61</v>
      </c>
      <c r="BF824" t="s">
        <v>61</v>
      </c>
    </row>
    <row r="825" spans="1:58">
      <c r="A825" t="s">
        <v>58</v>
      </c>
      <c r="B825" t="s">
        <v>6853</v>
      </c>
      <c r="C825" t="s">
        <v>6854</v>
      </c>
      <c r="D825" t="s">
        <v>1986</v>
      </c>
      <c r="E825" t="s">
        <v>1987</v>
      </c>
      <c r="F825">
        <v>2008</v>
      </c>
      <c r="G825" t="s">
        <v>237</v>
      </c>
      <c r="H825">
        <v>10</v>
      </c>
      <c r="I825">
        <v>7</v>
      </c>
      <c r="J825">
        <v>1215</v>
      </c>
      <c r="K825">
        <v>1221</v>
      </c>
      <c r="L825" t="s">
        <v>6855</v>
      </c>
      <c r="M825" t="s">
        <v>6856</v>
      </c>
      <c r="N825" t="s">
        <v>6857</v>
      </c>
      <c r="O825" t="s">
        <v>61</v>
      </c>
      <c r="Q825" t="s">
        <v>61</v>
      </c>
      <c r="R825" t="s">
        <v>61</v>
      </c>
      <c r="S825" t="s">
        <v>61</v>
      </c>
      <c r="T825" t="s">
        <v>61</v>
      </c>
      <c r="X825" t="s">
        <v>61</v>
      </c>
      <c r="Y825" t="s">
        <v>5553</v>
      </c>
      <c r="Z825" t="s">
        <v>61</v>
      </c>
      <c r="AA825" t="s">
        <v>6858</v>
      </c>
      <c r="AB825">
        <v>18629732</v>
      </c>
      <c r="AC825" t="s">
        <v>67</v>
      </c>
      <c r="AD825" t="s">
        <v>61</v>
      </c>
      <c r="AE825" t="s">
        <v>61</v>
      </c>
      <c r="AF825" t="s">
        <v>61</v>
      </c>
      <c r="AG825" t="s">
        <v>6859</v>
      </c>
      <c r="AH825" t="s">
        <v>61</v>
      </c>
      <c r="AI825" t="s">
        <v>6860</v>
      </c>
      <c r="AJ825" t="s">
        <v>61</v>
      </c>
      <c r="AK825" t="s">
        <v>61</v>
      </c>
      <c r="AL825" t="s">
        <v>61</v>
      </c>
      <c r="AM825" t="s">
        <v>6861</v>
      </c>
      <c r="AN825" t="s">
        <v>61</v>
      </c>
      <c r="AO825" t="s">
        <v>61</v>
      </c>
      <c r="AP825" t="s">
        <v>61</v>
      </c>
      <c r="AQ825" t="s">
        <v>61</v>
      </c>
      <c r="AR825" t="s">
        <v>61</v>
      </c>
      <c r="AS825" t="s">
        <v>61</v>
      </c>
      <c r="AT825" t="s">
        <v>61</v>
      </c>
      <c r="AU825" t="s">
        <v>61</v>
      </c>
      <c r="AV825" t="s">
        <v>61</v>
      </c>
      <c r="AW825" t="s">
        <v>61</v>
      </c>
      <c r="AX825" t="s">
        <v>61</v>
      </c>
      <c r="AY825" t="s">
        <v>61</v>
      </c>
      <c r="AZ825" t="s">
        <v>61</v>
      </c>
      <c r="BA825" t="s">
        <v>61</v>
      </c>
      <c r="BB825" t="s">
        <v>61</v>
      </c>
      <c r="BC825" t="s">
        <v>61</v>
      </c>
      <c r="BD825" t="s">
        <v>61</v>
      </c>
      <c r="BE825" t="s">
        <v>61</v>
      </c>
      <c r="BF825" t="s">
        <v>61</v>
      </c>
    </row>
    <row r="826" spans="1:58">
      <c r="A826" t="s">
        <v>58</v>
      </c>
      <c r="B826" t="s">
        <v>6862</v>
      </c>
      <c r="C826" t="s">
        <v>6863</v>
      </c>
      <c r="D826" t="s">
        <v>6864</v>
      </c>
      <c r="E826" t="s">
        <v>61</v>
      </c>
      <c r="F826">
        <v>2011</v>
      </c>
      <c r="G826" t="s">
        <v>61</v>
      </c>
      <c r="H826">
        <v>10</v>
      </c>
      <c r="I826" t="s">
        <v>61</v>
      </c>
      <c r="J826">
        <v>142</v>
      </c>
      <c r="K826" t="s">
        <v>61</v>
      </c>
      <c r="L826" t="s">
        <v>6865</v>
      </c>
      <c r="M826" t="s">
        <v>6866</v>
      </c>
      <c r="N826" t="s">
        <v>6867</v>
      </c>
      <c r="O826" t="s">
        <v>61</v>
      </c>
      <c r="Q826" t="s">
        <v>61</v>
      </c>
      <c r="R826" t="s">
        <v>61</v>
      </c>
      <c r="S826" t="s">
        <v>61</v>
      </c>
      <c r="T826" t="s">
        <v>61</v>
      </c>
      <c r="X826" t="s">
        <v>61</v>
      </c>
      <c r="Y826" t="s">
        <v>6868</v>
      </c>
      <c r="Z826" t="s">
        <v>61</v>
      </c>
      <c r="AA826" t="s">
        <v>6869</v>
      </c>
      <c r="AB826">
        <v>21605361</v>
      </c>
      <c r="AC826" t="s">
        <v>67</v>
      </c>
      <c r="AD826" t="s">
        <v>61</v>
      </c>
      <c r="AE826" t="s">
        <v>61</v>
      </c>
      <c r="AF826" t="s">
        <v>61</v>
      </c>
      <c r="AG826" t="s">
        <v>6870</v>
      </c>
      <c r="AH826" t="s">
        <v>61</v>
      </c>
      <c r="AI826" t="s">
        <v>6871</v>
      </c>
      <c r="AJ826" t="s">
        <v>61</v>
      </c>
      <c r="AK826" t="s">
        <v>61</v>
      </c>
      <c r="AL826" t="s">
        <v>61</v>
      </c>
      <c r="AM826" t="s">
        <v>6872</v>
      </c>
      <c r="AN826" t="s">
        <v>61</v>
      </c>
      <c r="AO826" t="s">
        <v>61</v>
      </c>
      <c r="AP826" t="s">
        <v>61</v>
      </c>
      <c r="AQ826" t="s">
        <v>61</v>
      </c>
      <c r="AR826" t="s">
        <v>61</v>
      </c>
      <c r="AS826" t="s">
        <v>61</v>
      </c>
      <c r="AT826" t="s">
        <v>61</v>
      </c>
      <c r="AU826" t="s">
        <v>61</v>
      </c>
      <c r="AV826" t="s">
        <v>61</v>
      </c>
      <c r="AW826" t="s">
        <v>61</v>
      </c>
      <c r="AX826" t="s">
        <v>61</v>
      </c>
      <c r="AY826" t="s">
        <v>61</v>
      </c>
      <c r="AZ826" t="s">
        <v>61</v>
      </c>
      <c r="BA826" t="s">
        <v>61</v>
      </c>
      <c r="BB826" t="s">
        <v>61</v>
      </c>
      <c r="BC826" t="s">
        <v>61</v>
      </c>
      <c r="BD826" t="s">
        <v>61</v>
      </c>
      <c r="BE826" t="s">
        <v>61</v>
      </c>
      <c r="BF826" t="s">
        <v>61</v>
      </c>
    </row>
    <row r="827" spans="1:58">
      <c r="A827" t="s">
        <v>58</v>
      </c>
      <c r="B827" t="s">
        <v>6873</v>
      </c>
      <c r="C827" t="s">
        <v>6874</v>
      </c>
      <c r="D827" t="s">
        <v>588</v>
      </c>
      <c r="E827" t="s">
        <v>589</v>
      </c>
      <c r="F827">
        <v>2006</v>
      </c>
      <c r="G827" t="s">
        <v>1152</v>
      </c>
      <c r="H827">
        <v>38</v>
      </c>
      <c r="I827">
        <v>3</v>
      </c>
      <c r="J827">
        <v>229</v>
      </c>
      <c r="K827">
        <v>232</v>
      </c>
      <c r="L827" t="s">
        <v>6875</v>
      </c>
      <c r="M827" t="s">
        <v>6876</v>
      </c>
      <c r="N827" t="s">
        <v>6877</v>
      </c>
      <c r="O827" t="s">
        <v>61</v>
      </c>
      <c r="Q827" t="s">
        <v>61</v>
      </c>
      <c r="R827" t="s">
        <v>61</v>
      </c>
      <c r="S827" t="s">
        <v>61</v>
      </c>
      <c r="T827" t="s">
        <v>61</v>
      </c>
      <c r="X827" t="s">
        <v>61</v>
      </c>
      <c r="Y827" t="s">
        <v>593</v>
      </c>
      <c r="Z827" t="s">
        <v>61</v>
      </c>
      <c r="AA827" t="s">
        <v>6878</v>
      </c>
      <c r="AB827">
        <v>17165365</v>
      </c>
      <c r="AC827" t="s">
        <v>67</v>
      </c>
      <c r="AD827" t="s">
        <v>61</v>
      </c>
      <c r="AE827" t="s">
        <v>61</v>
      </c>
      <c r="AF827" t="s">
        <v>61</v>
      </c>
      <c r="AG827" t="s">
        <v>6879</v>
      </c>
      <c r="AH827" t="s">
        <v>61</v>
      </c>
      <c r="AI827" t="s">
        <v>61</v>
      </c>
      <c r="AJ827" t="s">
        <v>61</v>
      </c>
      <c r="AK827" t="s">
        <v>61</v>
      </c>
      <c r="AL827" t="s">
        <v>61</v>
      </c>
      <c r="AM827" t="s">
        <v>6880</v>
      </c>
      <c r="AN827" t="s">
        <v>61</v>
      </c>
      <c r="AO827" t="s">
        <v>61</v>
      </c>
      <c r="AP827" t="s">
        <v>61</v>
      </c>
      <c r="AQ827" t="s">
        <v>61</v>
      </c>
      <c r="AR827" t="s">
        <v>61</v>
      </c>
      <c r="AS827" t="s">
        <v>61</v>
      </c>
      <c r="AT827" t="s">
        <v>61</v>
      </c>
      <c r="AU827" t="s">
        <v>61</v>
      </c>
      <c r="AV827" t="s">
        <v>61</v>
      </c>
      <c r="AW827" t="s">
        <v>61</v>
      </c>
      <c r="AX827" t="s">
        <v>61</v>
      </c>
      <c r="AY827" t="s">
        <v>61</v>
      </c>
      <c r="AZ827" t="s">
        <v>61</v>
      </c>
      <c r="BA827" t="s">
        <v>61</v>
      </c>
      <c r="BB827" t="s">
        <v>61</v>
      </c>
      <c r="BC827" t="s">
        <v>61</v>
      </c>
      <c r="BD827" t="s">
        <v>61</v>
      </c>
      <c r="BE827" t="s">
        <v>61</v>
      </c>
      <c r="BF827" t="s">
        <v>61</v>
      </c>
    </row>
    <row r="828" spans="1:58">
      <c r="A828" t="s">
        <v>58</v>
      </c>
      <c r="B828" t="s">
        <v>6881</v>
      </c>
      <c r="C828" t="s">
        <v>6882</v>
      </c>
      <c r="D828" t="s">
        <v>704</v>
      </c>
      <c r="E828" t="s">
        <v>61</v>
      </c>
      <c r="F828">
        <v>2006</v>
      </c>
      <c r="G828" t="s">
        <v>129</v>
      </c>
      <c r="H828">
        <v>12</v>
      </c>
      <c r="I828">
        <v>8</v>
      </c>
      <c r="J828">
        <v>677</v>
      </c>
      <c r="K828">
        <v>685</v>
      </c>
      <c r="L828" t="s">
        <v>6883</v>
      </c>
      <c r="M828" t="s">
        <v>6884</v>
      </c>
      <c r="N828" t="s">
        <v>6885</v>
      </c>
      <c r="O828" t="s">
        <v>61</v>
      </c>
      <c r="Q828" t="s">
        <v>61</v>
      </c>
      <c r="R828" t="s">
        <v>61</v>
      </c>
      <c r="S828" t="s">
        <v>61</v>
      </c>
      <c r="T828" t="s">
        <v>61</v>
      </c>
      <c r="X828" t="s">
        <v>61</v>
      </c>
      <c r="Y828" t="s">
        <v>6886</v>
      </c>
      <c r="Z828" t="s">
        <v>61</v>
      </c>
      <c r="AA828" t="s">
        <v>6887</v>
      </c>
      <c r="AB828">
        <v>17269846</v>
      </c>
      <c r="AC828" t="s">
        <v>67</v>
      </c>
      <c r="AD828" t="s">
        <v>61</v>
      </c>
      <c r="AE828" t="s">
        <v>61</v>
      </c>
      <c r="AF828" t="s">
        <v>61</v>
      </c>
      <c r="AG828" t="s">
        <v>6888</v>
      </c>
      <c r="AH828" t="s">
        <v>61</v>
      </c>
      <c r="AI828" t="s">
        <v>61</v>
      </c>
      <c r="AJ828" t="s">
        <v>61</v>
      </c>
      <c r="AK828" t="s">
        <v>61</v>
      </c>
      <c r="AL828" t="s">
        <v>61</v>
      </c>
      <c r="AM828" t="s">
        <v>6889</v>
      </c>
      <c r="AN828" t="s">
        <v>61</v>
      </c>
      <c r="AO828" t="s">
        <v>61</v>
      </c>
      <c r="AP828" t="s">
        <v>61</v>
      </c>
      <c r="AQ828" t="s">
        <v>61</v>
      </c>
      <c r="AR828" t="s">
        <v>61</v>
      </c>
      <c r="AS828" t="s">
        <v>61</v>
      </c>
      <c r="AT828" t="s">
        <v>61</v>
      </c>
      <c r="AU828" t="s">
        <v>61</v>
      </c>
      <c r="AV828" t="s">
        <v>61</v>
      </c>
      <c r="AW828" t="s">
        <v>61</v>
      </c>
      <c r="AX828" t="s">
        <v>61</v>
      </c>
      <c r="AY828" t="s">
        <v>61</v>
      </c>
      <c r="AZ828" t="s">
        <v>61</v>
      </c>
      <c r="BA828" t="s">
        <v>61</v>
      </c>
      <c r="BB828" t="s">
        <v>61</v>
      </c>
      <c r="BC828" t="s">
        <v>61</v>
      </c>
      <c r="BD828" t="s">
        <v>61</v>
      </c>
      <c r="BE828" t="s">
        <v>61</v>
      </c>
      <c r="BF828" t="s">
        <v>61</v>
      </c>
    </row>
    <row r="829" spans="1:58">
      <c r="A829" t="s">
        <v>58</v>
      </c>
      <c r="B829" t="s">
        <v>6890</v>
      </c>
      <c r="C829" t="s">
        <v>6891</v>
      </c>
      <c r="D829" t="s">
        <v>6892</v>
      </c>
      <c r="E829" t="s">
        <v>61</v>
      </c>
      <c r="F829">
        <v>2013</v>
      </c>
      <c r="G829" t="s">
        <v>418</v>
      </c>
      <c r="H829">
        <v>19</v>
      </c>
      <c r="I829">
        <v>4</v>
      </c>
      <c r="J829">
        <v>286</v>
      </c>
      <c r="K829">
        <v>293</v>
      </c>
      <c r="L829" t="s">
        <v>6893</v>
      </c>
      <c r="M829" t="s">
        <v>6894</v>
      </c>
      <c r="N829" t="s">
        <v>6895</v>
      </c>
      <c r="O829" t="s">
        <v>61</v>
      </c>
      <c r="Q829" t="s">
        <v>61</v>
      </c>
      <c r="R829" t="s">
        <v>61</v>
      </c>
      <c r="S829" t="s">
        <v>61</v>
      </c>
      <c r="T829" t="s">
        <v>61</v>
      </c>
      <c r="X829" t="s">
        <v>61</v>
      </c>
      <c r="Y829" t="s">
        <v>6896</v>
      </c>
      <c r="Z829" t="s">
        <v>61</v>
      </c>
      <c r="AA829" t="s">
        <v>6897</v>
      </c>
      <c r="AB829">
        <v>23687210</v>
      </c>
      <c r="AC829" t="s">
        <v>67</v>
      </c>
      <c r="AD829" t="s">
        <v>61</v>
      </c>
      <c r="AE829" t="s">
        <v>61</v>
      </c>
      <c r="AF829" t="s">
        <v>61</v>
      </c>
      <c r="AG829" t="s">
        <v>6898</v>
      </c>
      <c r="AH829" t="s">
        <v>61</v>
      </c>
      <c r="AI829" t="s">
        <v>61</v>
      </c>
      <c r="AJ829" t="s">
        <v>61</v>
      </c>
      <c r="AK829" t="s">
        <v>61</v>
      </c>
      <c r="AL829" t="s">
        <v>61</v>
      </c>
      <c r="AM829" t="s">
        <v>6899</v>
      </c>
      <c r="AN829" t="s">
        <v>61</v>
      </c>
      <c r="AO829" t="s">
        <v>61</v>
      </c>
      <c r="AP829" t="s">
        <v>61</v>
      </c>
      <c r="AQ829" t="s">
        <v>61</v>
      </c>
      <c r="AR829" t="s">
        <v>61</v>
      </c>
      <c r="AS829" t="s">
        <v>61</v>
      </c>
      <c r="AT829" t="s">
        <v>61</v>
      </c>
      <c r="AU829" t="s">
        <v>61</v>
      </c>
      <c r="AV829" t="s">
        <v>61</v>
      </c>
      <c r="AW829" t="s">
        <v>61</v>
      </c>
      <c r="AX829" t="s">
        <v>61</v>
      </c>
      <c r="AY829" t="s">
        <v>61</v>
      </c>
      <c r="AZ829" t="s">
        <v>61</v>
      </c>
      <c r="BA829" t="s">
        <v>61</v>
      </c>
      <c r="BB829" t="s">
        <v>61</v>
      </c>
      <c r="BC829" t="s">
        <v>61</v>
      </c>
      <c r="BD829" t="s">
        <v>61</v>
      </c>
      <c r="BE829" t="s">
        <v>61</v>
      </c>
      <c r="BF829" t="s">
        <v>61</v>
      </c>
    </row>
    <row r="830" spans="1:58">
      <c r="A830" t="s">
        <v>58</v>
      </c>
      <c r="B830" t="s">
        <v>6900</v>
      </c>
      <c r="C830" t="s">
        <v>6901</v>
      </c>
      <c r="D830" t="s">
        <v>2582</v>
      </c>
      <c r="E830" t="s">
        <v>61</v>
      </c>
      <c r="F830">
        <v>2012</v>
      </c>
      <c r="G830" t="s">
        <v>129</v>
      </c>
      <c r="H830">
        <v>37</v>
      </c>
      <c r="I830">
        <v>5</v>
      </c>
      <c r="J830">
        <v>536</v>
      </c>
      <c r="K830">
        <v>543</v>
      </c>
      <c r="L830" t="s">
        <v>6902</v>
      </c>
      <c r="M830" t="s">
        <v>6903</v>
      </c>
      <c r="N830" t="s">
        <v>6904</v>
      </c>
      <c r="O830" t="s">
        <v>61</v>
      </c>
      <c r="Q830" t="s">
        <v>61</v>
      </c>
      <c r="R830" t="s">
        <v>61</v>
      </c>
      <c r="S830" t="s">
        <v>61</v>
      </c>
      <c r="T830" t="s">
        <v>61</v>
      </c>
      <c r="X830" t="s">
        <v>61</v>
      </c>
      <c r="Y830" t="s">
        <v>6905</v>
      </c>
      <c r="Z830" t="s">
        <v>61</v>
      </c>
      <c r="AA830" t="s">
        <v>6906</v>
      </c>
      <c r="AB830">
        <v>22380577</v>
      </c>
      <c r="AC830" t="s">
        <v>67</v>
      </c>
      <c r="AD830" t="s">
        <v>61</v>
      </c>
      <c r="AE830" t="s">
        <v>61</v>
      </c>
      <c r="AF830" t="s">
        <v>61</v>
      </c>
      <c r="AG830" t="s">
        <v>6907</v>
      </c>
      <c r="AH830" t="s">
        <v>61</v>
      </c>
      <c r="AI830" t="s">
        <v>6908</v>
      </c>
      <c r="AJ830" t="s">
        <v>61</v>
      </c>
      <c r="AK830" t="s">
        <v>61</v>
      </c>
      <c r="AL830" t="s">
        <v>61</v>
      </c>
      <c r="AM830" t="s">
        <v>6909</v>
      </c>
      <c r="AN830" t="s">
        <v>61</v>
      </c>
      <c r="AO830" t="s">
        <v>61</v>
      </c>
      <c r="AP830" t="s">
        <v>61</v>
      </c>
      <c r="AQ830" t="s">
        <v>61</v>
      </c>
      <c r="AR830" t="s">
        <v>61</v>
      </c>
      <c r="AS830" t="s">
        <v>61</v>
      </c>
      <c r="AT830" t="s">
        <v>61</v>
      </c>
      <c r="AU830" t="s">
        <v>61</v>
      </c>
      <c r="AV830" t="s">
        <v>61</v>
      </c>
      <c r="AW830" t="s">
        <v>61</v>
      </c>
      <c r="AX830" t="s">
        <v>61</v>
      </c>
      <c r="AY830" t="s">
        <v>61</v>
      </c>
      <c r="AZ830" t="s">
        <v>61</v>
      </c>
      <c r="BA830" t="s">
        <v>61</v>
      </c>
      <c r="BB830" t="s">
        <v>61</v>
      </c>
      <c r="BC830" t="s">
        <v>61</v>
      </c>
      <c r="BD830" t="s">
        <v>61</v>
      </c>
      <c r="BE830" t="s">
        <v>61</v>
      </c>
      <c r="BF830" t="s">
        <v>61</v>
      </c>
    </row>
    <row r="831" spans="1:58">
      <c r="A831" t="s">
        <v>58</v>
      </c>
      <c r="B831" t="s">
        <v>6910</v>
      </c>
      <c r="C831" t="s">
        <v>6911</v>
      </c>
      <c r="D831" t="s">
        <v>1085</v>
      </c>
      <c r="E831" t="s">
        <v>1086</v>
      </c>
      <c r="F831">
        <v>1998</v>
      </c>
      <c r="G831" t="s">
        <v>851</v>
      </c>
      <c r="H831">
        <v>32</v>
      </c>
      <c r="I831">
        <v>11</v>
      </c>
      <c r="J831">
        <v>1234</v>
      </c>
      <c r="K831">
        <v>1238</v>
      </c>
      <c r="L831" t="s">
        <v>6912</v>
      </c>
      <c r="M831" t="s">
        <v>6913</v>
      </c>
      <c r="N831" t="s">
        <v>6914</v>
      </c>
      <c r="O831" t="s">
        <v>61</v>
      </c>
      <c r="Q831" t="s">
        <v>61</v>
      </c>
      <c r="R831" t="s">
        <v>61</v>
      </c>
      <c r="S831" t="s">
        <v>61</v>
      </c>
      <c r="T831" t="s">
        <v>61</v>
      </c>
      <c r="X831" t="s">
        <v>61</v>
      </c>
      <c r="Y831" t="s">
        <v>3286</v>
      </c>
      <c r="Z831" t="s">
        <v>61</v>
      </c>
      <c r="AA831" t="s">
        <v>6915</v>
      </c>
      <c r="AB831">
        <v>9825093</v>
      </c>
      <c r="AC831" t="s">
        <v>67</v>
      </c>
      <c r="AD831" t="s">
        <v>61</v>
      </c>
      <c r="AE831" t="s">
        <v>61</v>
      </c>
      <c r="AF831" t="s">
        <v>61</v>
      </c>
      <c r="AG831" t="s">
        <v>6916</v>
      </c>
      <c r="AH831" t="s">
        <v>61</v>
      </c>
      <c r="AI831" t="s">
        <v>61</v>
      </c>
      <c r="AJ831" t="s">
        <v>61</v>
      </c>
      <c r="AK831" t="s">
        <v>61</v>
      </c>
      <c r="AL831" t="s">
        <v>61</v>
      </c>
      <c r="AM831" t="s">
        <v>6917</v>
      </c>
      <c r="AN831" t="s">
        <v>61</v>
      </c>
      <c r="AO831" t="s">
        <v>61</v>
      </c>
      <c r="AP831" t="s">
        <v>61</v>
      </c>
      <c r="AQ831" t="s">
        <v>61</v>
      </c>
      <c r="AR831" t="s">
        <v>61</v>
      </c>
      <c r="AS831" t="s">
        <v>61</v>
      </c>
      <c r="AT831" t="s">
        <v>61</v>
      </c>
      <c r="AU831" t="s">
        <v>61</v>
      </c>
      <c r="AV831" t="s">
        <v>61</v>
      </c>
      <c r="AW831" t="s">
        <v>61</v>
      </c>
      <c r="AX831" t="s">
        <v>61</v>
      </c>
      <c r="AY831" t="s">
        <v>61</v>
      </c>
      <c r="AZ831" t="s">
        <v>61</v>
      </c>
      <c r="BA831" t="s">
        <v>61</v>
      </c>
      <c r="BB831" t="s">
        <v>61</v>
      </c>
      <c r="BC831" t="s">
        <v>61</v>
      </c>
      <c r="BD831" t="s">
        <v>61</v>
      </c>
      <c r="BE831" t="s">
        <v>61</v>
      </c>
      <c r="BF831" t="s">
        <v>61</v>
      </c>
    </row>
    <row r="832" spans="1:58">
      <c r="A832" t="s">
        <v>58</v>
      </c>
      <c r="B832" t="s">
        <v>6918</v>
      </c>
      <c r="C832" t="s">
        <v>6919</v>
      </c>
      <c r="D832" t="s">
        <v>408</v>
      </c>
      <c r="E832" t="s">
        <v>408</v>
      </c>
      <c r="F832">
        <v>2014</v>
      </c>
      <c r="G832" t="s">
        <v>645</v>
      </c>
      <c r="H832">
        <v>34</v>
      </c>
      <c r="I832">
        <v>10</v>
      </c>
      <c r="J832" t="s">
        <v>6920</v>
      </c>
      <c r="K832" t="s">
        <v>61</v>
      </c>
      <c r="L832" t="s">
        <v>6921</v>
      </c>
      <c r="M832" t="s">
        <v>6922</v>
      </c>
      <c r="N832" t="s">
        <v>6923</v>
      </c>
      <c r="O832" t="s">
        <v>61</v>
      </c>
      <c r="Q832" t="s">
        <v>61</v>
      </c>
      <c r="R832" t="s">
        <v>61</v>
      </c>
      <c r="S832" t="s">
        <v>61</v>
      </c>
      <c r="T832" t="s">
        <v>61</v>
      </c>
      <c r="X832" t="s">
        <v>61</v>
      </c>
      <c r="Y832" t="s">
        <v>414</v>
      </c>
      <c r="Z832" t="s">
        <v>61</v>
      </c>
      <c r="AA832" t="s">
        <v>61</v>
      </c>
      <c r="AB832" t="s">
        <v>61</v>
      </c>
      <c r="AC832" t="s">
        <v>67</v>
      </c>
      <c r="AD832" t="s">
        <v>61</v>
      </c>
      <c r="AE832" t="s">
        <v>61</v>
      </c>
      <c r="AF832" t="s">
        <v>61</v>
      </c>
      <c r="AG832" t="s">
        <v>61</v>
      </c>
      <c r="AH832" t="s">
        <v>61</v>
      </c>
      <c r="AI832" t="s">
        <v>61</v>
      </c>
      <c r="AJ832" t="s">
        <v>61</v>
      </c>
      <c r="AK832" t="s">
        <v>61</v>
      </c>
      <c r="AL832" t="s">
        <v>61</v>
      </c>
      <c r="AM832" t="s">
        <v>6919</v>
      </c>
      <c r="AN832" t="s">
        <v>61</v>
      </c>
      <c r="AO832" t="s">
        <v>61</v>
      </c>
      <c r="AP832" t="s">
        <v>61</v>
      </c>
      <c r="AQ832" t="s">
        <v>61</v>
      </c>
      <c r="AR832" t="s">
        <v>61</v>
      </c>
      <c r="AS832" t="s">
        <v>61</v>
      </c>
      <c r="AT832" t="s">
        <v>61</v>
      </c>
      <c r="AU832" t="s">
        <v>61</v>
      </c>
      <c r="AV832" t="s">
        <v>61</v>
      </c>
      <c r="AW832" t="s">
        <v>61</v>
      </c>
      <c r="AX832" t="s">
        <v>61</v>
      </c>
      <c r="AY832" t="s">
        <v>61</v>
      </c>
      <c r="AZ832" t="s">
        <v>61</v>
      </c>
      <c r="BA832" t="s">
        <v>61</v>
      </c>
      <c r="BB832" t="s">
        <v>61</v>
      </c>
      <c r="BC832" t="s">
        <v>61</v>
      </c>
      <c r="BD832" t="s">
        <v>61</v>
      </c>
      <c r="BE832" t="s">
        <v>61</v>
      </c>
      <c r="BF832" t="s">
        <v>61</v>
      </c>
    </row>
    <row r="833" spans="1:58">
      <c r="A833" t="s">
        <v>58</v>
      </c>
      <c r="B833" t="s">
        <v>6924</v>
      </c>
      <c r="C833" t="s">
        <v>6925</v>
      </c>
      <c r="D833" t="s">
        <v>417</v>
      </c>
      <c r="E833" t="s">
        <v>61</v>
      </c>
      <c r="F833">
        <v>2008</v>
      </c>
      <c r="G833" t="s">
        <v>280</v>
      </c>
      <c r="H833">
        <v>30</v>
      </c>
      <c r="I833">
        <v>6</v>
      </c>
      <c r="J833">
        <v>924</v>
      </c>
      <c r="K833">
        <v>933</v>
      </c>
      <c r="L833" t="s">
        <v>6926</v>
      </c>
      <c r="M833" t="s">
        <v>6927</v>
      </c>
      <c r="N833" t="s">
        <v>6928</v>
      </c>
      <c r="O833" t="s">
        <v>61</v>
      </c>
      <c r="Q833" t="s">
        <v>61</v>
      </c>
      <c r="R833" t="s">
        <v>61</v>
      </c>
      <c r="S833" t="s">
        <v>61</v>
      </c>
      <c r="T833" t="s">
        <v>61</v>
      </c>
      <c r="X833" t="s">
        <v>61</v>
      </c>
      <c r="Y833" t="s">
        <v>422</v>
      </c>
      <c r="Z833" t="s">
        <v>61</v>
      </c>
      <c r="AA833" t="s">
        <v>6929</v>
      </c>
      <c r="AB833">
        <v>18802782</v>
      </c>
      <c r="AC833" t="s">
        <v>67</v>
      </c>
      <c r="AD833" t="s">
        <v>61</v>
      </c>
      <c r="AE833" t="s">
        <v>61</v>
      </c>
      <c r="AF833" t="s">
        <v>61</v>
      </c>
      <c r="AG833" t="s">
        <v>6930</v>
      </c>
      <c r="AH833" t="s">
        <v>61</v>
      </c>
      <c r="AI833" t="s">
        <v>6931</v>
      </c>
      <c r="AJ833" t="s">
        <v>61</v>
      </c>
      <c r="AK833" t="s">
        <v>61</v>
      </c>
      <c r="AL833" t="s">
        <v>61</v>
      </c>
      <c r="AM833" t="s">
        <v>6932</v>
      </c>
      <c r="AN833" t="s">
        <v>61</v>
      </c>
      <c r="AO833" t="s">
        <v>61</v>
      </c>
      <c r="AP833" t="s">
        <v>61</v>
      </c>
      <c r="AQ833" t="s">
        <v>61</v>
      </c>
      <c r="AR833" t="s">
        <v>61</v>
      </c>
      <c r="AS833" t="s">
        <v>61</v>
      </c>
      <c r="AT833" t="s">
        <v>61</v>
      </c>
      <c r="AU833" t="s">
        <v>61</v>
      </c>
      <c r="AV833" t="s">
        <v>61</v>
      </c>
      <c r="AW833" t="s">
        <v>61</v>
      </c>
      <c r="AX833" t="s">
        <v>61</v>
      </c>
      <c r="AY833" t="s">
        <v>61</v>
      </c>
      <c r="AZ833" t="s">
        <v>61</v>
      </c>
      <c r="BA833" t="s">
        <v>61</v>
      </c>
      <c r="BB833" t="s">
        <v>61</v>
      </c>
      <c r="BC833" t="s">
        <v>61</v>
      </c>
      <c r="BD833" t="s">
        <v>61</v>
      </c>
      <c r="BE833" t="s">
        <v>61</v>
      </c>
      <c r="BF833" t="s">
        <v>61</v>
      </c>
    </row>
    <row r="834" spans="1:58">
      <c r="A834" t="s">
        <v>58</v>
      </c>
      <c r="B834" t="s">
        <v>6933</v>
      </c>
      <c r="C834" t="s">
        <v>6934</v>
      </c>
      <c r="D834" t="s">
        <v>1370</v>
      </c>
      <c r="E834" t="s">
        <v>61</v>
      </c>
      <c r="F834">
        <v>2008</v>
      </c>
      <c r="G834" s="1">
        <v>42397</v>
      </c>
      <c r="H834" s="3">
        <v>6.3347222222222221</v>
      </c>
      <c r="I834" t="s">
        <v>61</v>
      </c>
      <c r="J834" t="s">
        <v>61</v>
      </c>
      <c r="K834" t="s">
        <v>61</v>
      </c>
      <c r="L834" t="s">
        <v>6935</v>
      </c>
      <c r="M834" t="s">
        <v>61</v>
      </c>
      <c r="N834" t="s">
        <v>6936</v>
      </c>
      <c r="O834" t="s">
        <v>61</v>
      </c>
      <c r="Q834" t="s">
        <v>61</v>
      </c>
      <c r="R834" t="s">
        <v>61</v>
      </c>
      <c r="S834" t="s">
        <v>61</v>
      </c>
      <c r="T834" t="s">
        <v>61</v>
      </c>
      <c r="X834" t="s">
        <v>61</v>
      </c>
      <c r="Y834" s="2">
        <v>1722820</v>
      </c>
      <c r="Z834" t="s">
        <v>61</v>
      </c>
      <c r="AA834" t="s">
        <v>61</v>
      </c>
      <c r="AB834">
        <v>2008117422</v>
      </c>
      <c r="AC834" t="s">
        <v>67</v>
      </c>
      <c r="AD834" t="s">
        <v>61</v>
      </c>
      <c r="AE834" t="s">
        <v>61</v>
      </c>
      <c r="AF834" t="s">
        <v>61</v>
      </c>
      <c r="AG834" t="s">
        <v>61</v>
      </c>
      <c r="AH834" t="s">
        <v>61</v>
      </c>
      <c r="AI834" t="s">
        <v>61</v>
      </c>
      <c r="AJ834" t="s">
        <v>61</v>
      </c>
      <c r="AK834" t="s">
        <v>61</v>
      </c>
      <c r="AL834" t="s">
        <v>61</v>
      </c>
      <c r="AM834" t="s">
        <v>6934</v>
      </c>
      <c r="AN834" t="s">
        <v>61</v>
      </c>
      <c r="AO834" t="s">
        <v>61</v>
      </c>
      <c r="AP834" t="s">
        <v>61</v>
      </c>
      <c r="AQ834" t="s">
        <v>61</v>
      </c>
      <c r="AR834" t="s">
        <v>61</v>
      </c>
      <c r="AS834" t="s">
        <v>61</v>
      </c>
      <c r="AT834" t="s">
        <v>61</v>
      </c>
      <c r="AU834" t="s">
        <v>61</v>
      </c>
      <c r="AV834" t="s">
        <v>61</v>
      </c>
      <c r="AW834" t="s">
        <v>61</v>
      </c>
      <c r="AX834" t="s">
        <v>61</v>
      </c>
      <c r="AY834" t="s">
        <v>61</v>
      </c>
      <c r="AZ834" t="s">
        <v>61</v>
      </c>
      <c r="BA834" t="s">
        <v>61</v>
      </c>
      <c r="BB834" t="s">
        <v>61</v>
      </c>
      <c r="BC834" t="s">
        <v>61</v>
      </c>
      <c r="BD834" t="s">
        <v>61</v>
      </c>
      <c r="BE834" t="s">
        <v>61</v>
      </c>
      <c r="BF834" t="s">
        <v>61</v>
      </c>
    </row>
    <row r="835" spans="1:58">
      <c r="A835" t="s">
        <v>58</v>
      </c>
      <c r="B835" t="s">
        <v>6937</v>
      </c>
      <c r="C835" t="s">
        <v>6938</v>
      </c>
      <c r="D835" t="s">
        <v>6939</v>
      </c>
      <c r="E835" t="s">
        <v>6939</v>
      </c>
      <c r="F835">
        <v>2014</v>
      </c>
      <c r="G835" t="s">
        <v>559</v>
      </c>
      <c r="H835" t="s">
        <v>6940</v>
      </c>
      <c r="I835" t="s">
        <v>61</v>
      </c>
      <c r="J835">
        <v>155</v>
      </c>
      <c r="K835" t="s">
        <v>61</v>
      </c>
      <c r="L835" t="s">
        <v>6941</v>
      </c>
      <c r="M835" t="s">
        <v>6942</v>
      </c>
      <c r="N835" t="s">
        <v>6943</v>
      </c>
      <c r="O835" t="s">
        <v>61</v>
      </c>
      <c r="Q835" t="s">
        <v>61</v>
      </c>
      <c r="R835" t="s">
        <v>61</v>
      </c>
      <c r="S835" t="s">
        <v>61</v>
      </c>
      <c r="T835" t="s">
        <v>61</v>
      </c>
      <c r="X835" t="s">
        <v>61</v>
      </c>
      <c r="Y835" t="s">
        <v>6944</v>
      </c>
      <c r="Z835" t="s">
        <v>61</v>
      </c>
      <c r="AA835" t="s">
        <v>61</v>
      </c>
      <c r="AB835" t="s">
        <v>61</v>
      </c>
      <c r="AC835" t="s">
        <v>67</v>
      </c>
      <c r="AD835" t="s">
        <v>61</v>
      </c>
      <c r="AE835" t="s">
        <v>61</v>
      </c>
      <c r="AF835" t="s">
        <v>61</v>
      </c>
      <c r="AG835" t="s">
        <v>61</v>
      </c>
      <c r="AH835" t="s">
        <v>61</v>
      </c>
      <c r="AI835" t="s">
        <v>61</v>
      </c>
      <c r="AJ835" t="s">
        <v>61</v>
      </c>
      <c r="AK835" t="s">
        <v>61</v>
      </c>
      <c r="AL835" t="s">
        <v>61</v>
      </c>
      <c r="AM835" t="s">
        <v>6938</v>
      </c>
      <c r="AN835" t="s">
        <v>61</v>
      </c>
      <c r="AO835" t="s">
        <v>61</v>
      </c>
      <c r="AP835" t="s">
        <v>61</v>
      </c>
      <c r="AQ835" t="s">
        <v>61</v>
      </c>
      <c r="AR835" t="s">
        <v>61</v>
      </c>
      <c r="AS835" t="s">
        <v>61</v>
      </c>
      <c r="AT835" t="s">
        <v>61</v>
      </c>
      <c r="AU835" t="s">
        <v>61</v>
      </c>
      <c r="AV835" t="s">
        <v>61</v>
      </c>
      <c r="AW835" t="s">
        <v>61</v>
      </c>
      <c r="AX835" t="s">
        <v>61</v>
      </c>
      <c r="AY835" t="s">
        <v>61</v>
      </c>
      <c r="AZ835" t="s">
        <v>61</v>
      </c>
      <c r="BA835" t="s">
        <v>61</v>
      </c>
      <c r="BB835" t="s">
        <v>61</v>
      </c>
      <c r="BC835" t="s">
        <v>61</v>
      </c>
      <c r="BD835" t="s">
        <v>61</v>
      </c>
      <c r="BE835" t="s">
        <v>61</v>
      </c>
      <c r="BF835" t="s">
        <v>61</v>
      </c>
    </row>
    <row r="836" spans="1:58">
      <c r="A836" t="s">
        <v>58</v>
      </c>
      <c r="B836" t="s">
        <v>6945</v>
      </c>
      <c r="C836" t="s">
        <v>6946</v>
      </c>
      <c r="D836" t="s">
        <v>2271</v>
      </c>
      <c r="E836" t="s">
        <v>2272</v>
      </c>
      <c r="F836">
        <v>2012</v>
      </c>
      <c r="G836" t="s">
        <v>61</v>
      </c>
      <c r="H836">
        <v>37</v>
      </c>
      <c r="I836">
        <v>7</v>
      </c>
      <c r="J836">
        <v>811</v>
      </c>
      <c r="K836" t="s">
        <v>6947</v>
      </c>
      <c r="L836" t="s">
        <v>6948</v>
      </c>
      <c r="M836" t="s">
        <v>6949</v>
      </c>
      <c r="N836" t="s">
        <v>6950</v>
      </c>
      <c r="O836" t="s">
        <v>61</v>
      </c>
      <c r="Q836" t="s">
        <v>61</v>
      </c>
      <c r="R836" t="s">
        <v>61</v>
      </c>
      <c r="S836" t="s">
        <v>61</v>
      </c>
      <c r="T836" t="s">
        <v>61</v>
      </c>
      <c r="X836" t="s">
        <v>61</v>
      </c>
      <c r="Y836" t="s">
        <v>4999</v>
      </c>
      <c r="Z836" t="s">
        <v>61</v>
      </c>
      <c r="AA836" t="s">
        <v>6951</v>
      </c>
      <c r="AB836">
        <v>104447178</v>
      </c>
      <c r="AC836" t="s">
        <v>67</v>
      </c>
      <c r="AD836" t="s">
        <v>61</v>
      </c>
      <c r="AE836" t="s">
        <v>61</v>
      </c>
      <c r="AF836" t="s">
        <v>61</v>
      </c>
      <c r="AG836" t="s">
        <v>6952</v>
      </c>
      <c r="AH836" t="s">
        <v>61</v>
      </c>
      <c r="AI836" t="s">
        <v>61</v>
      </c>
      <c r="AJ836" t="s">
        <v>61</v>
      </c>
      <c r="AK836" t="s">
        <v>61</v>
      </c>
      <c r="AL836" t="s">
        <v>61</v>
      </c>
      <c r="AM836" t="s">
        <v>6953</v>
      </c>
      <c r="AN836" t="s">
        <v>61</v>
      </c>
      <c r="AO836" t="s">
        <v>61</v>
      </c>
      <c r="AP836" t="s">
        <v>61</v>
      </c>
      <c r="AQ836" t="s">
        <v>61</v>
      </c>
      <c r="AR836" t="s">
        <v>61</v>
      </c>
      <c r="AS836" t="s">
        <v>61</v>
      </c>
      <c r="AT836" t="s">
        <v>61</v>
      </c>
      <c r="AU836" t="s">
        <v>61</v>
      </c>
      <c r="AV836" t="s">
        <v>61</v>
      </c>
      <c r="AW836" t="s">
        <v>61</v>
      </c>
      <c r="AX836" t="s">
        <v>61</v>
      </c>
      <c r="AY836" t="s">
        <v>61</v>
      </c>
      <c r="AZ836" t="s">
        <v>61</v>
      </c>
      <c r="BA836" t="s">
        <v>61</v>
      </c>
      <c r="BB836" t="s">
        <v>61</v>
      </c>
      <c r="BC836" t="s">
        <v>61</v>
      </c>
      <c r="BD836" t="s">
        <v>61</v>
      </c>
      <c r="BE836" t="s">
        <v>61</v>
      </c>
      <c r="BF836" t="s">
        <v>61</v>
      </c>
    </row>
    <row r="837" spans="1:58">
      <c r="A837" t="s">
        <v>58</v>
      </c>
      <c r="B837" t="s">
        <v>6954</v>
      </c>
      <c r="C837" t="s">
        <v>6955</v>
      </c>
      <c r="D837" t="s">
        <v>6956</v>
      </c>
      <c r="E837" t="s">
        <v>6957</v>
      </c>
      <c r="F837">
        <v>2009</v>
      </c>
      <c r="G837" t="s">
        <v>61</v>
      </c>
      <c r="H837">
        <v>84</v>
      </c>
      <c r="I837">
        <v>7</v>
      </c>
      <c r="J837">
        <v>572</v>
      </c>
      <c r="K837" t="s">
        <v>6958</v>
      </c>
      <c r="L837" t="s">
        <v>6959</v>
      </c>
      <c r="M837" t="s">
        <v>61</v>
      </c>
      <c r="N837" t="s">
        <v>6960</v>
      </c>
      <c r="O837" t="s">
        <v>61</v>
      </c>
      <c r="Q837" t="s">
        <v>61</v>
      </c>
      <c r="R837" t="s">
        <v>61</v>
      </c>
      <c r="S837" t="s">
        <v>61</v>
      </c>
      <c r="T837" t="s">
        <v>61</v>
      </c>
      <c r="X837" t="s">
        <v>61</v>
      </c>
      <c r="Y837" t="s">
        <v>6961</v>
      </c>
      <c r="Z837" t="s">
        <v>61</v>
      </c>
      <c r="AA837" t="s">
        <v>6962</v>
      </c>
      <c r="AB837">
        <v>105375328</v>
      </c>
      <c r="AC837" t="s">
        <v>67</v>
      </c>
      <c r="AD837" t="s">
        <v>61</v>
      </c>
      <c r="AE837" t="s">
        <v>61</v>
      </c>
      <c r="AF837" t="s">
        <v>61</v>
      </c>
      <c r="AG837" t="s">
        <v>6963</v>
      </c>
      <c r="AH837" t="s">
        <v>61</v>
      </c>
      <c r="AI837" t="s">
        <v>6964</v>
      </c>
      <c r="AJ837" t="s">
        <v>61</v>
      </c>
      <c r="AK837" t="s">
        <v>61</v>
      </c>
      <c r="AL837" t="s">
        <v>61</v>
      </c>
      <c r="AM837" t="s">
        <v>6965</v>
      </c>
      <c r="AN837" t="s">
        <v>61</v>
      </c>
      <c r="AO837" t="s">
        <v>61</v>
      </c>
      <c r="AP837" t="s">
        <v>61</v>
      </c>
      <c r="AQ837" t="s">
        <v>61</v>
      </c>
      <c r="AR837" t="s">
        <v>61</v>
      </c>
      <c r="AS837" t="s">
        <v>61</v>
      </c>
      <c r="AT837" t="s">
        <v>61</v>
      </c>
      <c r="AU837" t="s">
        <v>61</v>
      </c>
      <c r="AV837" t="s">
        <v>61</v>
      </c>
      <c r="AW837" t="s">
        <v>61</v>
      </c>
      <c r="AX837" t="s">
        <v>61</v>
      </c>
      <c r="AY837" t="s">
        <v>61</v>
      </c>
      <c r="AZ837" t="s">
        <v>61</v>
      </c>
      <c r="BA837" t="s">
        <v>61</v>
      </c>
      <c r="BB837" t="s">
        <v>61</v>
      </c>
      <c r="BC837" t="s">
        <v>61</v>
      </c>
      <c r="BD837" t="s">
        <v>61</v>
      </c>
      <c r="BE837" t="s">
        <v>61</v>
      </c>
      <c r="BF837" t="s">
        <v>61</v>
      </c>
    </row>
    <row r="838" spans="1:58">
      <c r="A838" t="s">
        <v>58</v>
      </c>
      <c r="B838" t="s">
        <v>6966</v>
      </c>
      <c r="C838" t="s">
        <v>6967</v>
      </c>
      <c r="D838" t="s">
        <v>475</v>
      </c>
      <c r="E838" t="s">
        <v>61</v>
      </c>
      <c r="F838">
        <v>2013</v>
      </c>
      <c r="G838" t="s">
        <v>129</v>
      </c>
      <c r="H838">
        <v>35</v>
      </c>
      <c r="I838">
        <v>5</v>
      </c>
      <c r="J838">
        <v>805</v>
      </c>
      <c r="K838">
        <v>812</v>
      </c>
      <c r="L838" t="s">
        <v>6968</v>
      </c>
      <c r="M838" t="s">
        <v>6969</v>
      </c>
      <c r="N838" t="s">
        <v>6970</v>
      </c>
      <c r="O838" t="s">
        <v>61</v>
      </c>
      <c r="Q838" t="s">
        <v>61</v>
      </c>
      <c r="R838" t="s">
        <v>61</v>
      </c>
      <c r="S838" t="s">
        <v>61</v>
      </c>
      <c r="T838" t="s">
        <v>61</v>
      </c>
      <c r="X838" t="s">
        <v>61</v>
      </c>
      <c r="Y838" t="s">
        <v>3663</v>
      </c>
      <c r="Z838" t="s">
        <v>61</v>
      </c>
      <c r="AA838" t="s">
        <v>6971</v>
      </c>
      <c r="AB838">
        <v>23812679</v>
      </c>
      <c r="AC838" t="s">
        <v>67</v>
      </c>
      <c r="AD838" t="s">
        <v>61</v>
      </c>
      <c r="AE838" t="s">
        <v>61</v>
      </c>
      <c r="AF838" t="s">
        <v>61</v>
      </c>
      <c r="AG838" t="s">
        <v>6972</v>
      </c>
      <c r="AH838" t="s">
        <v>61</v>
      </c>
      <c r="AI838" t="s">
        <v>6973</v>
      </c>
      <c r="AJ838" t="s">
        <v>61</v>
      </c>
      <c r="AK838" t="s">
        <v>61</v>
      </c>
      <c r="AL838" t="s">
        <v>61</v>
      </c>
      <c r="AM838" t="s">
        <v>6974</v>
      </c>
      <c r="AN838" t="s">
        <v>61</v>
      </c>
      <c r="AO838" t="s">
        <v>61</v>
      </c>
      <c r="AP838" t="s">
        <v>61</v>
      </c>
      <c r="AQ838" t="s">
        <v>61</v>
      </c>
      <c r="AR838" t="s">
        <v>61</v>
      </c>
      <c r="AS838" t="s">
        <v>61</v>
      </c>
      <c r="AT838" t="s">
        <v>61</v>
      </c>
      <c r="AU838" t="s">
        <v>61</v>
      </c>
      <c r="AV838" t="s">
        <v>61</v>
      </c>
      <c r="AW838" t="s">
        <v>61</v>
      </c>
      <c r="AX838" t="s">
        <v>61</v>
      </c>
      <c r="AY838" t="s">
        <v>61</v>
      </c>
      <c r="AZ838" t="s">
        <v>61</v>
      </c>
      <c r="BA838" t="s">
        <v>61</v>
      </c>
      <c r="BB838" t="s">
        <v>61</v>
      </c>
      <c r="BC838" t="s">
        <v>61</v>
      </c>
      <c r="BD838" t="s">
        <v>61</v>
      </c>
      <c r="BE838" t="s">
        <v>61</v>
      </c>
      <c r="BF838" t="s">
        <v>61</v>
      </c>
    </row>
    <row r="839" spans="1:58">
      <c r="A839" t="s">
        <v>58</v>
      </c>
      <c r="B839" t="s">
        <v>6975</v>
      </c>
      <c r="C839" t="s">
        <v>6976</v>
      </c>
      <c r="D839" t="s">
        <v>1749</v>
      </c>
      <c r="E839" t="s">
        <v>1750</v>
      </c>
      <c r="F839">
        <v>1997</v>
      </c>
      <c r="G839" t="s">
        <v>61</v>
      </c>
      <c r="H839">
        <v>52</v>
      </c>
      <c r="I839">
        <v>1</v>
      </c>
      <c r="J839">
        <v>37</v>
      </c>
      <c r="K839">
        <v>39</v>
      </c>
      <c r="L839" t="s">
        <v>6977</v>
      </c>
      <c r="M839" t="s">
        <v>6978</v>
      </c>
      <c r="N839" t="s">
        <v>6979</v>
      </c>
      <c r="O839" t="s">
        <v>61</v>
      </c>
      <c r="Q839" t="s">
        <v>61</v>
      </c>
      <c r="R839" t="s">
        <v>61</v>
      </c>
      <c r="S839" t="s">
        <v>61</v>
      </c>
      <c r="T839" t="s">
        <v>61</v>
      </c>
      <c r="X839" t="s">
        <v>61</v>
      </c>
      <c r="Y839" t="s">
        <v>5161</v>
      </c>
      <c r="Z839" t="s">
        <v>61</v>
      </c>
      <c r="AA839" t="s">
        <v>6980</v>
      </c>
      <c r="AB839">
        <v>9143865</v>
      </c>
      <c r="AC839" t="s">
        <v>67</v>
      </c>
      <c r="AD839" t="s">
        <v>61</v>
      </c>
      <c r="AE839" t="s">
        <v>61</v>
      </c>
      <c r="AF839" t="s">
        <v>61</v>
      </c>
      <c r="AG839" t="s">
        <v>6981</v>
      </c>
      <c r="AH839" t="s">
        <v>61</v>
      </c>
      <c r="AI839" t="s">
        <v>61</v>
      </c>
      <c r="AJ839" t="s">
        <v>61</v>
      </c>
      <c r="AK839" t="s">
        <v>61</v>
      </c>
      <c r="AL839" t="s">
        <v>61</v>
      </c>
      <c r="AM839" t="s">
        <v>6982</v>
      </c>
      <c r="AN839" t="s">
        <v>61</v>
      </c>
      <c r="AO839" t="s">
        <v>61</v>
      </c>
      <c r="AP839" t="s">
        <v>61</v>
      </c>
      <c r="AQ839" t="s">
        <v>61</v>
      </c>
      <c r="AR839" t="s">
        <v>61</v>
      </c>
      <c r="AS839" t="s">
        <v>61</v>
      </c>
      <c r="AT839" t="s">
        <v>61</v>
      </c>
      <c r="AU839" t="s">
        <v>61</v>
      </c>
      <c r="AV839" t="s">
        <v>61</v>
      </c>
      <c r="AW839" t="s">
        <v>61</v>
      </c>
      <c r="AX839" t="s">
        <v>61</v>
      </c>
      <c r="AY839" t="s">
        <v>61</v>
      </c>
      <c r="AZ839" t="s">
        <v>61</v>
      </c>
      <c r="BA839" t="s">
        <v>61</v>
      </c>
      <c r="BB839" t="s">
        <v>61</v>
      </c>
      <c r="BC839" t="s">
        <v>61</v>
      </c>
      <c r="BD839" t="s">
        <v>61</v>
      </c>
      <c r="BE839" t="s">
        <v>61</v>
      </c>
      <c r="BF839" t="s">
        <v>61</v>
      </c>
    </row>
    <row r="840" spans="1:58">
      <c r="A840" t="s">
        <v>58</v>
      </c>
      <c r="B840" t="s">
        <v>6983</v>
      </c>
      <c r="C840" t="s">
        <v>6984</v>
      </c>
      <c r="D840" t="s">
        <v>6985</v>
      </c>
      <c r="E840" t="s">
        <v>61</v>
      </c>
      <c r="F840">
        <v>2006</v>
      </c>
      <c r="G840" t="s">
        <v>61</v>
      </c>
      <c r="H840">
        <v>23</v>
      </c>
      <c r="I840">
        <v>1</v>
      </c>
      <c r="J840">
        <v>49</v>
      </c>
      <c r="K840">
        <v>59</v>
      </c>
      <c r="L840" t="s">
        <v>6986</v>
      </c>
      <c r="M840" t="s">
        <v>6987</v>
      </c>
      <c r="N840" t="s">
        <v>6988</v>
      </c>
      <c r="O840" t="s">
        <v>61</v>
      </c>
      <c r="Q840" t="s">
        <v>61</v>
      </c>
      <c r="R840" t="s">
        <v>61</v>
      </c>
      <c r="S840" t="s">
        <v>61</v>
      </c>
      <c r="T840" t="s">
        <v>61</v>
      </c>
      <c r="X840" t="s">
        <v>61</v>
      </c>
      <c r="Y840" t="s">
        <v>6989</v>
      </c>
      <c r="Z840" t="s">
        <v>61</v>
      </c>
      <c r="AA840" t="s">
        <v>61</v>
      </c>
      <c r="AB840">
        <v>2006095983</v>
      </c>
      <c r="AC840" t="s">
        <v>67</v>
      </c>
      <c r="AD840" t="s">
        <v>61</v>
      </c>
      <c r="AE840" t="s">
        <v>61</v>
      </c>
      <c r="AF840" t="s">
        <v>61</v>
      </c>
      <c r="AG840" t="s">
        <v>6990</v>
      </c>
      <c r="AH840" t="s">
        <v>61</v>
      </c>
      <c r="AI840" t="s">
        <v>61</v>
      </c>
      <c r="AJ840" t="s">
        <v>61</v>
      </c>
      <c r="AK840" t="s">
        <v>61</v>
      </c>
      <c r="AL840" t="s">
        <v>61</v>
      </c>
      <c r="AM840" t="s">
        <v>6991</v>
      </c>
      <c r="AN840" t="s">
        <v>61</v>
      </c>
      <c r="AO840" t="s">
        <v>61</v>
      </c>
      <c r="AP840" t="s">
        <v>61</v>
      </c>
      <c r="AQ840" t="s">
        <v>61</v>
      </c>
      <c r="AR840" t="s">
        <v>61</v>
      </c>
      <c r="AS840" t="s">
        <v>61</v>
      </c>
      <c r="AT840" t="s">
        <v>61</v>
      </c>
      <c r="AU840" t="s">
        <v>61</v>
      </c>
      <c r="AV840" t="s">
        <v>61</v>
      </c>
      <c r="AW840" t="s">
        <v>61</v>
      </c>
      <c r="AX840" t="s">
        <v>61</v>
      </c>
      <c r="AY840" t="s">
        <v>61</v>
      </c>
      <c r="AZ840" t="s">
        <v>61</v>
      </c>
      <c r="BA840" t="s">
        <v>61</v>
      </c>
      <c r="BB840" t="s">
        <v>61</v>
      </c>
      <c r="BC840" t="s">
        <v>61</v>
      </c>
      <c r="BD840" t="s">
        <v>61</v>
      </c>
      <c r="BE840" t="s">
        <v>61</v>
      </c>
      <c r="BF840" t="s">
        <v>61</v>
      </c>
    </row>
    <row r="841" spans="1:58">
      <c r="A841" t="s">
        <v>58</v>
      </c>
      <c r="B841" t="s">
        <v>6992</v>
      </c>
      <c r="C841" t="s">
        <v>6993</v>
      </c>
      <c r="D841" t="s">
        <v>3626</v>
      </c>
      <c r="E841" t="s">
        <v>3626</v>
      </c>
      <c r="F841">
        <v>2005</v>
      </c>
      <c r="G841" t="s">
        <v>280</v>
      </c>
      <c r="H841">
        <v>42</v>
      </c>
      <c r="I841">
        <v>6</v>
      </c>
      <c r="J841">
        <v>1364</v>
      </c>
      <c r="K841">
        <v>1372</v>
      </c>
      <c r="L841" t="s">
        <v>6994</v>
      </c>
      <c r="M841" t="s">
        <v>6995</v>
      </c>
      <c r="N841" t="s">
        <v>6996</v>
      </c>
      <c r="O841" t="s">
        <v>61</v>
      </c>
      <c r="Q841" t="s">
        <v>61</v>
      </c>
      <c r="R841" t="s">
        <v>61</v>
      </c>
      <c r="S841" t="s">
        <v>61</v>
      </c>
      <c r="T841" t="s">
        <v>61</v>
      </c>
      <c r="X841" t="s">
        <v>61</v>
      </c>
      <c r="Y841" t="s">
        <v>3631</v>
      </c>
      <c r="Z841" t="s">
        <v>61</v>
      </c>
      <c r="AA841" t="s">
        <v>6997</v>
      </c>
      <c r="AB841">
        <v>16317692</v>
      </c>
      <c r="AC841" t="s">
        <v>67</v>
      </c>
      <c r="AD841" t="s">
        <v>61</v>
      </c>
      <c r="AE841" t="s">
        <v>61</v>
      </c>
      <c r="AF841" t="s">
        <v>61</v>
      </c>
      <c r="AG841" t="s">
        <v>6998</v>
      </c>
      <c r="AH841" t="s">
        <v>61</v>
      </c>
      <c r="AI841" t="s">
        <v>61</v>
      </c>
      <c r="AJ841" t="s">
        <v>61</v>
      </c>
      <c r="AK841" t="s">
        <v>61</v>
      </c>
      <c r="AL841" t="s">
        <v>61</v>
      </c>
      <c r="AM841" t="s">
        <v>6999</v>
      </c>
      <c r="AN841" t="s">
        <v>61</v>
      </c>
      <c r="AO841" t="s">
        <v>61</v>
      </c>
      <c r="AP841" t="s">
        <v>61</v>
      </c>
      <c r="AQ841" t="s">
        <v>61</v>
      </c>
      <c r="AR841" t="s">
        <v>61</v>
      </c>
      <c r="AS841" t="s">
        <v>61</v>
      </c>
      <c r="AT841" t="s">
        <v>61</v>
      </c>
      <c r="AU841" t="s">
        <v>61</v>
      </c>
      <c r="AV841" t="s">
        <v>61</v>
      </c>
      <c r="AW841" t="s">
        <v>61</v>
      </c>
      <c r="AX841" t="s">
        <v>61</v>
      </c>
      <c r="AY841" t="s">
        <v>61</v>
      </c>
      <c r="AZ841" t="s">
        <v>61</v>
      </c>
      <c r="BA841" t="s">
        <v>61</v>
      </c>
      <c r="BB841" t="s">
        <v>61</v>
      </c>
      <c r="BC841" t="s">
        <v>61</v>
      </c>
      <c r="BD841" t="s">
        <v>61</v>
      </c>
      <c r="BE841" t="s">
        <v>61</v>
      </c>
      <c r="BF841" t="s">
        <v>61</v>
      </c>
    </row>
    <row r="842" spans="1:58">
      <c r="A842" t="s">
        <v>58</v>
      </c>
      <c r="B842" t="s">
        <v>7000</v>
      </c>
      <c r="C842" t="s">
        <v>7001</v>
      </c>
      <c r="D842" t="s">
        <v>162</v>
      </c>
      <c r="E842" t="s">
        <v>163</v>
      </c>
      <c r="F842">
        <v>2002</v>
      </c>
      <c r="G842" t="s">
        <v>61</v>
      </c>
      <c r="H842">
        <v>42</v>
      </c>
      <c r="I842">
        <v>6</v>
      </c>
      <c r="J842">
        <v>587</v>
      </c>
      <c r="K842">
        <v>600</v>
      </c>
      <c r="L842" t="s">
        <v>7002</v>
      </c>
      <c r="M842" t="s">
        <v>7003</v>
      </c>
      <c r="N842" t="s">
        <v>7004</v>
      </c>
      <c r="O842" t="s">
        <v>61</v>
      </c>
      <c r="Q842" t="s">
        <v>61</v>
      </c>
      <c r="R842" t="s">
        <v>61</v>
      </c>
      <c r="S842" t="s">
        <v>61</v>
      </c>
      <c r="T842" t="s">
        <v>61</v>
      </c>
      <c r="X842" t="s">
        <v>61</v>
      </c>
      <c r="Y842" t="s">
        <v>167</v>
      </c>
      <c r="Z842" t="s">
        <v>61</v>
      </c>
      <c r="AA842" t="s">
        <v>61</v>
      </c>
      <c r="AB842">
        <v>2002186627</v>
      </c>
      <c r="AC842" t="s">
        <v>67</v>
      </c>
      <c r="AD842" t="s">
        <v>61</v>
      </c>
      <c r="AE842" t="s">
        <v>61</v>
      </c>
      <c r="AF842" t="s">
        <v>61</v>
      </c>
      <c r="AG842" t="s">
        <v>7005</v>
      </c>
      <c r="AH842" t="s">
        <v>61</v>
      </c>
      <c r="AI842" t="s">
        <v>61</v>
      </c>
      <c r="AJ842" t="s">
        <v>61</v>
      </c>
      <c r="AK842" t="s">
        <v>61</v>
      </c>
      <c r="AL842" t="s">
        <v>61</v>
      </c>
      <c r="AM842" t="s">
        <v>7006</v>
      </c>
      <c r="AN842" t="s">
        <v>61</v>
      </c>
      <c r="AO842" t="s">
        <v>61</v>
      </c>
      <c r="AP842" t="s">
        <v>61</v>
      </c>
      <c r="AQ842" t="s">
        <v>61</v>
      </c>
      <c r="AR842" t="s">
        <v>61</v>
      </c>
      <c r="AS842" t="s">
        <v>61</v>
      </c>
      <c r="AT842" t="s">
        <v>61</v>
      </c>
      <c r="AU842" t="s">
        <v>61</v>
      </c>
      <c r="AV842" t="s">
        <v>61</v>
      </c>
      <c r="AW842" t="s">
        <v>61</v>
      </c>
      <c r="AX842" t="s">
        <v>61</v>
      </c>
      <c r="AY842" t="s">
        <v>61</v>
      </c>
      <c r="AZ842" t="s">
        <v>61</v>
      </c>
      <c r="BA842" t="s">
        <v>61</v>
      </c>
      <c r="BB842" t="s">
        <v>61</v>
      </c>
      <c r="BC842" t="s">
        <v>61</v>
      </c>
      <c r="BD842" t="s">
        <v>61</v>
      </c>
      <c r="BE842" t="s">
        <v>61</v>
      </c>
      <c r="BF842" t="s">
        <v>61</v>
      </c>
    </row>
    <row r="843" spans="1:58">
      <c r="A843" t="s">
        <v>58</v>
      </c>
      <c r="B843" t="s">
        <v>7007</v>
      </c>
      <c r="C843" t="s">
        <v>7008</v>
      </c>
      <c r="D843" t="s">
        <v>162</v>
      </c>
      <c r="E843" t="s">
        <v>163</v>
      </c>
      <c r="F843">
        <v>2002</v>
      </c>
      <c r="G843" t="s">
        <v>559</v>
      </c>
      <c r="H843">
        <v>42</v>
      </c>
      <c r="I843">
        <v>5</v>
      </c>
      <c r="J843">
        <v>477</v>
      </c>
      <c r="K843">
        <v>491</v>
      </c>
      <c r="L843" t="s">
        <v>7009</v>
      </c>
      <c r="M843" t="s">
        <v>7010</v>
      </c>
      <c r="N843" t="s">
        <v>7011</v>
      </c>
      <c r="O843" t="s">
        <v>61</v>
      </c>
      <c r="Q843" t="s">
        <v>61</v>
      </c>
      <c r="R843" t="s">
        <v>61</v>
      </c>
      <c r="S843" t="s">
        <v>61</v>
      </c>
      <c r="T843" t="s">
        <v>61</v>
      </c>
      <c r="X843" t="s">
        <v>61</v>
      </c>
      <c r="Y843" t="s">
        <v>167</v>
      </c>
      <c r="Z843" t="s">
        <v>61</v>
      </c>
      <c r="AA843" t="s">
        <v>7012</v>
      </c>
      <c r="AB843">
        <v>12017342</v>
      </c>
      <c r="AC843" t="s">
        <v>67</v>
      </c>
      <c r="AD843" t="s">
        <v>61</v>
      </c>
      <c r="AE843" t="s">
        <v>61</v>
      </c>
      <c r="AF843" t="s">
        <v>61</v>
      </c>
      <c r="AG843" t="s">
        <v>7013</v>
      </c>
      <c r="AH843" t="s">
        <v>61</v>
      </c>
      <c r="AI843" t="s">
        <v>61</v>
      </c>
      <c r="AJ843" t="s">
        <v>61</v>
      </c>
      <c r="AK843" t="s">
        <v>61</v>
      </c>
      <c r="AL843" t="s">
        <v>61</v>
      </c>
      <c r="AM843" t="s">
        <v>7014</v>
      </c>
      <c r="AN843" t="s">
        <v>61</v>
      </c>
      <c r="AO843" t="s">
        <v>61</v>
      </c>
      <c r="AP843" t="s">
        <v>61</v>
      </c>
      <c r="AQ843" t="s">
        <v>61</v>
      </c>
      <c r="AR843" t="s">
        <v>61</v>
      </c>
      <c r="AS843" t="s">
        <v>61</v>
      </c>
      <c r="AT843" t="s">
        <v>61</v>
      </c>
      <c r="AU843" t="s">
        <v>61</v>
      </c>
      <c r="AV843" t="s">
        <v>61</v>
      </c>
      <c r="AW843" t="s">
        <v>61</v>
      </c>
      <c r="AX843" t="s">
        <v>61</v>
      </c>
      <c r="AY843" t="s">
        <v>61</v>
      </c>
      <c r="AZ843" t="s">
        <v>61</v>
      </c>
      <c r="BA843" t="s">
        <v>61</v>
      </c>
      <c r="BB843" t="s">
        <v>61</v>
      </c>
      <c r="BC843" t="s">
        <v>61</v>
      </c>
      <c r="BD843" t="s">
        <v>61</v>
      </c>
      <c r="BE843" t="s">
        <v>61</v>
      </c>
      <c r="BF843" t="s">
        <v>61</v>
      </c>
    </row>
    <row r="844" spans="1:58">
      <c r="A844" t="s">
        <v>58</v>
      </c>
      <c r="B844" t="s">
        <v>7015</v>
      </c>
      <c r="C844" t="s">
        <v>7016</v>
      </c>
      <c r="D844" t="s">
        <v>162</v>
      </c>
      <c r="E844" t="s">
        <v>163</v>
      </c>
      <c r="F844">
        <v>1989</v>
      </c>
      <c r="G844" t="s">
        <v>61</v>
      </c>
      <c r="H844">
        <v>29</v>
      </c>
      <c r="I844">
        <v>7</v>
      </c>
      <c r="J844">
        <v>581</v>
      </c>
      <c r="K844">
        <v>597</v>
      </c>
      <c r="L844" t="s">
        <v>7017</v>
      </c>
      <c r="M844" t="s">
        <v>61</v>
      </c>
      <c r="N844" t="s">
        <v>7018</v>
      </c>
      <c r="O844" t="s">
        <v>61</v>
      </c>
      <c r="Q844" t="s">
        <v>61</v>
      </c>
      <c r="R844" t="s">
        <v>61</v>
      </c>
      <c r="S844" t="s">
        <v>61</v>
      </c>
      <c r="T844" t="s">
        <v>61</v>
      </c>
      <c r="X844" t="s">
        <v>61</v>
      </c>
      <c r="Y844" t="s">
        <v>167</v>
      </c>
      <c r="Z844" t="s">
        <v>61</v>
      </c>
      <c r="AA844" t="s">
        <v>61</v>
      </c>
      <c r="AB844">
        <v>1989199859</v>
      </c>
      <c r="AC844" t="s">
        <v>67</v>
      </c>
      <c r="AD844" t="s">
        <v>61</v>
      </c>
      <c r="AE844" t="s">
        <v>61</v>
      </c>
      <c r="AF844" t="s">
        <v>61</v>
      </c>
      <c r="AG844" t="s">
        <v>7019</v>
      </c>
      <c r="AH844" t="s">
        <v>61</v>
      </c>
      <c r="AI844" t="s">
        <v>61</v>
      </c>
      <c r="AJ844" t="s">
        <v>61</v>
      </c>
      <c r="AK844" t="s">
        <v>61</v>
      </c>
      <c r="AL844" t="s">
        <v>61</v>
      </c>
      <c r="AM844" t="s">
        <v>7020</v>
      </c>
      <c r="AN844" t="s">
        <v>61</v>
      </c>
      <c r="AO844" t="s">
        <v>61</v>
      </c>
      <c r="AP844" t="s">
        <v>61</v>
      </c>
      <c r="AQ844" t="s">
        <v>61</v>
      </c>
      <c r="AR844" t="s">
        <v>61</v>
      </c>
      <c r="AS844" t="s">
        <v>61</v>
      </c>
      <c r="AT844" t="s">
        <v>61</v>
      </c>
      <c r="AU844" t="s">
        <v>61</v>
      </c>
      <c r="AV844" t="s">
        <v>61</v>
      </c>
      <c r="AW844" t="s">
        <v>61</v>
      </c>
      <c r="AX844" t="s">
        <v>61</v>
      </c>
      <c r="AY844" t="s">
        <v>61</v>
      </c>
      <c r="AZ844" t="s">
        <v>61</v>
      </c>
      <c r="BA844" t="s">
        <v>61</v>
      </c>
      <c r="BB844" t="s">
        <v>61</v>
      </c>
      <c r="BC844" t="s">
        <v>61</v>
      </c>
      <c r="BD844" t="s">
        <v>61</v>
      </c>
      <c r="BE844" t="s">
        <v>61</v>
      </c>
      <c r="BF844" t="s">
        <v>61</v>
      </c>
    </row>
    <row r="845" spans="1:58">
      <c r="A845" t="s">
        <v>58</v>
      </c>
      <c r="B845" t="s">
        <v>7021</v>
      </c>
      <c r="C845" t="s">
        <v>7022</v>
      </c>
      <c r="D845" t="s">
        <v>7023</v>
      </c>
      <c r="E845" t="s">
        <v>61</v>
      </c>
      <c r="F845">
        <v>2003</v>
      </c>
      <c r="G845" t="s">
        <v>119</v>
      </c>
      <c r="H845">
        <v>66</v>
      </c>
      <c r="I845">
        <v>6</v>
      </c>
      <c r="J845">
        <v>346</v>
      </c>
      <c r="K845">
        <v>354</v>
      </c>
      <c r="L845" t="s">
        <v>7024</v>
      </c>
      <c r="M845" t="s">
        <v>7025</v>
      </c>
      <c r="N845" t="s">
        <v>7026</v>
      </c>
      <c r="O845" t="s">
        <v>61</v>
      </c>
      <c r="Q845" t="s">
        <v>61</v>
      </c>
      <c r="R845" t="s">
        <v>61</v>
      </c>
      <c r="S845" t="s">
        <v>61</v>
      </c>
      <c r="T845" t="s">
        <v>61</v>
      </c>
      <c r="X845" t="s">
        <v>61</v>
      </c>
      <c r="Y845" t="s">
        <v>7027</v>
      </c>
      <c r="Z845" t="s">
        <v>61</v>
      </c>
      <c r="AA845" t="s">
        <v>7028</v>
      </c>
      <c r="AB845">
        <v>12889503</v>
      </c>
      <c r="AC845" t="s">
        <v>67</v>
      </c>
      <c r="AD845" t="s">
        <v>61</v>
      </c>
      <c r="AE845" t="s">
        <v>61</v>
      </c>
      <c r="AF845" t="s">
        <v>61</v>
      </c>
      <c r="AG845" t="s">
        <v>7029</v>
      </c>
      <c r="AH845" t="s">
        <v>61</v>
      </c>
      <c r="AI845" t="s">
        <v>61</v>
      </c>
      <c r="AJ845" t="s">
        <v>61</v>
      </c>
      <c r="AK845" t="s">
        <v>61</v>
      </c>
      <c r="AL845" t="s">
        <v>61</v>
      </c>
      <c r="AM845" t="s">
        <v>7030</v>
      </c>
      <c r="AN845" t="s">
        <v>61</v>
      </c>
      <c r="AO845" t="s">
        <v>61</v>
      </c>
      <c r="AP845" t="s">
        <v>61</v>
      </c>
      <c r="AQ845" t="s">
        <v>61</v>
      </c>
      <c r="AR845" t="s">
        <v>61</v>
      </c>
      <c r="AS845" t="s">
        <v>61</v>
      </c>
      <c r="AT845" t="s">
        <v>61</v>
      </c>
      <c r="AU845" t="s">
        <v>61</v>
      </c>
      <c r="AV845" t="s">
        <v>61</v>
      </c>
      <c r="AW845" t="s">
        <v>61</v>
      </c>
      <c r="AX845" t="s">
        <v>61</v>
      </c>
      <c r="AY845" t="s">
        <v>61</v>
      </c>
      <c r="AZ845" t="s">
        <v>61</v>
      </c>
      <c r="BA845" t="s">
        <v>61</v>
      </c>
      <c r="BB845" t="s">
        <v>61</v>
      </c>
      <c r="BC845" t="s">
        <v>61</v>
      </c>
      <c r="BD845" t="s">
        <v>61</v>
      </c>
      <c r="BE845" t="s">
        <v>61</v>
      </c>
      <c r="BF845" t="s">
        <v>61</v>
      </c>
    </row>
    <row r="846" spans="1:58">
      <c r="A846" t="s">
        <v>58</v>
      </c>
      <c r="B846" t="s">
        <v>7031</v>
      </c>
      <c r="C846" t="s">
        <v>7032</v>
      </c>
      <c r="D846" t="s">
        <v>7033</v>
      </c>
      <c r="E846" t="s">
        <v>7033</v>
      </c>
      <c r="F846">
        <v>2015</v>
      </c>
      <c r="G846" t="s">
        <v>559</v>
      </c>
      <c r="H846" t="s">
        <v>7034</v>
      </c>
      <c r="I846" t="s">
        <v>61</v>
      </c>
      <c r="J846">
        <v>109</v>
      </c>
      <c r="K846" t="s">
        <v>61</v>
      </c>
      <c r="L846" t="s">
        <v>7035</v>
      </c>
      <c r="M846" t="s">
        <v>7036</v>
      </c>
      <c r="N846" t="s">
        <v>7037</v>
      </c>
      <c r="O846" t="s">
        <v>61</v>
      </c>
      <c r="Q846" t="s">
        <v>61</v>
      </c>
      <c r="R846" t="s">
        <v>61</v>
      </c>
      <c r="S846" t="s">
        <v>61</v>
      </c>
      <c r="T846" t="s">
        <v>61</v>
      </c>
      <c r="X846" t="s">
        <v>61</v>
      </c>
      <c r="Y846" t="s">
        <v>7038</v>
      </c>
      <c r="Z846" t="s">
        <v>61</v>
      </c>
      <c r="AA846" t="s">
        <v>61</v>
      </c>
      <c r="AB846" t="s">
        <v>61</v>
      </c>
      <c r="AC846" t="s">
        <v>67</v>
      </c>
      <c r="AD846" t="s">
        <v>61</v>
      </c>
      <c r="AE846" t="s">
        <v>61</v>
      </c>
      <c r="AF846" t="s">
        <v>61</v>
      </c>
      <c r="AG846" t="s">
        <v>61</v>
      </c>
      <c r="AH846" t="s">
        <v>61</v>
      </c>
      <c r="AI846" t="s">
        <v>61</v>
      </c>
      <c r="AJ846" t="s">
        <v>61</v>
      </c>
      <c r="AK846" t="s">
        <v>61</v>
      </c>
      <c r="AL846" t="s">
        <v>61</v>
      </c>
      <c r="AM846" t="s">
        <v>7032</v>
      </c>
      <c r="AN846" t="s">
        <v>61</v>
      </c>
      <c r="AO846" t="s">
        <v>61</v>
      </c>
      <c r="AP846" t="s">
        <v>61</v>
      </c>
      <c r="AQ846" t="s">
        <v>61</v>
      </c>
      <c r="AR846" t="s">
        <v>61</v>
      </c>
      <c r="AS846" t="s">
        <v>61</v>
      </c>
      <c r="AT846" t="s">
        <v>61</v>
      </c>
      <c r="AU846" t="s">
        <v>61</v>
      </c>
      <c r="AV846" t="s">
        <v>61</v>
      </c>
      <c r="AW846" t="s">
        <v>61</v>
      </c>
      <c r="AX846" t="s">
        <v>61</v>
      </c>
      <c r="AY846" t="s">
        <v>61</v>
      </c>
      <c r="AZ846" t="s">
        <v>61</v>
      </c>
      <c r="BA846" t="s">
        <v>61</v>
      </c>
      <c r="BB846" t="s">
        <v>61</v>
      </c>
      <c r="BC846" t="s">
        <v>61</v>
      </c>
      <c r="BD846" t="s">
        <v>61</v>
      </c>
      <c r="BE846" t="s">
        <v>61</v>
      </c>
      <c r="BF846" t="s">
        <v>61</v>
      </c>
    </row>
    <row r="847" spans="1:58">
      <c r="A847" t="s">
        <v>58</v>
      </c>
      <c r="B847" t="s">
        <v>7039</v>
      </c>
      <c r="C847" t="s">
        <v>7040</v>
      </c>
      <c r="D847" t="s">
        <v>7041</v>
      </c>
      <c r="E847" t="s">
        <v>61</v>
      </c>
      <c r="F847">
        <v>2013</v>
      </c>
      <c r="G847" t="s">
        <v>61</v>
      </c>
      <c r="H847">
        <v>3</v>
      </c>
      <c r="I847">
        <v>7</v>
      </c>
      <c r="J847" t="s">
        <v>61</v>
      </c>
      <c r="K847" t="s">
        <v>61</v>
      </c>
      <c r="L847" t="s">
        <v>61</v>
      </c>
      <c r="M847" t="s">
        <v>7042</v>
      </c>
      <c r="N847" t="s">
        <v>7043</v>
      </c>
      <c r="O847" t="s">
        <v>61</v>
      </c>
      <c r="Q847" t="s">
        <v>61</v>
      </c>
      <c r="R847" t="s">
        <v>61</v>
      </c>
      <c r="S847" t="s">
        <v>61</v>
      </c>
      <c r="T847" t="s">
        <v>61</v>
      </c>
      <c r="X847" t="s">
        <v>61</v>
      </c>
      <c r="Y847" t="s">
        <v>7044</v>
      </c>
      <c r="Z847" t="s">
        <v>61</v>
      </c>
      <c r="AA847" t="s">
        <v>7045</v>
      </c>
      <c r="AB847">
        <v>23903810</v>
      </c>
      <c r="AC847" t="s">
        <v>67</v>
      </c>
      <c r="AD847" t="s">
        <v>61</v>
      </c>
      <c r="AE847" t="s">
        <v>61</v>
      </c>
      <c r="AF847" t="s">
        <v>61</v>
      </c>
      <c r="AG847" t="s">
        <v>7046</v>
      </c>
      <c r="AH847" t="s">
        <v>61</v>
      </c>
      <c r="AI847" t="s">
        <v>7047</v>
      </c>
      <c r="AJ847" t="s">
        <v>61</v>
      </c>
      <c r="AK847" t="s">
        <v>61</v>
      </c>
      <c r="AL847" t="s">
        <v>61</v>
      </c>
      <c r="AM847" t="s">
        <v>7048</v>
      </c>
      <c r="AN847" t="s">
        <v>61</v>
      </c>
      <c r="AO847" t="s">
        <v>61</v>
      </c>
      <c r="AP847" t="s">
        <v>61</v>
      </c>
      <c r="AQ847" t="s">
        <v>61</v>
      </c>
      <c r="AR847" t="s">
        <v>61</v>
      </c>
      <c r="AS847" t="s">
        <v>61</v>
      </c>
      <c r="AT847" t="s">
        <v>61</v>
      </c>
      <c r="AU847" t="s">
        <v>61</v>
      </c>
      <c r="AV847" t="s">
        <v>61</v>
      </c>
      <c r="AW847" t="s">
        <v>61</v>
      </c>
      <c r="AX847" t="s">
        <v>61</v>
      </c>
      <c r="AY847" t="s">
        <v>61</v>
      </c>
      <c r="AZ847" t="s">
        <v>61</v>
      </c>
      <c r="BA847" t="s">
        <v>61</v>
      </c>
      <c r="BB847" t="s">
        <v>61</v>
      </c>
      <c r="BC847" t="s">
        <v>61</v>
      </c>
      <c r="BD847" t="s">
        <v>61</v>
      </c>
      <c r="BE847" t="s">
        <v>61</v>
      </c>
      <c r="BF847" t="s">
        <v>61</v>
      </c>
    </row>
    <row r="848" spans="1:58">
      <c r="A848" t="s">
        <v>58</v>
      </c>
      <c r="B848" t="s">
        <v>7049</v>
      </c>
      <c r="C848" t="s">
        <v>7050</v>
      </c>
      <c r="D848" t="s">
        <v>2007</v>
      </c>
      <c r="E848" t="s">
        <v>61</v>
      </c>
      <c r="F848">
        <v>2015</v>
      </c>
      <c r="G848" t="s">
        <v>1152</v>
      </c>
      <c r="H848">
        <v>26</v>
      </c>
      <c r="I848">
        <v>9</v>
      </c>
      <c r="J848">
        <v>875</v>
      </c>
      <c r="K848">
        <v>882</v>
      </c>
      <c r="L848" t="s">
        <v>61</v>
      </c>
      <c r="M848" t="s">
        <v>7051</v>
      </c>
      <c r="N848" t="s">
        <v>7052</v>
      </c>
      <c r="O848" t="s">
        <v>61</v>
      </c>
      <c r="Q848" t="s">
        <v>61</v>
      </c>
      <c r="R848" t="s">
        <v>61</v>
      </c>
      <c r="S848" t="s">
        <v>61</v>
      </c>
      <c r="T848" t="s">
        <v>61</v>
      </c>
      <c r="X848" t="s">
        <v>61</v>
      </c>
      <c r="Y848" t="s">
        <v>7053</v>
      </c>
      <c r="Z848" t="s">
        <v>61</v>
      </c>
      <c r="AA848" t="s">
        <v>7054</v>
      </c>
      <c r="AB848">
        <v>25934054</v>
      </c>
      <c r="AC848" t="s">
        <v>67</v>
      </c>
      <c r="AD848" t="s">
        <v>61</v>
      </c>
      <c r="AE848" t="s">
        <v>61</v>
      </c>
      <c r="AF848" t="s">
        <v>61</v>
      </c>
      <c r="AG848" t="s">
        <v>7055</v>
      </c>
      <c r="AH848" t="s">
        <v>61</v>
      </c>
      <c r="AI848" t="s">
        <v>7056</v>
      </c>
      <c r="AJ848" t="s">
        <v>61</v>
      </c>
      <c r="AK848" t="s">
        <v>61</v>
      </c>
      <c r="AL848" t="s">
        <v>61</v>
      </c>
      <c r="AM848" t="s">
        <v>7057</v>
      </c>
      <c r="AN848" t="s">
        <v>61</v>
      </c>
      <c r="AO848" t="s">
        <v>61</v>
      </c>
      <c r="AP848" t="s">
        <v>61</v>
      </c>
      <c r="AQ848" t="s">
        <v>61</v>
      </c>
      <c r="AR848" t="s">
        <v>61</v>
      </c>
      <c r="AS848" t="s">
        <v>61</v>
      </c>
      <c r="AT848" t="s">
        <v>61</v>
      </c>
      <c r="AU848" t="s">
        <v>61</v>
      </c>
      <c r="AV848" t="s">
        <v>61</v>
      </c>
      <c r="AW848" t="s">
        <v>61</v>
      </c>
      <c r="AX848" t="s">
        <v>61</v>
      </c>
      <c r="AY848" t="s">
        <v>61</v>
      </c>
      <c r="AZ848" t="s">
        <v>61</v>
      </c>
      <c r="BA848" t="s">
        <v>61</v>
      </c>
      <c r="BB848" t="s">
        <v>61</v>
      </c>
      <c r="BC848" t="s">
        <v>61</v>
      </c>
      <c r="BD848" t="s">
        <v>61</v>
      </c>
      <c r="BE848" t="s">
        <v>61</v>
      </c>
      <c r="BF848" t="s">
        <v>61</v>
      </c>
    </row>
    <row r="849" spans="1:58">
      <c r="A849" t="s">
        <v>58</v>
      </c>
      <c r="B849" t="s">
        <v>7058</v>
      </c>
      <c r="C849" t="s">
        <v>7059</v>
      </c>
      <c r="D849" t="s">
        <v>6692</v>
      </c>
      <c r="E849" t="s">
        <v>61</v>
      </c>
      <c r="F849">
        <v>2012</v>
      </c>
      <c r="G849" t="s">
        <v>119</v>
      </c>
      <c r="H849">
        <v>63</v>
      </c>
      <c r="I849">
        <v>6</v>
      </c>
      <c r="J849">
        <v>597</v>
      </c>
      <c r="K849">
        <v>604</v>
      </c>
      <c r="L849" t="s">
        <v>7060</v>
      </c>
      <c r="M849" t="s">
        <v>7061</v>
      </c>
      <c r="N849" t="s">
        <v>7062</v>
      </c>
      <c r="O849" t="s">
        <v>61</v>
      </c>
      <c r="Q849" t="s">
        <v>61</v>
      </c>
      <c r="R849" t="s">
        <v>61</v>
      </c>
      <c r="S849" t="s">
        <v>61</v>
      </c>
      <c r="T849" t="s">
        <v>61</v>
      </c>
      <c r="X849" t="s">
        <v>61</v>
      </c>
      <c r="Y849" t="s">
        <v>7063</v>
      </c>
      <c r="Z849" t="s">
        <v>61</v>
      </c>
      <c r="AA849" t="s">
        <v>7064</v>
      </c>
      <c r="AB849">
        <v>22476161</v>
      </c>
      <c r="AC849" t="s">
        <v>67</v>
      </c>
      <c r="AD849" t="s">
        <v>61</v>
      </c>
      <c r="AE849" t="s">
        <v>61</v>
      </c>
      <c r="AF849" t="s">
        <v>61</v>
      </c>
      <c r="AG849" t="s">
        <v>7065</v>
      </c>
      <c r="AH849" t="s">
        <v>61</v>
      </c>
      <c r="AI849" t="s">
        <v>7066</v>
      </c>
      <c r="AJ849" t="s">
        <v>61</v>
      </c>
      <c r="AK849" t="s">
        <v>61</v>
      </c>
      <c r="AL849" t="s">
        <v>61</v>
      </c>
      <c r="AM849" t="s">
        <v>7067</v>
      </c>
      <c r="AN849" t="s">
        <v>61</v>
      </c>
      <c r="AO849" t="s">
        <v>61</v>
      </c>
      <c r="AP849" t="s">
        <v>61</v>
      </c>
      <c r="AQ849" t="s">
        <v>61</v>
      </c>
      <c r="AR849" t="s">
        <v>61</v>
      </c>
      <c r="AS849" t="s">
        <v>61</v>
      </c>
      <c r="AT849" t="s">
        <v>61</v>
      </c>
      <c r="AU849" t="s">
        <v>61</v>
      </c>
      <c r="AV849" t="s">
        <v>61</v>
      </c>
      <c r="AW849" t="s">
        <v>61</v>
      </c>
      <c r="AX849" t="s">
        <v>61</v>
      </c>
      <c r="AY849" t="s">
        <v>61</v>
      </c>
      <c r="AZ849" t="s">
        <v>61</v>
      </c>
      <c r="BA849" t="s">
        <v>61</v>
      </c>
      <c r="BB849" t="s">
        <v>61</v>
      </c>
      <c r="BC849" t="s">
        <v>61</v>
      </c>
      <c r="BD849" t="s">
        <v>61</v>
      </c>
      <c r="BE849" t="s">
        <v>61</v>
      </c>
      <c r="BF849" t="s">
        <v>61</v>
      </c>
    </row>
    <row r="850" spans="1:58">
      <c r="A850" t="s">
        <v>58</v>
      </c>
      <c r="B850" t="s">
        <v>7068</v>
      </c>
      <c r="C850" t="s">
        <v>7069</v>
      </c>
      <c r="D850" t="s">
        <v>7070</v>
      </c>
      <c r="E850" t="s">
        <v>61</v>
      </c>
      <c r="F850">
        <v>2015</v>
      </c>
      <c r="G850" t="s">
        <v>119</v>
      </c>
      <c r="H850">
        <v>97</v>
      </c>
      <c r="I850">
        <v>6</v>
      </c>
      <c r="J850">
        <v>528</v>
      </c>
      <c r="K850">
        <v>531</v>
      </c>
      <c r="L850" t="s">
        <v>7071</v>
      </c>
      <c r="M850" t="s">
        <v>7072</v>
      </c>
      <c r="N850" t="s">
        <v>7073</v>
      </c>
      <c r="O850" t="s">
        <v>61</v>
      </c>
      <c r="Q850" t="s">
        <v>61</v>
      </c>
      <c r="R850" t="s">
        <v>61</v>
      </c>
      <c r="S850" t="s">
        <v>61</v>
      </c>
      <c r="T850" t="s">
        <v>61</v>
      </c>
      <c r="X850" t="s">
        <v>61</v>
      </c>
      <c r="Y850" t="s">
        <v>7074</v>
      </c>
      <c r="Z850" t="s">
        <v>61</v>
      </c>
      <c r="AA850" t="s">
        <v>7075</v>
      </c>
      <c r="AB850">
        <v>25801347</v>
      </c>
      <c r="AC850" t="s">
        <v>67</v>
      </c>
      <c r="AD850" t="s">
        <v>61</v>
      </c>
      <c r="AE850" t="s">
        <v>61</v>
      </c>
      <c r="AF850" t="s">
        <v>61</v>
      </c>
      <c r="AG850" t="s">
        <v>7076</v>
      </c>
      <c r="AH850" t="s">
        <v>61</v>
      </c>
      <c r="AI850" t="s">
        <v>7077</v>
      </c>
      <c r="AJ850" t="s">
        <v>61</v>
      </c>
      <c r="AK850" t="s">
        <v>61</v>
      </c>
      <c r="AL850" t="s">
        <v>61</v>
      </c>
      <c r="AM850" t="s">
        <v>7078</v>
      </c>
      <c r="AN850" t="s">
        <v>61</v>
      </c>
      <c r="AO850" t="s">
        <v>61</v>
      </c>
      <c r="AP850" t="s">
        <v>61</v>
      </c>
      <c r="AQ850" t="s">
        <v>61</v>
      </c>
      <c r="AR850" t="s">
        <v>61</v>
      </c>
      <c r="AS850" t="s">
        <v>61</v>
      </c>
      <c r="AT850" t="s">
        <v>61</v>
      </c>
      <c r="AU850" t="s">
        <v>61</v>
      </c>
      <c r="AV850" t="s">
        <v>61</v>
      </c>
      <c r="AW850" t="s">
        <v>61</v>
      </c>
      <c r="AX850" t="s">
        <v>61</v>
      </c>
      <c r="AY850" t="s">
        <v>61</v>
      </c>
      <c r="AZ850" t="s">
        <v>61</v>
      </c>
      <c r="BA850" t="s">
        <v>61</v>
      </c>
      <c r="BB850" t="s">
        <v>61</v>
      </c>
      <c r="BC850" t="s">
        <v>61</v>
      </c>
      <c r="BD850" t="s">
        <v>61</v>
      </c>
      <c r="BE850" t="s">
        <v>61</v>
      </c>
      <c r="BF850" t="s">
        <v>61</v>
      </c>
    </row>
    <row r="851" spans="1:58">
      <c r="A851" t="s">
        <v>58</v>
      </c>
      <c r="B851" t="s">
        <v>7079</v>
      </c>
      <c r="C851" t="s">
        <v>7080</v>
      </c>
      <c r="D851" t="s">
        <v>7081</v>
      </c>
      <c r="E851" t="s">
        <v>61</v>
      </c>
      <c r="F851">
        <v>1999</v>
      </c>
      <c r="G851" t="s">
        <v>61</v>
      </c>
      <c r="H851">
        <v>26</v>
      </c>
      <c r="I851">
        <v>2</v>
      </c>
      <c r="J851">
        <v>197</v>
      </c>
      <c r="K851">
        <v>210</v>
      </c>
      <c r="L851" t="s">
        <v>7082</v>
      </c>
      <c r="M851" t="s">
        <v>7083</v>
      </c>
      <c r="N851" t="s">
        <v>7084</v>
      </c>
      <c r="O851" t="s">
        <v>61</v>
      </c>
      <c r="Q851" t="s">
        <v>61</v>
      </c>
      <c r="R851" t="s">
        <v>61</v>
      </c>
      <c r="S851" t="s">
        <v>61</v>
      </c>
      <c r="T851" t="s">
        <v>61</v>
      </c>
      <c r="X851" t="s">
        <v>61</v>
      </c>
      <c r="Y851" t="s">
        <v>7085</v>
      </c>
      <c r="Z851" t="s">
        <v>61</v>
      </c>
      <c r="AA851" t="s">
        <v>61</v>
      </c>
      <c r="AB851">
        <v>1999205053</v>
      </c>
      <c r="AC851" t="s">
        <v>67</v>
      </c>
      <c r="AD851" t="s">
        <v>61</v>
      </c>
      <c r="AE851" t="s">
        <v>61</v>
      </c>
      <c r="AF851" t="s">
        <v>61</v>
      </c>
      <c r="AG851" t="s">
        <v>7086</v>
      </c>
      <c r="AH851" t="s">
        <v>61</v>
      </c>
      <c r="AI851" t="s">
        <v>61</v>
      </c>
      <c r="AJ851" t="s">
        <v>61</v>
      </c>
      <c r="AK851" t="s">
        <v>61</v>
      </c>
      <c r="AL851" t="s">
        <v>61</v>
      </c>
      <c r="AM851" t="s">
        <v>7087</v>
      </c>
      <c r="AN851" t="s">
        <v>61</v>
      </c>
      <c r="AO851" t="s">
        <v>61</v>
      </c>
      <c r="AP851" t="s">
        <v>61</v>
      </c>
      <c r="AQ851" t="s">
        <v>61</v>
      </c>
      <c r="AR851" t="s">
        <v>61</v>
      </c>
      <c r="AS851" t="s">
        <v>61</v>
      </c>
      <c r="AT851" t="s">
        <v>61</v>
      </c>
      <c r="AU851" t="s">
        <v>61</v>
      </c>
      <c r="AV851" t="s">
        <v>61</v>
      </c>
      <c r="AW851" t="s">
        <v>61</v>
      </c>
      <c r="AX851" t="s">
        <v>61</v>
      </c>
      <c r="AY851" t="s">
        <v>61</v>
      </c>
      <c r="AZ851" t="s">
        <v>61</v>
      </c>
      <c r="BA851" t="s">
        <v>61</v>
      </c>
      <c r="BB851" t="s">
        <v>61</v>
      </c>
      <c r="BC851" t="s">
        <v>61</v>
      </c>
      <c r="BD851" t="s">
        <v>61</v>
      </c>
      <c r="BE851" t="s">
        <v>61</v>
      </c>
      <c r="BF851" t="s">
        <v>61</v>
      </c>
    </row>
    <row r="852" spans="1:58">
      <c r="A852" t="s">
        <v>58</v>
      </c>
      <c r="B852" t="s">
        <v>7088</v>
      </c>
      <c r="C852" t="s">
        <v>7089</v>
      </c>
      <c r="D852" t="s">
        <v>5691</v>
      </c>
      <c r="E852" t="s">
        <v>5692</v>
      </c>
      <c r="F852">
        <v>1997</v>
      </c>
      <c r="G852" t="s">
        <v>1152</v>
      </c>
      <c r="H852">
        <v>13</v>
      </c>
      <c r="I852">
        <v>3</v>
      </c>
      <c r="J852">
        <v>237</v>
      </c>
      <c r="K852">
        <v>243</v>
      </c>
      <c r="L852" t="s">
        <v>7090</v>
      </c>
      <c r="M852" t="s">
        <v>7091</v>
      </c>
      <c r="N852" t="s">
        <v>7092</v>
      </c>
      <c r="O852" t="s">
        <v>61</v>
      </c>
      <c r="Q852" t="s">
        <v>61</v>
      </c>
      <c r="R852" t="s">
        <v>61</v>
      </c>
      <c r="S852" t="s">
        <v>61</v>
      </c>
      <c r="T852" t="s">
        <v>61</v>
      </c>
      <c r="X852" t="s">
        <v>61</v>
      </c>
      <c r="Y852" t="s">
        <v>5697</v>
      </c>
      <c r="Z852" t="s">
        <v>61</v>
      </c>
      <c r="AA852" t="s">
        <v>7093</v>
      </c>
      <c r="AB852">
        <v>9303256</v>
      </c>
      <c r="AC852" t="s">
        <v>67</v>
      </c>
      <c r="AD852" t="s">
        <v>61</v>
      </c>
      <c r="AE852" t="s">
        <v>61</v>
      </c>
      <c r="AF852" t="s">
        <v>61</v>
      </c>
      <c r="AG852" t="s">
        <v>7094</v>
      </c>
      <c r="AH852" t="s">
        <v>61</v>
      </c>
      <c r="AI852" t="s">
        <v>61</v>
      </c>
      <c r="AJ852" t="s">
        <v>61</v>
      </c>
      <c r="AK852" t="s">
        <v>61</v>
      </c>
      <c r="AL852" t="s">
        <v>61</v>
      </c>
      <c r="AM852" t="s">
        <v>7095</v>
      </c>
      <c r="AN852" t="s">
        <v>61</v>
      </c>
      <c r="AO852" t="s">
        <v>61</v>
      </c>
      <c r="AP852" t="s">
        <v>61</v>
      </c>
      <c r="AQ852" t="s">
        <v>61</v>
      </c>
      <c r="AR852" t="s">
        <v>61</v>
      </c>
      <c r="AS852" t="s">
        <v>61</v>
      </c>
      <c r="AT852" t="s">
        <v>61</v>
      </c>
      <c r="AU852" t="s">
        <v>61</v>
      </c>
      <c r="AV852" t="s">
        <v>61</v>
      </c>
      <c r="AW852" t="s">
        <v>61</v>
      </c>
      <c r="AX852" t="s">
        <v>61</v>
      </c>
      <c r="AY852" t="s">
        <v>61</v>
      </c>
      <c r="AZ852" t="s">
        <v>61</v>
      </c>
      <c r="BA852" t="s">
        <v>61</v>
      </c>
      <c r="BB852" t="s">
        <v>61</v>
      </c>
      <c r="BC852" t="s">
        <v>61</v>
      </c>
      <c r="BD852" t="s">
        <v>61</v>
      </c>
      <c r="BE852" t="s">
        <v>61</v>
      </c>
      <c r="BF852" t="s">
        <v>61</v>
      </c>
    </row>
    <row r="853" spans="1:58">
      <c r="A853" t="s">
        <v>58</v>
      </c>
      <c r="B853" t="s">
        <v>7096</v>
      </c>
      <c r="C853" t="s">
        <v>7097</v>
      </c>
      <c r="D853" t="s">
        <v>7098</v>
      </c>
      <c r="E853" t="s">
        <v>7098</v>
      </c>
      <c r="F853">
        <v>2004</v>
      </c>
      <c r="G853" t="s">
        <v>559</v>
      </c>
      <c r="H853">
        <v>46</v>
      </c>
      <c r="I853">
        <v>6</v>
      </c>
      <c r="J853">
        <v>836</v>
      </c>
      <c r="K853">
        <v>846</v>
      </c>
      <c r="L853" t="s">
        <v>7099</v>
      </c>
      <c r="M853" t="s">
        <v>7100</v>
      </c>
      <c r="N853" t="s">
        <v>7101</v>
      </c>
      <c r="O853" t="s">
        <v>61</v>
      </c>
      <c r="Q853" t="s">
        <v>61</v>
      </c>
      <c r="R853" t="s">
        <v>61</v>
      </c>
      <c r="S853" t="s">
        <v>61</v>
      </c>
      <c r="T853" t="s">
        <v>61</v>
      </c>
      <c r="X853" t="s">
        <v>61</v>
      </c>
      <c r="Y853" t="s">
        <v>7102</v>
      </c>
      <c r="Z853" t="s">
        <v>61</v>
      </c>
      <c r="AA853" t="s">
        <v>61</v>
      </c>
      <c r="AB853">
        <v>2004131240</v>
      </c>
      <c r="AC853" t="s">
        <v>67</v>
      </c>
      <c r="AD853" t="s">
        <v>61</v>
      </c>
      <c r="AE853" t="s">
        <v>61</v>
      </c>
      <c r="AF853" t="s">
        <v>61</v>
      </c>
      <c r="AG853" t="s">
        <v>7103</v>
      </c>
      <c r="AH853" t="s">
        <v>61</v>
      </c>
      <c r="AI853" t="s">
        <v>61</v>
      </c>
      <c r="AJ853" t="s">
        <v>61</v>
      </c>
      <c r="AK853" t="s">
        <v>61</v>
      </c>
      <c r="AL853" t="s">
        <v>61</v>
      </c>
      <c r="AM853" t="s">
        <v>7104</v>
      </c>
      <c r="AN853" t="s">
        <v>61</v>
      </c>
      <c r="AO853" t="s">
        <v>61</v>
      </c>
      <c r="AP853" t="s">
        <v>61</v>
      </c>
      <c r="AQ853" t="s">
        <v>61</v>
      </c>
      <c r="AR853" t="s">
        <v>61</v>
      </c>
      <c r="AS853" t="s">
        <v>61</v>
      </c>
      <c r="AT853" t="s">
        <v>61</v>
      </c>
      <c r="AU853" t="s">
        <v>61</v>
      </c>
      <c r="AV853" t="s">
        <v>61</v>
      </c>
      <c r="AW853" t="s">
        <v>61</v>
      </c>
      <c r="AX853" t="s">
        <v>61</v>
      </c>
      <c r="AY853" t="s">
        <v>61</v>
      </c>
      <c r="AZ853" t="s">
        <v>61</v>
      </c>
      <c r="BA853" t="s">
        <v>61</v>
      </c>
      <c r="BB853" t="s">
        <v>61</v>
      </c>
      <c r="BC853" t="s">
        <v>61</v>
      </c>
      <c r="BD853" t="s">
        <v>61</v>
      </c>
      <c r="BE853" t="s">
        <v>61</v>
      </c>
      <c r="BF853" t="s">
        <v>61</v>
      </c>
    </row>
    <row r="854" spans="1:58">
      <c r="A854" t="s">
        <v>58</v>
      </c>
      <c r="B854" t="s">
        <v>7105</v>
      </c>
      <c r="C854" t="s">
        <v>7106</v>
      </c>
      <c r="D854" t="s">
        <v>408</v>
      </c>
      <c r="E854" t="s">
        <v>408</v>
      </c>
      <c r="F854">
        <v>2011</v>
      </c>
      <c r="G854" t="s">
        <v>645</v>
      </c>
      <c r="H854">
        <v>31</v>
      </c>
      <c r="I854">
        <v>10</v>
      </c>
      <c r="J854" t="s">
        <v>7107</v>
      </c>
      <c r="K854" t="s">
        <v>61</v>
      </c>
      <c r="L854" t="s">
        <v>7108</v>
      </c>
      <c r="M854" t="s">
        <v>7109</v>
      </c>
      <c r="N854" t="s">
        <v>7110</v>
      </c>
      <c r="O854" t="s">
        <v>61</v>
      </c>
      <c r="Q854" t="s">
        <v>61</v>
      </c>
      <c r="R854" t="s">
        <v>61</v>
      </c>
      <c r="S854" t="s">
        <v>61</v>
      </c>
      <c r="T854" t="s">
        <v>61</v>
      </c>
      <c r="X854" t="s">
        <v>61</v>
      </c>
      <c r="Y854" t="s">
        <v>414</v>
      </c>
      <c r="Z854" t="s">
        <v>61</v>
      </c>
      <c r="AA854" t="s">
        <v>61</v>
      </c>
      <c r="AB854" t="s">
        <v>61</v>
      </c>
      <c r="AC854" t="s">
        <v>67</v>
      </c>
      <c r="AD854" t="s">
        <v>61</v>
      </c>
      <c r="AE854" t="s">
        <v>61</v>
      </c>
      <c r="AF854" t="s">
        <v>61</v>
      </c>
      <c r="AG854" t="s">
        <v>61</v>
      </c>
      <c r="AH854" t="s">
        <v>61</v>
      </c>
      <c r="AI854" t="s">
        <v>61</v>
      </c>
      <c r="AJ854" t="s">
        <v>61</v>
      </c>
      <c r="AK854" t="s">
        <v>61</v>
      </c>
      <c r="AL854" t="s">
        <v>61</v>
      </c>
      <c r="AM854" t="s">
        <v>7106</v>
      </c>
      <c r="AN854" t="s">
        <v>61</v>
      </c>
      <c r="AO854" t="s">
        <v>61</v>
      </c>
      <c r="AP854" t="s">
        <v>61</v>
      </c>
      <c r="AQ854" t="s">
        <v>61</v>
      </c>
      <c r="AR854" t="s">
        <v>61</v>
      </c>
      <c r="AS854" t="s">
        <v>61</v>
      </c>
      <c r="AT854" t="s">
        <v>61</v>
      </c>
      <c r="AU854" t="s">
        <v>61</v>
      </c>
      <c r="AV854" t="s">
        <v>61</v>
      </c>
      <c r="AW854" t="s">
        <v>61</v>
      </c>
      <c r="AX854" t="s">
        <v>61</v>
      </c>
      <c r="AY854" t="s">
        <v>61</v>
      </c>
      <c r="AZ854" t="s">
        <v>61</v>
      </c>
      <c r="BA854" t="s">
        <v>61</v>
      </c>
      <c r="BB854" t="s">
        <v>61</v>
      </c>
      <c r="BC854" t="s">
        <v>61</v>
      </c>
      <c r="BD854" t="s">
        <v>61</v>
      </c>
      <c r="BE854" t="s">
        <v>61</v>
      </c>
      <c r="BF854" t="s">
        <v>61</v>
      </c>
    </row>
    <row r="855" spans="1:58">
      <c r="A855" t="s">
        <v>58</v>
      </c>
      <c r="B855" t="s">
        <v>7111</v>
      </c>
      <c r="C855" t="s">
        <v>7112</v>
      </c>
      <c r="D855" t="s">
        <v>4199</v>
      </c>
      <c r="E855" t="s">
        <v>61</v>
      </c>
      <c r="F855">
        <v>2015</v>
      </c>
      <c r="G855" t="s">
        <v>429</v>
      </c>
      <c r="H855" t="s">
        <v>7113</v>
      </c>
      <c r="I855" t="s">
        <v>61</v>
      </c>
      <c r="J855" t="s">
        <v>7114</v>
      </c>
      <c r="K855" t="s">
        <v>61</v>
      </c>
      <c r="L855" t="s">
        <v>7115</v>
      </c>
      <c r="M855" t="s">
        <v>7116</v>
      </c>
      <c r="N855" t="s">
        <v>7117</v>
      </c>
      <c r="O855" t="s">
        <v>61</v>
      </c>
      <c r="Q855" t="s">
        <v>61</v>
      </c>
      <c r="R855" t="s">
        <v>61</v>
      </c>
      <c r="S855" t="s">
        <v>61</v>
      </c>
      <c r="T855" t="s">
        <v>61</v>
      </c>
      <c r="X855" t="s">
        <v>61</v>
      </c>
      <c r="Y855" t="s">
        <v>7118</v>
      </c>
      <c r="Z855" t="s">
        <v>61</v>
      </c>
      <c r="AA855" t="s">
        <v>61</v>
      </c>
      <c r="AB855" t="s">
        <v>61</v>
      </c>
      <c r="AC855" t="s">
        <v>67</v>
      </c>
      <c r="AD855" t="s">
        <v>61</v>
      </c>
      <c r="AE855" t="s">
        <v>61</v>
      </c>
      <c r="AF855" t="s">
        <v>61</v>
      </c>
      <c r="AG855" t="s">
        <v>61</v>
      </c>
      <c r="AH855" t="s">
        <v>61</v>
      </c>
      <c r="AI855" t="s">
        <v>61</v>
      </c>
      <c r="AJ855" t="s">
        <v>61</v>
      </c>
      <c r="AK855" t="s">
        <v>61</v>
      </c>
      <c r="AL855" t="s">
        <v>61</v>
      </c>
      <c r="AM855" t="s">
        <v>7112</v>
      </c>
      <c r="AN855" t="s">
        <v>61</v>
      </c>
      <c r="AO855" t="s">
        <v>61</v>
      </c>
      <c r="AP855" t="s">
        <v>61</v>
      </c>
      <c r="AQ855" t="s">
        <v>61</v>
      </c>
      <c r="AR855" t="s">
        <v>61</v>
      </c>
      <c r="AS855" t="s">
        <v>61</v>
      </c>
      <c r="AT855" t="s">
        <v>61</v>
      </c>
      <c r="AU855" t="s">
        <v>61</v>
      </c>
      <c r="AV855" t="s">
        <v>61</v>
      </c>
      <c r="AW855" t="s">
        <v>61</v>
      </c>
      <c r="AX855" t="s">
        <v>61</v>
      </c>
      <c r="AY855" t="s">
        <v>61</v>
      </c>
      <c r="AZ855" t="s">
        <v>61</v>
      </c>
      <c r="BA855" t="s">
        <v>61</v>
      </c>
      <c r="BB855" t="s">
        <v>61</v>
      </c>
      <c r="BC855" t="s">
        <v>61</v>
      </c>
      <c r="BD855" t="s">
        <v>61</v>
      </c>
      <c r="BE855" t="s">
        <v>61</v>
      </c>
      <c r="BF855" t="s">
        <v>61</v>
      </c>
    </row>
    <row r="856" spans="1:58">
      <c r="A856" t="s">
        <v>58</v>
      </c>
      <c r="B856" t="s">
        <v>7119</v>
      </c>
      <c r="C856" t="s">
        <v>7120</v>
      </c>
      <c r="D856" t="s">
        <v>2166</v>
      </c>
      <c r="E856" t="s">
        <v>61</v>
      </c>
      <c r="F856">
        <v>2009</v>
      </c>
      <c r="G856" t="s">
        <v>851</v>
      </c>
      <c r="H856">
        <v>28</v>
      </c>
      <c r="I856">
        <v>6</v>
      </c>
      <c r="J856">
        <v>682</v>
      </c>
      <c r="K856">
        <v>684</v>
      </c>
      <c r="L856" t="s">
        <v>7121</v>
      </c>
      <c r="M856" t="s">
        <v>7122</v>
      </c>
      <c r="N856" t="s">
        <v>7123</v>
      </c>
      <c r="O856" t="s">
        <v>61</v>
      </c>
      <c r="Q856" t="s">
        <v>61</v>
      </c>
      <c r="R856" t="s">
        <v>61</v>
      </c>
      <c r="S856" t="s">
        <v>61</v>
      </c>
      <c r="T856" t="s">
        <v>61</v>
      </c>
      <c r="X856" t="s">
        <v>61</v>
      </c>
      <c r="Y856" t="s">
        <v>2170</v>
      </c>
      <c r="Z856" t="s">
        <v>61</v>
      </c>
      <c r="AA856" t="s">
        <v>7124</v>
      </c>
      <c r="AB856">
        <v>19930024</v>
      </c>
      <c r="AC856" t="s">
        <v>67</v>
      </c>
      <c r="AD856" t="s">
        <v>61</v>
      </c>
      <c r="AE856" t="s">
        <v>61</v>
      </c>
      <c r="AF856" t="s">
        <v>61</v>
      </c>
      <c r="AG856" t="s">
        <v>7125</v>
      </c>
      <c r="AH856" t="s">
        <v>61</v>
      </c>
      <c r="AI856" t="s">
        <v>7126</v>
      </c>
      <c r="AJ856" t="s">
        <v>61</v>
      </c>
      <c r="AK856" t="s">
        <v>61</v>
      </c>
      <c r="AL856" t="s">
        <v>61</v>
      </c>
      <c r="AM856" t="s">
        <v>7127</v>
      </c>
      <c r="AN856" t="s">
        <v>61</v>
      </c>
      <c r="AO856" t="s">
        <v>61</v>
      </c>
      <c r="AP856" t="s">
        <v>61</v>
      </c>
      <c r="AQ856" t="s">
        <v>61</v>
      </c>
      <c r="AR856" t="s">
        <v>61</v>
      </c>
      <c r="AS856" t="s">
        <v>61</v>
      </c>
      <c r="AT856" t="s">
        <v>61</v>
      </c>
      <c r="AU856" t="s">
        <v>61</v>
      </c>
      <c r="AV856" t="s">
        <v>61</v>
      </c>
      <c r="AW856" t="s">
        <v>61</v>
      </c>
      <c r="AX856" t="s">
        <v>61</v>
      </c>
      <c r="AY856" t="s">
        <v>61</v>
      </c>
      <c r="AZ856" t="s">
        <v>61</v>
      </c>
      <c r="BA856" t="s">
        <v>61</v>
      </c>
      <c r="BB856" t="s">
        <v>61</v>
      </c>
      <c r="BC856" t="s">
        <v>61</v>
      </c>
      <c r="BD856" t="s">
        <v>61</v>
      </c>
      <c r="BE856" t="s">
        <v>61</v>
      </c>
      <c r="BF856" t="s">
        <v>61</v>
      </c>
    </row>
    <row r="857" spans="1:58">
      <c r="A857" t="s">
        <v>58</v>
      </c>
      <c r="B857" t="s">
        <v>7128</v>
      </c>
      <c r="C857" t="s">
        <v>7129</v>
      </c>
      <c r="D857" t="s">
        <v>271</v>
      </c>
      <c r="E857" t="s">
        <v>272</v>
      </c>
      <c r="F857">
        <v>1971</v>
      </c>
      <c r="G857" t="s">
        <v>119</v>
      </c>
      <c r="H857">
        <v>11</v>
      </c>
      <c r="I857">
        <v>6</v>
      </c>
      <c r="J857">
        <v>318</v>
      </c>
      <c r="K857" t="s">
        <v>7130</v>
      </c>
      <c r="L857" t="s">
        <v>7131</v>
      </c>
      <c r="M857" t="s">
        <v>61</v>
      </c>
      <c r="N857" t="s">
        <v>7132</v>
      </c>
      <c r="O857" t="s">
        <v>61</v>
      </c>
      <c r="Q857" t="s">
        <v>61</v>
      </c>
      <c r="R857" t="s">
        <v>61</v>
      </c>
      <c r="S857" t="s">
        <v>61</v>
      </c>
      <c r="T857" t="s">
        <v>61</v>
      </c>
      <c r="X857" t="s">
        <v>61</v>
      </c>
      <c r="Y857" t="s">
        <v>276</v>
      </c>
      <c r="Z857" t="s">
        <v>61</v>
      </c>
      <c r="AA857" t="s">
        <v>61</v>
      </c>
      <c r="AB857">
        <v>5165794</v>
      </c>
      <c r="AC857" t="s">
        <v>67</v>
      </c>
      <c r="AD857" t="s">
        <v>61</v>
      </c>
      <c r="AE857" t="s">
        <v>61</v>
      </c>
      <c r="AF857" t="s">
        <v>61</v>
      </c>
      <c r="AG857" t="s">
        <v>7133</v>
      </c>
      <c r="AH857" t="s">
        <v>61</v>
      </c>
      <c r="AI857" t="s">
        <v>61</v>
      </c>
      <c r="AJ857" t="s">
        <v>61</v>
      </c>
      <c r="AK857" t="s">
        <v>61</v>
      </c>
      <c r="AL857" t="s">
        <v>61</v>
      </c>
      <c r="AM857" t="s">
        <v>7134</v>
      </c>
      <c r="AN857" t="s">
        <v>61</v>
      </c>
      <c r="AO857" t="s">
        <v>61</v>
      </c>
      <c r="AP857" t="s">
        <v>61</v>
      </c>
      <c r="AQ857" t="s">
        <v>61</v>
      </c>
      <c r="AR857" t="s">
        <v>61</v>
      </c>
      <c r="AS857" t="s">
        <v>61</v>
      </c>
      <c r="AT857" t="s">
        <v>61</v>
      </c>
      <c r="AU857" t="s">
        <v>61</v>
      </c>
      <c r="AV857" t="s">
        <v>61</v>
      </c>
      <c r="AW857" t="s">
        <v>61</v>
      </c>
      <c r="AX857" t="s">
        <v>61</v>
      </c>
      <c r="AY857" t="s">
        <v>61</v>
      </c>
      <c r="AZ857" t="s">
        <v>61</v>
      </c>
      <c r="BA857" t="s">
        <v>61</v>
      </c>
      <c r="BB857" t="s">
        <v>61</v>
      </c>
      <c r="BC857" t="s">
        <v>61</v>
      </c>
      <c r="BD857" t="s">
        <v>61</v>
      </c>
      <c r="BE857" t="s">
        <v>61</v>
      </c>
      <c r="BF857" t="s">
        <v>61</v>
      </c>
    </row>
    <row r="858" spans="1:58">
      <c r="A858" t="s">
        <v>58</v>
      </c>
      <c r="B858" t="s">
        <v>7135</v>
      </c>
      <c r="C858" t="s">
        <v>7136</v>
      </c>
      <c r="D858" t="s">
        <v>876</v>
      </c>
      <c r="E858" t="s">
        <v>877</v>
      </c>
      <c r="F858">
        <v>1979</v>
      </c>
      <c r="G858" t="s">
        <v>1332</v>
      </c>
      <c r="H858">
        <v>43</v>
      </c>
      <c r="I858">
        <v>4</v>
      </c>
      <c r="J858">
        <v>354</v>
      </c>
      <c r="K858">
        <v>357</v>
      </c>
      <c r="L858" t="s">
        <v>7137</v>
      </c>
      <c r="M858" t="s">
        <v>7138</v>
      </c>
      <c r="N858" t="s">
        <v>7139</v>
      </c>
      <c r="O858" t="s">
        <v>61</v>
      </c>
      <c r="Q858" t="s">
        <v>61</v>
      </c>
      <c r="R858" t="s">
        <v>61</v>
      </c>
      <c r="S858" t="s">
        <v>61</v>
      </c>
      <c r="T858" t="s">
        <v>61</v>
      </c>
      <c r="X858" t="s">
        <v>61</v>
      </c>
      <c r="Y858" t="s">
        <v>61</v>
      </c>
      <c r="Z858" t="s">
        <v>61</v>
      </c>
      <c r="AA858" t="s">
        <v>61</v>
      </c>
      <c r="AB858" t="s">
        <v>7140</v>
      </c>
      <c r="AC858" t="s">
        <v>67</v>
      </c>
      <c r="AD858" t="s">
        <v>61</v>
      </c>
      <c r="AE858" t="s">
        <v>61</v>
      </c>
      <c r="AF858" t="s">
        <v>61</v>
      </c>
      <c r="AG858" t="s">
        <v>61</v>
      </c>
      <c r="AH858" t="s">
        <v>61</v>
      </c>
      <c r="AI858" t="s">
        <v>61</v>
      </c>
      <c r="AJ858" t="s">
        <v>61</v>
      </c>
      <c r="AK858" t="s">
        <v>61</v>
      </c>
      <c r="AL858" t="s">
        <v>61</v>
      </c>
      <c r="AM858" t="s">
        <v>7141</v>
      </c>
      <c r="AN858" t="s">
        <v>61</v>
      </c>
      <c r="AO858" t="s">
        <v>61</v>
      </c>
      <c r="AP858" t="s">
        <v>61</v>
      </c>
      <c r="AQ858" t="s">
        <v>61</v>
      </c>
      <c r="AR858" t="s">
        <v>61</v>
      </c>
      <c r="AS858" t="s">
        <v>61</v>
      </c>
      <c r="AT858" t="s">
        <v>61</v>
      </c>
      <c r="AU858" t="s">
        <v>61</v>
      </c>
      <c r="AV858" t="s">
        <v>61</v>
      </c>
      <c r="AW858" t="s">
        <v>61</v>
      </c>
      <c r="AX858" t="s">
        <v>61</v>
      </c>
      <c r="AY858" t="s">
        <v>61</v>
      </c>
      <c r="AZ858" t="s">
        <v>61</v>
      </c>
      <c r="BA858" t="s">
        <v>61</v>
      </c>
      <c r="BB858" t="s">
        <v>61</v>
      </c>
      <c r="BC858" t="s">
        <v>61</v>
      </c>
      <c r="BD858" t="s">
        <v>61</v>
      </c>
      <c r="BE858" t="s">
        <v>61</v>
      </c>
      <c r="BF858" t="s">
        <v>61</v>
      </c>
    </row>
    <row r="859" spans="1:58">
      <c r="A859" t="s">
        <v>58</v>
      </c>
      <c r="B859" t="s">
        <v>7142</v>
      </c>
      <c r="C859" t="s">
        <v>7143</v>
      </c>
      <c r="D859" t="s">
        <v>7144</v>
      </c>
      <c r="E859" t="s">
        <v>61</v>
      </c>
      <c r="F859">
        <v>2009</v>
      </c>
      <c r="G859" t="s">
        <v>559</v>
      </c>
      <c r="H859">
        <v>194</v>
      </c>
      <c r="I859">
        <v>5</v>
      </c>
      <c r="J859">
        <v>411</v>
      </c>
      <c r="K859">
        <v>417</v>
      </c>
      <c r="L859" t="s">
        <v>7145</v>
      </c>
      <c r="M859" t="s">
        <v>7146</v>
      </c>
      <c r="N859" t="s">
        <v>7147</v>
      </c>
      <c r="O859" t="s">
        <v>61</v>
      </c>
      <c r="Q859" t="s">
        <v>61</v>
      </c>
      <c r="R859" t="s">
        <v>61</v>
      </c>
      <c r="S859" t="s">
        <v>61</v>
      </c>
      <c r="T859" t="s">
        <v>61</v>
      </c>
      <c r="X859" t="s">
        <v>61</v>
      </c>
      <c r="Y859" t="s">
        <v>7148</v>
      </c>
      <c r="Z859" t="s">
        <v>61</v>
      </c>
      <c r="AA859" t="s">
        <v>61</v>
      </c>
      <c r="AB859">
        <v>2009311046</v>
      </c>
      <c r="AC859" t="s">
        <v>67</v>
      </c>
      <c r="AD859" t="s">
        <v>61</v>
      </c>
      <c r="AE859" t="s">
        <v>61</v>
      </c>
      <c r="AF859" t="s">
        <v>61</v>
      </c>
      <c r="AG859" t="s">
        <v>7149</v>
      </c>
      <c r="AH859" t="s">
        <v>61</v>
      </c>
      <c r="AI859" t="s">
        <v>61</v>
      </c>
      <c r="AJ859" t="s">
        <v>61</v>
      </c>
      <c r="AK859" t="s">
        <v>61</v>
      </c>
      <c r="AL859" t="s">
        <v>61</v>
      </c>
      <c r="AM859" t="s">
        <v>7150</v>
      </c>
      <c r="AN859" t="s">
        <v>61</v>
      </c>
      <c r="AO859" t="s">
        <v>61</v>
      </c>
      <c r="AP859" t="s">
        <v>61</v>
      </c>
      <c r="AQ859" t="s">
        <v>61</v>
      </c>
      <c r="AR859" t="s">
        <v>61</v>
      </c>
      <c r="AS859" t="s">
        <v>61</v>
      </c>
      <c r="AT859" t="s">
        <v>61</v>
      </c>
      <c r="AU859" t="s">
        <v>61</v>
      </c>
      <c r="AV859" t="s">
        <v>61</v>
      </c>
      <c r="AW859" t="s">
        <v>61</v>
      </c>
      <c r="AX859" t="s">
        <v>61</v>
      </c>
      <c r="AY859" t="s">
        <v>61</v>
      </c>
      <c r="AZ859" t="s">
        <v>61</v>
      </c>
      <c r="BA859" t="s">
        <v>61</v>
      </c>
      <c r="BB859" t="s">
        <v>61</v>
      </c>
      <c r="BC859" t="s">
        <v>61</v>
      </c>
      <c r="BD859" t="s">
        <v>61</v>
      </c>
      <c r="BE859" t="s">
        <v>61</v>
      </c>
      <c r="BF859" t="s">
        <v>61</v>
      </c>
    </row>
    <row r="860" spans="1:58">
      <c r="A860" t="s">
        <v>58</v>
      </c>
      <c r="B860" t="s">
        <v>7151</v>
      </c>
      <c r="C860" t="s">
        <v>7152</v>
      </c>
      <c r="D860" t="s">
        <v>876</v>
      </c>
      <c r="E860" t="s">
        <v>877</v>
      </c>
      <c r="F860">
        <v>2009</v>
      </c>
      <c r="G860" s="1">
        <v>42517</v>
      </c>
      <c r="H860">
        <v>73</v>
      </c>
      <c r="I860">
        <v>3</v>
      </c>
      <c r="J860">
        <v>52</v>
      </c>
      <c r="K860" t="s">
        <v>61</v>
      </c>
      <c r="L860" t="s">
        <v>7153</v>
      </c>
      <c r="M860" t="s">
        <v>7154</v>
      </c>
      <c r="N860" t="s">
        <v>7155</v>
      </c>
      <c r="O860" t="s">
        <v>61</v>
      </c>
      <c r="Q860" t="s">
        <v>61</v>
      </c>
      <c r="R860" t="s">
        <v>61</v>
      </c>
      <c r="S860" t="s">
        <v>61</v>
      </c>
      <c r="T860" t="s">
        <v>61</v>
      </c>
      <c r="X860" t="s">
        <v>61</v>
      </c>
      <c r="Y860" t="s">
        <v>881</v>
      </c>
      <c r="Z860" t="s">
        <v>61</v>
      </c>
      <c r="AA860" t="s">
        <v>7156</v>
      </c>
      <c r="AB860">
        <v>19564995</v>
      </c>
      <c r="AC860" t="s">
        <v>67</v>
      </c>
      <c r="AD860" t="s">
        <v>61</v>
      </c>
      <c r="AE860" t="s">
        <v>61</v>
      </c>
      <c r="AF860" t="s">
        <v>61</v>
      </c>
      <c r="AG860" t="s">
        <v>7157</v>
      </c>
      <c r="AH860" t="s">
        <v>61</v>
      </c>
      <c r="AI860" t="s">
        <v>61</v>
      </c>
      <c r="AJ860" t="s">
        <v>61</v>
      </c>
      <c r="AK860" t="s">
        <v>61</v>
      </c>
      <c r="AL860" t="s">
        <v>61</v>
      </c>
      <c r="AM860" t="s">
        <v>7158</v>
      </c>
      <c r="AN860" t="s">
        <v>61</v>
      </c>
      <c r="AO860" t="s">
        <v>61</v>
      </c>
      <c r="AP860" t="s">
        <v>61</v>
      </c>
      <c r="AQ860" t="s">
        <v>61</v>
      </c>
      <c r="AR860" t="s">
        <v>61</v>
      </c>
      <c r="AS860" t="s">
        <v>61</v>
      </c>
      <c r="AT860" t="s">
        <v>61</v>
      </c>
      <c r="AU860" t="s">
        <v>61</v>
      </c>
      <c r="AV860" t="s">
        <v>61</v>
      </c>
      <c r="AW860" t="s">
        <v>61</v>
      </c>
      <c r="AX860" t="s">
        <v>61</v>
      </c>
      <c r="AY860" t="s">
        <v>61</v>
      </c>
      <c r="AZ860" t="s">
        <v>61</v>
      </c>
      <c r="BA860" t="s">
        <v>61</v>
      </c>
      <c r="BB860" t="s">
        <v>61</v>
      </c>
      <c r="BC860" t="s">
        <v>61</v>
      </c>
      <c r="BD860" t="s">
        <v>61</v>
      </c>
      <c r="BE860" t="s">
        <v>61</v>
      </c>
      <c r="BF860" t="s">
        <v>61</v>
      </c>
    </row>
    <row r="861" spans="1:58">
      <c r="A861" t="s">
        <v>58</v>
      </c>
      <c r="B861" t="s">
        <v>7159</v>
      </c>
      <c r="C861" t="s">
        <v>7160</v>
      </c>
      <c r="D861" t="s">
        <v>4658</v>
      </c>
      <c r="E861" t="s">
        <v>4659</v>
      </c>
      <c r="F861">
        <v>2015</v>
      </c>
      <c r="G861">
        <v>1</v>
      </c>
      <c r="H861">
        <v>146</v>
      </c>
      <c r="I861" t="s">
        <v>61</v>
      </c>
      <c r="J861" t="s">
        <v>7161</v>
      </c>
      <c r="K861" t="s">
        <v>61</v>
      </c>
      <c r="L861" t="s">
        <v>7162</v>
      </c>
      <c r="M861" t="s">
        <v>7163</v>
      </c>
      <c r="N861" t="s">
        <v>7164</v>
      </c>
      <c r="O861" t="s">
        <v>61</v>
      </c>
      <c r="Q861" t="s">
        <v>61</v>
      </c>
      <c r="R861" t="s">
        <v>61</v>
      </c>
      <c r="S861" t="s">
        <v>61</v>
      </c>
      <c r="T861" t="s">
        <v>61</v>
      </c>
      <c r="X861" t="s">
        <v>61</v>
      </c>
      <c r="Y861" t="s">
        <v>486</v>
      </c>
      <c r="Z861" t="s">
        <v>61</v>
      </c>
      <c r="AA861" t="s">
        <v>61</v>
      </c>
      <c r="AB861" t="s">
        <v>61</v>
      </c>
      <c r="AC861" t="s">
        <v>67</v>
      </c>
      <c r="AD861" t="s">
        <v>61</v>
      </c>
      <c r="AE861" t="s">
        <v>61</v>
      </c>
      <c r="AF861" t="s">
        <v>61</v>
      </c>
      <c r="AG861" t="s">
        <v>61</v>
      </c>
      <c r="AH861" t="s">
        <v>61</v>
      </c>
      <c r="AI861" t="s">
        <v>61</v>
      </c>
      <c r="AJ861" t="s">
        <v>61</v>
      </c>
      <c r="AK861" t="s">
        <v>61</v>
      </c>
      <c r="AL861" t="s">
        <v>61</v>
      </c>
      <c r="AM861" t="s">
        <v>7160</v>
      </c>
      <c r="AN861" t="s">
        <v>61</v>
      </c>
      <c r="AO861" t="s">
        <v>61</v>
      </c>
      <c r="AP861" t="s">
        <v>61</v>
      </c>
      <c r="AQ861" t="s">
        <v>61</v>
      </c>
      <c r="AR861" t="s">
        <v>61</v>
      </c>
      <c r="AS861" t="s">
        <v>61</v>
      </c>
      <c r="AT861" t="s">
        <v>61</v>
      </c>
      <c r="AU861" t="s">
        <v>61</v>
      </c>
      <c r="AV861" t="s">
        <v>61</v>
      </c>
      <c r="AW861" t="s">
        <v>61</v>
      </c>
      <c r="AX861" t="s">
        <v>61</v>
      </c>
      <c r="AY861" t="s">
        <v>61</v>
      </c>
      <c r="AZ861" t="s">
        <v>61</v>
      </c>
      <c r="BA861" t="s">
        <v>61</v>
      </c>
      <c r="BB861" t="s">
        <v>61</v>
      </c>
      <c r="BC861" t="s">
        <v>61</v>
      </c>
      <c r="BD861" t="s">
        <v>61</v>
      </c>
      <c r="BE861" t="s">
        <v>61</v>
      </c>
      <c r="BF861" t="s">
        <v>61</v>
      </c>
    </row>
    <row r="862" spans="1:58">
      <c r="A862" t="s">
        <v>58</v>
      </c>
      <c r="B862" t="s">
        <v>7165</v>
      </c>
      <c r="C862" t="s">
        <v>7166</v>
      </c>
      <c r="D862" t="s">
        <v>7167</v>
      </c>
      <c r="E862" t="s">
        <v>7168</v>
      </c>
      <c r="F862">
        <v>2011</v>
      </c>
      <c r="G862" t="s">
        <v>61</v>
      </c>
      <c r="H862">
        <v>31</v>
      </c>
      <c r="I862">
        <v>3</v>
      </c>
      <c r="J862">
        <v>140</v>
      </c>
      <c r="K862">
        <v>150</v>
      </c>
      <c r="L862" t="s">
        <v>7169</v>
      </c>
      <c r="M862" t="s">
        <v>7170</v>
      </c>
      <c r="N862" t="s">
        <v>7171</v>
      </c>
      <c r="O862" t="s">
        <v>61</v>
      </c>
      <c r="Q862" t="s">
        <v>61</v>
      </c>
      <c r="R862" t="s">
        <v>61</v>
      </c>
      <c r="S862" t="s">
        <v>61</v>
      </c>
      <c r="T862" t="s">
        <v>61</v>
      </c>
      <c r="X862" t="s">
        <v>61</v>
      </c>
      <c r="Y862" t="s">
        <v>7172</v>
      </c>
      <c r="Z862" t="s">
        <v>61</v>
      </c>
      <c r="AA862" t="s">
        <v>7173</v>
      </c>
      <c r="AB862">
        <v>21953653</v>
      </c>
      <c r="AC862" t="s">
        <v>67</v>
      </c>
      <c r="AD862" t="s">
        <v>61</v>
      </c>
      <c r="AE862" t="s">
        <v>61</v>
      </c>
      <c r="AF862" t="s">
        <v>61</v>
      </c>
      <c r="AG862" t="s">
        <v>7174</v>
      </c>
      <c r="AH862" t="s">
        <v>61</v>
      </c>
      <c r="AI862" t="s">
        <v>7175</v>
      </c>
      <c r="AJ862" t="s">
        <v>61</v>
      </c>
      <c r="AK862" t="s">
        <v>61</v>
      </c>
      <c r="AL862" t="s">
        <v>61</v>
      </c>
      <c r="AM862" t="s">
        <v>7176</v>
      </c>
      <c r="AN862" t="s">
        <v>61</v>
      </c>
      <c r="AO862" t="s">
        <v>61</v>
      </c>
      <c r="AP862" t="s">
        <v>61</v>
      </c>
      <c r="AQ862" t="s">
        <v>61</v>
      </c>
      <c r="AR862" t="s">
        <v>61</v>
      </c>
      <c r="AS862" t="s">
        <v>61</v>
      </c>
      <c r="AT862" t="s">
        <v>61</v>
      </c>
      <c r="AU862" t="s">
        <v>61</v>
      </c>
      <c r="AV862" t="s">
        <v>61</v>
      </c>
      <c r="AW862" t="s">
        <v>61</v>
      </c>
      <c r="AX862" t="s">
        <v>61</v>
      </c>
      <c r="AY862" t="s">
        <v>61</v>
      </c>
      <c r="AZ862" t="s">
        <v>61</v>
      </c>
      <c r="BA862" t="s">
        <v>61</v>
      </c>
      <c r="BB862" t="s">
        <v>61</v>
      </c>
      <c r="BC862" t="s">
        <v>61</v>
      </c>
      <c r="BD862" t="s">
        <v>61</v>
      </c>
      <c r="BE862" t="s">
        <v>61</v>
      </c>
      <c r="BF862" t="s">
        <v>61</v>
      </c>
    </row>
    <row r="863" spans="1:58">
      <c r="A863" t="s">
        <v>58</v>
      </c>
      <c r="B863" t="s">
        <v>7177</v>
      </c>
      <c r="C863" t="s">
        <v>7178</v>
      </c>
      <c r="D863" t="s">
        <v>1000</v>
      </c>
      <c r="E863" t="s">
        <v>1000</v>
      </c>
      <c r="F863">
        <v>2005</v>
      </c>
      <c r="G863" t="s">
        <v>61</v>
      </c>
      <c r="H863">
        <v>100</v>
      </c>
      <c r="I863" t="s">
        <v>61</v>
      </c>
      <c r="J863">
        <v>1</v>
      </c>
      <c r="K863" t="s">
        <v>7179</v>
      </c>
      <c r="L863" t="s">
        <v>7180</v>
      </c>
      <c r="M863" t="s">
        <v>7181</v>
      </c>
      <c r="N863" t="s">
        <v>7182</v>
      </c>
      <c r="O863" t="s">
        <v>61</v>
      </c>
      <c r="Q863" t="s">
        <v>61</v>
      </c>
      <c r="R863" t="s">
        <v>61</v>
      </c>
      <c r="S863" t="s">
        <v>61</v>
      </c>
      <c r="T863" t="s">
        <v>61</v>
      </c>
      <c r="X863" t="s">
        <v>61</v>
      </c>
      <c r="Y863" t="s">
        <v>1004</v>
      </c>
      <c r="Z863" t="s">
        <v>61</v>
      </c>
      <c r="AA863" t="s">
        <v>7183</v>
      </c>
      <c r="AB863">
        <v>106611488</v>
      </c>
      <c r="AC863" t="s">
        <v>67</v>
      </c>
      <c r="AD863" t="s">
        <v>61</v>
      </c>
      <c r="AE863" t="s">
        <v>61</v>
      </c>
      <c r="AF863" t="s">
        <v>61</v>
      </c>
      <c r="AG863" t="s">
        <v>7184</v>
      </c>
      <c r="AH863" t="s">
        <v>61</v>
      </c>
      <c r="AI863" t="s">
        <v>61</v>
      </c>
      <c r="AJ863" t="s">
        <v>61</v>
      </c>
      <c r="AK863" t="s">
        <v>61</v>
      </c>
      <c r="AL863" t="s">
        <v>61</v>
      </c>
      <c r="AM863" t="s">
        <v>7185</v>
      </c>
      <c r="AN863" t="s">
        <v>61</v>
      </c>
      <c r="AO863" t="s">
        <v>61</v>
      </c>
      <c r="AP863" t="s">
        <v>61</v>
      </c>
      <c r="AQ863" t="s">
        <v>61</v>
      </c>
      <c r="AR863" t="s">
        <v>61</v>
      </c>
      <c r="AS863" t="s">
        <v>61</v>
      </c>
      <c r="AT863" t="s">
        <v>61</v>
      </c>
      <c r="AU863" t="s">
        <v>61</v>
      </c>
      <c r="AV863" t="s">
        <v>61</v>
      </c>
      <c r="AW863" t="s">
        <v>61</v>
      </c>
      <c r="AX863" t="s">
        <v>61</v>
      </c>
      <c r="AY863" t="s">
        <v>61</v>
      </c>
      <c r="AZ863" t="s">
        <v>61</v>
      </c>
      <c r="BA863" t="s">
        <v>61</v>
      </c>
      <c r="BB863" t="s">
        <v>61</v>
      </c>
      <c r="BC863" t="s">
        <v>61</v>
      </c>
      <c r="BD863" t="s">
        <v>61</v>
      </c>
      <c r="BE863" t="s">
        <v>61</v>
      </c>
      <c r="BF863" t="s">
        <v>61</v>
      </c>
    </row>
    <row r="864" spans="1:58">
      <c r="A864" t="s">
        <v>58</v>
      </c>
      <c r="B864" t="s">
        <v>7186</v>
      </c>
      <c r="C864" t="s">
        <v>7187</v>
      </c>
      <c r="D864" t="s">
        <v>475</v>
      </c>
      <c r="E864" t="s">
        <v>61</v>
      </c>
      <c r="F864">
        <v>2014</v>
      </c>
      <c r="G864" t="s">
        <v>637</v>
      </c>
      <c r="H864">
        <v>36</v>
      </c>
      <c r="I864">
        <v>4</v>
      </c>
      <c r="J864">
        <v>855</v>
      </c>
      <c r="K864">
        <v>856</v>
      </c>
      <c r="L864" t="s">
        <v>7188</v>
      </c>
      <c r="M864" t="s">
        <v>7189</v>
      </c>
      <c r="N864" t="s">
        <v>7190</v>
      </c>
      <c r="O864" t="s">
        <v>61</v>
      </c>
      <c r="Q864" t="s">
        <v>61</v>
      </c>
      <c r="R864" t="s">
        <v>61</v>
      </c>
      <c r="S864" t="s">
        <v>61</v>
      </c>
      <c r="T864" t="s">
        <v>61</v>
      </c>
      <c r="X864" t="s">
        <v>61</v>
      </c>
      <c r="Y864" t="s">
        <v>308</v>
      </c>
      <c r="Z864" t="s">
        <v>61</v>
      </c>
      <c r="AA864" t="s">
        <v>61</v>
      </c>
      <c r="AB864" t="s">
        <v>61</v>
      </c>
      <c r="AC864" t="s">
        <v>67</v>
      </c>
      <c r="AD864" t="s">
        <v>61</v>
      </c>
      <c r="AE864" t="s">
        <v>61</v>
      </c>
      <c r="AF864" t="s">
        <v>61</v>
      </c>
      <c r="AG864" t="s">
        <v>61</v>
      </c>
      <c r="AH864" t="s">
        <v>61</v>
      </c>
      <c r="AI864" t="s">
        <v>61</v>
      </c>
      <c r="AJ864" t="s">
        <v>61</v>
      </c>
      <c r="AK864" t="s">
        <v>61</v>
      </c>
      <c r="AL864" t="s">
        <v>61</v>
      </c>
      <c r="AM864" t="s">
        <v>7187</v>
      </c>
      <c r="AN864" t="s">
        <v>61</v>
      </c>
      <c r="AO864" t="s">
        <v>61</v>
      </c>
      <c r="AP864" t="s">
        <v>61</v>
      </c>
      <c r="AQ864" t="s">
        <v>61</v>
      </c>
      <c r="AR864" t="s">
        <v>61</v>
      </c>
      <c r="AS864" t="s">
        <v>61</v>
      </c>
      <c r="AT864" t="s">
        <v>61</v>
      </c>
      <c r="AU864" t="s">
        <v>61</v>
      </c>
      <c r="AV864" t="s">
        <v>61</v>
      </c>
      <c r="AW864" t="s">
        <v>61</v>
      </c>
      <c r="AX864" t="s">
        <v>61</v>
      </c>
      <c r="AY864" t="s">
        <v>61</v>
      </c>
      <c r="AZ864" t="s">
        <v>61</v>
      </c>
      <c r="BA864" t="s">
        <v>61</v>
      </c>
      <c r="BB864" t="s">
        <v>61</v>
      </c>
      <c r="BC864" t="s">
        <v>61</v>
      </c>
      <c r="BD864" t="s">
        <v>61</v>
      </c>
      <c r="BE864" t="s">
        <v>61</v>
      </c>
      <c r="BF864" t="s">
        <v>61</v>
      </c>
    </row>
    <row r="865" spans="1:58">
      <c r="A865" t="s">
        <v>58</v>
      </c>
      <c r="B865" t="s">
        <v>7191</v>
      </c>
      <c r="C865" t="s">
        <v>7192</v>
      </c>
      <c r="D865" t="s">
        <v>7193</v>
      </c>
      <c r="E865" t="s">
        <v>7194</v>
      </c>
      <c r="F865">
        <v>2007</v>
      </c>
      <c r="G865" t="s">
        <v>457</v>
      </c>
      <c r="H865">
        <v>98</v>
      </c>
      <c r="I865">
        <v>3</v>
      </c>
      <c r="J865">
        <v>221</v>
      </c>
      <c r="K865">
        <v>231</v>
      </c>
      <c r="L865" t="s">
        <v>7195</v>
      </c>
      <c r="M865" t="s">
        <v>7196</v>
      </c>
      <c r="N865" t="s">
        <v>7197</v>
      </c>
      <c r="O865" t="s">
        <v>61</v>
      </c>
      <c r="Q865" t="s">
        <v>61</v>
      </c>
      <c r="R865" t="s">
        <v>61</v>
      </c>
      <c r="S865" t="s">
        <v>61</v>
      </c>
      <c r="T865" t="s">
        <v>61</v>
      </c>
      <c r="X865" t="s">
        <v>61</v>
      </c>
      <c r="Y865" t="s">
        <v>7198</v>
      </c>
      <c r="Z865" t="s">
        <v>61</v>
      </c>
      <c r="AA865" t="s">
        <v>61</v>
      </c>
      <c r="AB865">
        <v>2007500721</v>
      </c>
      <c r="AC865" t="s">
        <v>67</v>
      </c>
      <c r="AD865" t="s">
        <v>61</v>
      </c>
      <c r="AE865" t="s">
        <v>61</v>
      </c>
      <c r="AF865" t="s">
        <v>61</v>
      </c>
      <c r="AG865" t="s">
        <v>7199</v>
      </c>
      <c r="AH865" t="s">
        <v>61</v>
      </c>
      <c r="AI865" t="s">
        <v>61</v>
      </c>
      <c r="AJ865" t="s">
        <v>61</v>
      </c>
      <c r="AK865" t="s">
        <v>61</v>
      </c>
      <c r="AL865" t="s">
        <v>61</v>
      </c>
      <c r="AM865" t="s">
        <v>7200</v>
      </c>
      <c r="AN865" t="s">
        <v>61</v>
      </c>
      <c r="AO865" t="s">
        <v>61</v>
      </c>
      <c r="AP865" t="s">
        <v>61</v>
      </c>
      <c r="AQ865" t="s">
        <v>61</v>
      </c>
      <c r="AR865" t="s">
        <v>61</v>
      </c>
      <c r="AS865" t="s">
        <v>61</v>
      </c>
      <c r="AT865" t="s">
        <v>61</v>
      </c>
      <c r="AU865" t="s">
        <v>61</v>
      </c>
      <c r="AV865" t="s">
        <v>61</v>
      </c>
      <c r="AW865" t="s">
        <v>61</v>
      </c>
      <c r="AX865" t="s">
        <v>61</v>
      </c>
      <c r="AY865" t="s">
        <v>61</v>
      </c>
      <c r="AZ865" t="s">
        <v>61</v>
      </c>
      <c r="BA865" t="s">
        <v>61</v>
      </c>
      <c r="BB865" t="s">
        <v>61</v>
      </c>
      <c r="BC865" t="s">
        <v>61</v>
      </c>
      <c r="BD865" t="s">
        <v>61</v>
      </c>
      <c r="BE865" t="s">
        <v>61</v>
      </c>
      <c r="BF865" t="s">
        <v>61</v>
      </c>
    </row>
    <row r="866" spans="1:58">
      <c r="A866" t="s">
        <v>58</v>
      </c>
      <c r="B866" t="s">
        <v>7201</v>
      </c>
      <c r="C866" t="s">
        <v>7202</v>
      </c>
      <c r="D866" t="s">
        <v>475</v>
      </c>
      <c r="E866" t="s">
        <v>61</v>
      </c>
      <c r="F866">
        <v>2016</v>
      </c>
      <c r="G866" t="s">
        <v>273</v>
      </c>
      <c r="H866">
        <v>38</v>
      </c>
      <c r="I866">
        <v>1</v>
      </c>
      <c r="J866">
        <v>119</v>
      </c>
      <c r="K866">
        <v>126</v>
      </c>
      <c r="L866" t="s">
        <v>61</v>
      </c>
      <c r="M866" t="s">
        <v>7203</v>
      </c>
      <c r="N866" t="s">
        <v>7204</v>
      </c>
      <c r="O866" t="s">
        <v>61</v>
      </c>
      <c r="Q866" t="s">
        <v>61</v>
      </c>
      <c r="R866" t="s">
        <v>61</v>
      </c>
      <c r="S866" t="s">
        <v>61</v>
      </c>
      <c r="T866" t="s">
        <v>61</v>
      </c>
      <c r="X866" t="s">
        <v>61</v>
      </c>
      <c r="Y866" t="s">
        <v>3663</v>
      </c>
      <c r="Z866" t="s">
        <v>61</v>
      </c>
      <c r="AA866" t="s">
        <v>7205</v>
      </c>
      <c r="AB866">
        <v>26511945</v>
      </c>
      <c r="AC866" t="s">
        <v>67</v>
      </c>
      <c r="AD866" t="s">
        <v>61</v>
      </c>
      <c r="AE866" t="s">
        <v>61</v>
      </c>
      <c r="AF866" t="s">
        <v>61</v>
      </c>
      <c r="AG866" t="s">
        <v>7206</v>
      </c>
      <c r="AH866" t="s">
        <v>61</v>
      </c>
      <c r="AI866" t="s">
        <v>7207</v>
      </c>
      <c r="AJ866" t="s">
        <v>61</v>
      </c>
      <c r="AK866" t="s">
        <v>61</v>
      </c>
      <c r="AL866" t="s">
        <v>61</v>
      </c>
      <c r="AM866" t="s">
        <v>7208</v>
      </c>
      <c r="AN866" t="s">
        <v>61</v>
      </c>
      <c r="AO866" t="s">
        <v>61</v>
      </c>
      <c r="AP866" t="s">
        <v>61</v>
      </c>
      <c r="AQ866" t="s">
        <v>61</v>
      </c>
      <c r="AR866" t="s">
        <v>61</v>
      </c>
      <c r="AS866" t="s">
        <v>61</v>
      </c>
      <c r="AT866" t="s">
        <v>61</v>
      </c>
      <c r="AU866" t="s">
        <v>61</v>
      </c>
      <c r="AV866" t="s">
        <v>61</v>
      </c>
      <c r="AW866" t="s">
        <v>61</v>
      </c>
      <c r="AX866" t="s">
        <v>61</v>
      </c>
      <c r="AY866" t="s">
        <v>61</v>
      </c>
      <c r="AZ866" t="s">
        <v>61</v>
      </c>
      <c r="BA866" t="s">
        <v>61</v>
      </c>
      <c r="BB866" t="s">
        <v>61</v>
      </c>
      <c r="BC866" t="s">
        <v>61</v>
      </c>
      <c r="BD866" t="s">
        <v>61</v>
      </c>
      <c r="BE866" t="s">
        <v>61</v>
      </c>
      <c r="BF866" t="s">
        <v>61</v>
      </c>
    </row>
    <row r="867" spans="1:58">
      <c r="A867" t="s">
        <v>58</v>
      </c>
      <c r="B867" t="s">
        <v>7209</v>
      </c>
      <c r="C867" t="s">
        <v>7210</v>
      </c>
      <c r="D867" t="s">
        <v>7211</v>
      </c>
      <c r="E867" t="s">
        <v>61</v>
      </c>
      <c r="F867">
        <v>2015</v>
      </c>
      <c r="G867" t="s">
        <v>61</v>
      </c>
      <c r="H867">
        <v>12</v>
      </c>
      <c r="I867">
        <v>6</v>
      </c>
      <c r="J867">
        <v>854</v>
      </c>
      <c r="K867" t="s">
        <v>7212</v>
      </c>
      <c r="L867" t="s">
        <v>61</v>
      </c>
      <c r="M867" t="s">
        <v>7213</v>
      </c>
      <c r="N867" t="s">
        <v>7214</v>
      </c>
      <c r="O867" t="s">
        <v>61</v>
      </c>
      <c r="Q867" t="s">
        <v>61</v>
      </c>
      <c r="R867" t="s">
        <v>61</v>
      </c>
      <c r="S867" t="s">
        <v>61</v>
      </c>
      <c r="T867" t="s">
        <v>61</v>
      </c>
      <c r="X867" t="s">
        <v>61</v>
      </c>
      <c r="Y867" t="s">
        <v>7215</v>
      </c>
      <c r="Z867" t="s">
        <v>61</v>
      </c>
      <c r="AA867" t="s">
        <v>61</v>
      </c>
      <c r="AB867">
        <v>109749400</v>
      </c>
      <c r="AC867" t="s">
        <v>67</v>
      </c>
      <c r="AD867" t="s">
        <v>61</v>
      </c>
      <c r="AE867" t="s">
        <v>61</v>
      </c>
      <c r="AF867" t="s">
        <v>61</v>
      </c>
      <c r="AG867" t="s">
        <v>7216</v>
      </c>
      <c r="AH867" t="s">
        <v>61</v>
      </c>
      <c r="AI867" t="s">
        <v>7217</v>
      </c>
      <c r="AJ867" t="s">
        <v>61</v>
      </c>
      <c r="AK867" t="s">
        <v>61</v>
      </c>
      <c r="AL867" t="s">
        <v>61</v>
      </c>
      <c r="AM867" t="s">
        <v>7218</v>
      </c>
      <c r="AN867" t="s">
        <v>61</v>
      </c>
      <c r="AO867" t="s">
        <v>61</v>
      </c>
      <c r="AP867" t="s">
        <v>61</v>
      </c>
      <c r="AQ867" t="s">
        <v>61</v>
      </c>
      <c r="AR867" t="s">
        <v>61</v>
      </c>
      <c r="AS867" t="s">
        <v>61</v>
      </c>
      <c r="AT867" t="s">
        <v>61</v>
      </c>
      <c r="AU867" t="s">
        <v>61</v>
      </c>
      <c r="AV867" t="s">
        <v>61</v>
      </c>
      <c r="AW867" t="s">
        <v>61</v>
      </c>
      <c r="AX867" t="s">
        <v>61</v>
      </c>
      <c r="AY867" t="s">
        <v>61</v>
      </c>
      <c r="AZ867" t="s">
        <v>61</v>
      </c>
      <c r="BA867" t="s">
        <v>61</v>
      </c>
      <c r="BB867" t="s">
        <v>61</v>
      </c>
      <c r="BC867" t="s">
        <v>61</v>
      </c>
      <c r="BD867" t="s">
        <v>61</v>
      </c>
      <c r="BE867" t="s">
        <v>61</v>
      </c>
      <c r="BF867" t="s">
        <v>61</v>
      </c>
    </row>
    <row r="868" spans="1:58">
      <c r="A868" t="s">
        <v>58</v>
      </c>
      <c r="B868" t="s">
        <v>7219</v>
      </c>
      <c r="C868" t="s">
        <v>7220</v>
      </c>
      <c r="D868" t="s">
        <v>428</v>
      </c>
      <c r="E868" t="s">
        <v>61</v>
      </c>
      <c r="F868">
        <v>2012</v>
      </c>
      <c r="G868" t="s">
        <v>429</v>
      </c>
      <c r="H868">
        <v>25</v>
      </c>
      <c r="I868">
        <v>2</v>
      </c>
      <c r="J868">
        <v>258</v>
      </c>
      <c r="K868">
        <v>259</v>
      </c>
      <c r="L868" t="s">
        <v>7221</v>
      </c>
      <c r="M868" t="s">
        <v>7222</v>
      </c>
      <c r="N868" t="s">
        <v>7223</v>
      </c>
      <c r="O868" t="s">
        <v>61</v>
      </c>
      <c r="Q868" t="s">
        <v>61</v>
      </c>
      <c r="R868" t="s">
        <v>61</v>
      </c>
      <c r="S868" t="s">
        <v>61</v>
      </c>
      <c r="T868" t="s">
        <v>61</v>
      </c>
      <c r="X868" t="s">
        <v>61</v>
      </c>
      <c r="Y868" t="s">
        <v>433</v>
      </c>
      <c r="Z868" t="s">
        <v>61</v>
      </c>
      <c r="AA868" t="s">
        <v>61</v>
      </c>
      <c r="AB868" t="s">
        <v>61</v>
      </c>
      <c r="AC868" t="s">
        <v>67</v>
      </c>
      <c r="AD868" t="s">
        <v>61</v>
      </c>
      <c r="AE868" t="s">
        <v>61</v>
      </c>
      <c r="AF868" t="s">
        <v>61</v>
      </c>
      <c r="AG868" t="s">
        <v>61</v>
      </c>
      <c r="AH868" t="s">
        <v>61</v>
      </c>
      <c r="AI868" t="s">
        <v>61</v>
      </c>
      <c r="AJ868" t="s">
        <v>61</v>
      </c>
      <c r="AK868" t="s">
        <v>61</v>
      </c>
      <c r="AL868" t="s">
        <v>61</v>
      </c>
      <c r="AM868" t="s">
        <v>7220</v>
      </c>
      <c r="AN868" t="s">
        <v>61</v>
      </c>
      <c r="AO868" t="s">
        <v>61</v>
      </c>
      <c r="AP868" t="s">
        <v>61</v>
      </c>
      <c r="AQ868" t="s">
        <v>61</v>
      </c>
      <c r="AR868" t="s">
        <v>61</v>
      </c>
      <c r="AS868" t="s">
        <v>61</v>
      </c>
      <c r="AT868" t="s">
        <v>61</v>
      </c>
      <c r="AU868" t="s">
        <v>61</v>
      </c>
      <c r="AV868" t="s">
        <v>61</v>
      </c>
      <c r="AW868" t="s">
        <v>61</v>
      </c>
      <c r="AX868" t="s">
        <v>61</v>
      </c>
      <c r="AY868" t="s">
        <v>61</v>
      </c>
      <c r="AZ868" t="s">
        <v>61</v>
      </c>
      <c r="BA868" t="s">
        <v>61</v>
      </c>
      <c r="BB868" t="s">
        <v>61</v>
      </c>
      <c r="BC868" t="s">
        <v>61</v>
      </c>
      <c r="BD868" t="s">
        <v>61</v>
      </c>
      <c r="BE868" t="s">
        <v>61</v>
      </c>
      <c r="BF868" t="s">
        <v>61</v>
      </c>
    </row>
    <row r="869" spans="1:58">
      <c r="A869" t="s">
        <v>58</v>
      </c>
      <c r="B869" t="s">
        <v>7224</v>
      </c>
      <c r="C869" t="s">
        <v>7225</v>
      </c>
      <c r="D869" t="s">
        <v>876</v>
      </c>
      <c r="E869" t="s">
        <v>877</v>
      </c>
      <c r="F869">
        <v>1979</v>
      </c>
      <c r="G869" t="s">
        <v>559</v>
      </c>
      <c r="H869">
        <v>43</v>
      </c>
      <c r="I869">
        <v>2</v>
      </c>
      <c r="J869">
        <v>105</v>
      </c>
      <c r="K869">
        <v>110</v>
      </c>
      <c r="L869" t="s">
        <v>7226</v>
      </c>
      <c r="M869" t="s">
        <v>7227</v>
      </c>
      <c r="N869" t="s">
        <v>7228</v>
      </c>
      <c r="O869" t="s">
        <v>61</v>
      </c>
      <c r="Q869" t="s">
        <v>61</v>
      </c>
      <c r="R869" t="s">
        <v>61</v>
      </c>
      <c r="S869" t="s">
        <v>61</v>
      </c>
      <c r="T869" t="s">
        <v>61</v>
      </c>
      <c r="X869" t="s">
        <v>61</v>
      </c>
      <c r="Y869" t="s">
        <v>61</v>
      </c>
      <c r="Z869" t="s">
        <v>61</v>
      </c>
      <c r="AA869" t="s">
        <v>61</v>
      </c>
      <c r="AB869" t="s">
        <v>7229</v>
      </c>
      <c r="AC869" t="s">
        <v>67</v>
      </c>
      <c r="AD869" t="s">
        <v>61</v>
      </c>
      <c r="AE869" t="s">
        <v>61</v>
      </c>
      <c r="AF869" t="s">
        <v>61</v>
      </c>
      <c r="AG869" t="s">
        <v>61</v>
      </c>
      <c r="AH869" t="s">
        <v>61</v>
      </c>
      <c r="AI869" t="s">
        <v>61</v>
      </c>
      <c r="AJ869" t="s">
        <v>61</v>
      </c>
      <c r="AK869" t="s">
        <v>61</v>
      </c>
      <c r="AL869" t="s">
        <v>61</v>
      </c>
      <c r="AM869" t="s">
        <v>7230</v>
      </c>
      <c r="AN869" t="s">
        <v>61</v>
      </c>
      <c r="AO869" t="s">
        <v>61</v>
      </c>
      <c r="AP869" t="s">
        <v>61</v>
      </c>
      <c r="AQ869" t="s">
        <v>61</v>
      </c>
      <c r="AR869" t="s">
        <v>61</v>
      </c>
      <c r="AS869" t="s">
        <v>61</v>
      </c>
      <c r="AT869" t="s">
        <v>61</v>
      </c>
      <c r="AU869" t="s">
        <v>61</v>
      </c>
      <c r="AV869" t="s">
        <v>61</v>
      </c>
      <c r="AW869" t="s">
        <v>61</v>
      </c>
      <c r="AX869" t="s">
        <v>61</v>
      </c>
      <c r="AY869" t="s">
        <v>61</v>
      </c>
      <c r="AZ869" t="s">
        <v>61</v>
      </c>
      <c r="BA869" t="s">
        <v>61</v>
      </c>
      <c r="BB869" t="s">
        <v>61</v>
      </c>
      <c r="BC869" t="s">
        <v>61</v>
      </c>
      <c r="BD869" t="s">
        <v>61</v>
      </c>
      <c r="BE869" t="s">
        <v>61</v>
      </c>
      <c r="BF869" t="s">
        <v>61</v>
      </c>
    </row>
    <row r="870" spans="1:58">
      <c r="A870" t="s">
        <v>58</v>
      </c>
      <c r="B870" t="s">
        <v>7231</v>
      </c>
      <c r="C870" t="s">
        <v>7232</v>
      </c>
      <c r="D870" t="s">
        <v>7233</v>
      </c>
      <c r="E870" t="s">
        <v>61</v>
      </c>
      <c r="F870">
        <v>2012</v>
      </c>
      <c r="G870" t="s">
        <v>418</v>
      </c>
      <c r="H870">
        <v>12</v>
      </c>
      <c r="I870">
        <v>4</v>
      </c>
      <c r="J870">
        <v>319</v>
      </c>
      <c r="K870">
        <v>327</v>
      </c>
      <c r="L870" t="s">
        <v>7234</v>
      </c>
      <c r="M870" t="s">
        <v>7235</v>
      </c>
      <c r="N870" t="s">
        <v>7236</v>
      </c>
      <c r="O870" t="s">
        <v>61</v>
      </c>
      <c r="Q870" t="s">
        <v>61</v>
      </c>
      <c r="R870" t="s">
        <v>61</v>
      </c>
      <c r="S870" t="s">
        <v>61</v>
      </c>
      <c r="T870" t="s">
        <v>61</v>
      </c>
      <c r="X870" t="s">
        <v>61</v>
      </c>
      <c r="Y870" t="s">
        <v>7237</v>
      </c>
      <c r="Z870" t="s">
        <v>61</v>
      </c>
      <c r="AA870" t="s">
        <v>7238</v>
      </c>
      <c r="AB870">
        <v>21358750</v>
      </c>
      <c r="AC870" t="s">
        <v>67</v>
      </c>
      <c r="AD870" t="s">
        <v>61</v>
      </c>
      <c r="AE870" t="s">
        <v>61</v>
      </c>
      <c r="AF870" t="s">
        <v>61</v>
      </c>
      <c r="AG870" t="s">
        <v>7239</v>
      </c>
      <c r="AH870" t="s">
        <v>61</v>
      </c>
      <c r="AI870" t="s">
        <v>7240</v>
      </c>
      <c r="AJ870" t="s">
        <v>61</v>
      </c>
      <c r="AK870" t="s">
        <v>61</v>
      </c>
      <c r="AL870" t="s">
        <v>61</v>
      </c>
      <c r="AM870" t="s">
        <v>7241</v>
      </c>
      <c r="AN870" t="s">
        <v>61</v>
      </c>
      <c r="AO870" t="s">
        <v>61</v>
      </c>
      <c r="AP870" t="s">
        <v>61</v>
      </c>
      <c r="AQ870" t="s">
        <v>61</v>
      </c>
      <c r="AR870" t="s">
        <v>61</v>
      </c>
      <c r="AS870" t="s">
        <v>61</v>
      </c>
      <c r="AT870" t="s">
        <v>61</v>
      </c>
      <c r="AU870" t="s">
        <v>61</v>
      </c>
      <c r="AV870" t="s">
        <v>61</v>
      </c>
      <c r="AW870" t="s">
        <v>61</v>
      </c>
      <c r="AX870" t="s">
        <v>61</v>
      </c>
      <c r="AY870" t="s">
        <v>61</v>
      </c>
      <c r="AZ870" t="s">
        <v>61</v>
      </c>
      <c r="BA870" t="s">
        <v>61</v>
      </c>
      <c r="BB870" t="s">
        <v>61</v>
      </c>
      <c r="BC870" t="s">
        <v>61</v>
      </c>
      <c r="BD870" t="s">
        <v>61</v>
      </c>
      <c r="BE870" t="s">
        <v>61</v>
      </c>
      <c r="BF870" t="s">
        <v>61</v>
      </c>
    </row>
    <row r="871" spans="1:58">
      <c r="A871" t="s">
        <v>58</v>
      </c>
      <c r="B871" t="s">
        <v>7242</v>
      </c>
      <c r="C871" t="s">
        <v>7243</v>
      </c>
      <c r="D871" t="s">
        <v>1600</v>
      </c>
      <c r="E871" t="s">
        <v>1601</v>
      </c>
      <c r="F871">
        <v>2015</v>
      </c>
      <c r="G871">
        <v>1</v>
      </c>
      <c r="H871">
        <v>77</v>
      </c>
      <c r="I871">
        <v>9</v>
      </c>
      <c r="J871" t="s">
        <v>7244</v>
      </c>
      <c r="K871" t="s">
        <v>61</v>
      </c>
      <c r="L871" t="s">
        <v>7245</v>
      </c>
      <c r="M871" t="s">
        <v>7246</v>
      </c>
      <c r="N871" t="s">
        <v>7247</v>
      </c>
      <c r="O871" t="s">
        <v>61</v>
      </c>
      <c r="Q871" t="s">
        <v>61</v>
      </c>
      <c r="R871" t="s">
        <v>61</v>
      </c>
      <c r="S871" t="s">
        <v>61</v>
      </c>
      <c r="T871" t="s">
        <v>61</v>
      </c>
      <c r="X871" t="s">
        <v>61</v>
      </c>
      <c r="Y871" s="2">
        <v>483369</v>
      </c>
      <c r="Z871" t="s">
        <v>61</v>
      </c>
      <c r="AA871" t="s">
        <v>61</v>
      </c>
      <c r="AB871" t="s">
        <v>61</v>
      </c>
      <c r="AC871" t="s">
        <v>67</v>
      </c>
      <c r="AD871" t="s">
        <v>61</v>
      </c>
      <c r="AE871" t="s">
        <v>61</v>
      </c>
      <c r="AF871" t="s">
        <v>61</v>
      </c>
      <c r="AG871" t="s">
        <v>61</v>
      </c>
      <c r="AH871" t="s">
        <v>61</v>
      </c>
      <c r="AI871" t="s">
        <v>61</v>
      </c>
      <c r="AJ871" t="s">
        <v>61</v>
      </c>
      <c r="AK871" t="s">
        <v>61</v>
      </c>
      <c r="AL871" t="s">
        <v>61</v>
      </c>
      <c r="AM871" t="s">
        <v>7243</v>
      </c>
      <c r="AN871" t="s">
        <v>61</v>
      </c>
      <c r="AO871" t="s">
        <v>61</v>
      </c>
      <c r="AP871" t="s">
        <v>61</v>
      </c>
      <c r="AQ871" t="s">
        <v>61</v>
      </c>
      <c r="AR871" t="s">
        <v>61</v>
      </c>
      <c r="AS871" t="s">
        <v>61</v>
      </c>
      <c r="AT871" t="s">
        <v>61</v>
      </c>
      <c r="AU871" t="s">
        <v>61</v>
      </c>
      <c r="AV871" t="s">
        <v>61</v>
      </c>
      <c r="AW871" t="s">
        <v>61</v>
      </c>
      <c r="AX871" t="s">
        <v>61</v>
      </c>
      <c r="AY871" t="s">
        <v>61</v>
      </c>
      <c r="AZ871" t="s">
        <v>61</v>
      </c>
      <c r="BA871" t="s">
        <v>61</v>
      </c>
      <c r="BB871" t="s">
        <v>61</v>
      </c>
      <c r="BC871" t="s">
        <v>61</v>
      </c>
      <c r="BD871" t="s">
        <v>61</v>
      </c>
      <c r="BE871" t="s">
        <v>61</v>
      </c>
      <c r="BF871" t="s">
        <v>61</v>
      </c>
    </row>
    <row r="872" spans="1:58">
      <c r="A872" t="s">
        <v>58</v>
      </c>
      <c r="B872" t="s">
        <v>7248</v>
      </c>
      <c r="C872" t="s">
        <v>7249</v>
      </c>
      <c r="D872" t="s">
        <v>271</v>
      </c>
      <c r="E872" t="s">
        <v>272</v>
      </c>
      <c r="F872">
        <v>2002</v>
      </c>
      <c r="G872" t="s">
        <v>1332</v>
      </c>
      <c r="H872">
        <v>42</v>
      </c>
      <c r="I872">
        <v>6</v>
      </c>
      <c r="J872" t="s">
        <v>382</v>
      </c>
      <c r="K872">
        <v>51</v>
      </c>
      <c r="L872" t="s">
        <v>7250</v>
      </c>
      <c r="M872" t="s">
        <v>7251</v>
      </c>
      <c r="N872" t="s">
        <v>7252</v>
      </c>
      <c r="O872" t="s">
        <v>61</v>
      </c>
      <c r="Q872" t="s">
        <v>61</v>
      </c>
      <c r="R872" t="s">
        <v>61</v>
      </c>
      <c r="S872" t="s">
        <v>61</v>
      </c>
      <c r="T872" t="s">
        <v>61</v>
      </c>
      <c r="X872" t="s">
        <v>61</v>
      </c>
      <c r="Y872" t="s">
        <v>1661</v>
      </c>
      <c r="Z872" t="s">
        <v>61</v>
      </c>
      <c r="AA872" t="s">
        <v>7253</v>
      </c>
      <c r="AB872">
        <v>12489615</v>
      </c>
      <c r="AC872" t="s">
        <v>67</v>
      </c>
      <c r="AD872" t="s">
        <v>61</v>
      </c>
      <c r="AE872" t="s">
        <v>61</v>
      </c>
      <c r="AF872" t="s">
        <v>61</v>
      </c>
      <c r="AG872" t="s">
        <v>7254</v>
      </c>
      <c r="AH872" t="s">
        <v>61</v>
      </c>
      <c r="AI872" t="s">
        <v>61</v>
      </c>
      <c r="AJ872" t="s">
        <v>61</v>
      </c>
      <c r="AK872" t="s">
        <v>61</v>
      </c>
      <c r="AL872" t="s">
        <v>61</v>
      </c>
      <c r="AM872" t="s">
        <v>7255</v>
      </c>
      <c r="AN872" t="s">
        <v>61</v>
      </c>
      <c r="AO872" t="s">
        <v>61</v>
      </c>
      <c r="AP872" t="s">
        <v>61</v>
      </c>
      <c r="AQ872" t="s">
        <v>61</v>
      </c>
      <c r="AR872" t="s">
        <v>61</v>
      </c>
      <c r="AS872" t="s">
        <v>61</v>
      </c>
      <c r="AT872" t="s">
        <v>61</v>
      </c>
      <c r="AU872" t="s">
        <v>61</v>
      </c>
      <c r="AV872" t="s">
        <v>61</v>
      </c>
      <c r="AW872" t="s">
        <v>61</v>
      </c>
      <c r="AX872" t="s">
        <v>61</v>
      </c>
      <c r="AY872" t="s">
        <v>61</v>
      </c>
      <c r="AZ872" t="s">
        <v>61</v>
      </c>
      <c r="BA872" t="s">
        <v>61</v>
      </c>
      <c r="BB872" t="s">
        <v>61</v>
      </c>
      <c r="BC872" t="s">
        <v>61</v>
      </c>
      <c r="BD872" t="s">
        <v>61</v>
      </c>
      <c r="BE872" t="s">
        <v>61</v>
      </c>
      <c r="BF872" t="s">
        <v>61</v>
      </c>
    </row>
    <row r="873" spans="1:58">
      <c r="A873" t="s">
        <v>58</v>
      </c>
      <c r="B873" t="s">
        <v>7256</v>
      </c>
      <c r="C873" t="s">
        <v>7257</v>
      </c>
      <c r="D873" t="s">
        <v>60</v>
      </c>
      <c r="E873" t="s">
        <v>61</v>
      </c>
      <c r="F873">
        <v>1995</v>
      </c>
      <c r="G873" s="1">
        <v>42597</v>
      </c>
      <c r="H873">
        <v>52</v>
      </c>
      <c r="I873">
        <v>16</v>
      </c>
      <c r="J873">
        <v>1793</v>
      </c>
      <c r="K873">
        <v>1797</v>
      </c>
      <c r="L873" t="s">
        <v>7258</v>
      </c>
      <c r="M873" t="s">
        <v>7259</v>
      </c>
      <c r="N873" t="s">
        <v>7260</v>
      </c>
      <c r="O873" t="s">
        <v>61</v>
      </c>
      <c r="Q873" t="s">
        <v>61</v>
      </c>
      <c r="R873" t="s">
        <v>61</v>
      </c>
      <c r="S873" t="s">
        <v>61</v>
      </c>
      <c r="T873" t="s">
        <v>61</v>
      </c>
      <c r="X873" t="s">
        <v>61</v>
      </c>
      <c r="Y873" t="s">
        <v>66</v>
      </c>
      <c r="Z873" t="s">
        <v>61</v>
      </c>
      <c r="AA873" t="s">
        <v>7261</v>
      </c>
      <c r="AB873">
        <v>8528835</v>
      </c>
      <c r="AC873" t="s">
        <v>67</v>
      </c>
      <c r="AD873" t="s">
        <v>61</v>
      </c>
      <c r="AE873" t="s">
        <v>61</v>
      </c>
      <c r="AF873" t="s">
        <v>61</v>
      </c>
      <c r="AG873" t="s">
        <v>7262</v>
      </c>
      <c r="AH873" t="s">
        <v>61</v>
      </c>
      <c r="AI873" t="s">
        <v>61</v>
      </c>
      <c r="AJ873" t="s">
        <v>61</v>
      </c>
      <c r="AK873" t="s">
        <v>61</v>
      </c>
      <c r="AL873" t="s">
        <v>61</v>
      </c>
      <c r="AM873" t="s">
        <v>7263</v>
      </c>
      <c r="AN873" t="s">
        <v>61</v>
      </c>
      <c r="AO873" t="s">
        <v>61</v>
      </c>
      <c r="AP873" t="s">
        <v>61</v>
      </c>
      <c r="AQ873" t="s">
        <v>61</v>
      </c>
      <c r="AR873" t="s">
        <v>61</v>
      </c>
      <c r="AS873" t="s">
        <v>61</v>
      </c>
      <c r="AT873" t="s">
        <v>61</v>
      </c>
      <c r="AU873" t="s">
        <v>61</v>
      </c>
      <c r="AV873" t="s">
        <v>61</v>
      </c>
      <c r="AW873" t="s">
        <v>61</v>
      </c>
      <c r="AX873" t="s">
        <v>61</v>
      </c>
      <c r="AY873" t="s">
        <v>61</v>
      </c>
      <c r="AZ873" t="s">
        <v>61</v>
      </c>
      <c r="BA873" t="s">
        <v>61</v>
      </c>
      <c r="BB873" t="s">
        <v>61</v>
      </c>
      <c r="BC873" t="s">
        <v>61</v>
      </c>
      <c r="BD873" t="s">
        <v>61</v>
      </c>
      <c r="BE873" t="s">
        <v>61</v>
      </c>
      <c r="BF873" t="s">
        <v>61</v>
      </c>
    </row>
    <row r="874" spans="1:58">
      <c r="A874" t="s">
        <v>58</v>
      </c>
      <c r="B874" t="s">
        <v>7264</v>
      </c>
      <c r="C874" t="s">
        <v>7265</v>
      </c>
      <c r="D874" t="s">
        <v>1699</v>
      </c>
      <c r="E874" t="s">
        <v>61</v>
      </c>
      <c r="F874">
        <v>2010</v>
      </c>
      <c r="G874" t="s">
        <v>409</v>
      </c>
      <c r="H874">
        <v>24</v>
      </c>
      <c r="I874">
        <v>11</v>
      </c>
      <c r="J874">
        <v>1697</v>
      </c>
      <c r="K874">
        <v>1708</v>
      </c>
      <c r="L874" t="s">
        <v>7266</v>
      </c>
      <c r="M874" t="s">
        <v>7267</v>
      </c>
      <c r="N874" t="s">
        <v>7268</v>
      </c>
      <c r="O874" t="s">
        <v>61</v>
      </c>
      <c r="Q874" t="s">
        <v>61</v>
      </c>
      <c r="R874" t="s">
        <v>61</v>
      </c>
      <c r="S874" t="s">
        <v>61</v>
      </c>
      <c r="T874" t="s">
        <v>61</v>
      </c>
      <c r="X874" t="s">
        <v>61</v>
      </c>
      <c r="Y874" t="s">
        <v>7269</v>
      </c>
      <c r="Z874" t="s">
        <v>61</v>
      </c>
      <c r="AA874" t="s">
        <v>61</v>
      </c>
      <c r="AB874">
        <v>2010685088</v>
      </c>
      <c r="AC874" t="s">
        <v>67</v>
      </c>
      <c r="AD874" t="s">
        <v>61</v>
      </c>
      <c r="AE874" t="s">
        <v>61</v>
      </c>
      <c r="AF874" t="s">
        <v>61</v>
      </c>
      <c r="AG874" t="s">
        <v>7270</v>
      </c>
      <c r="AH874" t="s">
        <v>61</v>
      </c>
      <c r="AI874" t="s">
        <v>61</v>
      </c>
      <c r="AJ874" t="s">
        <v>61</v>
      </c>
      <c r="AK874" t="s">
        <v>61</v>
      </c>
      <c r="AL874" t="s">
        <v>61</v>
      </c>
      <c r="AM874" t="s">
        <v>7271</v>
      </c>
      <c r="AN874" t="s">
        <v>61</v>
      </c>
      <c r="AO874" t="s">
        <v>61</v>
      </c>
      <c r="AP874" t="s">
        <v>61</v>
      </c>
      <c r="AQ874" t="s">
        <v>61</v>
      </c>
      <c r="AR874" t="s">
        <v>61</v>
      </c>
      <c r="AS874" t="s">
        <v>61</v>
      </c>
      <c r="AT874" t="s">
        <v>61</v>
      </c>
      <c r="AU874" t="s">
        <v>61</v>
      </c>
      <c r="AV874" t="s">
        <v>61</v>
      </c>
      <c r="AW874" t="s">
        <v>61</v>
      </c>
      <c r="AX874" t="s">
        <v>61</v>
      </c>
      <c r="AY874" t="s">
        <v>61</v>
      </c>
      <c r="AZ874" t="s">
        <v>61</v>
      </c>
      <c r="BA874" t="s">
        <v>61</v>
      </c>
      <c r="BB874" t="s">
        <v>61</v>
      </c>
      <c r="BC874" t="s">
        <v>61</v>
      </c>
      <c r="BD874" t="s">
        <v>61</v>
      </c>
      <c r="BE874" t="s">
        <v>61</v>
      </c>
      <c r="BF874" t="s">
        <v>61</v>
      </c>
    </row>
    <row r="875" spans="1:58">
      <c r="A875" t="s">
        <v>58</v>
      </c>
      <c r="B875" t="s">
        <v>7272</v>
      </c>
      <c r="C875" t="s">
        <v>7273</v>
      </c>
      <c r="D875" t="s">
        <v>627</v>
      </c>
      <c r="E875" t="s">
        <v>61</v>
      </c>
      <c r="F875">
        <v>2010</v>
      </c>
      <c r="G875" t="s">
        <v>628</v>
      </c>
      <c r="H875">
        <v>50</v>
      </c>
      <c r="I875">
        <v>2</v>
      </c>
      <c r="J875">
        <v>288</v>
      </c>
      <c r="K875">
        <v>289</v>
      </c>
      <c r="L875" t="s">
        <v>7274</v>
      </c>
      <c r="M875" t="s">
        <v>7275</v>
      </c>
      <c r="N875" t="s">
        <v>7276</v>
      </c>
      <c r="O875" t="s">
        <v>61</v>
      </c>
      <c r="Q875" t="s">
        <v>61</v>
      </c>
      <c r="R875" t="s">
        <v>61</v>
      </c>
      <c r="S875" t="s">
        <v>61</v>
      </c>
      <c r="T875" t="s">
        <v>61</v>
      </c>
      <c r="X875" t="s">
        <v>61</v>
      </c>
      <c r="Y875" t="s">
        <v>632</v>
      </c>
      <c r="Z875" t="s">
        <v>61</v>
      </c>
      <c r="AA875" t="s">
        <v>61</v>
      </c>
      <c r="AB875" t="s">
        <v>61</v>
      </c>
      <c r="AC875" t="s">
        <v>67</v>
      </c>
      <c r="AD875" t="s">
        <v>61</v>
      </c>
      <c r="AE875" t="s">
        <v>61</v>
      </c>
      <c r="AF875" t="s">
        <v>61</v>
      </c>
      <c r="AG875" t="s">
        <v>61</v>
      </c>
      <c r="AH875" t="s">
        <v>61</v>
      </c>
      <c r="AI875" t="s">
        <v>61</v>
      </c>
      <c r="AJ875" t="s">
        <v>61</v>
      </c>
      <c r="AK875" t="s">
        <v>61</v>
      </c>
      <c r="AL875" t="s">
        <v>61</v>
      </c>
      <c r="AM875" t="s">
        <v>7273</v>
      </c>
      <c r="AN875" t="s">
        <v>61</v>
      </c>
      <c r="AO875" t="s">
        <v>61</v>
      </c>
      <c r="AP875" t="s">
        <v>61</v>
      </c>
      <c r="AQ875" t="s">
        <v>61</v>
      </c>
      <c r="AR875" t="s">
        <v>61</v>
      </c>
      <c r="AS875" t="s">
        <v>61</v>
      </c>
      <c r="AT875" t="s">
        <v>61</v>
      </c>
      <c r="AU875" t="s">
        <v>61</v>
      </c>
      <c r="AV875" t="s">
        <v>61</v>
      </c>
      <c r="AW875" t="s">
        <v>61</v>
      </c>
      <c r="AX875" t="s">
        <v>61</v>
      </c>
      <c r="AY875" t="s">
        <v>61</v>
      </c>
      <c r="AZ875" t="s">
        <v>61</v>
      </c>
      <c r="BA875" t="s">
        <v>61</v>
      </c>
      <c r="BB875" t="s">
        <v>61</v>
      </c>
      <c r="BC875" t="s">
        <v>61</v>
      </c>
      <c r="BD875" t="s">
        <v>61</v>
      </c>
      <c r="BE875" t="s">
        <v>61</v>
      </c>
      <c r="BF875" t="s">
        <v>61</v>
      </c>
    </row>
    <row r="876" spans="1:58">
      <c r="A876" t="s">
        <v>58</v>
      </c>
      <c r="B876" t="s">
        <v>7277</v>
      </c>
      <c r="C876" t="s">
        <v>7278</v>
      </c>
      <c r="D876" t="s">
        <v>482</v>
      </c>
      <c r="E876" t="s">
        <v>61</v>
      </c>
      <c r="F876">
        <v>2012</v>
      </c>
      <c r="G876" t="s">
        <v>61</v>
      </c>
      <c r="H876">
        <v>122</v>
      </c>
      <c r="I876">
        <v>1</v>
      </c>
      <c r="J876">
        <v>61</v>
      </c>
      <c r="K876" t="s">
        <v>7279</v>
      </c>
      <c r="L876" t="s">
        <v>7280</v>
      </c>
      <c r="M876" t="s">
        <v>7281</v>
      </c>
      <c r="N876" t="s">
        <v>7282</v>
      </c>
      <c r="O876" t="s">
        <v>61</v>
      </c>
      <c r="Q876" t="s">
        <v>61</v>
      </c>
      <c r="R876" t="s">
        <v>61</v>
      </c>
      <c r="S876" t="s">
        <v>61</v>
      </c>
      <c r="T876" t="s">
        <v>61</v>
      </c>
      <c r="X876" t="s">
        <v>61</v>
      </c>
      <c r="Y876" t="s">
        <v>486</v>
      </c>
      <c r="Z876" t="s">
        <v>61</v>
      </c>
      <c r="AA876" t="s">
        <v>7283</v>
      </c>
      <c r="AB876">
        <v>104536093</v>
      </c>
      <c r="AC876" t="s">
        <v>67</v>
      </c>
      <c r="AD876" t="s">
        <v>61</v>
      </c>
      <c r="AE876" t="s">
        <v>61</v>
      </c>
      <c r="AF876" t="s">
        <v>61</v>
      </c>
      <c r="AG876" t="s">
        <v>7284</v>
      </c>
      <c r="AH876" t="s">
        <v>61</v>
      </c>
      <c r="AI876" t="s">
        <v>61</v>
      </c>
      <c r="AJ876" t="s">
        <v>61</v>
      </c>
      <c r="AK876" t="s">
        <v>61</v>
      </c>
      <c r="AL876" t="s">
        <v>61</v>
      </c>
      <c r="AM876" t="s">
        <v>7285</v>
      </c>
      <c r="AN876" t="s">
        <v>61</v>
      </c>
      <c r="AO876" t="s">
        <v>61</v>
      </c>
      <c r="AP876" t="s">
        <v>61</v>
      </c>
      <c r="AQ876" t="s">
        <v>61</v>
      </c>
      <c r="AR876" t="s">
        <v>61</v>
      </c>
      <c r="AS876" t="s">
        <v>61</v>
      </c>
      <c r="AT876" t="s">
        <v>61</v>
      </c>
      <c r="AU876" t="s">
        <v>61</v>
      </c>
      <c r="AV876" t="s">
        <v>61</v>
      </c>
      <c r="AW876" t="s">
        <v>61</v>
      </c>
      <c r="AX876" t="s">
        <v>61</v>
      </c>
      <c r="AY876" t="s">
        <v>61</v>
      </c>
      <c r="AZ876" t="s">
        <v>61</v>
      </c>
      <c r="BA876" t="s">
        <v>61</v>
      </c>
      <c r="BB876" t="s">
        <v>61</v>
      </c>
      <c r="BC876" t="s">
        <v>61</v>
      </c>
      <c r="BD876" t="s">
        <v>61</v>
      </c>
      <c r="BE876" t="s">
        <v>61</v>
      </c>
      <c r="BF876" t="s">
        <v>61</v>
      </c>
    </row>
    <row r="877" spans="1:58">
      <c r="A877" t="s">
        <v>58</v>
      </c>
      <c r="B877" t="s">
        <v>7277</v>
      </c>
      <c r="C877" t="s">
        <v>7286</v>
      </c>
      <c r="D877" t="s">
        <v>482</v>
      </c>
      <c r="E877" t="s">
        <v>61</v>
      </c>
      <c r="F877">
        <v>2012</v>
      </c>
      <c r="G877" t="s">
        <v>61</v>
      </c>
      <c r="H877">
        <v>126</v>
      </c>
      <c r="I877">
        <v>1</v>
      </c>
      <c r="J877">
        <v>216</v>
      </c>
      <c r="K877" t="s">
        <v>7287</v>
      </c>
      <c r="L877" t="s">
        <v>7288</v>
      </c>
      <c r="M877" t="s">
        <v>7289</v>
      </c>
      <c r="N877" t="s">
        <v>7290</v>
      </c>
      <c r="O877" t="s">
        <v>61</v>
      </c>
      <c r="Q877" t="s">
        <v>61</v>
      </c>
      <c r="R877" t="s">
        <v>61</v>
      </c>
      <c r="S877" t="s">
        <v>61</v>
      </c>
      <c r="T877" t="s">
        <v>61</v>
      </c>
      <c r="X877" t="s">
        <v>61</v>
      </c>
      <c r="Y877" t="s">
        <v>486</v>
      </c>
      <c r="Z877" t="s">
        <v>61</v>
      </c>
      <c r="AA877" t="s">
        <v>7291</v>
      </c>
      <c r="AB877">
        <v>104375823</v>
      </c>
      <c r="AC877" t="s">
        <v>67</v>
      </c>
      <c r="AD877" t="s">
        <v>61</v>
      </c>
      <c r="AE877" t="s">
        <v>61</v>
      </c>
      <c r="AF877" t="s">
        <v>61</v>
      </c>
      <c r="AG877" t="s">
        <v>7292</v>
      </c>
      <c r="AH877" t="s">
        <v>61</v>
      </c>
      <c r="AI877" t="s">
        <v>7293</v>
      </c>
      <c r="AJ877" t="s">
        <v>61</v>
      </c>
      <c r="AK877" t="s">
        <v>61</v>
      </c>
      <c r="AL877" t="s">
        <v>61</v>
      </c>
      <c r="AM877" t="s">
        <v>7294</v>
      </c>
      <c r="AN877" t="s">
        <v>61</v>
      </c>
      <c r="AO877" t="s">
        <v>61</v>
      </c>
      <c r="AP877" t="s">
        <v>61</v>
      </c>
      <c r="AQ877" t="s">
        <v>61</v>
      </c>
      <c r="AR877" t="s">
        <v>61</v>
      </c>
      <c r="AS877" t="s">
        <v>61</v>
      </c>
      <c r="AT877" t="s">
        <v>61</v>
      </c>
      <c r="AU877" t="s">
        <v>61</v>
      </c>
      <c r="AV877" t="s">
        <v>61</v>
      </c>
      <c r="AW877" t="s">
        <v>61</v>
      </c>
      <c r="AX877" t="s">
        <v>61</v>
      </c>
      <c r="AY877" t="s">
        <v>61</v>
      </c>
      <c r="AZ877" t="s">
        <v>61</v>
      </c>
      <c r="BA877" t="s">
        <v>61</v>
      </c>
      <c r="BB877" t="s">
        <v>61</v>
      </c>
      <c r="BC877" t="s">
        <v>61</v>
      </c>
      <c r="BD877" t="s">
        <v>61</v>
      </c>
      <c r="BE877" t="s">
        <v>61</v>
      </c>
      <c r="BF877" t="s">
        <v>61</v>
      </c>
    </row>
    <row r="878" spans="1:58">
      <c r="A878" t="s">
        <v>58</v>
      </c>
      <c r="B878" t="s">
        <v>7295</v>
      </c>
      <c r="C878" t="s">
        <v>7296</v>
      </c>
      <c r="D878" t="s">
        <v>7297</v>
      </c>
      <c r="E878" t="s">
        <v>7298</v>
      </c>
      <c r="F878">
        <v>2014</v>
      </c>
      <c r="G878" t="s">
        <v>409</v>
      </c>
      <c r="H878" t="s">
        <v>7299</v>
      </c>
      <c r="I878" t="s">
        <v>61</v>
      </c>
      <c r="J878" t="s">
        <v>822</v>
      </c>
      <c r="K878" t="s">
        <v>61</v>
      </c>
      <c r="L878" t="s">
        <v>7300</v>
      </c>
      <c r="M878" t="s">
        <v>7301</v>
      </c>
      <c r="N878" t="s">
        <v>7302</v>
      </c>
      <c r="O878" t="s">
        <v>61</v>
      </c>
      <c r="Q878" t="s">
        <v>61</v>
      </c>
      <c r="R878" t="s">
        <v>61</v>
      </c>
      <c r="S878" t="s">
        <v>61</v>
      </c>
      <c r="T878" t="s">
        <v>61</v>
      </c>
      <c r="X878" t="s">
        <v>61</v>
      </c>
      <c r="Y878" t="s">
        <v>7303</v>
      </c>
      <c r="Z878" t="s">
        <v>61</v>
      </c>
      <c r="AA878" t="s">
        <v>61</v>
      </c>
      <c r="AB878" t="s">
        <v>61</v>
      </c>
      <c r="AC878" t="s">
        <v>67</v>
      </c>
      <c r="AD878" t="s">
        <v>61</v>
      </c>
      <c r="AE878" t="s">
        <v>61</v>
      </c>
      <c r="AF878" t="s">
        <v>61</v>
      </c>
      <c r="AG878" t="s">
        <v>61</v>
      </c>
      <c r="AH878" t="s">
        <v>61</v>
      </c>
      <c r="AI878" t="s">
        <v>61</v>
      </c>
      <c r="AJ878" t="s">
        <v>61</v>
      </c>
      <c r="AK878" t="s">
        <v>61</v>
      </c>
      <c r="AL878" t="s">
        <v>61</v>
      </c>
      <c r="AM878" t="s">
        <v>7296</v>
      </c>
      <c r="AN878" t="s">
        <v>61</v>
      </c>
      <c r="AO878" t="s">
        <v>61</v>
      </c>
      <c r="AP878" t="s">
        <v>61</v>
      </c>
      <c r="AQ878" t="s">
        <v>61</v>
      </c>
      <c r="AR878" t="s">
        <v>61</v>
      </c>
      <c r="AS878" t="s">
        <v>61</v>
      </c>
      <c r="AT878" t="s">
        <v>61</v>
      </c>
      <c r="AU878" t="s">
        <v>61</v>
      </c>
      <c r="AV878" t="s">
        <v>61</v>
      </c>
      <c r="AW878" t="s">
        <v>61</v>
      </c>
      <c r="AX878" t="s">
        <v>61</v>
      </c>
      <c r="AY878" t="s">
        <v>61</v>
      </c>
      <c r="AZ878" t="s">
        <v>61</v>
      </c>
      <c r="BA878" t="s">
        <v>61</v>
      </c>
      <c r="BB878" t="s">
        <v>61</v>
      </c>
      <c r="BC878" t="s">
        <v>61</v>
      </c>
      <c r="BD878" t="s">
        <v>61</v>
      </c>
      <c r="BE878" t="s">
        <v>61</v>
      </c>
      <c r="BF878" t="s">
        <v>61</v>
      </c>
    </row>
    <row r="879" spans="1:58">
      <c r="A879" t="s">
        <v>58</v>
      </c>
      <c r="B879" t="s">
        <v>7304</v>
      </c>
      <c r="C879" t="s">
        <v>7305</v>
      </c>
      <c r="D879" t="s">
        <v>7306</v>
      </c>
      <c r="E879" t="s">
        <v>61</v>
      </c>
      <c r="F879">
        <v>2008</v>
      </c>
      <c r="G879" t="s">
        <v>457</v>
      </c>
      <c r="H879">
        <v>16</v>
      </c>
      <c r="I879">
        <v>2</v>
      </c>
      <c r="J879">
        <v>161</v>
      </c>
      <c r="K879">
        <v>167</v>
      </c>
      <c r="L879" t="s">
        <v>7307</v>
      </c>
      <c r="M879" t="s">
        <v>7308</v>
      </c>
      <c r="N879" t="s">
        <v>7309</v>
      </c>
      <c r="O879" t="s">
        <v>61</v>
      </c>
      <c r="Q879" t="s">
        <v>61</v>
      </c>
      <c r="R879" t="s">
        <v>61</v>
      </c>
      <c r="S879" t="s">
        <v>61</v>
      </c>
      <c r="T879" t="s">
        <v>61</v>
      </c>
      <c r="X879" t="s">
        <v>61</v>
      </c>
      <c r="Y879" t="s">
        <v>7310</v>
      </c>
      <c r="Z879" t="s">
        <v>61</v>
      </c>
      <c r="AA879" t="s">
        <v>61</v>
      </c>
      <c r="AB879">
        <v>2009465153</v>
      </c>
      <c r="AC879" t="s">
        <v>67</v>
      </c>
      <c r="AD879" t="s">
        <v>61</v>
      </c>
      <c r="AE879" t="s">
        <v>61</v>
      </c>
      <c r="AF879" t="s">
        <v>61</v>
      </c>
      <c r="AG879" t="s">
        <v>61</v>
      </c>
      <c r="AH879" t="s">
        <v>61</v>
      </c>
      <c r="AI879" t="s">
        <v>61</v>
      </c>
      <c r="AJ879" t="s">
        <v>61</v>
      </c>
      <c r="AK879" t="s">
        <v>61</v>
      </c>
      <c r="AL879" t="s">
        <v>61</v>
      </c>
      <c r="AM879" t="s">
        <v>7305</v>
      </c>
      <c r="AN879" t="s">
        <v>61</v>
      </c>
      <c r="AO879" t="s">
        <v>61</v>
      </c>
      <c r="AP879" t="s">
        <v>61</v>
      </c>
      <c r="AQ879" t="s">
        <v>61</v>
      </c>
      <c r="AR879" t="s">
        <v>61</v>
      </c>
      <c r="AS879" t="s">
        <v>61</v>
      </c>
      <c r="AT879" t="s">
        <v>61</v>
      </c>
      <c r="AU879" t="s">
        <v>61</v>
      </c>
      <c r="AV879" t="s">
        <v>61</v>
      </c>
      <c r="AW879" t="s">
        <v>61</v>
      </c>
      <c r="AX879" t="s">
        <v>61</v>
      </c>
      <c r="AY879" t="s">
        <v>61</v>
      </c>
      <c r="AZ879" t="s">
        <v>61</v>
      </c>
      <c r="BA879" t="s">
        <v>61</v>
      </c>
      <c r="BB879" t="s">
        <v>61</v>
      </c>
      <c r="BC879" t="s">
        <v>61</v>
      </c>
      <c r="BD879" t="s">
        <v>61</v>
      </c>
      <c r="BE879" t="s">
        <v>61</v>
      </c>
      <c r="BF879" t="s">
        <v>61</v>
      </c>
    </row>
    <row r="880" spans="1:58">
      <c r="A880" t="s">
        <v>58</v>
      </c>
      <c r="B880" t="s">
        <v>7311</v>
      </c>
      <c r="C880" t="s">
        <v>7312</v>
      </c>
      <c r="D880" t="s">
        <v>84</v>
      </c>
      <c r="E880" t="s">
        <v>61</v>
      </c>
      <c r="F880">
        <v>2011</v>
      </c>
      <c r="G880" t="s">
        <v>457</v>
      </c>
      <c r="H880" t="s">
        <v>7313</v>
      </c>
      <c r="I880" t="s">
        <v>61</v>
      </c>
      <c r="J880">
        <v>43</v>
      </c>
      <c r="K880" t="s">
        <v>61</v>
      </c>
      <c r="L880" t="s">
        <v>7314</v>
      </c>
      <c r="M880" t="s">
        <v>7315</v>
      </c>
      <c r="N880" t="s">
        <v>7316</v>
      </c>
      <c r="O880" t="s">
        <v>61</v>
      </c>
      <c r="Q880" t="s">
        <v>61</v>
      </c>
      <c r="R880" t="s">
        <v>61</v>
      </c>
      <c r="S880" t="s">
        <v>61</v>
      </c>
      <c r="T880" t="s">
        <v>61</v>
      </c>
      <c r="X880" t="s">
        <v>61</v>
      </c>
      <c r="Y880" t="s">
        <v>303</v>
      </c>
      <c r="Z880" t="s">
        <v>61</v>
      </c>
      <c r="AA880" t="s">
        <v>61</v>
      </c>
      <c r="AB880" t="s">
        <v>61</v>
      </c>
      <c r="AC880" t="s">
        <v>67</v>
      </c>
      <c r="AD880" t="s">
        <v>61</v>
      </c>
      <c r="AE880" t="s">
        <v>61</v>
      </c>
      <c r="AF880" t="s">
        <v>61</v>
      </c>
      <c r="AG880" t="s">
        <v>61</v>
      </c>
      <c r="AH880" t="s">
        <v>61</v>
      </c>
      <c r="AI880" t="s">
        <v>61</v>
      </c>
      <c r="AJ880" t="s">
        <v>61</v>
      </c>
      <c r="AK880" t="s">
        <v>61</v>
      </c>
      <c r="AL880" t="s">
        <v>61</v>
      </c>
      <c r="AM880" t="s">
        <v>7312</v>
      </c>
      <c r="AN880" t="s">
        <v>61</v>
      </c>
      <c r="AO880" t="s">
        <v>61</v>
      </c>
      <c r="AP880" t="s">
        <v>61</v>
      </c>
      <c r="AQ880" t="s">
        <v>61</v>
      </c>
      <c r="AR880" t="s">
        <v>61</v>
      </c>
      <c r="AS880" t="s">
        <v>61</v>
      </c>
      <c r="AT880" t="s">
        <v>61</v>
      </c>
      <c r="AU880" t="s">
        <v>61</v>
      </c>
      <c r="AV880" t="s">
        <v>61</v>
      </c>
      <c r="AW880" t="s">
        <v>61</v>
      </c>
      <c r="AX880" t="s">
        <v>61</v>
      </c>
      <c r="AY880" t="s">
        <v>61</v>
      </c>
      <c r="AZ880" t="s">
        <v>61</v>
      </c>
      <c r="BA880" t="s">
        <v>61</v>
      </c>
      <c r="BB880" t="s">
        <v>61</v>
      </c>
      <c r="BC880" t="s">
        <v>61</v>
      </c>
      <c r="BD880" t="s">
        <v>61</v>
      </c>
      <c r="BE880" t="s">
        <v>61</v>
      </c>
      <c r="BF880" t="s">
        <v>61</v>
      </c>
    </row>
    <row r="881" spans="1:58">
      <c r="A881" t="s">
        <v>58</v>
      </c>
      <c r="B881" t="s">
        <v>7317</v>
      </c>
      <c r="C881" t="s">
        <v>7318</v>
      </c>
      <c r="D881" t="s">
        <v>7319</v>
      </c>
      <c r="E881" t="s">
        <v>61</v>
      </c>
      <c r="F881">
        <v>2015</v>
      </c>
      <c r="G881" t="s">
        <v>429</v>
      </c>
      <c r="H881">
        <v>48</v>
      </c>
      <c r="I881">
        <v>2</v>
      </c>
      <c r="J881" t="s">
        <v>7320</v>
      </c>
      <c r="K881" t="s">
        <v>61</v>
      </c>
      <c r="L881" t="s">
        <v>7321</v>
      </c>
      <c r="M881" t="s">
        <v>7322</v>
      </c>
      <c r="N881" t="s">
        <v>7323</v>
      </c>
      <c r="O881" t="s">
        <v>61</v>
      </c>
      <c r="Q881" t="s">
        <v>61</v>
      </c>
      <c r="R881" t="s">
        <v>61</v>
      </c>
      <c r="S881" t="s">
        <v>61</v>
      </c>
      <c r="T881" t="s">
        <v>61</v>
      </c>
      <c r="X881" t="s">
        <v>61</v>
      </c>
      <c r="Y881" t="s">
        <v>7324</v>
      </c>
      <c r="Z881" t="s">
        <v>61</v>
      </c>
      <c r="AA881" t="s">
        <v>61</v>
      </c>
      <c r="AB881" t="s">
        <v>61</v>
      </c>
      <c r="AC881" t="s">
        <v>67</v>
      </c>
      <c r="AD881" t="s">
        <v>61</v>
      </c>
      <c r="AE881" t="s">
        <v>61</v>
      </c>
      <c r="AF881" t="s">
        <v>61</v>
      </c>
      <c r="AG881" t="s">
        <v>61</v>
      </c>
      <c r="AH881" t="s">
        <v>61</v>
      </c>
      <c r="AI881" t="s">
        <v>61</v>
      </c>
      <c r="AJ881" t="s">
        <v>61</v>
      </c>
      <c r="AK881" t="s">
        <v>61</v>
      </c>
      <c r="AL881" t="s">
        <v>61</v>
      </c>
      <c r="AM881" t="s">
        <v>7318</v>
      </c>
      <c r="AN881" t="s">
        <v>61</v>
      </c>
      <c r="AO881" t="s">
        <v>61</v>
      </c>
      <c r="AP881" t="s">
        <v>61</v>
      </c>
      <c r="AQ881" t="s">
        <v>61</v>
      </c>
      <c r="AR881" t="s">
        <v>61</v>
      </c>
      <c r="AS881" t="s">
        <v>61</v>
      </c>
      <c r="AT881" t="s">
        <v>61</v>
      </c>
      <c r="AU881" t="s">
        <v>61</v>
      </c>
      <c r="AV881" t="s">
        <v>61</v>
      </c>
      <c r="AW881" t="s">
        <v>61</v>
      </c>
      <c r="AX881" t="s">
        <v>61</v>
      </c>
      <c r="AY881" t="s">
        <v>61</v>
      </c>
      <c r="AZ881" t="s">
        <v>61</v>
      </c>
      <c r="BA881" t="s">
        <v>61</v>
      </c>
      <c r="BB881" t="s">
        <v>61</v>
      </c>
      <c r="BC881" t="s">
        <v>61</v>
      </c>
      <c r="BD881" t="s">
        <v>61</v>
      </c>
      <c r="BE881" t="s">
        <v>61</v>
      </c>
      <c r="BF881" t="s">
        <v>61</v>
      </c>
    </row>
    <row r="882" spans="1:58">
      <c r="A882" t="s">
        <v>58</v>
      </c>
      <c r="B882" t="s">
        <v>7325</v>
      </c>
      <c r="C882" t="s">
        <v>7326</v>
      </c>
      <c r="D882" t="s">
        <v>7327</v>
      </c>
      <c r="E882" t="s">
        <v>61</v>
      </c>
      <c r="F882">
        <v>2012</v>
      </c>
      <c r="G882" t="s">
        <v>344</v>
      </c>
      <c r="H882">
        <v>380</v>
      </c>
      <c r="I882">
        <v>9848</v>
      </c>
      <c r="J882">
        <v>1180</v>
      </c>
      <c r="K882">
        <v>1192</v>
      </c>
      <c r="L882" t="s">
        <v>7328</v>
      </c>
      <c r="M882" t="s">
        <v>7329</v>
      </c>
      <c r="N882" t="s">
        <v>7330</v>
      </c>
      <c r="O882" t="s">
        <v>61</v>
      </c>
      <c r="Q882" t="s">
        <v>61</v>
      </c>
      <c r="R882" t="s">
        <v>61</v>
      </c>
      <c r="S882" t="s">
        <v>61</v>
      </c>
      <c r="T882" t="s">
        <v>61</v>
      </c>
      <c r="X882" t="s">
        <v>61</v>
      </c>
      <c r="Y882" t="s">
        <v>7331</v>
      </c>
      <c r="Z882" t="s">
        <v>61</v>
      </c>
      <c r="AA882" t="s">
        <v>61</v>
      </c>
      <c r="AB882">
        <v>2012565707</v>
      </c>
      <c r="AC882" t="s">
        <v>67</v>
      </c>
      <c r="AD882" t="s">
        <v>61</v>
      </c>
      <c r="AE882" t="s">
        <v>61</v>
      </c>
      <c r="AF882" t="s">
        <v>61</v>
      </c>
      <c r="AG882" t="s">
        <v>7332</v>
      </c>
      <c r="AH882" t="s">
        <v>61</v>
      </c>
      <c r="AI882" t="s">
        <v>61</v>
      </c>
      <c r="AJ882" t="s">
        <v>61</v>
      </c>
      <c r="AK882" t="s">
        <v>61</v>
      </c>
      <c r="AL882" t="s">
        <v>61</v>
      </c>
      <c r="AM882" t="s">
        <v>7333</v>
      </c>
      <c r="AN882" t="s">
        <v>61</v>
      </c>
      <c r="AO882" t="s">
        <v>61</v>
      </c>
      <c r="AP882" t="s">
        <v>61</v>
      </c>
      <c r="AQ882" t="s">
        <v>61</v>
      </c>
      <c r="AR882" t="s">
        <v>61</v>
      </c>
      <c r="AS882" t="s">
        <v>61</v>
      </c>
      <c r="AT882" t="s">
        <v>61</v>
      </c>
      <c r="AU882" t="s">
        <v>61</v>
      </c>
      <c r="AV882" t="s">
        <v>61</v>
      </c>
      <c r="AW882" t="s">
        <v>61</v>
      </c>
      <c r="AX882" t="s">
        <v>61</v>
      </c>
      <c r="AY882" t="s">
        <v>61</v>
      </c>
      <c r="AZ882" t="s">
        <v>61</v>
      </c>
      <c r="BA882" t="s">
        <v>61</v>
      </c>
      <c r="BB882" t="s">
        <v>61</v>
      </c>
      <c r="BC882" t="s">
        <v>61</v>
      </c>
      <c r="BD882" t="s">
        <v>61</v>
      </c>
      <c r="BE882" t="s">
        <v>61</v>
      </c>
      <c r="BF882" t="s">
        <v>61</v>
      </c>
    </row>
    <row r="883" spans="1:58">
      <c r="A883" t="s">
        <v>58</v>
      </c>
      <c r="B883" t="s">
        <v>7334</v>
      </c>
      <c r="C883" t="s">
        <v>7335</v>
      </c>
      <c r="D883" t="s">
        <v>7336</v>
      </c>
      <c r="E883" t="s">
        <v>61</v>
      </c>
      <c r="F883">
        <v>1993</v>
      </c>
      <c r="G883" t="s">
        <v>273</v>
      </c>
      <c r="H883">
        <v>31</v>
      </c>
      <c r="I883">
        <v>2</v>
      </c>
      <c r="J883">
        <v>66</v>
      </c>
      <c r="K883">
        <v>69</v>
      </c>
      <c r="L883" t="s">
        <v>7337</v>
      </c>
      <c r="M883" t="s">
        <v>7338</v>
      </c>
      <c r="N883" t="s">
        <v>7339</v>
      </c>
      <c r="O883" t="s">
        <v>61</v>
      </c>
      <c r="Q883" t="s">
        <v>61</v>
      </c>
      <c r="R883" t="s">
        <v>61</v>
      </c>
      <c r="S883" t="s">
        <v>61</v>
      </c>
      <c r="T883" t="s">
        <v>61</v>
      </c>
      <c r="X883" t="s">
        <v>61</v>
      </c>
      <c r="Y883" t="s">
        <v>7340</v>
      </c>
      <c r="Z883" t="s">
        <v>61</v>
      </c>
      <c r="AA883" t="s">
        <v>7341</v>
      </c>
      <c r="AB883">
        <v>8458678</v>
      </c>
      <c r="AC883" t="s">
        <v>67</v>
      </c>
      <c r="AD883" t="s">
        <v>61</v>
      </c>
      <c r="AE883" t="s">
        <v>61</v>
      </c>
      <c r="AF883" t="s">
        <v>61</v>
      </c>
      <c r="AG883" t="s">
        <v>7342</v>
      </c>
      <c r="AH883" t="s">
        <v>61</v>
      </c>
      <c r="AI883" t="s">
        <v>61</v>
      </c>
      <c r="AJ883" t="s">
        <v>61</v>
      </c>
      <c r="AK883" t="s">
        <v>61</v>
      </c>
      <c r="AL883" t="s">
        <v>61</v>
      </c>
      <c r="AM883" t="s">
        <v>7343</v>
      </c>
      <c r="AN883" t="s">
        <v>61</v>
      </c>
      <c r="AO883" t="s">
        <v>61</v>
      </c>
      <c r="AP883" t="s">
        <v>61</v>
      </c>
      <c r="AQ883" t="s">
        <v>61</v>
      </c>
      <c r="AR883" t="s">
        <v>61</v>
      </c>
      <c r="AS883" t="s">
        <v>61</v>
      </c>
      <c r="AT883" t="s">
        <v>61</v>
      </c>
      <c r="AU883" t="s">
        <v>61</v>
      </c>
      <c r="AV883" t="s">
        <v>61</v>
      </c>
      <c r="AW883" t="s">
        <v>61</v>
      </c>
      <c r="AX883" t="s">
        <v>61</v>
      </c>
      <c r="AY883" t="s">
        <v>61</v>
      </c>
      <c r="AZ883" t="s">
        <v>61</v>
      </c>
      <c r="BA883" t="s">
        <v>61</v>
      </c>
      <c r="BB883" t="s">
        <v>61</v>
      </c>
      <c r="BC883" t="s">
        <v>61</v>
      </c>
      <c r="BD883" t="s">
        <v>61</v>
      </c>
      <c r="BE883" t="s">
        <v>61</v>
      </c>
      <c r="BF883" t="s">
        <v>61</v>
      </c>
    </row>
    <row r="884" spans="1:58">
      <c r="A884" t="s">
        <v>58</v>
      </c>
      <c r="B884" t="s">
        <v>7344</v>
      </c>
      <c r="C884" t="s">
        <v>7345</v>
      </c>
      <c r="D884" t="s">
        <v>60</v>
      </c>
      <c r="E884" t="s">
        <v>61</v>
      </c>
      <c r="F884">
        <v>2015</v>
      </c>
      <c r="G884" t="s">
        <v>61</v>
      </c>
      <c r="H884">
        <v>72</v>
      </c>
      <c r="I884">
        <v>18</v>
      </c>
      <c r="J884">
        <v>1573</v>
      </c>
      <c r="K884" t="s">
        <v>7346</v>
      </c>
      <c r="L884" t="s">
        <v>7347</v>
      </c>
      <c r="M884" t="s">
        <v>61</v>
      </c>
      <c r="N884" t="s">
        <v>7348</v>
      </c>
      <c r="O884" t="s">
        <v>61</v>
      </c>
      <c r="Q884" t="s">
        <v>61</v>
      </c>
      <c r="R884" t="s">
        <v>61</v>
      </c>
      <c r="S884" t="s">
        <v>61</v>
      </c>
      <c r="T884" t="s">
        <v>61</v>
      </c>
      <c r="X884" t="s">
        <v>61</v>
      </c>
      <c r="Y884" t="s">
        <v>66</v>
      </c>
      <c r="Z884" t="s">
        <v>61</v>
      </c>
      <c r="AA884" t="s">
        <v>7349</v>
      </c>
      <c r="AB884">
        <v>109545145</v>
      </c>
      <c r="AC884" t="s">
        <v>67</v>
      </c>
      <c r="AD884" t="s">
        <v>61</v>
      </c>
      <c r="AE884" t="s">
        <v>61</v>
      </c>
      <c r="AF884" t="s">
        <v>61</v>
      </c>
      <c r="AG884" t="s">
        <v>7350</v>
      </c>
      <c r="AH884" t="s">
        <v>61</v>
      </c>
      <c r="AI884" t="s">
        <v>7351</v>
      </c>
      <c r="AJ884" t="s">
        <v>61</v>
      </c>
      <c r="AK884" t="s">
        <v>61</v>
      </c>
      <c r="AL884" t="s">
        <v>61</v>
      </c>
      <c r="AM884" t="s">
        <v>7352</v>
      </c>
      <c r="AN884" t="s">
        <v>61</v>
      </c>
      <c r="AO884" t="s">
        <v>61</v>
      </c>
      <c r="AP884" t="s">
        <v>61</v>
      </c>
      <c r="AQ884" t="s">
        <v>61</v>
      </c>
      <c r="AR884" t="s">
        <v>61</v>
      </c>
      <c r="AS884" t="s">
        <v>61</v>
      </c>
      <c r="AT884" t="s">
        <v>61</v>
      </c>
      <c r="AU884" t="s">
        <v>61</v>
      </c>
      <c r="AV884" t="s">
        <v>61</v>
      </c>
      <c r="AW884" t="s">
        <v>61</v>
      </c>
      <c r="AX884" t="s">
        <v>61</v>
      </c>
      <c r="AY884" t="s">
        <v>61</v>
      </c>
      <c r="AZ884" t="s">
        <v>61</v>
      </c>
      <c r="BA884" t="s">
        <v>61</v>
      </c>
      <c r="BB884" t="s">
        <v>61</v>
      </c>
      <c r="BC884" t="s">
        <v>61</v>
      </c>
      <c r="BD884" t="s">
        <v>61</v>
      </c>
      <c r="BE884" t="s">
        <v>61</v>
      </c>
      <c r="BF884" t="s">
        <v>61</v>
      </c>
    </row>
    <row r="885" spans="1:58">
      <c r="A885" t="s">
        <v>58</v>
      </c>
      <c r="B885" t="s">
        <v>7353</v>
      </c>
      <c r="C885" t="s">
        <v>7354</v>
      </c>
      <c r="D885" t="s">
        <v>408</v>
      </c>
      <c r="E885" t="s">
        <v>408</v>
      </c>
      <c r="F885">
        <v>2011</v>
      </c>
      <c r="G885" t="s">
        <v>645</v>
      </c>
      <c r="H885">
        <v>31</v>
      </c>
      <c r="I885">
        <v>10</v>
      </c>
      <c r="J885" t="s">
        <v>3534</v>
      </c>
      <c r="K885" t="s">
        <v>7355</v>
      </c>
      <c r="L885" t="s">
        <v>7356</v>
      </c>
      <c r="M885" t="s">
        <v>7357</v>
      </c>
      <c r="N885" t="s">
        <v>7358</v>
      </c>
      <c r="O885" t="s">
        <v>61</v>
      </c>
      <c r="Q885" t="s">
        <v>61</v>
      </c>
      <c r="R885" t="s">
        <v>61</v>
      </c>
      <c r="S885" t="s">
        <v>61</v>
      </c>
      <c r="T885" t="s">
        <v>61</v>
      </c>
      <c r="X885" t="s">
        <v>61</v>
      </c>
      <c r="Y885" t="s">
        <v>414</v>
      </c>
      <c r="Z885" t="s">
        <v>61</v>
      </c>
      <c r="AA885" t="s">
        <v>61</v>
      </c>
      <c r="AB885" t="s">
        <v>61</v>
      </c>
      <c r="AC885" t="s">
        <v>67</v>
      </c>
      <c r="AD885" t="s">
        <v>61</v>
      </c>
      <c r="AE885" t="s">
        <v>61</v>
      </c>
      <c r="AF885" t="s">
        <v>61</v>
      </c>
      <c r="AG885" t="s">
        <v>61</v>
      </c>
      <c r="AH885" t="s">
        <v>61</v>
      </c>
      <c r="AI885" t="s">
        <v>61</v>
      </c>
      <c r="AJ885" t="s">
        <v>61</v>
      </c>
      <c r="AK885" t="s">
        <v>61</v>
      </c>
      <c r="AL885" t="s">
        <v>61</v>
      </c>
      <c r="AM885" t="s">
        <v>7354</v>
      </c>
      <c r="AN885" t="s">
        <v>61</v>
      </c>
      <c r="AO885" t="s">
        <v>61</v>
      </c>
      <c r="AP885" t="s">
        <v>61</v>
      </c>
      <c r="AQ885" t="s">
        <v>61</v>
      </c>
      <c r="AR885" t="s">
        <v>61</v>
      </c>
      <c r="AS885" t="s">
        <v>61</v>
      </c>
      <c r="AT885" t="s">
        <v>61</v>
      </c>
      <c r="AU885" t="s">
        <v>61</v>
      </c>
      <c r="AV885" t="s">
        <v>61</v>
      </c>
      <c r="AW885" t="s">
        <v>61</v>
      </c>
      <c r="AX885" t="s">
        <v>61</v>
      </c>
      <c r="AY885" t="s">
        <v>61</v>
      </c>
      <c r="AZ885" t="s">
        <v>61</v>
      </c>
      <c r="BA885" t="s">
        <v>61</v>
      </c>
      <c r="BB885" t="s">
        <v>61</v>
      </c>
      <c r="BC885" t="s">
        <v>61</v>
      </c>
      <c r="BD885" t="s">
        <v>61</v>
      </c>
      <c r="BE885" t="s">
        <v>61</v>
      </c>
      <c r="BF885" t="s">
        <v>61</v>
      </c>
    </row>
    <row r="886" spans="1:58">
      <c r="A886" t="s">
        <v>58</v>
      </c>
      <c r="B886" t="s">
        <v>7359</v>
      </c>
      <c r="C886" t="s">
        <v>7360</v>
      </c>
      <c r="D886" t="s">
        <v>1151</v>
      </c>
      <c r="E886" t="s">
        <v>61</v>
      </c>
      <c r="F886">
        <v>2002</v>
      </c>
      <c r="G886" t="s">
        <v>280</v>
      </c>
      <c r="H886">
        <v>23</v>
      </c>
      <c r="I886">
        <v>4</v>
      </c>
      <c r="J886">
        <v>245</v>
      </c>
      <c r="K886">
        <v>254</v>
      </c>
      <c r="L886" t="s">
        <v>7361</v>
      </c>
      <c r="M886" t="s">
        <v>7362</v>
      </c>
      <c r="N886" t="s">
        <v>7363</v>
      </c>
      <c r="O886" t="s">
        <v>61</v>
      </c>
      <c r="Q886" t="s">
        <v>61</v>
      </c>
      <c r="R886" t="s">
        <v>61</v>
      </c>
      <c r="S886" t="s">
        <v>61</v>
      </c>
      <c r="T886" t="s">
        <v>61</v>
      </c>
      <c r="X886" t="s">
        <v>61</v>
      </c>
      <c r="Y886" t="s">
        <v>1156</v>
      </c>
      <c r="Z886" t="s">
        <v>61</v>
      </c>
      <c r="AA886" t="s">
        <v>7364</v>
      </c>
      <c r="AB886">
        <v>12438837</v>
      </c>
      <c r="AC886" t="s">
        <v>67</v>
      </c>
      <c r="AD886" t="s">
        <v>61</v>
      </c>
      <c r="AE886" t="s">
        <v>61</v>
      </c>
      <c r="AF886" t="s">
        <v>61</v>
      </c>
      <c r="AG886" t="s">
        <v>7365</v>
      </c>
      <c r="AH886" t="s">
        <v>61</v>
      </c>
      <c r="AI886" t="s">
        <v>61</v>
      </c>
      <c r="AJ886" t="s">
        <v>61</v>
      </c>
      <c r="AK886" t="s">
        <v>61</v>
      </c>
      <c r="AL886" t="s">
        <v>61</v>
      </c>
      <c r="AM886" t="s">
        <v>7366</v>
      </c>
      <c r="AN886" t="s">
        <v>61</v>
      </c>
      <c r="AO886" t="s">
        <v>61</v>
      </c>
      <c r="AP886" t="s">
        <v>61</v>
      </c>
      <c r="AQ886" t="s">
        <v>61</v>
      </c>
      <c r="AR886" t="s">
        <v>61</v>
      </c>
      <c r="AS886" t="s">
        <v>61</v>
      </c>
      <c r="AT886" t="s">
        <v>61</v>
      </c>
      <c r="AU886" t="s">
        <v>61</v>
      </c>
      <c r="AV886" t="s">
        <v>61</v>
      </c>
      <c r="AW886" t="s">
        <v>61</v>
      </c>
      <c r="AX886" t="s">
        <v>61</v>
      </c>
      <c r="AY886" t="s">
        <v>61</v>
      </c>
      <c r="AZ886" t="s">
        <v>61</v>
      </c>
      <c r="BA886" t="s">
        <v>61</v>
      </c>
      <c r="BB886" t="s">
        <v>61</v>
      </c>
      <c r="BC886" t="s">
        <v>61</v>
      </c>
      <c r="BD886" t="s">
        <v>61</v>
      </c>
      <c r="BE886" t="s">
        <v>61</v>
      </c>
      <c r="BF886" t="s">
        <v>61</v>
      </c>
    </row>
    <row r="887" spans="1:58">
      <c r="A887" t="s">
        <v>58</v>
      </c>
      <c r="B887" t="s">
        <v>7367</v>
      </c>
      <c r="C887" t="s">
        <v>7368</v>
      </c>
      <c r="D887" t="s">
        <v>7369</v>
      </c>
      <c r="E887" t="s">
        <v>61</v>
      </c>
      <c r="F887">
        <v>2007</v>
      </c>
      <c r="G887" t="s">
        <v>273</v>
      </c>
      <c r="H887">
        <v>16</v>
      </c>
      <c r="I887">
        <v>2</v>
      </c>
      <c r="J887">
        <v>5</v>
      </c>
      <c r="K887">
        <v>9</v>
      </c>
      <c r="L887" t="s">
        <v>7370</v>
      </c>
      <c r="M887" t="s">
        <v>7371</v>
      </c>
      <c r="N887" t="s">
        <v>7372</v>
      </c>
      <c r="O887" t="s">
        <v>61</v>
      </c>
      <c r="Q887" t="s">
        <v>61</v>
      </c>
      <c r="R887" t="s">
        <v>61</v>
      </c>
      <c r="S887" t="s">
        <v>61</v>
      </c>
      <c r="T887" t="s">
        <v>61</v>
      </c>
      <c r="X887" t="s">
        <v>61</v>
      </c>
      <c r="Y887" t="s">
        <v>7373</v>
      </c>
      <c r="Z887" t="s">
        <v>61</v>
      </c>
      <c r="AA887" t="s">
        <v>7374</v>
      </c>
      <c r="AB887">
        <v>17465086</v>
      </c>
      <c r="AC887" t="s">
        <v>67</v>
      </c>
      <c r="AD887" t="s">
        <v>61</v>
      </c>
      <c r="AE887" t="s">
        <v>61</v>
      </c>
      <c r="AF887" t="s">
        <v>61</v>
      </c>
      <c r="AG887" t="s">
        <v>7375</v>
      </c>
      <c r="AH887" t="s">
        <v>61</v>
      </c>
      <c r="AI887" t="s">
        <v>61</v>
      </c>
      <c r="AJ887" t="s">
        <v>61</v>
      </c>
      <c r="AK887" t="s">
        <v>61</v>
      </c>
      <c r="AL887" t="s">
        <v>61</v>
      </c>
      <c r="AM887" t="s">
        <v>7376</v>
      </c>
      <c r="AN887" t="s">
        <v>61</v>
      </c>
      <c r="AO887" t="s">
        <v>61</v>
      </c>
      <c r="AP887" t="s">
        <v>61</v>
      </c>
      <c r="AQ887" t="s">
        <v>61</v>
      </c>
      <c r="AR887" t="s">
        <v>61</v>
      </c>
      <c r="AS887" t="s">
        <v>61</v>
      </c>
      <c r="AT887" t="s">
        <v>61</v>
      </c>
      <c r="AU887" t="s">
        <v>61</v>
      </c>
      <c r="AV887" t="s">
        <v>61</v>
      </c>
      <c r="AW887" t="s">
        <v>61</v>
      </c>
      <c r="AX887" t="s">
        <v>61</v>
      </c>
      <c r="AY887" t="s">
        <v>61</v>
      </c>
      <c r="AZ887" t="s">
        <v>61</v>
      </c>
      <c r="BA887" t="s">
        <v>61</v>
      </c>
      <c r="BB887" t="s">
        <v>61</v>
      </c>
      <c r="BC887" t="s">
        <v>61</v>
      </c>
      <c r="BD887" t="s">
        <v>61</v>
      </c>
      <c r="BE887" t="s">
        <v>61</v>
      </c>
      <c r="BF887" t="s">
        <v>61</v>
      </c>
    </row>
    <row r="888" spans="1:58">
      <c r="A888" t="s">
        <v>58</v>
      </c>
      <c r="B888" t="s">
        <v>7377</v>
      </c>
      <c r="C888" t="s">
        <v>7378</v>
      </c>
      <c r="D888" t="s">
        <v>7379</v>
      </c>
      <c r="E888" t="s">
        <v>7379</v>
      </c>
      <c r="F888">
        <v>1984</v>
      </c>
      <c r="G888" t="s">
        <v>129</v>
      </c>
      <c r="H888">
        <v>4</v>
      </c>
      <c r="I888">
        <v>4</v>
      </c>
      <c r="J888">
        <v>145</v>
      </c>
      <c r="K888">
        <v>155</v>
      </c>
      <c r="L888" t="s">
        <v>7380</v>
      </c>
      <c r="M888" t="s">
        <v>7381</v>
      </c>
      <c r="N888" t="s">
        <v>7382</v>
      </c>
      <c r="O888" t="s">
        <v>61</v>
      </c>
      <c r="Q888" t="s">
        <v>61</v>
      </c>
      <c r="R888" t="s">
        <v>61</v>
      </c>
      <c r="S888" t="s">
        <v>61</v>
      </c>
      <c r="T888" t="s">
        <v>61</v>
      </c>
      <c r="X888" t="s">
        <v>61</v>
      </c>
      <c r="Y888" t="s">
        <v>7383</v>
      </c>
      <c r="Z888" t="s">
        <v>61</v>
      </c>
      <c r="AA888" t="s">
        <v>61</v>
      </c>
      <c r="AB888">
        <v>10269869</v>
      </c>
      <c r="AC888" t="s">
        <v>67</v>
      </c>
      <c r="AD888" t="s">
        <v>61</v>
      </c>
      <c r="AE888" t="s">
        <v>61</v>
      </c>
      <c r="AF888" t="s">
        <v>61</v>
      </c>
      <c r="AG888" t="s">
        <v>7384</v>
      </c>
      <c r="AH888" t="s">
        <v>61</v>
      </c>
      <c r="AI888" t="s">
        <v>61</v>
      </c>
      <c r="AJ888" t="s">
        <v>61</v>
      </c>
      <c r="AK888" t="s">
        <v>61</v>
      </c>
      <c r="AL888" t="s">
        <v>61</v>
      </c>
      <c r="AM888" t="s">
        <v>7385</v>
      </c>
      <c r="AN888" t="s">
        <v>61</v>
      </c>
      <c r="AO888" t="s">
        <v>61</v>
      </c>
      <c r="AP888" t="s">
        <v>61</v>
      </c>
      <c r="AQ888" t="s">
        <v>61</v>
      </c>
      <c r="AR888" t="s">
        <v>61</v>
      </c>
      <c r="AS888" t="s">
        <v>61</v>
      </c>
      <c r="AT888" t="s">
        <v>61</v>
      </c>
      <c r="AU888" t="s">
        <v>61</v>
      </c>
      <c r="AV888" t="s">
        <v>61</v>
      </c>
      <c r="AW888" t="s">
        <v>61</v>
      </c>
      <c r="AX888" t="s">
        <v>61</v>
      </c>
      <c r="AY888" t="s">
        <v>61</v>
      </c>
      <c r="AZ888" t="s">
        <v>61</v>
      </c>
      <c r="BA888" t="s">
        <v>61</v>
      </c>
      <c r="BB888" t="s">
        <v>61</v>
      </c>
      <c r="BC888" t="s">
        <v>61</v>
      </c>
      <c r="BD888" t="s">
        <v>61</v>
      </c>
      <c r="BE888" t="s">
        <v>61</v>
      </c>
      <c r="BF888" t="s">
        <v>61</v>
      </c>
    </row>
    <row r="889" spans="1:58">
      <c r="A889" t="s">
        <v>58</v>
      </c>
      <c r="B889" t="s">
        <v>7386</v>
      </c>
      <c r="C889" t="s">
        <v>7387</v>
      </c>
      <c r="D889" t="s">
        <v>428</v>
      </c>
      <c r="E889" t="s">
        <v>61</v>
      </c>
      <c r="F889">
        <v>2012</v>
      </c>
      <c r="G889" t="s">
        <v>429</v>
      </c>
      <c r="H889">
        <v>25</v>
      </c>
      <c r="I889">
        <v>2</v>
      </c>
      <c r="J889">
        <v>272</v>
      </c>
      <c r="K889" t="s">
        <v>61</v>
      </c>
      <c r="L889" t="s">
        <v>7388</v>
      </c>
      <c r="M889" t="s">
        <v>7389</v>
      </c>
      <c r="N889" t="s">
        <v>7390</v>
      </c>
      <c r="O889" t="s">
        <v>61</v>
      </c>
      <c r="Q889" t="s">
        <v>61</v>
      </c>
      <c r="R889" t="s">
        <v>61</v>
      </c>
      <c r="S889" t="s">
        <v>61</v>
      </c>
      <c r="T889" t="s">
        <v>61</v>
      </c>
      <c r="X889" t="s">
        <v>61</v>
      </c>
      <c r="Y889" t="s">
        <v>433</v>
      </c>
      <c r="Z889" t="s">
        <v>61</v>
      </c>
      <c r="AA889" t="s">
        <v>61</v>
      </c>
      <c r="AB889" t="s">
        <v>61</v>
      </c>
      <c r="AC889" t="s">
        <v>67</v>
      </c>
      <c r="AD889" t="s">
        <v>61</v>
      </c>
      <c r="AE889" t="s">
        <v>61</v>
      </c>
      <c r="AF889" t="s">
        <v>61</v>
      </c>
      <c r="AG889" t="s">
        <v>61</v>
      </c>
      <c r="AH889" t="s">
        <v>61</v>
      </c>
      <c r="AI889" t="s">
        <v>61</v>
      </c>
      <c r="AJ889" t="s">
        <v>61</v>
      </c>
      <c r="AK889" t="s">
        <v>61</v>
      </c>
      <c r="AL889" t="s">
        <v>61</v>
      </c>
      <c r="AM889" t="s">
        <v>7387</v>
      </c>
      <c r="AN889" t="s">
        <v>61</v>
      </c>
      <c r="AO889" t="s">
        <v>61</v>
      </c>
      <c r="AP889" t="s">
        <v>61</v>
      </c>
      <c r="AQ889" t="s">
        <v>61</v>
      </c>
      <c r="AR889" t="s">
        <v>61</v>
      </c>
      <c r="AS889" t="s">
        <v>61</v>
      </c>
      <c r="AT889" t="s">
        <v>61</v>
      </c>
      <c r="AU889" t="s">
        <v>61</v>
      </c>
      <c r="AV889" t="s">
        <v>61</v>
      </c>
      <c r="AW889" t="s">
        <v>61</v>
      </c>
      <c r="AX889" t="s">
        <v>61</v>
      </c>
      <c r="AY889" t="s">
        <v>61</v>
      </c>
      <c r="AZ889" t="s">
        <v>61</v>
      </c>
      <c r="BA889" t="s">
        <v>61</v>
      </c>
      <c r="BB889" t="s">
        <v>61</v>
      </c>
      <c r="BC889" t="s">
        <v>61</v>
      </c>
      <c r="BD889" t="s">
        <v>61</v>
      </c>
      <c r="BE889" t="s">
        <v>61</v>
      </c>
      <c r="BF889" t="s">
        <v>61</v>
      </c>
    </row>
    <row r="890" spans="1:58">
      <c r="A890" t="s">
        <v>58</v>
      </c>
      <c r="B890" t="s">
        <v>7391</v>
      </c>
      <c r="C890" t="s">
        <v>7392</v>
      </c>
      <c r="D890" t="s">
        <v>5500</v>
      </c>
      <c r="E890" t="s">
        <v>61</v>
      </c>
      <c r="F890">
        <v>2010</v>
      </c>
      <c r="G890" t="s">
        <v>61</v>
      </c>
      <c r="H890">
        <v>5</v>
      </c>
      <c r="I890">
        <v>12</v>
      </c>
      <c r="J890" t="s">
        <v>7393</v>
      </c>
      <c r="K890" t="s">
        <v>61</v>
      </c>
      <c r="L890" t="s">
        <v>7394</v>
      </c>
      <c r="M890" t="s">
        <v>7395</v>
      </c>
      <c r="N890" t="s">
        <v>7396</v>
      </c>
      <c r="O890" t="s">
        <v>61</v>
      </c>
      <c r="Q890" t="s">
        <v>61</v>
      </c>
      <c r="R890" t="s">
        <v>61</v>
      </c>
      <c r="S890" t="s">
        <v>61</v>
      </c>
      <c r="T890" t="s">
        <v>61</v>
      </c>
      <c r="X890" t="s">
        <v>61</v>
      </c>
      <c r="Y890" t="s">
        <v>5505</v>
      </c>
      <c r="Z890" t="s">
        <v>61</v>
      </c>
      <c r="AA890" t="s">
        <v>7397</v>
      </c>
      <c r="AB890">
        <v>21187978</v>
      </c>
      <c r="AC890" t="s">
        <v>67</v>
      </c>
      <c r="AD890" t="s">
        <v>61</v>
      </c>
      <c r="AE890" t="s">
        <v>61</v>
      </c>
      <c r="AF890" t="s">
        <v>61</v>
      </c>
      <c r="AG890" t="s">
        <v>7398</v>
      </c>
      <c r="AH890" t="s">
        <v>61</v>
      </c>
      <c r="AI890" t="s">
        <v>7399</v>
      </c>
      <c r="AJ890" t="s">
        <v>61</v>
      </c>
      <c r="AK890" t="s">
        <v>61</v>
      </c>
      <c r="AL890" t="s">
        <v>61</v>
      </c>
      <c r="AM890" t="s">
        <v>7400</v>
      </c>
      <c r="AN890" t="s">
        <v>61</v>
      </c>
      <c r="AO890" t="s">
        <v>61</v>
      </c>
      <c r="AP890" t="s">
        <v>61</v>
      </c>
      <c r="AQ890" t="s">
        <v>61</v>
      </c>
      <c r="AR890" t="s">
        <v>61</v>
      </c>
      <c r="AS890" t="s">
        <v>61</v>
      </c>
      <c r="AT890" t="s">
        <v>61</v>
      </c>
      <c r="AU890" t="s">
        <v>61</v>
      </c>
      <c r="AV890" t="s">
        <v>61</v>
      </c>
      <c r="AW890" t="s">
        <v>61</v>
      </c>
      <c r="AX890" t="s">
        <v>61</v>
      </c>
      <c r="AY890" t="s">
        <v>61</v>
      </c>
      <c r="AZ890" t="s">
        <v>61</v>
      </c>
      <c r="BA890" t="s">
        <v>61</v>
      </c>
      <c r="BB890" t="s">
        <v>61</v>
      </c>
      <c r="BC890" t="s">
        <v>61</v>
      </c>
      <c r="BD890" t="s">
        <v>61</v>
      </c>
      <c r="BE890" t="s">
        <v>61</v>
      </c>
      <c r="BF890" t="s">
        <v>61</v>
      </c>
    </row>
    <row r="891" spans="1:58">
      <c r="A891" t="s">
        <v>58</v>
      </c>
      <c r="B891" t="s">
        <v>7401</v>
      </c>
      <c r="C891" t="s">
        <v>7402</v>
      </c>
      <c r="D891" t="s">
        <v>7403</v>
      </c>
      <c r="E891" t="s">
        <v>7404</v>
      </c>
      <c r="F891">
        <v>1998</v>
      </c>
      <c r="G891" t="s">
        <v>381</v>
      </c>
      <c r="H891">
        <v>46</v>
      </c>
      <c r="I891">
        <v>2</v>
      </c>
      <c r="J891">
        <v>198</v>
      </c>
      <c r="K891">
        <v>201</v>
      </c>
      <c r="L891" t="s">
        <v>7405</v>
      </c>
      <c r="M891" t="s">
        <v>7406</v>
      </c>
      <c r="N891" t="s">
        <v>7407</v>
      </c>
      <c r="O891" t="s">
        <v>61</v>
      </c>
      <c r="Q891" t="s">
        <v>61</v>
      </c>
      <c r="R891" t="s">
        <v>61</v>
      </c>
      <c r="S891" t="s">
        <v>61</v>
      </c>
      <c r="T891" t="s">
        <v>61</v>
      </c>
      <c r="X891" t="s">
        <v>61</v>
      </c>
      <c r="Y891" s="2">
        <v>2452271</v>
      </c>
      <c r="Z891" t="s">
        <v>61</v>
      </c>
      <c r="AA891" t="s">
        <v>61</v>
      </c>
      <c r="AB891">
        <v>1998058235</v>
      </c>
      <c r="AC891" t="s">
        <v>67</v>
      </c>
      <c r="AD891" t="s">
        <v>61</v>
      </c>
      <c r="AE891" t="s">
        <v>61</v>
      </c>
      <c r="AF891" t="s">
        <v>61</v>
      </c>
      <c r="AG891" t="s">
        <v>7408</v>
      </c>
      <c r="AH891" t="s">
        <v>61</v>
      </c>
      <c r="AI891" t="s">
        <v>61</v>
      </c>
      <c r="AJ891" t="s">
        <v>61</v>
      </c>
      <c r="AK891" t="s">
        <v>61</v>
      </c>
      <c r="AL891" t="s">
        <v>61</v>
      </c>
      <c r="AM891" t="s">
        <v>7409</v>
      </c>
      <c r="AN891" t="s">
        <v>61</v>
      </c>
      <c r="AO891" t="s">
        <v>61</v>
      </c>
      <c r="AP891" t="s">
        <v>61</v>
      </c>
      <c r="AQ891" t="s">
        <v>61</v>
      </c>
      <c r="AR891" t="s">
        <v>61</v>
      </c>
      <c r="AS891" t="s">
        <v>61</v>
      </c>
      <c r="AT891" t="s">
        <v>61</v>
      </c>
      <c r="AU891" t="s">
        <v>61</v>
      </c>
      <c r="AV891" t="s">
        <v>61</v>
      </c>
      <c r="AW891" t="s">
        <v>61</v>
      </c>
      <c r="AX891" t="s">
        <v>61</v>
      </c>
      <c r="AY891" t="s">
        <v>61</v>
      </c>
      <c r="AZ891" t="s">
        <v>61</v>
      </c>
      <c r="BA891" t="s">
        <v>61</v>
      </c>
      <c r="BB891" t="s">
        <v>61</v>
      </c>
      <c r="BC891" t="s">
        <v>61</v>
      </c>
      <c r="BD891" t="s">
        <v>61</v>
      </c>
      <c r="BE891" t="s">
        <v>61</v>
      </c>
      <c r="BF891" t="s">
        <v>61</v>
      </c>
    </row>
    <row r="892" spans="1:58">
      <c r="A892" t="s">
        <v>58</v>
      </c>
      <c r="B892" t="s">
        <v>7410</v>
      </c>
      <c r="C892" t="s">
        <v>7411</v>
      </c>
      <c r="D892" t="s">
        <v>7412</v>
      </c>
      <c r="E892" t="s">
        <v>61</v>
      </c>
      <c r="F892">
        <v>2008</v>
      </c>
      <c r="G892" t="s">
        <v>645</v>
      </c>
      <c r="H892">
        <v>9</v>
      </c>
      <c r="I892">
        <v>8</v>
      </c>
      <c r="J892">
        <v>611</v>
      </c>
      <c r="K892" s="4">
        <v>6110000000000</v>
      </c>
      <c r="L892" t="s">
        <v>7413</v>
      </c>
      <c r="M892" t="s">
        <v>7414</v>
      </c>
      <c r="N892" t="s">
        <v>7415</v>
      </c>
      <c r="O892" t="s">
        <v>61</v>
      </c>
      <c r="Q892" t="s">
        <v>61</v>
      </c>
      <c r="R892" t="s">
        <v>61</v>
      </c>
      <c r="S892" t="s">
        <v>61</v>
      </c>
      <c r="T892" t="s">
        <v>61</v>
      </c>
      <c r="X892" t="s">
        <v>61</v>
      </c>
      <c r="Y892" t="s">
        <v>7416</v>
      </c>
      <c r="Z892" t="s">
        <v>61</v>
      </c>
      <c r="AA892" t="s">
        <v>61</v>
      </c>
      <c r="AB892" t="s">
        <v>7417</v>
      </c>
      <c r="AC892" t="s">
        <v>67</v>
      </c>
      <c r="AD892" t="s">
        <v>61</v>
      </c>
      <c r="AE892" t="s">
        <v>61</v>
      </c>
      <c r="AF892" t="s">
        <v>61</v>
      </c>
      <c r="AG892" t="s">
        <v>61</v>
      </c>
      <c r="AH892" t="s">
        <v>61</v>
      </c>
      <c r="AI892" t="s">
        <v>61</v>
      </c>
      <c r="AJ892" t="s">
        <v>61</v>
      </c>
      <c r="AK892" t="s">
        <v>61</v>
      </c>
      <c r="AL892" t="s">
        <v>61</v>
      </c>
      <c r="AM892" t="s">
        <v>7411</v>
      </c>
      <c r="AN892" t="s">
        <v>61</v>
      </c>
      <c r="AO892" t="s">
        <v>61</v>
      </c>
      <c r="AP892" t="s">
        <v>61</v>
      </c>
      <c r="AQ892" t="s">
        <v>61</v>
      </c>
      <c r="AR892" t="s">
        <v>61</v>
      </c>
      <c r="AS892" t="s">
        <v>61</v>
      </c>
      <c r="AT892" t="s">
        <v>61</v>
      </c>
      <c r="AU892" t="s">
        <v>61</v>
      </c>
      <c r="AV892" t="s">
        <v>61</v>
      </c>
      <c r="AW892" t="s">
        <v>61</v>
      </c>
      <c r="AX892" t="s">
        <v>61</v>
      </c>
      <c r="AY892" t="s">
        <v>61</v>
      </c>
      <c r="AZ892" t="s">
        <v>61</v>
      </c>
      <c r="BA892" t="s">
        <v>61</v>
      </c>
      <c r="BB892" t="s">
        <v>61</v>
      </c>
      <c r="BC892" t="s">
        <v>61</v>
      </c>
      <c r="BD892" t="s">
        <v>61</v>
      </c>
      <c r="BE892" t="s">
        <v>61</v>
      </c>
      <c r="BF892" t="s">
        <v>61</v>
      </c>
    </row>
    <row r="893" spans="1:58">
      <c r="A893" t="s">
        <v>58</v>
      </c>
      <c r="B893" t="s">
        <v>7418</v>
      </c>
      <c r="C893" t="s">
        <v>7419</v>
      </c>
      <c r="D893" t="s">
        <v>7412</v>
      </c>
      <c r="E893" t="s">
        <v>61</v>
      </c>
      <c r="F893">
        <v>2008</v>
      </c>
      <c r="G893" t="s">
        <v>237</v>
      </c>
      <c r="H893">
        <v>9</v>
      </c>
      <c r="I893">
        <v>6</v>
      </c>
      <c r="J893">
        <v>439</v>
      </c>
      <c r="K893">
        <v>448</v>
      </c>
      <c r="L893" t="s">
        <v>7420</v>
      </c>
      <c r="M893" t="s">
        <v>7421</v>
      </c>
      <c r="N893" t="s">
        <v>7422</v>
      </c>
      <c r="O893" t="s">
        <v>61</v>
      </c>
      <c r="Q893" t="s">
        <v>61</v>
      </c>
      <c r="R893" t="s">
        <v>61</v>
      </c>
      <c r="S893" t="s">
        <v>61</v>
      </c>
      <c r="T893" t="s">
        <v>61</v>
      </c>
      <c r="X893" t="s">
        <v>61</v>
      </c>
      <c r="Y893" t="s">
        <v>7423</v>
      </c>
      <c r="Z893" t="s">
        <v>61</v>
      </c>
      <c r="AA893" t="s">
        <v>7424</v>
      </c>
      <c r="AB893">
        <v>18585647</v>
      </c>
      <c r="AC893" t="s">
        <v>67</v>
      </c>
      <c r="AD893" t="s">
        <v>61</v>
      </c>
      <c r="AE893" t="s">
        <v>61</v>
      </c>
      <c r="AF893" t="s">
        <v>61</v>
      </c>
      <c r="AG893" t="s">
        <v>7425</v>
      </c>
      <c r="AH893" t="s">
        <v>61</v>
      </c>
      <c r="AI893" t="s">
        <v>7426</v>
      </c>
      <c r="AJ893" t="s">
        <v>61</v>
      </c>
      <c r="AK893" t="s">
        <v>61</v>
      </c>
      <c r="AL893" t="s">
        <v>61</v>
      </c>
      <c r="AM893" t="s">
        <v>7427</v>
      </c>
      <c r="AN893" t="s">
        <v>61</v>
      </c>
      <c r="AO893" t="s">
        <v>61</v>
      </c>
      <c r="AP893" t="s">
        <v>61</v>
      </c>
      <c r="AQ893" t="s">
        <v>61</v>
      </c>
      <c r="AR893" t="s">
        <v>61</v>
      </c>
      <c r="AS893" t="s">
        <v>61</v>
      </c>
      <c r="AT893" t="s">
        <v>61</v>
      </c>
      <c r="AU893" t="s">
        <v>61</v>
      </c>
      <c r="AV893" t="s">
        <v>61</v>
      </c>
      <c r="AW893" t="s">
        <v>61</v>
      </c>
      <c r="AX893" t="s">
        <v>61</v>
      </c>
      <c r="AY893" t="s">
        <v>61</v>
      </c>
      <c r="AZ893" t="s">
        <v>61</v>
      </c>
      <c r="BA893" t="s">
        <v>61</v>
      </c>
      <c r="BB893" t="s">
        <v>61</v>
      </c>
      <c r="BC893" t="s">
        <v>61</v>
      </c>
      <c r="BD893" t="s">
        <v>61</v>
      </c>
      <c r="BE893" t="s">
        <v>61</v>
      </c>
      <c r="BF893" t="s">
        <v>61</v>
      </c>
    </row>
    <row r="894" spans="1:58">
      <c r="A894" t="s">
        <v>58</v>
      </c>
      <c r="B894" t="s">
        <v>7428</v>
      </c>
      <c r="C894" t="s">
        <v>7429</v>
      </c>
      <c r="D894" t="s">
        <v>417</v>
      </c>
      <c r="E894" t="s">
        <v>61</v>
      </c>
      <c r="F894">
        <v>2009</v>
      </c>
      <c r="G894" t="s">
        <v>85</v>
      </c>
      <c r="H894">
        <v>31</v>
      </c>
      <c r="I894">
        <v>2</v>
      </c>
      <c r="J894">
        <v>165</v>
      </c>
      <c r="K894">
        <v>173</v>
      </c>
      <c r="L894" t="s">
        <v>7430</v>
      </c>
      <c r="M894" t="s">
        <v>7431</v>
      </c>
      <c r="N894" t="s">
        <v>7432</v>
      </c>
      <c r="O894" t="s">
        <v>61</v>
      </c>
      <c r="Q894" t="s">
        <v>61</v>
      </c>
      <c r="R894" t="s">
        <v>61</v>
      </c>
      <c r="S894" t="s">
        <v>61</v>
      </c>
      <c r="T894" t="s">
        <v>61</v>
      </c>
      <c r="X894" t="s">
        <v>61</v>
      </c>
      <c r="Y894" t="s">
        <v>3673</v>
      </c>
      <c r="Z894" t="s">
        <v>61</v>
      </c>
      <c r="AA894" t="s">
        <v>7433</v>
      </c>
      <c r="AB894">
        <v>19067223</v>
      </c>
      <c r="AC894" t="s">
        <v>67</v>
      </c>
      <c r="AD894" t="s">
        <v>61</v>
      </c>
      <c r="AE894" t="s">
        <v>61</v>
      </c>
      <c r="AF894" t="s">
        <v>61</v>
      </c>
      <c r="AG894" t="s">
        <v>7434</v>
      </c>
      <c r="AH894" t="s">
        <v>61</v>
      </c>
      <c r="AI894" t="s">
        <v>7435</v>
      </c>
      <c r="AJ894" t="s">
        <v>61</v>
      </c>
      <c r="AK894" t="s">
        <v>61</v>
      </c>
      <c r="AL894" t="s">
        <v>61</v>
      </c>
      <c r="AM894" t="s">
        <v>7436</v>
      </c>
      <c r="AN894" t="s">
        <v>61</v>
      </c>
      <c r="AO894" t="s">
        <v>61</v>
      </c>
      <c r="AP894" t="s">
        <v>61</v>
      </c>
      <c r="AQ894" t="s">
        <v>61</v>
      </c>
      <c r="AR894" t="s">
        <v>61</v>
      </c>
      <c r="AS894" t="s">
        <v>61</v>
      </c>
      <c r="AT894" t="s">
        <v>61</v>
      </c>
      <c r="AU894" t="s">
        <v>61</v>
      </c>
      <c r="AV894" t="s">
        <v>61</v>
      </c>
      <c r="AW894" t="s">
        <v>61</v>
      </c>
      <c r="AX894" t="s">
        <v>61</v>
      </c>
      <c r="AY894" t="s">
        <v>61</v>
      </c>
      <c r="AZ894" t="s">
        <v>61</v>
      </c>
      <c r="BA894" t="s">
        <v>61</v>
      </c>
      <c r="BB894" t="s">
        <v>61</v>
      </c>
      <c r="BC894" t="s">
        <v>61</v>
      </c>
      <c r="BD894" t="s">
        <v>61</v>
      </c>
      <c r="BE894" t="s">
        <v>61</v>
      </c>
      <c r="BF894" t="s">
        <v>61</v>
      </c>
    </row>
    <row r="895" spans="1:58">
      <c r="A895" t="s">
        <v>58</v>
      </c>
      <c r="B895" t="s">
        <v>7437</v>
      </c>
      <c r="C895" t="s">
        <v>7438</v>
      </c>
      <c r="D895" t="s">
        <v>4199</v>
      </c>
      <c r="E895" t="s">
        <v>61</v>
      </c>
      <c r="F895">
        <v>2015</v>
      </c>
      <c r="G895" t="s">
        <v>429</v>
      </c>
      <c r="H895" t="s">
        <v>7113</v>
      </c>
      <c r="I895" t="s">
        <v>61</v>
      </c>
      <c r="J895" t="s">
        <v>7439</v>
      </c>
      <c r="K895" t="s">
        <v>61</v>
      </c>
      <c r="L895" t="s">
        <v>7440</v>
      </c>
      <c r="M895" t="s">
        <v>7441</v>
      </c>
      <c r="N895" t="s">
        <v>7442</v>
      </c>
      <c r="O895" t="s">
        <v>61</v>
      </c>
      <c r="Q895" t="s">
        <v>61</v>
      </c>
      <c r="R895" t="s">
        <v>61</v>
      </c>
      <c r="S895" t="s">
        <v>61</v>
      </c>
      <c r="T895" t="s">
        <v>61</v>
      </c>
      <c r="X895" t="s">
        <v>61</v>
      </c>
      <c r="Y895" t="s">
        <v>7118</v>
      </c>
      <c r="Z895" t="s">
        <v>61</v>
      </c>
      <c r="AA895" t="s">
        <v>61</v>
      </c>
      <c r="AB895" t="s">
        <v>61</v>
      </c>
      <c r="AC895" t="s">
        <v>67</v>
      </c>
      <c r="AD895" t="s">
        <v>61</v>
      </c>
      <c r="AE895" t="s">
        <v>61</v>
      </c>
      <c r="AF895" t="s">
        <v>61</v>
      </c>
      <c r="AG895" t="s">
        <v>61</v>
      </c>
      <c r="AH895" t="s">
        <v>61</v>
      </c>
      <c r="AI895" t="s">
        <v>61</v>
      </c>
      <c r="AJ895" t="s">
        <v>61</v>
      </c>
      <c r="AK895" t="s">
        <v>61</v>
      </c>
      <c r="AL895" t="s">
        <v>61</v>
      </c>
      <c r="AM895" t="s">
        <v>7438</v>
      </c>
      <c r="AN895" t="s">
        <v>61</v>
      </c>
      <c r="AO895" t="s">
        <v>61</v>
      </c>
      <c r="AP895" t="s">
        <v>61</v>
      </c>
      <c r="AQ895" t="s">
        <v>61</v>
      </c>
      <c r="AR895" t="s">
        <v>61</v>
      </c>
      <c r="AS895" t="s">
        <v>61</v>
      </c>
      <c r="AT895" t="s">
        <v>61</v>
      </c>
      <c r="AU895" t="s">
        <v>61</v>
      </c>
      <c r="AV895" t="s">
        <v>61</v>
      </c>
      <c r="AW895" t="s">
        <v>61</v>
      </c>
      <c r="AX895" t="s">
        <v>61</v>
      </c>
      <c r="AY895" t="s">
        <v>61</v>
      </c>
      <c r="AZ895" t="s">
        <v>61</v>
      </c>
      <c r="BA895" t="s">
        <v>61</v>
      </c>
      <c r="BB895" t="s">
        <v>61</v>
      </c>
      <c r="BC895" t="s">
        <v>61</v>
      </c>
      <c r="BD895" t="s">
        <v>61</v>
      </c>
      <c r="BE895" t="s">
        <v>61</v>
      </c>
      <c r="BF895" t="s">
        <v>61</v>
      </c>
    </row>
    <row r="896" spans="1:58">
      <c r="A896" t="s">
        <v>58</v>
      </c>
      <c r="B896" t="s">
        <v>7443</v>
      </c>
      <c r="C896" t="s">
        <v>7444</v>
      </c>
      <c r="D896" t="s">
        <v>408</v>
      </c>
      <c r="E896" t="s">
        <v>408</v>
      </c>
      <c r="F896">
        <v>2012</v>
      </c>
      <c r="G896" t="s">
        <v>645</v>
      </c>
      <c r="H896">
        <v>32</v>
      </c>
      <c r="I896">
        <v>10</v>
      </c>
      <c r="J896" t="s">
        <v>7445</v>
      </c>
      <c r="K896" t="s">
        <v>61</v>
      </c>
      <c r="L896" t="s">
        <v>7446</v>
      </c>
      <c r="M896" t="s">
        <v>7447</v>
      </c>
      <c r="N896" t="s">
        <v>7448</v>
      </c>
      <c r="O896" t="s">
        <v>61</v>
      </c>
      <c r="Q896" t="s">
        <v>61</v>
      </c>
      <c r="R896" t="s">
        <v>61</v>
      </c>
      <c r="S896" t="s">
        <v>61</v>
      </c>
      <c r="T896" t="s">
        <v>61</v>
      </c>
      <c r="X896" t="s">
        <v>61</v>
      </c>
      <c r="Y896" t="s">
        <v>414</v>
      </c>
      <c r="Z896" t="s">
        <v>61</v>
      </c>
      <c r="AA896" t="s">
        <v>61</v>
      </c>
      <c r="AB896" t="s">
        <v>61</v>
      </c>
      <c r="AC896" t="s">
        <v>67</v>
      </c>
      <c r="AD896" t="s">
        <v>61</v>
      </c>
      <c r="AE896" t="s">
        <v>61</v>
      </c>
      <c r="AF896" t="s">
        <v>61</v>
      </c>
      <c r="AG896" t="s">
        <v>61</v>
      </c>
      <c r="AH896" t="s">
        <v>61</v>
      </c>
      <c r="AI896" t="s">
        <v>61</v>
      </c>
      <c r="AJ896" t="s">
        <v>61</v>
      </c>
      <c r="AK896" t="s">
        <v>61</v>
      </c>
      <c r="AL896" t="s">
        <v>61</v>
      </c>
      <c r="AM896" t="s">
        <v>7444</v>
      </c>
      <c r="AN896" t="s">
        <v>61</v>
      </c>
      <c r="AO896" t="s">
        <v>61</v>
      </c>
      <c r="AP896" t="s">
        <v>61</v>
      </c>
      <c r="AQ896" t="s">
        <v>61</v>
      </c>
      <c r="AR896" t="s">
        <v>61</v>
      </c>
      <c r="AS896" t="s">
        <v>61</v>
      </c>
      <c r="AT896" t="s">
        <v>61</v>
      </c>
      <c r="AU896" t="s">
        <v>61</v>
      </c>
      <c r="AV896" t="s">
        <v>61</v>
      </c>
      <c r="AW896" t="s">
        <v>61</v>
      </c>
      <c r="AX896" t="s">
        <v>61</v>
      </c>
      <c r="AY896" t="s">
        <v>61</v>
      </c>
      <c r="AZ896" t="s">
        <v>61</v>
      </c>
      <c r="BA896" t="s">
        <v>61</v>
      </c>
      <c r="BB896" t="s">
        <v>61</v>
      </c>
      <c r="BC896" t="s">
        <v>61</v>
      </c>
      <c r="BD896" t="s">
        <v>61</v>
      </c>
      <c r="BE896" t="s">
        <v>61</v>
      </c>
      <c r="BF896" t="s">
        <v>61</v>
      </c>
    </row>
    <row r="897" spans="1:58">
      <c r="A897" t="s">
        <v>58</v>
      </c>
      <c r="B897" t="s">
        <v>7449</v>
      </c>
      <c r="C897" t="s">
        <v>7450</v>
      </c>
      <c r="D897" t="s">
        <v>1362</v>
      </c>
      <c r="E897" t="s">
        <v>61</v>
      </c>
      <c r="F897">
        <v>2012</v>
      </c>
      <c r="G897" t="s">
        <v>429</v>
      </c>
      <c r="H897" t="s">
        <v>7451</v>
      </c>
      <c r="I897" t="s">
        <v>61</v>
      </c>
      <c r="J897">
        <v>70</v>
      </c>
      <c r="K897" t="s">
        <v>61</v>
      </c>
      <c r="L897" t="s">
        <v>7452</v>
      </c>
      <c r="M897" t="s">
        <v>7453</v>
      </c>
      <c r="N897" t="s">
        <v>7454</v>
      </c>
      <c r="O897" t="s">
        <v>61</v>
      </c>
      <c r="Q897" t="s">
        <v>61</v>
      </c>
      <c r="R897" t="s">
        <v>61</v>
      </c>
      <c r="S897" t="s">
        <v>61</v>
      </c>
      <c r="T897" t="s">
        <v>61</v>
      </c>
      <c r="X897" t="s">
        <v>61</v>
      </c>
      <c r="Y897" t="s">
        <v>1367</v>
      </c>
      <c r="Z897" t="s">
        <v>61</v>
      </c>
      <c r="AA897" t="s">
        <v>61</v>
      </c>
      <c r="AB897" t="s">
        <v>61</v>
      </c>
      <c r="AC897" t="s">
        <v>67</v>
      </c>
      <c r="AD897" t="s">
        <v>61</v>
      </c>
      <c r="AE897" t="s">
        <v>61</v>
      </c>
      <c r="AF897" t="s">
        <v>61</v>
      </c>
      <c r="AG897" t="s">
        <v>61</v>
      </c>
      <c r="AH897" t="s">
        <v>61</v>
      </c>
      <c r="AI897" t="s">
        <v>61</v>
      </c>
      <c r="AJ897" t="s">
        <v>61</v>
      </c>
      <c r="AK897" t="s">
        <v>61</v>
      </c>
      <c r="AL897" t="s">
        <v>61</v>
      </c>
      <c r="AM897" t="s">
        <v>7450</v>
      </c>
      <c r="AN897" t="s">
        <v>61</v>
      </c>
      <c r="AO897" t="s">
        <v>61</v>
      </c>
      <c r="AP897" t="s">
        <v>61</v>
      </c>
      <c r="AQ897" t="s">
        <v>61</v>
      </c>
      <c r="AR897" t="s">
        <v>61</v>
      </c>
      <c r="AS897" t="s">
        <v>61</v>
      </c>
      <c r="AT897" t="s">
        <v>61</v>
      </c>
      <c r="AU897" t="s">
        <v>61</v>
      </c>
      <c r="AV897" t="s">
        <v>61</v>
      </c>
      <c r="AW897" t="s">
        <v>61</v>
      </c>
      <c r="AX897" t="s">
        <v>61</v>
      </c>
      <c r="AY897" t="s">
        <v>61</v>
      </c>
      <c r="AZ897" t="s">
        <v>61</v>
      </c>
      <c r="BA897" t="s">
        <v>61</v>
      </c>
      <c r="BB897" t="s">
        <v>61</v>
      </c>
      <c r="BC897" t="s">
        <v>61</v>
      </c>
      <c r="BD897" t="s">
        <v>61</v>
      </c>
      <c r="BE897" t="s">
        <v>61</v>
      </c>
      <c r="BF897" t="s">
        <v>61</v>
      </c>
    </row>
    <row r="898" spans="1:58">
      <c r="A898" t="s">
        <v>58</v>
      </c>
      <c r="B898" t="s">
        <v>7455</v>
      </c>
      <c r="C898" t="s">
        <v>7456</v>
      </c>
      <c r="D898" t="s">
        <v>3768</v>
      </c>
      <c r="E898" t="s">
        <v>3769</v>
      </c>
      <c r="F898">
        <v>1992</v>
      </c>
      <c r="G898" t="s">
        <v>391</v>
      </c>
      <c r="H898">
        <v>53</v>
      </c>
      <c r="I898">
        <v>2</v>
      </c>
      <c r="J898">
        <v>101</v>
      </c>
      <c r="K898">
        <v>105</v>
      </c>
      <c r="L898" t="s">
        <v>7457</v>
      </c>
      <c r="M898" t="s">
        <v>7458</v>
      </c>
      <c r="N898" t="s">
        <v>7459</v>
      </c>
      <c r="O898" t="s">
        <v>61</v>
      </c>
      <c r="Q898" t="s">
        <v>61</v>
      </c>
      <c r="R898" t="s">
        <v>61</v>
      </c>
      <c r="S898" t="s">
        <v>61</v>
      </c>
      <c r="T898" t="s">
        <v>61</v>
      </c>
      <c r="X898" t="s">
        <v>61</v>
      </c>
      <c r="Y898" t="s">
        <v>3773</v>
      </c>
      <c r="Z898" t="s">
        <v>61</v>
      </c>
      <c r="AA898" t="s">
        <v>7460</v>
      </c>
      <c r="AB898">
        <v>1560662</v>
      </c>
      <c r="AC898" t="s">
        <v>67</v>
      </c>
      <c r="AD898" t="s">
        <v>61</v>
      </c>
      <c r="AE898" t="s">
        <v>61</v>
      </c>
      <c r="AF898" t="s">
        <v>61</v>
      </c>
      <c r="AG898" t="s">
        <v>7461</v>
      </c>
      <c r="AH898" t="s">
        <v>61</v>
      </c>
      <c r="AI898" t="s">
        <v>61</v>
      </c>
      <c r="AJ898" t="s">
        <v>61</v>
      </c>
      <c r="AK898" t="s">
        <v>61</v>
      </c>
      <c r="AL898" t="s">
        <v>61</v>
      </c>
      <c r="AM898" t="s">
        <v>7462</v>
      </c>
      <c r="AN898" t="s">
        <v>61</v>
      </c>
      <c r="AO898" t="s">
        <v>61</v>
      </c>
      <c r="AP898" t="s">
        <v>61</v>
      </c>
      <c r="AQ898" t="s">
        <v>61</v>
      </c>
      <c r="AR898" t="s">
        <v>61</v>
      </c>
      <c r="AS898" t="s">
        <v>61</v>
      </c>
      <c r="AT898" t="s">
        <v>61</v>
      </c>
      <c r="AU898" t="s">
        <v>61</v>
      </c>
      <c r="AV898" t="s">
        <v>61</v>
      </c>
      <c r="AW898" t="s">
        <v>61</v>
      </c>
      <c r="AX898" t="s">
        <v>61</v>
      </c>
      <c r="AY898" t="s">
        <v>61</v>
      </c>
      <c r="AZ898" t="s">
        <v>61</v>
      </c>
      <c r="BA898" t="s">
        <v>61</v>
      </c>
      <c r="BB898" t="s">
        <v>61</v>
      </c>
      <c r="BC898" t="s">
        <v>61</v>
      </c>
      <c r="BD898" t="s">
        <v>61</v>
      </c>
      <c r="BE898" t="s">
        <v>61</v>
      </c>
      <c r="BF898" t="s">
        <v>61</v>
      </c>
    </row>
    <row r="899" spans="1:58">
      <c r="A899" t="s">
        <v>58</v>
      </c>
      <c r="B899" t="s">
        <v>7463</v>
      </c>
      <c r="C899" t="s">
        <v>7464</v>
      </c>
      <c r="D899" t="s">
        <v>7465</v>
      </c>
      <c r="E899" t="s">
        <v>61</v>
      </c>
      <c r="F899">
        <v>2013</v>
      </c>
      <c r="G899" t="s">
        <v>61</v>
      </c>
      <c r="H899">
        <v>26</v>
      </c>
      <c r="I899">
        <v>2</v>
      </c>
      <c r="J899">
        <v>179</v>
      </c>
      <c r="K899" t="s">
        <v>7466</v>
      </c>
      <c r="L899" t="s">
        <v>7467</v>
      </c>
      <c r="M899" t="s">
        <v>7468</v>
      </c>
      <c r="N899" t="s">
        <v>7469</v>
      </c>
      <c r="O899" t="s">
        <v>61</v>
      </c>
      <c r="Q899" t="s">
        <v>61</v>
      </c>
      <c r="R899" t="s">
        <v>61</v>
      </c>
      <c r="S899" t="s">
        <v>61</v>
      </c>
      <c r="T899" t="s">
        <v>61</v>
      </c>
      <c r="X899" t="s">
        <v>61</v>
      </c>
      <c r="Y899" t="s">
        <v>7470</v>
      </c>
      <c r="Z899" t="s">
        <v>61</v>
      </c>
      <c r="AA899" t="s">
        <v>7471</v>
      </c>
      <c r="AB899">
        <v>104186025</v>
      </c>
      <c r="AC899" t="s">
        <v>67</v>
      </c>
      <c r="AD899" t="s">
        <v>61</v>
      </c>
      <c r="AE899" t="s">
        <v>61</v>
      </c>
      <c r="AF899" t="s">
        <v>61</v>
      </c>
      <c r="AG899" t="s">
        <v>7472</v>
      </c>
      <c r="AH899" t="s">
        <v>61</v>
      </c>
      <c r="AI899" t="s">
        <v>61</v>
      </c>
      <c r="AJ899" t="s">
        <v>61</v>
      </c>
      <c r="AK899" t="s">
        <v>61</v>
      </c>
      <c r="AL899" t="s">
        <v>61</v>
      </c>
      <c r="AM899" t="s">
        <v>7473</v>
      </c>
      <c r="AN899" t="s">
        <v>61</v>
      </c>
      <c r="AO899" t="s">
        <v>61</v>
      </c>
      <c r="AP899" t="s">
        <v>61</v>
      </c>
      <c r="AQ899" t="s">
        <v>61</v>
      </c>
      <c r="AR899" t="s">
        <v>61</v>
      </c>
      <c r="AS899" t="s">
        <v>61</v>
      </c>
      <c r="AT899" t="s">
        <v>61</v>
      </c>
      <c r="AU899" t="s">
        <v>61</v>
      </c>
      <c r="AV899" t="s">
        <v>61</v>
      </c>
      <c r="AW899" t="s">
        <v>61</v>
      </c>
      <c r="AX899" t="s">
        <v>61</v>
      </c>
      <c r="AY899" t="s">
        <v>61</v>
      </c>
      <c r="AZ899" t="s">
        <v>61</v>
      </c>
      <c r="BA899" t="s">
        <v>61</v>
      </c>
      <c r="BB899" t="s">
        <v>61</v>
      </c>
      <c r="BC899" t="s">
        <v>61</v>
      </c>
      <c r="BD899" t="s">
        <v>61</v>
      </c>
      <c r="BE899" t="s">
        <v>61</v>
      </c>
      <c r="BF899" t="s">
        <v>61</v>
      </c>
    </row>
    <row r="900" spans="1:58">
      <c r="A900" t="s">
        <v>58</v>
      </c>
      <c r="B900" t="s">
        <v>7474</v>
      </c>
      <c r="C900" t="s">
        <v>7475</v>
      </c>
      <c r="D900" t="s">
        <v>153</v>
      </c>
      <c r="E900" t="s">
        <v>61</v>
      </c>
      <c r="F900">
        <v>2009</v>
      </c>
      <c r="G900" t="s">
        <v>154</v>
      </c>
      <c r="H900">
        <v>49</v>
      </c>
      <c r="I900">
        <v>4</v>
      </c>
      <c r="J900">
        <v>519</v>
      </c>
      <c r="K900">
        <v>528</v>
      </c>
      <c r="L900" t="s">
        <v>7476</v>
      </c>
      <c r="M900" t="s">
        <v>7477</v>
      </c>
      <c r="N900" t="s">
        <v>7478</v>
      </c>
      <c r="O900" t="s">
        <v>61</v>
      </c>
      <c r="Q900" t="s">
        <v>61</v>
      </c>
      <c r="R900" t="s">
        <v>61</v>
      </c>
      <c r="S900" t="s">
        <v>61</v>
      </c>
      <c r="T900" t="s">
        <v>61</v>
      </c>
      <c r="X900" t="s">
        <v>61</v>
      </c>
      <c r="Y900" t="s">
        <v>157</v>
      </c>
      <c r="Z900" t="s">
        <v>61</v>
      </c>
      <c r="AA900" t="s">
        <v>7479</v>
      </c>
      <c r="AB900">
        <v>19589764</v>
      </c>
      <c r="AC900" t="s">
        <v>67</v>
      </c>
      <c r="AD900" t="s">
        <v>61</v>
      </c>
      <c r="AE900" t="s">
        <v>61</v>
      </c>
      <c r="AF900" t="s">
        <v>61</v>
      </c>
      <c r="AG900" t="s">
        <v>7480</v>
      </c>
      <c r="AH900" t="s">
        <v>61</v>
      </c>
      <c r="AI900" t="s">
        <v>7481</v>
      </c>
      <c r="AJ900" t="s">
        <v>61</v>
      </c>
      <c r="AK900" t="s">
        <v>61</v>
      </c>
      <c r="AL900" t="s">
        <v>61</v>
      </c>
      <c r="AM900" t="s">
        <v>7482</v>
      </c>
      <c r="AN900" t="s">
        <v>61</v>
      </c>
      <c r="AO900" t="s">
        <v>61</v>
      </c>
      <c r="AP900" t="s">
        <v>61</v>
      </c>
      <c r="AQ900" t="s">
        <v>61</v>
      </c>
      <c r="AR900" t="s">
        <v>61</v>
      </c>
      <c r="AS900" t="s">
        <v>61</v>
      </c>
      <c r="AT900" t="s">
        <v>61</v>
      </c>
      <c r="AU900" t="s">
        <v>61</v>
      </c>
      <c r="AV900" t="s">
        <v>61</v>
      </c>
      <c r="AW900" t="s">
        <v>61</v>
      </c>
      <c r="AX900" t="s">
        <v>61</v>
      </c>
      <c r="AY900" t="s">
        <v>61</v>
      </c>
      <c r="AZ900" t="s">
        <v>61</v>
      </c>
      <c r="BA900" t="s">
        <v>61</v>
      </c>
      <c r="BB900" t="s">
        <v>61</v>
      </c>
      <c r="BC900" t="s">
        <v>61</v>
      </c>
      <c r="BD900" t="s">
        <v>61</v>
      </c>
      <c r="BE900" t="s">
        <v>61</v>
      </c>
      <c r="BF900" t="s">
        <v>61</v>
      </c>
    </row>
    <row r="901" spans="1:58">
      <c r="A901" t="s">
        <v>58</v>
      </c>
      <c r="B901" t="s">
        <v>7483</v>
      </c>
      <c r="C901" t="s">
        <v>7484</v>
      </c>
      <c r="D901" t="s">
        <v>7485</v>
      </c>
      <c r="E901" t="s">
        <v>7486</v>
      </c>
      <c r="F901">
        <v>1979</v>
      </c>
      <c r="G901" t="s">
        <v>61</v>
      </c>
      <c r="H901">
        <v>15</v>
      </c>
      <c r="I901">
        <v>4</v>
      </c>
      <c r="J901">
        <v>393</v>
      </c>
      <c r="K901">
        <v>400</v>
      </c>
      <c r="L901" t="s">
        <v>7487</v>
      </c>
      <c r="M901" t="s">
        <v>7488</v>
      </c>
      <c r="N901" t="s">
        <v>7489</v>
      </c>
      <c r="O901" t="s">
        <v>61</v>
      </c>
      <c r="Q901" t="s">
        <v>61</v>
      </c>
      <c r="R901" t="s">
        <v>61</v>
      </c>
      <c r="S901" t="s">
        <v>61</v>
      </c>
      <c r="T901" t="s">
        <v>61</v>
      </c>
      <c r="X901" t="s">
        <v>61</v>
      </c>
      <c r="Y901" s="2">
        <v>2706327</v>
      </c>
      <c r="Z901" t="s">
        <v>61</v>
      </c>
      <c r="AA901" t="s">
        <v>61</v>
      </c>
      <c r="AB901">
        <v>1980118162</v>
      </c>
      <c r="AC901" t="s">
        <v>67</v>
      </c>
      <c r="AD901" t="s">
        <v>61</v>
      </c>
      <c r="AE901" t="s">
        <v>61</v>
      </c>
      <c r="AF901" t="s">
        <v>61</v>
      </c>
      <c r="AG901" t="s">
        <v>7490</v>
      </c>
      <c r="AH901" t="s">
        <v>61</v>
      </c>
      <c r="AI901" t="s">
        <v>61</v>
      </c>
      <c r="AJ901" t="s">
        <v>61</v>
      </c>
      <c r="AK901" t="s">
        <v>61</v>
      </c>
      <c r="AL901" t="s">
        <v>61</v>
      </c>
      <c r="AM901" t="s">
        <v>7491</v>
      </c>
      <c r="AN901" t="s">
        <v>61</v>
      </c>
      <c r="AO901" t="s">
        <v>61</v>
      </c>
      <c r="AP901" t="s">
        <v>61</v>
      </c>
      <c r="AQ901" t="s">
        <v>61</v>
      </c>
      <c r="AR901" t="s">
        <v>61</v>
      </c>
      <c r="AS901" t="s">
        <v>61</v>
      </c>
      <c r="AT901" t="s">
        <v>61</v>
      </c>
      <c r="AU901" t="s">
        <v>61</v>
      </c>
      <c r="AV901" t="s">
        <v>61</v>
      </c>
      <c r="AW901" t="s">
        <v>61</v>
      </c>
      <c r="AX901" t="s">
        <v>61</v>
      </c>
      <c r="AY901" t="s">
        <v>61</v>
      </c>
      <c r="AZ901" t="s">
        <v>61</v>
      </c>
      <c r="BA901" t="s">
        <v>61</v>
      </c>
      <c r="BB901" t="s">
        <v>61</v>
      </c>
      <c r="BC901" t="s">
        <v>61</v>
      </c>
      <c r="BD901" t="s">
        <v>61</v>
      </c>
      <c r="BE901" t="s">
        <v>61</v>
      </c>
      <c r="BF901" t="s">
        <v>61</v>
      </c>
    </row>
    <row r="902" spans="1:58">
      <c r="A902" t="s">
        <v>58</v>
      </c>
      <c r="B902" t="s">
        <v>7492</v>
      </c>
      <c r="C902" t="s">
        <v>7493</v>
      </c>
      <c r="D902" t="s">
        <v>162</v>
      </c>
      <c r="E902" t="s">
        <v>163</v>
      </c>
      <c r="F902">
        <v>2014</v>
      </c>
      <c r="G902" t="s">
        <v>344</v>
      </c>
      <c r="H902">
        <v>54</v>
      </c>
      <c r="I902">
        <v>9</v>
      </c>
      <c r="J902">
        <v>968</v>
      </c>
      <c r="K902">
        <v>978</v>
      </c>
      <c r="L902" t="s">
        <v>7494</v>
      </c>
      <c r="M902" t="s">
        <v>7495</v>
      </c>
      <c r="N902" t="s">
        <v>7496</v>
      </c>
      <c r="O902" t="s">
        <v>61</v>
      </c>
      <c r="Q902" t="s">
        <v>61</v>
      </c>
      <c r="R902" t="s">
        <v>61</v>
      </c>
      <c r="S902" t="s">
        <v>61</v>
      </c>
      <c r="T902" t="s">
        <v>61</v>
      </c>
      <c r="X902" t="s">
        <v>61</v>
      </c>
      <c r="Y902" t="s">
        <v>5107</v>
      </c>
      <c r="Z902" t="s">
        <v>61</v>
      </c>
      <c r="AA902" t="s">
        <v>61</v>
      </c>
      <c r="AB902">
        <v>2014524996</v>
      </c>
      <c r="AC902" t="s">
        <v>67</v>
      </c>
      <c r="AD902" t="s">
        <v>61</v>
      </c>
      <c r="AE902" t="s">
        <v>61</v>
      </c>
      <c r="AF902" t="s">
        <v>61</v>
      </c>
      <c r="AG902" t="s">
        <v>7497</v>
      </c>
      <c r="AH902" t="s">
        <v>61</v>
      </c>
      <c r="AI902" t="s">
        <v>61</v>
      </c>
      <c r="AJ902" t="s">
        <v>61</v>
      </c>
      <c r="AK902" t="s">
        <v>61</v>
      </c>
      <c r="AL902" t="s">
        <v>61</v>
      </c>
      <c r="AM902" t="s">
        <v>7498</v>
      </c>
      <c r="AN902" t="s">
        <v>61</v>
      </c>
      <c r="AO902" t="s">
        <v>61</v>
      </c>
      <c r="AP902" t="s">
        <v>61</v>
      </c>
      <c r="AQ902" t="s">
        <v>61</v>
      </c>
      <c r="AR902" t="s">
        <v>61</v>
      </c>
      <c r="AS902" t="s">
        <v>61</v>
      </c>
      <c r="AT902" t="s">
        <v>61</v>
      </c>
      <c r="AU902" t="s">
        <v>61</v>
      </c>
      <c r="AV902" t="s">
        <v>61</v>
      </c>
      <c r="AW902" t="s">
        <v>61</v>
      </c>
      <c r="AX902" t="s">
        <v>61</v>
      </c>
      <c r="AY902" t="s">
        <v>61</v>
      </c>
      <c r="AZ902" t="s">
        <v>61</v>
      </c>
      <c r="BA902" t="s">
        <v>61</v>
      </c>
      <c r="BB902" t="s">
        <v>61</v>
      </c>
      <c r="BC902" t="s">
        <v>61</v>
      </c>
      <c r="BD902" t="s">
        <v>61</v>
      </c>
      <c r="BE902" t="s">
        <v>61</v>
      </c>
      <c r="BF902" t="s">
        <v>61</v>
      </c>
    </row>
    <row r="903" spans="1:58">
      <c r="A903" t="s">
        <v>58</v>
      </c>
      <c r="B903" t="s">
        <v>7499</v>
      </c>
      <c r="C903" t="s">
        <v>7500</v>
      </c>
      <c r="D903" t="s">
        <v>876</v>
      </c>
      <c r="E903" t="s">
        <v>877</v>
      </c>
      <c r="F903">
        <v>2007</v>
      </c>
      <c r="G903" s="1">
        <v>42658</v>
      </c>
      <c r="H903">
        <v>71</v>
      </c>
      <c r="I903">
        <v>5</v>
      </c>
      <c r="J903">
        <v>94</v>
      </c>
      <c r="K903" t="s">
        <v>61</v>
      </c>
      <c r="L903" t="s">
        <v>7501</v>
      </c>
      <c r="M903" t="s">
        <v>7502</v>
      </c>
      <c r="N903" t="s">
        <v>7503</v>
      </c>
      <c r="O903" t="s">
        <v>61</v>
      </c>
      <c r="Q903" t="s">
        <v>61</v>
      </c>
      <c r="R903" t="s">
        <v>61</v>
      </c>
      <c r="S903" t="s">
        <v>61</v>
      </c>
      <c r="T903" t="s">
        <v>61</v>
      </c>
      <c r="X903" t="s">
        <v>61</v>
      </c>
      <c r="Y903" t="s">
        <v>881</v>
      </c>
      <c r="Z903" t="s">
        <v>61</v>
      </c>
      <c r="AA903" t="s">
        <v>7504</v>
      </c>
      <c r="AB903">
        <v>17998991</v>
      </c>
      <c r="AC903" t="s">
        <v>67</v>
      </c>
      <c r="AD903" t="s">
        <v>61</v>
      </c>
      <c r="AE903" t="s">
        <v>61</v>
      </c>
      <c r="AF903" t="s">
        <v>61</v>
      </c>
      <c r="AG903" t="s">
        <v>7505</v>
      </c>
      <c r="AH903" t="s">
        <v>61</v>
      </c>
      <c r="AI903" t="s">
        <v>61</v>
      </c>
      <c r="AJ903" t="s">
        <v>61</v>
      </c>
      <c r="AK903" t="s">
        <v>61</v>
      </c>
      <c r="AL903" t="s">
        <v>61</v>
      </c>
      <c r="AM903" t="s">
        <v>7506</v>
      </c>
      <c r="AN903" t="s">
        <v>61</v>
      </c>
      <c r="AO903" t="s">
        <v>61</v>
      </c>
      <c r="AP903" t="s">
        <v>61</v>
      </c>
      <c r="AQ903" t="s">
        <v>61</v>
      </c>
      <c r="AR903" t="s">
        <v>61</v>
      </c>
      <c r="AS903" t="s">
        <v>61</v>
      </c>
      <c r="AT903" t="s">
        <v>61</v>
      </c>
      <c r="AU903" t="s">
        <v>61</v>
      </c>
      <c r="AV903" t="s">
        <v>61</v>
      </c>
      <c r="AW903" t="s">
        <v>61</v>
      </c>
      <c r="AX903" t="s">
        <v>61</v>
      </c>
      <c r="AY903" t="s">
        <v>61</v>
      </c>
      <c r="AZ903" t="s">
        <v>61</v>
      </c>
      <c r="BA903" t="s">
        <v>61</v>
      </c>
      <c r="BB903" t="s">
        <v>61</v>
      </c>
      <c r="BC903" t="s">
        <v>61</v>
      </c>
      <c r="BD903" t="s">
        <v>61</v>
      </c>
      <c r="BE903" t="s">
        <v>61</v>
      </c>
      <c r="BF903" t="s">
        <v>61</v>
      </c>
    </row>
    <row r="904" spans="1:58">
      <c r="A904" t="s">
        <v>58</v>
      </c>
      <c r="B904" t="s">
        <v>7507</v>
      </c>
      <c r="C904" t="s">
        <v>7508</v>
      </c>
      <c r="D904" t="s">
        <v>428</v>
      </c>
      <c r="E904" t="s">
        <v>61</v>
      </c>
      <c r="F904">
        <v>2012</v>
      </c>
      <c r="G904" t="s">
        <v>429</v>
      </c>
      <c r="H904">
        <v>25</v>
      </c>
      <c r="I904">
        <v>2</v>
      </c>
      <c r="J904">
        <v>293</v>
      </c>
      <c r="K904">
        <v>294</v>
      </c>
      <c r="L904" t="s">
        <v>7509</v>
      </c>
      <c r="M904" t="s">
        <v>7510</v>
      </c>
      <c r="N904" t="s">
        <v>7511</v>
      </c>
      <c r="O904" t="s">
        <v>61</v>
      </c>
      <c r="Q904" t="s">
        <v>61</v>
      </c>
      <c r="R904" t="s">
        <v>61</v>
      </c>
      <c r="S904" t="s">
        <v>61</v>
      </c>
      <c r="T904" t="s">
        <v>61</v>
      </c>
      <c r="X904" t="s">
        <v>61</v>
      </c>
      <c r="Y904" t="s">
        <v>433</v>
      </c>
      <c r="Z904" t="s">
        <v>61</v>
      </c>
      <c r="AA904" t="s">
        <v>61</v>
      </c>
      <c r="AB904" t="s">
        <v>61</v>
      </c>
      <c r="AC904" t="s">
        <v>67</v>
      </c>
      <c r="AD904" t="s">
        <v>61</v>
      </c>
      <c r="AE904" t="s">
        <v>61</v>
      </c>
      <c r="AF904" t="s">
        <v>61</v>
      </c>
      <c r="AG904" t="s">
        <v>61</v>
      </c>
      <c r="AH904" t="s">
        <v>61</v>
      </c>
      <c r="AI904" t="s">
        <v>61</v>
      </c>
      <c r="AJ904" t="s">
        <v>61</v>
      </c>
      <c r="AK904" t="s">
        <v>61</v>
      </c>
      <c r="AL904" t="s">
        <v>61</v>
      </c>
      <c r="AM904" t="s">
        <v>7508</v>
      </c>
      <c r="AN904" t="s">
        <v>61</v>
      </c>
      <c r="AO904" t="s">
        <v>61</v>
      </c>
      <c r="AP904" t="s">
        <v>61</v>
      </c>
      <c r="AQ904" t="s">
        <v>61</v>
      </c>
      <c r="AR904" t="s">
        <v>61</v>
      </c>
      <c r="AS904" t="s">
        <v>61</v>
      </c>
      <c r="AT904" t="s">
        <v>61</v>
      </c>
      <c r="AU904" t="s">
        <v>61</v>
      </c>
      <c r="AV904" t="s">
        <v>61</v>
      </c>
      <c r="AW904" t="s">
        <v>61</v>
      </c>
      <c r="AX904" t="s">
        <v>61</v>
      </c>
      <c r="AY904" t="s">
        <v>61</v>
      </c>
      <c r="AZ904" t="s">
        <v>61</v>
      </c>
      <c r="BA904" t="s">
        <v>61</v>
      </c>
      <c r="BB904" t="s">
        <v>61</v>
      </c>
      <c r="BC904" t="s">
        <v>61</v>
      </c>
      <c r="BD904" t="s">
        <v>61</v>
      </c>
      <c r="BE904" t="s">
        <v>61</v>
      </c>
      <c r="BF904" t="s">
        <v>61</v>
      </c>
    </row>
    <row r="905" spans="1:58">
      <c r="A905" t="s">
        <v>58</v>
      </c>
      <c r="B905" t="s">
        <v>7512</v>
      </c>
      <c r="C905" t="s">
        <v>7513</v>
      </c>
      <c r="D905" t="s">
        <v>7514</v>
      </c>
      <c r="E905" t="s">
        <v>61</v>
      </c>
      <c r="F905">
        <v>2012</v>
      </c>
      <c r="G905" t="s">
        <v>538</v>
      </c>
      <c r="H905">
        <v>17</v>
      </c>
      <c r="I905">
        <v>1</v>
      </c>
      <c r="J905">
        <v>43</v>
      </c>
      <c r="K905">
        <v>60</v>
      </c>
      <c r="L905" t="s">
        <v>7515</v>
      </c>
      <c r="M905" t="s">
        <v>7516</v>
      </c>
      <c r="N905" t="s">
        <v>7517</v>
      </c>
      <c r="O905" t="s">
        <v>61</v>
      </c>
      <c r="Q905" t="s">
        <v>61</v>
      </c>
      <c r="R905" t="s">
        <v>61</v>
      </c>
      <c r="S905" t="s">
        <v>61</v>
      </c>
      <c r="T905" t="s">
        <v>61</v>
      </c>
      <c r="X905" t="s">
        <v>61</v>
      </c>
      <c r="Y905" t="s">
        <v>7518</v>
      </c>
      <c r="Z905" t="s">
        <v>61</v>
      </c>
      <c r="AA905" t="s">
        <v>61</v>
      </c>
      <c r="AB905" t="s">
        <v>7519</v>
      </c>
      <c r="AC905" t="s">
        <v>67</v>
      </c>
      <c r="AD905" t="s">
        <v>61</v>
      </c>
      <c r="AE905" t="s">
        <v>61</v>
      </c>
      <c r="AF905" t="s">
        <v>61</v>
      </c>
      <c r="AG905" t="s">
        <v>61</v>
      </c>
      <c r="AH905" t="s">
        <v>61</v>
      </c>
      <c r="AI905" t="s">
        <v>61</v>
      </c>
      <c r="AJ905" t="s">
        <v>61</v>
      </c>
      <c r="AK905" t="s">
        <v>61</v>
      </c>
      <c r="AL905" t="s">
        <v>61</v>
      </c>
      <c r="AM905" t="s">
        <v>7513</v>
      </c>
      <c r="AN905" t="s">
        <v>61</v>
      </c>
      <c r="AO905" t="s">
        <v>61</v>
      </c>
      <c r="AP905" t="s">
        <v>61</v>
      </c>
      <c r="AQ905" t="s">
        <v>61</v>
      </c>
      <c r="AR905" t="s">
        <v>61</v>
      </c>
      <c r="AS905" t="s">
        <v>61</v>
      </c>
      <c r="AT905" t="s">
        <v>61</v>
      </c>
      <c r="AU905" t="s">
        <v>61</v>
      </c>
      <c r="AV905" t="s">
        <v>61</v>
      </c>
      <c r="AW905" t="s">
        <v>61</v>
      </c>
      <c r="AX905" t="s">
        <v>61</v>
      </c>
      <c r="AY905" t="s">
        <v>61</v>
      </c>
      <c r="AZ905" t="s">
        <v>61</v>
      </c>
      <c r="BA905" t="s">
        <v>61</v>
      </c>
      <c r="BB905" t="s">
        <v>61</v>
      </c>
      <c r="BC905" t="s">
        <v>61</v>
      </c>
      <c r="BD905" t="s">
        <v>61</v>
      </c>
      <c r="BE905" t="s">
        <v>61</v>
      </c>
      <c r="BF905" t="s">
        <v>61</v>
      </c>
    </row>
    <row r="906" spans="1:58">
      <c r="A906" t="s">
        <v>58</v>
      </c>
      <c r="B906" t="s">
        <v>7520</v>
      </c>
      <c r="C906" t="s">
        <v>7521</v>
      </c>
      <c r="D906" t="s">
        <v>5500</v>
      </c>
      <c r="E906" t="s">
        <v>61</v>
      </c>
      <c r="F906">
        <v>2014</v>
      </c>
      <c r="G906" t="s">
        <v>61</v>
      </c>
      <c r="H906">
        <v>9</v>
      </c>
      <c r="I906">
        <v>12</v>
      </c>
      <c r="J906" t="s">
        <v>7522</v>
      </c>
      <c r="K906" t="s">
        <v>61</v>
      </c>
      <c r="L906" t="s">
        <v>7523</v>
      </c>
      <c r="M906" t="s">
        <v>7524</v>
      </c>
      <c r="N906" t="s">
        <v>7525</v>
      </c>
      <c r="O906" t="s">
        <v>61</v>
      </c>
      <c r="Q906" t="s">
        <v>61</v>
      </c>
      <c r="R906" t="s">
        <v>61</v>
      </c>
      <c r="S906" t="s">
        <v>61</v>
      </c>
      <c r="T906" t="s">
        <v>61</v>
      </c>
      <c r="X906" t="s">
        <v>61</v>
      </c>
      <c r="Y906" t="s">
        <v>5505</v>
      </c>
      <c r="Z906" t="s">
        <v>61</v>
      </c>
      <c r="AA906" t="s">
        <v>7526</v>
      </c>
      <c r="AB906">
        <v>25503967</v>
      </c>
      <c r="AC906" t="s">
        <v>67</v>
      </c>
      <c r="AD906" t="s">
        <v>61</v>
      </c>
      <c r="AE906" t="s">
        <v>61</v>
      </c>
      <c r="AF906" t="s">
        <v>61</v>
      </c>
      <c r="AG906" t="s">
        <v>7527</v>
      </c>
      <c r="AH906" t="s">
        <v>61</v>
      </c>
      <c r="AI906" t="s">
        <v>7528</v>
      </c>
      <c r="AJ906" t="s">
        <v>61</v>
      </c>
      <c r="AK906" t="s">
        <v>61</v>
      </c>
      <c r="AL906" t="s">
        <v>61</v>
      </c>
      <c r="AM906" t="s">
        <v>7529</v>
      </c>
      <c r="AN906" t="s">
        <v>61</v>
      </c>
      <c r="AO906" t="s">
        <v>61</v>
      </c>
      <c r="AP906" t="s">
        <v>61</v>
      </c>
      <c r="AQ906" t="s">
        <v>61</v>
      </c>
      <c r="AR906" t="s">
        <v>61</v>
      </c>
      <c r="AS906" t="s">
        <v>61</v>
      </c>
      <c r="AT906" t="s">
        <v>61</v>
      </c>
      <c r="AU906" t="s">
        <v>61</v>
      </c>
      <c r="AV906" t="s">
        <v>61</v>
      </c>
      <c r="AW906" t="s">
        <v>61</v>
      </c>
      <c r="AX906" t="s">
        <v>61</v>
      </c>
      <c r="AY906" t="s">
        <v>61</v>
      </c>
      <c r="AZ906" t="s">
        <v>61</v>
      </c>
      <c r="BA906" t="s">
        <v>61</v>
      </c>
      <c r="BB906" t="s">
        <v>61</v>
      </c>
      <c r="BC906" t="s">
        <v>61</v>
      </c>
      <c r="BD906" t="s">
        <v>61</v>
      </c>
      <c r="BE906" t="s">
        <v>61</v>
      </c>
      <c r="BF906" t="s">
        <v>61</v>
      </c>
    </row>
    <row r="907" spans="1:58">
      <c r="A907" t="s">
        <v>58</v>
      </c>
      <c r="B907" t="s">
        <v>7530</v>
      </c>
      <c r="C907" t="s">
        <v>7531</v>
      </c>
      <c r="D907" t="s">
        <v>5520</v>
      </c>
      <c r="E907" t="s">
        <v>61</v>
      </c>
      <c r="F907">
        <v>2005</v>
      </c>
      <c r="G907" t="s">
        <v>391</v>
      </c>
      <c r="H907">
        <v>9</v>
      </c>
      <c r="I907">
        <v>12</v>
      </c>
      <c r="J907">
        <v>252</v>
      </c>
      <c r="K907">
        <v>254</v>
      </c>
      <c r="L907" t="s">
        <v>7532</v>
      </c>
      <c r="M907" t="s">
        <v>7533</v>
      </c>
      <c r="N907" t="s">
        <v>7534</v>
      </c>
      <c r="O907" t="s">
        <v>61</v>
      </c>
      <c r="Q907" t="s">
        <v>61</v>
      </c>
      <c r="R907" t="s">
        <v>61</v>
      </c>
      <c r="S907" t="s">
        <v>61</v>
      </c>
      <c r="T907" t="s">
        <v>61</v>
      </c>
      <c r="X907" t="s">
        <v>61</v>
      </c>
      <c r="Y907" t="s">
        <v>5524</v>
      </c>
      <c r="Z907" t="s">
        <v>61</v>
      </c>
      <c r="AA907" t="s">
        <v>61</v>
      </c>
      <c r="AB907">
        <v>2005266014</v>
      </c>
      <c r="AC907" t="s">
        <v>67</v>
      </c>
      <c r="AD907" t="s">
        <v>61</v>
      </c>
      <c r="AE907" t="s">
        <v>61</v>
      </c>
      <c r="AF907" t="s">
        <v>61</v>
      </c>
      <c r="AG907" t="s">
        <v>61</v>
      </c>
      <c r="AH907" t="s">
        <v>61</v>
      </c>
      <c r="AI907" t="s">
        <v>61</v>
      </c>
      <c r="AJ907" t="s">
        <v>61</v>
      </c>
      <c r="AK907" t="s">
        <v>61</v>
      </c>
      <c r="AL907" t="s">
        <v>61</v>
      </c>
      <c r="AM907" t="s">
        <v>7531</v>
      </c>
      <c r="AN907" t="s">
        <v>61</v>
      </c>
      <c r="AO907" t="s">
        <v>61</v>
      </c>
      <c r="AP907" t="s">
        <v>61</v>
      </c>
      <c r="AQ907" t="s">
        <v>61</v>
      </c>
      <c r="AR907" t="s">
        <v>61</v>
      </c>
      <c r="AS907" t="s">
        <v>61</v>
      </c>
      <c r="AT907" t="s">
        <v>61</v>
      </c>
      <c r="AU907" t="s">
        <v>61</v>
      </c>
      <c r="AV907" t="s">
        <v>61</v>
      </c>
      <c r="AW907" t="s">
        <v>61</v>
      </c>
      <c r="AX907" t="s">
        <v>61</v>
      </c>
      <c r="AY907" t="s">
        <v>61</v>
      </c>
      <c r="AZ907" t="s">
        <v>61</v>
      </c>
      <c r="BA907" t="s">
        <v>61</v>
      </c>
      <c r="BB907" t="s">
        <v>61</v>
      </c>
      <c r="BC907" t="s">
        <v>61</v>
      </c>
      <c r="BD907" t="s">
        <v>61</v>
      </c>
      <c r="BE907" t="s">
        <v>61</v>
      </c>
      <c r="BF907" t="s">
        <v>61</v>
      </c>
    </row>
    <row r="908" spans="1:58">
      <c r="A908" t="s">
        <v>58</v>
      </c>
      <c r="B908" t="s">
        <v>7535</v>
      </c>
      <c r="C908" t="s">
        <v>7536</v>
      </c>
      <c r="D908" t="s">
        <v>1465</v>
      </c>
      <c r="E908" t="s">
        <v>61</v>
      </c>
      <c r="F908">
        <v>2013</v>
      </c>
      <c r="G908" t="s">
        <v>85</v>
      </c>
      <c r="H908">
        <v>90</v>
      </c>
      <c r="I908">
        <v>2</v>
      </c>
      <c r="J908">
        <v>276</v>
      </c>
      <c r="K908">
        <v>283</v>
      </c>
      <c r="L908" t="s">
        <v>7537</v>
      </c>
      <c r="M908" t="s">
        <v>7538</v>
      </c>
      <c r="N908" t="s">
        <v>7539</v>
      </c>
      <c r="O908" t="s">
        <v>61</v>
      </c>
      <c r="Q908" t="s">
        <v>61</v>
      </c>
      <c r="R908" t="s">
        <v>61</v>
      </c>
      <c r="S908" t="s">
        <v>61</v>
      </c>
      <c r="T908" t="s">
        <v>61</v>
      </c>
      <c r="X908" t="s">
        <v>61</v>
      </c>
      <c r="Y908" t="s">
        <v>1469</v>
      </c>
      <c r="Z908" t="s">
        <v>61</v>
      </c>
      <c r="AA908" t="s">
        <v>7540</v>
      </c>
      <c r="AB908">
        <v>22718357</v>
      </c>
      <c r="AC908" t="s">
        <v>67</v>
      </c>
      <c r="AD908" t="s">
        <v>61</v>
      </c>
      <c r="AE908" t="s">
        <v>61</v>
      </c>
      <c r="AF908" t="s">
        <v>61</v>
      </c>
      <c r="AG908" t="s">
        <v>7541</v>
      </c>
      <c r="AH908" t="s">
        <v>61</v>
      </c>
      <c r="AI908" t="s">
        <v>7542</v>
      </c>
      <c r="AJ908" t="s">
        <v>61</v>
      </c>
      <c r="AK908" t="s">
        <v>61</v>
      </c>
      <c r="AL908" t="s">
        <v>61</v>
      </c>
      <c r="AM908" t="s">
        <v>7543</v>
      </c>
      <c r="AN908" t="s">
        <v>61</v>
      </c>
      <c r="AO908" t="s">
        <v>61</v>
      </c>
      <c r="AP908" t="s">
        <v>61</v>
      </c>
      <c r="AQ908" t="s">
        <v>61</v>
      </c>
      <c r="AR908" t="s">
        <v>61</v>
      </c>
      <c r="AS908" t="s">
        <v>61</v>
      </c>
      <c r="AT908" t="s">
        <v>61</v>
      </c>
      <c r="AU908" t="s">
        <v>61</v>
      </c>
      <c r="AV908" t="s">
        <v>61</v>
      </c>
      <c r="AW908" t="s">
        <v>61</v>
      </c>
      <c r="AX908" t="s">
        <v>61</v>
      </c>
      <c r="AY908" t="s">
        <v>61</v>
      </c>
      <c r="AZ908" t="s">
        <v>61</v>
      </c>
      <c r="BA908" t="s">
        <v>61</v>
      </c>
      <c r="BB908" t="s">
        <v>61</v>
      </c>
      <c r="BC908" t="s">
        <v>61</v>
      </c>
      <c r="BD908" t="s">
        <v>61</v>
      </c>
      <c r="BE908" t="s">
        <v>61</v>
      </c>
      <c r="BF908" t="s">
        <v>61</v>
      </c>
    </row>
    <row r="909" spans="1:58">
      <c r="A909" t="s">
        <v>58</v>
      </c>
      <c r="B909" t="s">
        <v>7544</v>
      </c>
      <c r="C909" t="s">
        <v>7545</v>
      </c>
      <c r="D909" t="s">
        <v>1287</v>
      </c>
      <c r="E909" t="s">
        <v>1288</v>
      </c>
      <c r="F909">
        <v>2000</v>
      </c>
      <c r="G909" t="s">
        <v>61</v>
      </c>
      <c r="H909" t="s">
        <v>7546</v>
      </c>
      <c r="I909" t="s">
        <v>61</v>
      </c>
      <c r="J909" t="s">
        <v>7547</v>
      </c>
      <c r="K909" t="s">
        <v>7548</v>
      </c>
      <c r="L909" t="s">
        <v>7549</v>
      </c>
      <c r="M909" t="s">
        <v>7550</v>
      </c>
      <c r="N909" t="s">
        <v>7551</v>
      </c>
      <c r="O909" t="s">
        <v>61</v>
      </c>
      <c r="Q909" t="s">
        <v>61</v>
      </c>
      <c r="R909" t="s">
        <v>61</v>
      </c>
      <c r="S909" t="s">
        <v>61</v>
      </c>
      <c r="T909" t="s">
        <v>61</v>
      </c>
      <c r="X909" t="s">
        <v>61</v>
      </c>
      <c r="Y909" t="s">
        <v>1293</v>
      </c>
      <c r="Z909" t="s">
        <v>61</v>
      </c>
      <c r="AA909" t="s">
        <v>7552</v>
      </c>
      <c r="AB909">
        <v>10815647</v>
      </c>
      <c r="AC909" t="s">
        <v>67</v>
      </c>
      <c r="AD909" t="s">
        <v>61</v>
      </c>
      <c r="AE909" t="s">
        <v>61</v>
      </c>
      <c r="AF909" t="s">
        <v>61</v>
      </c>
      <c r="AG909" t="s">
        <v>7553</v>
      </c>
      <c r="AH909" t="s">
        <v>61</v>
      </c>
      <c r="AI909" t="s">
        <v>61</v>
      </c>
      <c r="AJ909" t="s">
        <v>61</v>
      </c>
      <c r="AK909" t="s">
        <v>61</v>
      </c>
      <c r="AL909" t="s">
        <v>61</v>
      </c>
      <c r="AM909" t="s">
        <v>7554</v>
      </c>
      <c r="AN909" t="s">
        <v>61</v>
      </c>
      <c r="AO909" t="s">
        <v>61</v>
      </c>
      <c r="AP909" t="s">
        <v>61</v>
      </c>
      <c r="AQ909" t="s">
        <v>61</v>
      </c>
      <c r="AR909" t="s">
        <v>61</v>
      </c>
      <c r="AS909" t="s">
        <v>61</v>
      </c>
      <c r="AT909" t="s">
        <v>61</v>
      </c>
      <c r="AU909" t="s">
        <v>61</v>
      </c>
      <c r="AV909" t="s">
        <v>61</v>
      </c>
      <c r="AW909" t="s">
        <v>61</v>
      </c>
      <c r="AX909" t="s">
        <v>61</v>
      </c>
      <c r="AY909" t="s">
        <v>61</v>
      </c>
      <c r="AZ909" t="s">
        <v>61</v>
      </c>
      <c r="BA909" t="s">
        <v>61</v>
      </c>
      <c r="BB909" t="s">
        <v>61</v>
      </c>
      <c r="BC909" t="s">
        <v>61</v>
      </c>
      <c r="BD909" t="s">
        <v>61</v>
      </c>
      <c r="BE909" t="s">
        <v>61</v>
      </c>
      <c r="BF909" t="s">
        <v>61</v>
      </c>
    </row>
    <row r="910" spans="1:58">
      <c r="A910" t="s">
        <v>58</v>
      </c>
      <c r="B910" t="s">
        <v>7555</v>
      </c>
      <c r="C910" t="s">
        <v>7556</v>
      </c>
      <c r="D910" t="s">
        <v>4122</v>
      </c>
      <c r="E910" t="s">
        <v>4123</v>
      </c>
      <c r="F910">
        <v>2011</v>
      </c>
      <c r="G910" t="s">
        <v>1152</v>
      </c>
      <c r="H910" t="s">
        <v>7557</v>
      </c>
      <c r="I910" t="s">
        <v>61</v>
      </c>
      <c r="J910" t="s">
        <v>7558</v>
      </c>
      <c r="K910">
        <v>8</v>
      </c>
      <c r="L910" t="s">
        <v>7559</v>
      </c>
      <c r="M910" t="s">
        <v>7560</v>
      </c>
      <c r="N910" t="s">
        <v>7561</v>
      </c>
      <c r="O910" t="s">
        <v>61</v>
      </c>
      <c r="Q910" t="s">
        <v>61</v>
      </c>
      <c r="R910" t="s">
        <v>61</v>
      </c>
      <c r="S910" t="s">
        <v>61</v>
      </c>
      <c r="T910" t="s">
        <v>61</v>
      </c>
      <c r="X910" t="s">
        <v>61</v>
      </c>
      <c r="Y910" t="s">
        <v>7562</v>
      </c>
      <c r="Z910" t="s">
        <v>61</v>
      </c>
      <c r="AA910" t="s">
        <v>7563</v>
      </c>
      <c r="AB910">
        <v>21999762</v>
      </c>
      <c r="AC910" t="s">
        <v>67</v>
      </c>
      <c r="AD910" t="s">
        <v>61</v>
      </c>
      <c r="AE910" t="s">
        <v>61</v>
      </c>
      <c r="AF910" t="s">
        <v>61</v>
      </c>
      <c r="AG910" t="s">
        <v>7564</v>
      </c>
      <c r="AH910" t="s">
        <v>61</v>
      </c>
      <c r="AI910" t="s">
        <v>61</v>
      </c>
      <c r="AJ910" t="s">
        <v>61</v>
      </c>
      <c r="AK910" t="s">
        <v>61</v>
      </c>
      <c r="AL910" t="s">
        <v>61</v>
      </c>
      <c r="AM910" t="s">
        <v>7565</v>
      </c>
      <c r="AN910" t="s">
        <v>61</v>
      </c>
      <c r="AO910" t="s">
        <v>61</v>
      </c>
      <c r="AP910" t="s">
        <v>61</v>
      </c>
      <c r="AQ910" t="s">
        <v>61</v>
      </c>
      <c r="AR910" t="s">
        <v>61</v>
      </c>
      <c r="AS910" t="s">
        <v>61</v>
      </c>
      <c r="AT910" t="s">
        <v>61</v>
      </c>
      <c r="AU910" t="s">
        <v>61</v>
      </c>
      <c r="AV910" t="s">
        <v>61</v>
      </c>
      <c r="AW910" t="s">
        <v>61</v>
      </c>
      <c r="AX910" t="s">
        <v>61</v>
      </c>
      <c r="AY910" t="s">
        <v>61</v>
      </c>
      <c r="AZ910" t="s">
        <v>61</v>
      </c>
      <c r="BA910" t="s">
        <v>61</v>
      </c>
      <c r="BB910" t="s">
        <v>61</v>
      </c>
      <c r="BC910" t="s">
        <v>61</v>
      </c>
      <c r="BD910" t="s">
        <v>61</v>
      </c>
      <c r="BE910" t="s">
        <v>61</v>
      </c>
      <c r="BF910" t="s">
        <v>61</v>
      </c>
    </row>
    <row r="911" spans="1:58">
      <c r="A911" t="s">
        <v>58</v>
      </c>
      <c r="B911" t="s">
        <v>7566</v>
      </c>
      <c r="C911" t="s">
        <v>7567</v>
      </c>
      <c r="D911" t="s">
        <v>271</v>
      </c>
      <c r="E911" t="s">
        <v>272</v>
      </c>
      <c r="F911">
        <v>1998</v>
      </c>
      <c r="G911" t="s">
        <v>1332</v>
      </c>
      <c r="H911">
        <v>38</v>
      </c>
      <c r="I911">
        <v>6</v>
      </c>
      <c r="J911">
        <v>747</v>
      </c>
      <c r="K911" t="s">
        <v>7568</v>
      </c>
      <c r="L911" t="s">
        <v>7569</v>
      </c>
      <c r="M911" t="s">
        <v>7570</v>
      </c>
      <c r="N911" t="s">
        <v>7571</v>
      </c>
      <c r="O911" t="s">
        <v>61</v>
      </c>
      <c r="Q911" t="s">
        <v>61</v>
      </c>
      <c r="R911" t="s">
        <v>61</v>
      </c>
      <c r="S911" t="s">
        <v>61</v>
      </c>
      <c r="T911" t="s">
        <v>61</v>
      </c>
      <c r="X911" t="s">
        <v>61</v>
      </c>
      <c r="Y911" t="s">
        <v>1661</v>
      </c>
      <c r="Z911" t="s">
        <v>61</v>
      </c>
      <c r="AA911" t="s">
        <v>7572</v>
      </c>
      <c r="AB911">
        <v>9861793</v>
      </c>
      <c r="AC911" t="s">
        <v>67</v>
      </c>
      <c r="AD911" t="s">
        <v>61</v>
      </c>
      <c r="AE911" t="s">
        <v>61</v>
      </c>
      <c r="AF911" t="s">
        <v>61</v>
      </c>
      <c r="AG911" t="s">
        <v>7573</v>
      </c>
      <c r="AH911" t="s">
        <v>61</v>
      </c>
      <c r="AI911" t="s">
        <v>61</v>
      </c>
      <c r="AJ911" t="s">
        <v>61</v>
      </c>
      <c r="AK911" t="s">
        <v>61</v>
      </c>
      <c r="AL911" t="s">
        <v>61</v>
      </c>
      <c r="AM911" t="s">
        <v>7574</v>
      </c>
      <c r="AN911" t="s">
        <v>61</v>
      </c>
      <c r="AO911" t="s">
        <v>61</v>
      </c>
      <c r="AP911" t="s">
        <v>61</v>
      </c>
      <c r="AQ911" t="s">
        <v>61</v>
      </c>
      <c r="AR911" t="s">
        <v>61</v>
      </c>
      <c r="AS911" t="s">
        <v>61</v>
      </c>
      <c r="AT911" t="s">
        <v>61</v>
      </c>
      <c r="AU911" t="s">
        <v>61</v>
      </c>
      <c r="AV911" t="s">
        <v>61</v>
      </c>
      <c r="AW911" t="s">
        <v>61</v>
      </c>
      <c r="AX911" t="s">
        <v>61</v>
      </c>
      <c r="AY911" t="s">
        <v>61</v>
      </c>
      <c r="AZ911" t="s">
        <v>61</v>
      </c>
      <c r="BA911" t="s">
        <v>61</v>
      </c>
      <c r="BB911" t="s">
        <v>61</v>
      </c>
      <c r="BC911" t="s">
        <v>61</v>
      </c>
      <c r="BD911" t="s">
        <v>61</v>
      </c>
      <c r="BE911" t="s">
        <v>61</v>
      </c>
      <c r="BF911" t="s">
        <v>61</v>
      </c>
    </row>
    <row r="912" spans="1:58">
      <c r="A912" t="s">
        <v>58</v>
      </c>
      <c r="B912" t="s">
        <v>7575</v>
      </c>
      <c r="C912" t="s">
        <v>7576</v>
      </c>
      <c r="D912" t="s">
        <v>2334</v>
      </c>
      <c r="E912" t="s">
        <v>61</v>
      </c>
      <c r="F912">
        <v>1998</v>
      </c>
      <c r="G912" t="s">
        <v>61</v>
      </c>
      <c r="H912" t="s">
        <v>2335</v>
      </c>
      <c r="I912" t="s">
        <v>61</v>
      </c>
      <c r="J912" t="s">
        <v>7577</v>
      </c>
      <c r="K912">
        <v>9</v>
      </c>
      <c r="L912" t="s">
        <v>7578</v>
      </c>
      <c r="M912" t="s">
        <v>7579</v>
      </c>
      <c r="N912" t="s">
        <v>7580</v>
      </c>
      <c r="O912" t="s">
        <v>61</v>
      </c>
      <c r="Q912" t="s">
        <v>61</v>
      </c>
      <c r="R912" t="s">
        <v>61</v>
      </c>
      <c r="S912" t="s">
        <v>61</v>
      </c>
      <c r="T912" t="s">
        <v>61</v>
      </c>
      <c r="X912" t="s">
        <v>61</v>
      </c>
      <c r="Y912" t="s">
        <v>2340</v>
      </c>
      <c r="Z912" t="s">
        <v>61</v>
      </c>
      <c r="AA912" t="s">
        <v>7581</v>
      </c>
      <c r="AB912">
        <v>9663633</v>
      </c>
      <c r="AC912" t="s">
        <v>67</v>
      </c>
      <c r="AD912" t="s">
        <v>61</v>
      </c>
      <c r="AE912" t="s">
        <v>61</v>
      </c>
      <c r="AF912" t="s">
        <v>61</v>
      </c>
      <c r="AG912" t="s">
        <v>7582</v>
      </c>
      <c r="AH912" t="s">
        <v>61</v>
      </c>
      <c r="AI912" t="s">
        <v>61</v>
      </c>
      <c r="AJ912" t="s">
        <v>61</v>
      </c>
      <c r="AK912" t="s">
        <v>61</v>
      </c>
      <c r="AL912" t="s">
        <v>61</v>
      </c>
      <c r="AM912" t="s">
        <v>7583</v>
      </c>
      <c r="AN912" t="s">
        <v>61</v>
      </c>
      <c r="AO912" t="s">
        <v>61</v>
      </c>
      <c r="AP912" t="s">
        <v>61</v>
      </c>
      <c r="AQ912" t="s">
        <v>61</v>
      </c>
      <c r="AR912" t="s">
        <v>61</v>
      </c>
      <c r="AS912" t="s">
        <v>61</v>
      </c>
      <c r="AT912" t="s">
        <v>61</v>
      </c>
      <c r="AU912" t="s">
        <v>61</v>
      </c>
      <c r="AV912" t="s">
        <v>61</v>
      </c>
      <c r="AW912" t="s">
        <v>61</v>
      </c>
      <c r="AX912" t="s">
        <v>61</v>
      </c>
      <c r="AY912" t="s">
        <v>61</v>
      </c>
      <c r="AZ912" t="s">
        <v>61</v>
      </c>
      <c r="BA912" t="s">
        <v>61</v>
      </c>
      <c r="BB912" t="s">
        <v>61</v>
      </c>
      <c r="BC912" t="s">
        <v>61</v>
      </c>
      <c r="BD912" t="s">
        <v>61</v>
      </c>
      <c r="BE912" t="s">
        <v>61</v>
      </c>
      <c r="BF912" t="s">
        <v>61</v>
      </c>
    </row>
    <row r="913" spans="1:58">
      <c r="A913" t="s">
        <v>58</v>
      </c>
      <c r="B913" t="s">
        <v>7584</v>
      </c>
      <c r="C913" t="s">
        <v>7585</v>
      </c>
      <c r="D913" t="s">
        <v>7586</v>
      </c>
      <c r="E913" t="s">
        <v>7587</v>
      </c>
      <c r="F913">
        <v>1991</v>
      </c>
      <c r="G913" t="s">
        <v>851</v>
      </c>
      <c r="H913">
        <v>57</v>
      </c>
      <c r="I913">
        <v>11</v>
      </c>
      <c r="J913">
        <v>873</v>
      </c>
      <c r="K913" t="s">
        <v>7588</v>
      </c>
      <c r="L913" t="s">
        <v>7589</v>
      </c>
      <c r="M913" t="s">
        <v>7590</v>
      </c>
      <c r="N913" t="s">
        <v>7591</v>
      </c>
      <c r="O913" t="s">
        <v>61</v>
      </c>
      <c r="Q913" t="s">
        <v>61</v>
      </c>
      <c r="R913" t="s">
        <v>61</v>
      </c>
      <c r="S913" t="s">
        <v>61</v>
      </c>
      <c r="T913" t="s">
        <v>61</v>
      </c>
      <c r="X913" t="s">
        <v>61</v>
      </c>
      <c r="Y913" t="s">
        <v>7592</v>
      </c>
      <c r="Z913" t="s">
        <v>61</v>
      </c>
      <c r="AA913" t="s">
        <v>7593</v>
      </c>
      <c r="AB913">
        <v>1747816</v>
      </c>
      <c r="AC913" t="s">
        <v>67</v>
      </c>
      <c r="AD913" t="s">
        <v>61</v>
      </c>
      <c r="AE913" t="s">
        <v>61</v>
      </c>
      <c r="AF913" t="s">
        <v>61</v>
      </c>
      <c r="AG913" t="s">
        <v>7594</v>
      </c>
      <c r="AH913" t="s">
        <v>61</v>
      </c>
      <c r="AI913" t="s">
        <v>61</v>
      </c>
      <c r="AJ913" t="s">
        <v>61</v>
      </c>
      <c r="AK913" t="s">
        <v>61</v>
      </c>
      <c r="AL913" t="s">
        <v>61</v>
      </c>
      <c r="AM913" t="s">
        <v>7595</v>
      </c>
      <c r="AN913" t="s">
        <v>61</v>
      </c>
      <c r="AO913" t="s">
        <v>61</v>
      </c>
      <c r="AP913" t="s">
        <v>61</v>
      </c>
      <c r="AQ913" t="s">
        <v>61</v>
      </c>
      <c r="AR913" t="s">
        <v>61</v>
      </c>
      <c r="AS913" t="s">
        <v>61</v>
      </c>
      <c r="AT913" t="s">
        <v>61</v>
      </c>
      <c r="AU913" t="s">
        <v>61</v>
      </c>
      <c r="AV913" t="s">
        <v>61</v>
      </c>
      <c r="AW913" t="s">
        <v>61</v>
      </c>
      <c r="AX913" t="s">
        <v>61</v>
      </c>
      <c r="AY913" t="s">
        <v>61</v>
      </c>
      <c r="AZ913" t="s">
        <v>61</v>
      </c>
      <c r="BA913" t="s">
        <v>61</v>
      </c>
      <c r="BB913" t="s">
        <v>61</v>
      </c>
      <c r="BC913" t="s">
        <v>61</v>
      </c>
      <c r="BD913" t="s">
        <v>61</v>
      </c>
      <c r="BE913" t="s">
        <v>61</v>
      </c>
      <c r="BF913" t="s">
        <v>61</v>
      </c>
    </row>
    <row r="914" spans="1:58">
      <c r="A914" t="s">
        <v>58</v>
      </c>
      <c r="B914" t="s">
        <v>7596</v>
      </c>
      <c r="C914" t="s">
        <v>7597</v>
      </c>
      <c r="D914" t="s">
        <v>7598</v>
      </c>
      <c r="E914" t="s">
        <v>61</v>
      </c>
      <c r="F914">
        <v>2001</v>
      </c>
      <c r="G914" t="s">
        <v>1152</v>
      </c>
      <c r="H914">
        <v>121</v>
      </c>
      <c r="I914">
        <v>3</v>
      </c>
      <c r="J914">
        <v>185</v>
      </c>
      <c r="K914">
        <v>192</v>
      </c>
      <c r="L914" t="s">
        <v>7599</v>
      </c>
      <c r="M914" t="s">
        <v>7600</v>
      </c>
      <c r="N914" t="s">
        <v>7601</v>
      </c>
      <c r="O914" t="s">
        <v>61</v>
      </c>
      <c r="Q914" t="s">
        <v>61</v>
      </c>
      <c r="R914" t="s">
        <v>61</v>
      </c>
      <c r="S914" t="s">
        <v>61</v>
      </c>
      <c r="T914" t="s">
        <v>61</v>
      </c>
      <c r="X914" t="s">
        <v>61</v>
      </c>
      <c r="Y914" t="s">
        <v>7602</v>
      </c>
      <c r="Z914" t="s">
        <v>61</v>
      </c>
      <c r="AA914" t="s">
        <v>7603</v>
      </c>
      <c r="AB914">
        <v>11688306</v>
      </c>
      <c r="AC914" t="s">
        <v>67</v>
      </c>
      <c r="AD914" t="s">
        <v>61</v>
      </c>
      <c r="AE914" t="s">
        <v>61</v>
      </c>
      <c r="AF914" t="s">
        <v>61</v>
      </c>
      <c r="AG914" t="s">
        <v>7604</v>
      </c>
      <c r="AH914" t="s">
        <v>61</v>
      </c>
      <c r="AI914" t="s">
        <v>61</v>
      </c>
      <c r="AJ914" t="s">
        <v>61</v>
      </c>
      <c r="AK914" t="s">
        <v>61</v>
      </c>
      <c r="AL914" t="s">
        <v>61</v>
      </c>
      <c r="AM914" t="s">
        <v>7605</v>
      </c>
      <c r="AN914" t="s">
        <v>61</v>
      </c>
      <c r="AO914" t="s">
        <v>61</v>
      </c>
      <c r="AP914" t="s">
        <v>61</v>
      </c>
      <c r="AQ914" t="s">
        <v>61</v>
      </c>
      <c r="AR914" t="s">
        <v>61</v>
      </c>
      <c r="AS914" t="s">
        <v>61</v>
      </c>
      <c r="AT914" t="s">
        <v>61</v>
      </c>
      <c r="AU914" t="s">
        <v>61</v>
      </c>
      <c r="AV914" t="s">
        <v>61</v>
      </c>
      <c r="AW914" t="s">
        <v>61</v>
      </c>
      <c r="AX914" t="s">
        <v>61</v>
      </c>
      <c r="AY914" t="s">
        <v>61</v>
      </c>
      <c r="AZ914" t="s">
        <v>61</v>
      </c>
      <c r="BA914" t="s">
        <v>61</v>
      </c>
      <c r="BB914" t="s">
        <v>61</v>
      </c>
      <c r="BC914" t="s">
        <v>61</v>
      </c>
      <c r="BD914" t="s">
        <v>61</v>
      </c>
      <c r="BE914" t="s">
        <v>61</v>
      </c>
      <c r="BF914" t="s">
        <v>61</v>
      </c>
    </row>
    <row r="915" spans="1:58">
      <c r="A915" t="s">
        <v>58</v>
      </c>
      <c r="B915" t="s">
        <v>7606</v>
      </c>
      <c r="C915" t="s">
        <v>7607</v>
      </c>
      <c r="D915" t="s">
        <v>475</v>
      </c>
      <c r="E915" t="s">
        <v>61</v>
      </c>
      <c r="F915">
        <v>2015</v>
      </c>
      <c r="G915" t="s">
        <v>381</v>
      </c>
      <c r="H915">
        <v>37</v>
      </c>
      <c r="I915">
        <v>1</v>
      </c>
      <c r="J915">
        <v>201</v>
      </c>
      <c r="K915" t="s">
        <v>61</v>
      </c>
      <c r="L915" t="s">
        <v>7608</v>
      </c>
      <c r="M915" t="s">
        <v>7609</v>
      </c>
      <c r="N915" t="s">
        <v>7610</v>
      </c>
      <c r="O915" t="s">
        <v>61</v>
      </c>
      <c r="Q915" t="s">
        <v>61</v>
      </c>
      <c r="R915" t="s">
        <v>61</v>
      </c>
      <c r="S915" t="s">
        <v>61</v>
      </c>
      <c r="T915" t="s">
        <v>61</v>
      </c>
      <c r="X915" t="s">
        <v>61</v>
      </c>
      <c r="Y915" t="s">
        <v>308</v>
      </c>
      <c r="Z915" t="s">
        <v>61</v>
      </c>
      <c r="AA915" t="s">
        <v>61</v>
      </c>
      <c r="AB915" t="s">
        <v>61</v>
      </c>
      <c r="AC915" t="s">
        <v>67</v>
      </c>
      <c r="AD915" t="s">
        <v>61</v>
      </c>
      <c r="AE915" t="s">
        <v>61</v>
      </c>
      <c r="AF915" t="s">
        <v>61</v>
      </c>
      <c r="AG915" t="s">
        <v>61</v>
      </c>
      <c r="AH915" t="s">
        <v>61</v>
      </c>
      <c r="AI915" t="s">
        <v>61</v>
      </c>
      <c r="AJ915" t="s">
        <v>61</v>
      </c>
      <c r="AK915" t="s">
        <v>61</v>
      </c>
      <c r="AL915" t="s">
        <v>61</v>
      </c>
      <c r="AM915" t="s">
        <v>7607</v>
      </c>
      <c r="AN915" t="s">
        <v>61</v>
      </c>
      <c r="AO915" t="s">
        <v>61</v>
      </c>
      <c r="AP915" t="s">
        <v>61</v>
      </c>
      <c r="AQ915" t="s">
        <v>61</v>
      </c>
      <c r="AR915" t="s">
        <v>61</v>
      </c>
      <c r="AS915" t="s">
        <v>61</v>
      </c>
      <c r="AT915" t="s">
        <v>61</v>
      </c>
      <c r="AU915" t="s">
        <v>61</v>
      </c>
      <c r="AV915" t="s">
        <v>61</v>
      </c>
      <c r="AW915" t="s">
        <v>61</v>
      </c>
      <c r="AX915" t="s">
        <v>61</v>
      </c>
      <c r="AY915" t="s">
        <v>61</v>
      </c>
      <c r="AZ915" t="s">
        <v>61</v>
      </c>
      <c r="BA915" t="s">
        <v>61</v>
      </c>
      <c r="BB915" t="s">
        <v>61</v>
      </c>
      <c r="BC915" t="s">
        <v>61</v>
      </c>
      <c r="BD915" t="s">
        <v>61</v>
      </c>
      <c r="BE915" t="s">
        <v>61</v>
      </c>
      <c r="BF915" t="s">
        <v>61</v>
      </c>
    </row>
    <row r="916" spans="1:58">
      <c r="A916" t="s">
        <v>58</v>
      </c>
      <c r="B916" t="s">
        <v>7611</v>
      </c>
      <c r="C916" t="s">
        <v>7612</v>
      </c>
      <c r="D916" t="s">
        <v>475</v>
      </c>
      <c r="E916" t="s">
        <v>61</v>
      </c>
      <c r="F916">
        <v>2015</v>
      </c>
      <c r="G916" t="s">
        <v>61</v>
      </c>
      <c r="H916">
        <v>37</v>
      </c>
      <c r="I916">
        <v>6</v>
      </c>
      <c r="J916">
        <v>1162</v>
      </c>
      <c r="K916" t="s">
        <v>7613</v>
      </c>
      <c r="L916" t="s">
        <v>61</v>
      </c>
      <c r="M916" t="s">
        <v>7614</v>
      </c>
      <c r="N916" t="s">
        <v>7615</v>
      </c>
      <c r="O916" t="s">
        <v>61</v>
      </c>
      <c r="Q916" t="s">
        <v>61</v>
      </c>
      <c r="R916" t="s">
        <v>61</v>
      </c>
      <c r="S916" t="s">
        <v>61</v>
      </c>
      <c r="T916" t="s">
        <v>61</v>
      </c>
      <c r="X916" t="s">
        <v>61</v>
      </c>
      <c r="Y916" t="s">
        <v>308</v>
      </c>
      <c r="Z916" t="s">
        <v>61</v>
      </c>
      <c r="AA916" t="s">
        <v>7616</v>
      </c>
      <c r="AB916">
        <v>110526583</v>
      </c>
      <c r="AC916" t="s">
        <v>67</v>
      </c>
      <c r="AD916" t="s">
        <v>61</v>
      </c>
      <c r="AE916" t="s">
        <v>61</v>
      </c>
      <c r="AF916" t="s">
        <v>61</v>
      </c>
      <c r="AG916" t="s">
        <v>7617</v>
      </c>
      <c r="AH916" t="s">
        <v>61</v>
      </c>
      <c r="AI916" t="s">
        <v>7618</v>
      </c>
      <c r="AJ916" t="s">
        <v>61</v>
      </c>
      <c r="AK916" t="s">
        <v>61</v>
      </c>
      <c r="AL916" t="s">
        <v>61</v>
      </c>
      <c r="AM916" t="s">
        <v>7619</v>
      </c>
      <c r="AN916" t="s">
        <v>61</v>
      </c>
      <c r="AO916" t="s">
        <v>61</v>
      </c>
      <c r="AP916" t="s">
        <v>61</v>
      </c>
      <c r="AQ916" t="s">
        <v>61</v>
      </c>
      <c r="AR916" t="s">
        <v>61</v>
      </c>
      <c r="AS916" t="s">
        <v>61</v>
      </c>
      <c r="AT916" t="s">
        <v>61</v>
      </c>
      <c r="AU916" t="s">
        <v>61</v>
      </c>
      <c r="AV916" t="s">
        <v>61</v>
      </c>
      <c r="AW916" t="s">
        <v>61</v>
      </c>
      <c r="AX916" t="s">
        <v>61</v>
      </c>
      <c r="AY916" t="s">
        <v>61</v>
      </c>
      <c r="AZ916" t="s">
        <v>61</v>
      </c>
      <c r="BA916" t="s">
        <v>61</v>
      </c>
      <c r="BB916" t="s">
        <v>61</v>
      </c>
      <c r="BC916" t="s">
        <v>61</v>
      </c>
      <c r="BD916" t="s">
        <v>61</v>
      </c>
      <c r="BE916" t="s">
        <v>61</v>
      </c>
      <c r="BF916" t="s">
        <v>61</v>
      </c>
    </row>
    <row r="917" spans="1:58">
      <c r="A917" t="s">
        <v>58</v>
      </c>
      <c r="B917" t="s">
        <v>7620</v>
      </c>
      <c r="C917" t="s">
        <v>7621</v>
      </c>
      <c r="D917" t="s">
        <v>876</v>
      </c>
      <c r="E917" t="s">
        <v>877</v>
      </c>
      <c r="F917">
        <v>2009</v>
      </c>
      <c r="G917" s="1">
        <v>42644</v>
      </c>
      <c r="H917">
        <v>73</v>
      </c>
      <c r="I917">
        <v>6</v>
      </c>
      <c r="J917">
        <v>97</v>
      </c>
      <c r="K917" t="s">
        <v>61</v>
      </c>
      <c r="L917" t="s">
        <v>7622</v>
      </c>
      <c r="M917" t="s">
        <v>7623</v>
      </c>
      <c r="N917" t="s">
        <v>7624</v>
      </c>
      <c r="O917" t="s">
        <v>61</v>
      </c>
      <c r="Q917" t="s">
        <v>61</v>
      </c>
      <c r="R917" t="s">
        <v>61</v>
      </c>
      <c r="S917" t="s">
        <v>61</v>
      </c>
      <c r="T917" t="s">
        <v>61</v>
      </c>
      <c r="X917" t="s">
        <v>61</v>
      </c>
      <c r="Y917" t="s">
        <v>881</v>
      </c>
      <c r="Z917" t="s">
        <v>61</v>
      </c>
      <c r="AA917" t="s">
        <v>7625</v>
      </c>
      <c r="AB917">
        <v>19885066</v>
      </c>
      <c r="AC917" t="s">
        <v>67</v>
      </c>
      <c r="AD917" t="s">
        <v>61</v>
      </c>
      <c r="AE917" t="s">
        <v>61</v>
      </c>
      <c r="AF917" t="s">
        <v>61</v>
      </c>
      <c r="AG917" t="s">
        <v>7626</v>
      </c>
      <c r="AH917" t="s">
        <v>61</v>
      </c>
      <c r="AI917" t="s">
        <v>61</v>
      </c>
      <c r="AJ917" t="s">
        <v>61</v>
      </c>
      <c r="AK917" t="s">
        <v>61</v>
      </c>
      <c r="AL917" t="s">
        <v>61</v>
      </c>
      <c r="AM917" t="s">
        <v>7627</v>
      </c>
      <c r="AN917" t="s">
        <v>61</v>
      </c>
      <c r="AO917" t="s">
        <v>61</v>
      </c>
      <c r="AP917" t="s">
        <v>61</v>
      </c>
      <c r="AQ917" t="s">
        <v>61</v>
      </c>
      <c r="AR917" t="s">
        <v>61</v>
      </c>
      <c r="AS917" t="s">
        <v>61</v>
      </c>
      <c r="AT917" t="s">
        <v>61</v>
      </c>
      <c r="AU917" t="s">
        <v>61</v>
      </c>
      <c r="AV917" t="s">
        <v>61</v>
      </c>
      <c r="AW917" t="s">
        <v>61</v>
      </c>
      <c r="AX917" t="s">
        <v>61</v>
      </c>
      <c r="AY917" t="s">
        <v>61</v>
      </c>
      <c r="AZ917" t="s">
        <v>61</v>
      </c>
      <c r="BA917" t="s">
        <v>61</v>
      </c>
      <c r="BB917" t="s">
        <v>61</v>
      </c>
      <c r="BC917" t="s">
        <v>61</v>
      </c>
      <c r="BD917" t="s">
        <v>61</v>
      </c>
      <c r="BE917" t="s">
        <v>61</v>
      </c>
      <c r="BF917" t="s">
        <v>61</v>
      </c>
    </row>
    <row r="918" spans="1:58">
      <c r="A918" t="s">
        <v>58</v>
      </c>
      <c r="B918" t="s">
        <v>7628</v>
      </c>
      <c r="C918" t="s">
        <v>7629</v>
      </c>
      <c r="D918" t="s">
        <v>876</v>
      </c>
      <c r="E918" t="s">
        <v>877</v>
      </c>
      <c r="F918">
        <v>1995</v>
      </c>
      <c r="G918" t="s">
        <v>1179</v>
      </c>
      <c r="H918">
        <v>59</v>
      </c>
      <c r="I918">
        <v>3</v>
      </c>
      <c r="J918">
        <v>256</v>
      </c>
      <c r="K918">
        <v>265</v>
      </c>
      <c r="L918" t="s">
        <v>7630</v>
      </c>
      <c r="M918" t="s">
        <v>7631</v>
      </c>
      <c r="N918" t="s">
        <v>7632</v>
      </c>
      <c r="O918" t="s">
        <v>61</v>
      </c>
      <c r="Q918" t="s">
        <v>61</v>
      </c>
      <c r="R918" t="s">
        <v>61</v>
      </c>
      <c r="S918" t="s">
        <v>61</v>
      </c>
      <c r="T918" t="s">
        <v>61</v>
      </c>
      <c r="X918" t="s">
        <v>61</v>
      </c>
      <c r="Y918" s="2">
        <v>2760901</v>
      </c>
      <c r="Z918" t="s">
        <v>61</v>
      </c>
      <c r="AA918" t="s">
        <v>61</v>
      </c>
      <c r="AB918" t="s">
        <v>7633</v>
      </c>
      <c r="AC918" t="s">
        <v>67</v>
      </c>
      <c r="AD918" t="s">
        <v>61</v>
      </c>
      <c r="AE918" t="s">
        <v>61</v>
      </c>
      <c r="AF918" t="s">
        <v>61</v>
      </c>
      <c r="AG918" t="s">
        <v>61</v>
      </c>
      <c r="AH918" t="s">
        <v>61</v>
      </c>
      <c r="AI918" t="s">
        <v>61</v>
      </c>
      <c r="AJ918" t="s">
        <v>61</v>
      </c>
      <c r="AK918" t="s">
        <v>61</v>
      </c>
      <c r="AL918" t="s">
        <v>61</v>
      </c>
      <c r="AM918" t="s">
        <v>7634</v>
      </c>
      <c r="AN918" t="s">
        <v>61</v>
      </c>
      <c r="AO918" t="s">
        <v>61</v>
      </c>
      <c r="AP918" t="s">
        <v>61</v>
      </c>
      <c r="AQ918" t="s">
        <v>61</v>
      </c>
      <c r="AR918" t="s">
        <v>61</v>
      </c>
      <c r="AS918" t="s">
        <v>61</v>
      </c>
      <c r="AT918" t="s">
        <v>61</v>
      </c>
      <c r="AU918" t="s">
        <v>61</v>
      </c>
      <c r="AV918" t="s">
        <v>61</v>
      </c>
      <c r="AW918" t="s">
        <v>61</v>
      </c>
      <c r="AX918" t="s">
        <v>61</v>
      </c>
      <c r="AY918" t="s">
        <v>61</v>
      </c>
      <c r="AZ918" t="s">
        <v>61</v>
      </c>
      <c r="BA918" t="s">
        <v>61</v>
      </c>
      <c r="BB918" t="s">
        <v>61</v>
      </c>
      <c r="BC918" t="s">
        <v>61</v>
      </c>
      <c r="BD918" t="s">
        <v>61</v>
      </c>
      <c r="BE918" t="s">
        <v>61</v>
      </c>
      <c r="BF918" t="s">
        <v>61</v>
      </c>
    </row>
    <row r="919" spans="1:58">
      <c r="A919" t="s">
        <v>58</v>
      </c>
      <c r="B919" t="s">
        <v>7635</v>
      </c>
      <c r="C919" t="s">
        <v>7636</v>
      </c>
      <c r="D919" t="s">
        <v>7637</v>
      </c>
      <c r="E919" t="s">
        <v>61</v>
      </c>
      <c r="F919">
        <v>2014</v>
      </c>
      <c r="G919" t="s">
        <v>391</v>
      </c>
      <c r="H919">
        <v>85</v>
      </c>
      <c r="I919" t="s">
        <v>61</v>
      </c>
      <c r="J919">
        <v>271</v>
      </c>
      <c r="K919">
        <v>276</v>
      </c>
      <c r="L919" t="s">
        <v>7638</v>
      </c>
      <c r="M919" t="s">
        <v>7639</v>
      </c>
      <c r="N919" t="s">
        <v>7640</v>
      </c>
      <c r="O919" t="s">
        <v>61</v>
      </c>
      <c r="Q919" t="s">
        <v>61</v>
      </c>
      <c r="R919" t="s">
        <v>61</v>
      </c>
      <c r="S919" t="s">
        <v>61</v>
      </c>
      <c r="T919" t="s">
        <v>61</v>
      </c>
      <c r="X919" t="s">
        <v>61</v>
      </c>
      <c r="Y919" t="s">
        <v>7641</v>
      </c>
      <c r="Z919" t="s">
        <v>61</v>
      </c>
      <c r="AA919" t="s">
        <v>7642</v>
      </c>
      <c r="AB919">
        <v>24487348</v>
      </c>
      <c r="AC919" t="s">
        <v>67</v>
      </c>
      <c r="AD919" t="s">
        <v>61</v>
      </c>
      <c r="AE919" t="s">
        <v>61</v>
      </c>
      <c r="AF919" t="s">
        <v>61</v>
      </c>
      <c r="AG919" t="s">
        <v>7643</v>
      </c>
      <c r="AH919" t="s">
        <v>61</v>
      </c>
      <c r="AI919" t="s">
        <v>7644</v>
      </c>
      <c r="AJ919" t="s">
        <v>61</v>
      </c>
      <c r="AK919" t="s">
        <v>61</v>
      </c>
      <c r="AL919" t="s">
        <v>61</v>
      </c>
      <c r="AM919" t="s">
        <v>7645</v>
      </c>
      <c r="AN919" t="s">
        <v>61</v>
      </c>
      <c r="AO919" t="s">
        <v>61</v>
      </c>
      <c r="AP919" t="s">
        <v>61</v>
      </c>
      <c r="AQ919" t="s">
        <v>61</v>
      </c>
      <c r="AR919" t="s">
        <v>61</v>
      </c>
      <c r="AS919" t="s">
        <v>61</v>
      </c>
      <c r="AT919" t="s">
        <v>61</v>
      </c>
      <c r="AU919" t="s">
        <v>61</v>
      </c>
      <c r="AV919" t="s">
        <v>61</v>
      </c>
      <c r="AW919" t="s">
        <v>61</v>
      </c>
      <c r="AX919" t="s">
        <v>61</v>
      </c>
      <c r="AY919" t="s">
        <v>61</v>
      </c>
      <c r="AZ919" t="s">
        <v>61</v>
      </c>
      <c r="BA919" t="s">
        <v>61</v>
      </c>
      <c r="BB919" t="s">
        <v>61</v>
      </c>
      <c r="BC919" t="s">
        <v>61</v>
      </c>
      <c r="BD919" t="s">
        <v>61</v>
      </c>
      <c r="BE919" t="s">
        <v>61</v>
      </c>
      <c r="BF919" t="s">
        <v>61</v>
      </c>
    </row>
    <row r="920" spans="1:58">
      <c r="A920" t="s">
        <v>58</v>
      </c>
      <c r="B920" t="s">
        <v>7646</v>
      </c>
      <c r="C920" t="s">
        <v>7647</v>
      </c>
      <c r="D920" t="s">
        <v>373</v>
      </c>
      <c r="E920" t="s">
        <v>61</v>
      </c>
      <c r="F920">
        <v>2011</v>
      </c>
      <c r="G920" t="s">
        <v>61</v>
      </c>
      <c r="H920">
        <v>10</v>
      </c>
      <c r="I920">
        <v>1</v>
      </c>
      <c r="J920">
        <v>83</v>
      </c>
      <c r="K920">
        <v>88</v>
      </c>
      <c r="L920" t="s">
        <v>7648</v>
      </c>
      <c r="M920" t="s">
        <v>7649</v>
      </c>
      <c r="N920" t="s">
        <v>7650</v>
      </c>
      <c r="O920" t="s">
        <v>61</v>
      </c>
      <c r="Q920" t="s">
        <v>61</v>
      </c>
      <c r="R920" t="s">
        <v>61</v>
      </c>
      <c r="S920" t="s">
        <v>61</v>
      </c>
      <c r="T920" t="s">
        <v>61</v>
      </c>
      <c r="X920" t="s">
        <v>61</v>
      </c>
      <c r="Y920" t="s">
        <v>377</v>
      </c>
      <c r="Z920" t="s">
        <v>61</v>
      </c>
      <c r="AA920" t="s">
        <v>61</v>
      </c>
      <c r="AB920">
        <v>2011268102</v>
      </c>
      <c r="AC920" t="s">
        <v>67</v>
      </c>
      <c r="AD920" t="s">
        <v>61</v>
      </c>
      <c r="AE920" t="s">
        <v>61</v>
      </c>
      <c r="AF920" t="s">
        <v>61</v>
      </c>
      <c r="AG920" t="s">
        <v>61</v>
      </c>
      <c r="AH920" t="s">
        <v>61</v>
      </c>
      <c r="AI920" t="s">
        <v>61</v>
      </c>
      <c r="AJ920" t="s">
        <v>61</v>
      </c>
      <c r="AK920" t="s">
        <v>61</v>
      </c>
      <c r="AL920" t="s">
        <v>61</v>
      </c>
      <c r="AM920" t="s">
        <v>7647</v>
      </c>
      <c r="AN920" t="s">
        <v>61</v>
      </c>
      <c r="AO920" t="s">
        <v>61</v>
      </c>
      <c r="AP920" t="s">
        <v>61</v>
      </c>
      <c r="AQ920" t="s">
        <v>61</v>
      </c>
      <c r="AR920" t="s">
        <v>61</v>
      </c>
      <c r="AS920" t="s">
        <v>61</v>
      </c>
      <c r="AT920" t="s">
        <v>61</v>
      </c>
      <c r="AU920" t="s">
        <v>61</v>
      </c>
      <c r="AV920" t="s">
        <v>61</v>
      </c>
      <c r="AW920" t="s">
        <v>61</v>
      </c>
      <c r="AX920" t="s">
        <v>61</v>
      </c>
      <c r="AY920" t="s">
        <v>61</v>
      </c>
      <c r="AZ920" t="s">
        <v>61</v>
      </c>
      <c r="BA920" t="s">
        <v>61</v>
      </c>
      <c r="BB920" t="s">
        <v>61</v>
      </c>
      <c r="BC920" t="s">
        <v>61</v>
      </c>
      <c r="BD920" t="s">
        <v>61</v>
      </c>
      <c r="BE920" t="s">
        <v>61</v>
      </c>
      <c r="BF920" t="s">
        <v>61</v>
      </c>
    </row>
    <row r="921" spans="1:58">
      <c r="A921" t="s">
        <v>58</v>
      </c>
      <c r="B921" t="s">
        <v>7651</v>
      </c>
      <c r="C921" t="s">
        <v>7652</v>
      </c>
      <c r="D921" t="s">
        <v>482</v>
      </c>
      <c r="E921" t="s">
        <v>61</v>
      </c>
      <c r="F921">
        <v>2015</v>
      </c>
      <c r="G921" s="1">
        <v>42675</v>
      </c>
      <c r="H921">
        <v>156</v>
      </c>
      <c r="I921" t="s">
        <v>61</v>
      </c>
      <c r="J921">
        <v>221</v>
      </c>
      <c r="K921">
        <v>227</v>
      </c>
      <c r="L921" t="s">
        <v>61</v>
      </c>
      <c r="M921" t="s">
        <v>7653</v>
      </c>
      <c r="N921" t="s">
        <v>7654</v>
      </c>
      <c r="O921" t="s">
        <v>61</v>
      </c>
      <c r="Q921" t="s">
        <v>61</v>
      </c>
      <c r="R921" t="s">
        <v>61</v>
      </c>
      <c r="S921" t="s">
        <v>61</v>
      </c>
      <c r="T921" t="s">
        <v>61</v>
      </c>
      <c r="X921" t="s">
        <v>61</v>
      </c>
      <c r="Y921" t="s">
        <v>2327</v>
      </c>
      <c r="Z921" t="s">
        <v>61</v>
      </c>
      <c r="AA921" t="s">
        <v>7655</v>
      </c>
      <c r="AB921">
        <v>26455555</v>
      </c>
      <c r="AC921" t="s">
        <v>67</v>
      </c>
      <c r="AD921" t="s">
        <v>61</v>
      </c>
      <c r="AE921" t="s">
        <v>61</v>
      </c>
      <c r="AF921" t="s">
        <v>61</v>
      </c>
      <c r="AG921" t="s">
        <v>7656</v>
      </c>
      <c r="AH921" t="s">
        <v>61</v>
      </c>
      <c r="AI921" t="s">
        <v>7657</v>
      </c>
      <c r="AJ921" t="s">
        <v>61</v>
      </c>
      <c r="AK921" t="s">
        <v>61</v>
      </c>
      <c r="AL921" t="s">
        <v>61</v>
      </c>
      <c r="AM921" t="s">
        <v>7658</v>
      </c>
      <c r="AN921" t="s">
        <v>61</v>
      </c>
      <c r="AO921" t="s">
        <v>61</v>
      </c>
      <c r="AP921" t="s">
        <v>61</v>
      </c>
      <c r="AQ921" t="s">
        <v>61</v>
      </c>
      <c r="AR921" t="s">
        <v>61</v>
      </c>
      <c r="AS921" t="s">
        <v>61</v>
      </c>
      <c r="AT921" t="s">
        <v>61</v>
      </c>
      <c r="AU921" t="s">
        <v>61</v>
      </c>
      <c r="AV921" t="s">
        <v>61</v>
      </c>
      <c r="AW921" t="s">
        <v>61</v>
      </c>
      <c r="AX921" t="s">
        <v>61</v>
      </c>
      <c r="AY921" t="s">
        <v>61</v>
      </c>
      <c r="AZ921" t="s">
        <v>61</v>
      </c>
      <c r="BA921" t="s">
        <v>61</v>
      </c>
      <c r="BB921" t="s">
        <v>61</v>
      </c>
      <c r="BC921" t="s">
        <v>61</v>
      </c>
      <c r="BD921" t="s">
        <v>61</v>
      </c>
      <c r="BE921" t="s">
        <v>61</v>
      </c>
      <c r="BF921" t="s">
        <v>61</v>
      </c>
    </row>
    <row r="922" spans="1:58">
      <c r="A922" t="s">
        <v>58</v>
      </c>
      <c r="B922" t="s">
        <v>7659</v>
      </c>
      <c r="C922" t="s">
        <v>7660</v>
      </c>
      <c r="D922" t="s">
        <v>7661</v>
      </c>
      <c r="E922" t="s">
        <v>61</v>
      </c>
      <c r="F922">
        <v>2015</v>
      </c>
      <c r="G922" t="s">
        <v>61</v>
      </c>
      <c r="H922" t="s">
        <v>7662</v>
      </c>
      <c r="I922" t="s">
        <v>61</v>
      </c>
      <c r="J922" t="s">
        <v>61</v>
      </c>
      <c r="K922" t="s">
        <v>61</v>
      </c>
      <c r="L922" t="s">
        <v>7663</v>
      </c>
      <c r="M922" t="s">
        <v>7664</v>
      </c>
      <c r="N922" t="s">
        <v>7665</v>
      </c>
      <c r="O922" t="s">
        <v>61</v>
      </c>
      <c r="Q922" t="s">
        <v>61</v>
      </c>
      <c r="R922" t="s">
        <v>61</v>
      </c>
      <c r="S922" t="s">
        <v>61</v>
      </c>
      <c r="T922" t="s">
        <v>61</v>
      </c>
      <c r="X922" t="s">
        <v>61</v>
      </c>
      <c r="Y922" t="s">
        <v>7666</v>
      </c>
      <c r="Z922" t="s">
        <v>61</v>
      </c>
      <c r="AA922" t="s">
        <v>61</v>
      </c>
      <c r="AB922" t="s">
        <v>7667</v>
      </c>
      <c r="AC922" t="s">
        <v>67</v>
      </c>
      <c r="AD922" t="s">
        <v>61</v>
      </c>
      <c r="AE922" t="s">
        <v>61</v>
      </c>
      <c r="AF922" t="s">
        <v>61</v>
      </c>
      <c r="AG922" t="s">
        <v>61</v>
      </c>
      <c r="AH922" t="s">
        <v>61</v>
      </c>
      <c r="AI922" t="s">
        <v>61</v>
      </c>
      <c r="AJ922" t="s">
        <v>61</v>
      </c>
      <c r="AK922" t="s">
        <v>61</v>
      </c>
      <c r="AL922" t="s">
        <v>61</v>
      </c>
      <c r="AM922" t="s">
        <v>7660</v>
      </c>
      <c r="AN922" t="s">
        <v>61</v>
      </c>
      <c r="AO922" t="s">
        <v>61</v>
      </c>
      <c r="AP922" t="s">
        <v>61</v>
      </c>
      <c r="AQ922" t="s">
        <v>61</v>
      </c>
      <c r="AR922" t="s">
        <v>61</v>
      </c>
      <c r="AS922" t="s">
        <v>61</v>
      </c>
      <c r="AT922" t="s">
        <v>61</v>
      </c>
      <c r="AU922" t="s">
        <v>61</v>
      </c>
      <c r="AV922" t="s">
        <v>61</v>
      </c>
      <c r="AW922" t="s">
        <v>61</v>
      </c>
      <c r="AX922" t="s">
        <v>61</v>
      </c>
      <c r="AY922" t="s">
        <v>61</v>
      </c>
      <c r="AZ922" t="s">
        <v>61</v>
      </c>
      <c r="BA922" t="s">
        <v>61</v>
      </c>
      <c r="BB922" t="s">
        <v>61</v>
      </c>
      <c r="BC922" t="s">
        <v>61</v>
      </c>
      <c r="BD922" t="s">
        <v>61</v>
      </c>
      <c r="BE922" t="s">
        <v>61</v>
      </c>
      <c r="BF922" t="s">
        <v>61</v>
      </c>
    </row>
    <row r="923" spans="1:58">
      <c r="A923" t="s">
        <v>58</v>
      </c>
      <c r="B923" t="s">
        <v>7668</v>
      </c>
      <c r="C923" t="s">
        <v>7669</v>
      </c>
      <c r="D923" t="s">
        <v>7670</v>
      </c>
      <c r="E923" t="s">
        <v>61</v>
      </c>
      <c r="F923">
        <v>2013</v>
      </c>
      <c r="G923" t="s">
        <v>7671</v>
      </c>
      <c r="H923">
        <v>47</v>
      </c>
      <c r="I923">
        <v>3</v>
      </c>
      <c r="J923">
        <v>1</v>
      </c>
      <c r="K923">
        <v>5</v>
      </c>
      <c r="L923" t="s">
        <v>7672</v>
      </c>
      <c r="M923" t="s">
        <v>7673</v>
      </c>
      <c r="N923" t="s">
        <v>7674</v>
      </c>
      <c r="O923" t="s">
        <v>61</v>
      </c>
      <c r="Q923" t="s">
        <v>61</v>
      </c>
      <c r="R923" t="s">
        <v>61</v>
      </c>
      <c r="S923" t="s">
        <v>61</v>
      </c>
      <c r="T923" t="s">
        <v>61</v>
      </c>
      <c r="X923" t="s">
        <v>61</v>
      </c>
      <c r="Y923" t="s">
        <v>7675</v>
      </c>
      <c r="Z923" t="s">
        <v>61</v>
      </c>
      <c r="AA923" t="s">
        <v>61</v>
      </c>
      <c r="AB923" t="s">
        <v>7676</v>
      </c>
      <c r="AC923" t="s">
        <v>67</v>
      </c>
      <c r="AD923" t="s">
        <v>61</v>
      </c>
      <c r="AE923" t="s">
        <v>61</v>
      </c>
      <c r="AF923" t="s">
        <v>61</v>
      </c>
      <c r="AG923" t="s">
        <v>61</v>
      </c>
      <c r="AH923" t="s">
        <v>61</v>
      </c>
      <c r="AI923" t="s">
        <v>61</v>
      </c>
      <c r="AJ923" t="s">
        <v>61</v>
      </c>
      <c r="AK923" t="s">
        <v>61</v>
      </c>
      <c r="AL923" t="s">
        <v>61</v>
      </c>
      <c r="AM923" t="s">
        <v>7669</v>
      </c>
      <c r="AN923" t="s">
        <v>61</v>
      </c>
      <c r="AO923" t="s">
        <v>61</v>
      </c>
      <c r="AP923" t="s">
        <v>61</v>
      </c>
      <c r="AQ923" t="s">
        <v>61</v>
      </c>
      <c r="AR923" t="s">
        <v>61</v>
      </c>
      <c r="AS923" t="s">
        <v>61</v>
      </c>
      <c r="AT923" t="s">
        <v>61</v>
      </c>
      <c r="AU923" t="s">
        <v>61</v>
      </c>
      <c r="AV923" t="s">
        <v>61</v>
      </c>
      <c r="AW923" t="s">
        <v>61</v>
      </c>
      <c r="AX923" t="s">
        <v>61</v>
      </c>
      <c r="AY923" t="s">
        <v>61</v>
      </c>
      <c r="AZ923" t="s">
        <v>61</v>
      </c>
      <c r="BA923" t="s">
        <v>61</v>
      </c>
      <c r="BB923" t="s">
        <v>61</v>
      </c>
      <c r="BC923" t="s">
        <v>61</v>
      </c>
      <c r="BD923" t="s">
        <v>61</v>
      </c>
      <c r="BE923" t="s">
        <v>61</v>
      </c>
      <c r="BF923" t="s">
        <v>61</v>
      </c>
    </row>
    <row r="924" spans="1:58">
      <c r="A924" t="s">
        <v>58</v>
      </c>
      <c r="B924" t="s">
        <v>7677</v>
      </c>
      <c r="C924" t="s">
        <v>7678</v>
      </c>
      <c r="D924" t="s">
        <v>609</v>
      </c>
      <c r="E924" t="s">
        <v>61</v>
      </c>
      <c r="F924">
        <v>2014</v>
      </c>
      <c r="G924" t="s">
        <v>538</v>
      </c>
      <c r="H924">
        <v>13</v>
      </c>
      <c r="I924">
        <v>3</v>
      </c>
      <c r="J924">
        <v>327</v>
      </c>
      <c r="K924">
        <v>330</v>
      </c>
      <c r="L924" t="s">
        <v>7679</v>
      </c>
      <c r="M924" t="s">
        <v>7680</v>
      </c>
      <c r="N924" t="s">
        <v>7681</v>
      </c>
      <c r="O924" t="s">
        <v>61</v>
      </c>
      <c r="Q924" t="s">
        <v>61</v>
      </c>
      <c r="R924" t="s">
        <v>61</v>
      </c>
      <c r="S924" t="s">
        <v>61</v>
      </c>
      <c r="T924" t="s">
        <v>61</v>
      </c>
      <c r="X924" t="s">
        <v>61</v>
      </c>
      <c r="Y924" t="s">
        <v>3360</v>
      </c>
      <c r="Z924" t="s">
        <v>61</v>
      </c>
      <c r="AA924" t="s">
        <v>61</v>
      </c>
      <c r="AB924" t="s">
        <v>7682</v>
      </c>
      <c r="AC924" t="s">
        <v>67</v>
      </c>
      <c r="AD924" t="s">
        <v>61</v>
      </c>
      <c r="AE924" t="s">
        <v>61</v>
      </c>
      <c r="AF924" t="s">
        <v>61</v>
      </c>
      <c r="AG924" t="s">
        <v>61</v>
      </c>
      <c r="AH924" t="s">
        <v>61</v>
      </c>
      <c r="AI924" t="s">
        <v>61</v>
      </c>
      <c r="AJ924" t="s">
        <v>61</v>
      </c>
      <c r="AK924" t="s">
        <v>61</v>
      </c>
      <c r="AL924" t="s">
        <v>61</v>
      </c>
      <c r="AM924" t="s">
        <v>7678</v>
      </c>
      <c r="AN924" t="s">
        <v>61</v>
      </c>
      <c r="AO924" t="s">
        <v>61</v>
      </c>
      <c r="AP924" t="s">
        <v>61</v>
      </c>
      <c r="AQ924" t="s">
        <v>61</v>
      </c>
      <c r="AR924" t="s">
        <v>61</v>
      </c>
      <c r="AS924" t="s">
        <v>61</v>
      </c>
      <c r="AT924" t="s">
        <v>61</v>
      </c>
      <c r="AU924" t="s">
        <v>61</v>
      </c>
      <c r="AV924" t="s">
        <v>61</v>
      </c>
      <c r="AW924" t="s">
        <v>61</v>
      </c>
      <c r="AX924" t="s">
        <v>61</v>
      </c>
      <c r="AY924" t="s">
        <v>61</v>
      </c>
      <c r="AZ924" t="s">
        <v>61</v>
      </c>
      <c r="BA924" t="s">
        <v>61</v>
      </c>
      <c r="BB924" t="s">
        <v>61</v>
      </c>
      <c r="BC924" t="s">
        <v>61</v>
      </c>
      <c r="BD924" t="s">
        <v>61</v>
      </c>
      <c r="BE924" t="s">
        <v>61</v>
      </c>
      <c r="BF924" t="s">
        <v>61</v>
      </c>
    </row>
    <row r="925" spans="1:58">
      <c r="A925" t="s">
        <v>58</v>
      </c>
      <c r="B925" t="s">
        <v>7683</v>
      </c>
      <c r="C925" t="s">
        <v>7684</v>
      </c>
      <c r="D925" t="s">
        <v>4966</v>
      </c>
      <c r="E925" t="s">
        <v>4967</v>
      </c>
      <c r="F925">
        <v>2014</v>
      </c>
      <c r="G925">
        <v>1</v>
      </c>
      <c r="H925">
        <v>49</v>
      </c>
      <c r="I925">
        <v>5</v>
      </c>
      <c r="J925">
        <v>420</v>
      </c>
      <c r="K925">
        <v>424</v>
      </c>
      <c r="L925" t="s">
        <v>7685</v>
      </c>
      <c r="M925" t="s">
        <v>7686</v>
      </c>
      <c r="N925" t="s">
        <v>7687</v>
      </c>
      <c r="O925" t="s">
        <v>61</v>
      </c>
      <c r="Q925" t="s">
        <v>61</v>
      </c>
      <c r="R925" t="s">
        <v>61</v>
      </c>
      <c r="S925" t="s">
        <v>61</v>
      </c>
      <c r="T925" t="s">
        <v>61</v>
      </c>
      <c r="X925" t="s">
        <v>61</v>
      </c>
      <c r="Y925" t="s">
        <v>7688</v>
      </c>
      <c r="Z925" t="s">
        <v>61</v>
      </c>
      <c r="AA925" t="s">
        <v>61</v>
      </c>
      <c r="AB925" t="s">
        <v>7689</v>
      </c>
      <c r="AC925" t="s">
        <v>67</v>
      </c>
      <c r="AD925" t="s">
        <v>61</v>
      </c>
      <c r="AE925" t="s">
        <v>61</v>
      </c>
      <c r="AF925" t="s">
        <v>61</v>
      </c>
      <c r="AG925" t="s">
        <v>61</v>
      </c>
      <c r="AH925" t="s">
        <v>61</v>
      </c>
      <c r="AI925" t="s">
        <v>61</v>
      </c>
      <c r="AJ925" t="s">
        <v>61</v>
      </c>
      <c r="AK925" t="s">
        <v>61</v>
      </c>
      <c r="AL925" t="s">
        <v>61</v>
      </c>
      <c r="AM925" t="s">
        <v>7690</v>
      </c>
      <c r="AN925" t="s">
        <v>61</v>
      </c>
      <c r="AO925" t="s">
        <v>61</v>
      </c>
      <c r="AP925" t="s">
        <v>61</v>
      </c>
      <c r="AQ925" t="s">
        <v>61</v>
      </c>
      <c r="AR925" t="s">
        <v>61</v>
      </c>
      <c r="AS925" t="s">
        <v>61</v>
      </c>
      <c r="AT925" t="s">
        <v>61</v>
      </c>
      <c r="AU925" t="s">
        <v>61</v>
      </c>
      <c r="AV925" t="s">
        <v>61</v>
      </c>
      <c r="AW925" t="s">
        <v>61</v>
      </c>
      <c r="AX925" t="s">
        <v>61</v>
      </c>
      <c r="AY925" t="s">
        <v>61</v>
      </c>
      <c r="AZ925" t="s">
        <v>61</v>
      </c>
      <c r="BA925" t="s">
        <v>61</v>
      </c>
      <c r="BB925" t="s">
        <v>61</v>
      </c>
      <c r="BC925" t="s">
        <v>61</v>
      </c>
      <c r="BD925" t="s">
        <v>61</v>
      </c>
      <c r="BE925" t="s">
        <v>61</v>
      </c>
      <c r="BF925" t="s">
        <v>61</v>
      </c>
    </row>
    <row r="926" spans="1:58">
      <c r="A926" t="s">
        <v>58</v>
      </c>
      <c r="B926" t="s">
        <v>7691</v>
      </c>
      <c r="C926" t="s">
        <v>7692</v>
      </c>
      <c r="D926" t="s">
        <v>7693</v>
      </c>
      <c r="E926" t="s">
        <v>61</v>
      </c>
      <c r="F926">
        <v>2007</v>
      </c>
      <c r="G926" t="s">
        <v>559</v>
      </c>
      <c r="H926">
        <v>10</v>
      </c>
      <c r="I926">
        <v>3</v>
      </c>
      <c r="J926">
        <v>399</v>
      </c>
      <c r="K926">
        <v>424</v>
      </c>
      <c r="L926" t="s">
        <v>7694</v>
      </c>
      <c r="M926" t="s">
        <v>7695</v>
      </c>
      <c r="N926" t="s">
        <v>7696</v>
      </c>
      <c r="O926" t="s">
        <v>61</v>
      </c>
      <c r="Q926" t="s">
        <v>61</v>
      </c>
      <c r="R926" t="s">
        <v>61</v>
      </c>
      <c r="S926" t="s">
        <v>61</v>
      </c>
      <c r="T926" t="s">
        <v>61</v>
      </c>
      <c r="X926" t="s">
        <v>61</v>
      </c>
      <c r="Y926" t="s">
        <v>7697</v>
      </c>
      <c r="Z926" t="s">
        <v>61</v>
      </c>
      <c r="AA926" t="s">
        <v>7698</v>
      </c>
      <c r="AB926">
        <v>17525776</v>
      </c>
      <c r="AC926" t="s">
        <v>67</v>
      </c>
      <c r="AD926" t="s">
        <v>61</v>
      </c>
      <c r="AE926" t="s">
        <v>61</v>
      </c>
      <c r="AF926" t="s">
        <v>61</v>
      </c>
      <c r="AG926" t="s">
        <v>7699</v>
      </c>
      <c r="AH926" t="s">
        <v>61</v>
      </c>
      <c r="AI926" t="s">
        <v>61</v>
      </c>
      <c r="AJ926" t="s">
        <v>61</v>
      </c>
      <c r="AK926" t="s">
        <v>61</v>
      </c>
      <c r="AL926" t="s">
        <v>61</v>
      </c>
      <c r="AM926" t="s">
        <v>7700</v>
      </c>
      <c r="AN926" t="s">
        <v>61</v>
      </c>
      <c r="AO926" t="s">
        <v>61</v>
      </c>
      <c r="AP926" t="s">
        <v>61</v>
      </c>
      <c r="AQ926" t="s">
        <v>61</v>
      </c>
      <c r="AR926" t="s">
        <v>61</v>
      </c>
      <c r="AS926" t="s">
        <v>61</v>
      </c>
      <c r="AT926" t="s">
        <v>61</v>
      </c>
      <c r="AU926" t="s">
        <v>61</v>
      </c>
      <c r="AV926" t="s">
        <v>61</v>
      </c>
      <c r="AW926" t="s">
        <v>61</v>
      </c>
      <c r="AX926" t="s">
        <v>61</v>
      </c>
      <c r="AY926" t="s">
        <v>61</v>
      </c>
      <c r="AZ926" t="s">
        <v>61</v>
      </c>
      <c r="BA926" t="s">
        <v>61</v>
      </c>
      <c r="BB926" t="s">
        <v>61</v>
      </c>
      <c r="BC926" t="s">
        <v>61</v>
      </c>
      <c r="BD926" t="s">
        <v>61</v>
      </c>
      <c r="BE926" t="s">
        <v>61</v>
      </c>
      <c r="BF926" t="s">
        <v>61</v>
      </c>
    </row>
    <row r="927" spans="1:58">
      <c r="A927" t="s">
        <v>58</v>
      </c>
      <c r="B927" t="s">
        <v>7691</v>
      </c>
      <c r="C927" t="s">
        <v>7701</v>
      </c>
      <c r="D927" t="s">
        <v>7693</v>
      </c>
      <c r="E927" t="s">
        <v>61</v>
      </c>
      <c r="F927">
        <v>2006</v>
      </c>
      <c r="G927" t="s">
        <v>129</v>
      </c>
      <c r="H927">
        <v>9</v>
      </c>
      <c r="I927">
        <v>4</v>
      </c>
      <c r="J927">
        <v>287</v>
      </c>
      <c r="K927">
        <v>321</v>
      </c>
      <c r="L927" t="s">
        <v>7702</v>
      </c>
      <c r="M927" t="s">
        <v>7703</v>
      </c>
      <c r="N927" t="s">
        <v>7704</v>
      </c>
      <c r="O927" t="s">
        <v>61</v>
      </c>
      <c r="Q927" t="s">
        <v>61</v>
      </c>
      <c r="R927" t="s">
        <v>61</v>
      </c>
      <c r="S927" t="s">
        <v>61</v>
      </c>
      <c r="T927" t="s">
        <v>61</v>
      </c>
      <c r="X927" t="s">
        <v>61</v>
      </c>
      <c r="Y927" t="s">
        <v>7697</v>
      </c>
      <c r="Z927" t="s">
        <v>61</v>
      </c>
      <c r="AA927" t="s">
        <v>7705</v>
      </c>
      <c r="AB927">
        <v>17066115</v>
      </c>
      <c r="AC927" t="s">
        <v>67</v>
      </c>
      <c r="AD927" t="s">
        <v>61</v>
      </c>
      <c r="AE927" t="s">
        <v>61</v>
      </c>
      <c r="AF927" t="s">
        <v>61</v>
      </c>
      <c r="AG927" t="s">
        <v>7706</v>
      </c>
      <c r="AH927" t="s">
        <v>61</v>
      </c>
      <c r="AI927" t="s">
        <v>61</v>
      </c>
      <c r="AJ927" t="s">
        <v>61</v>
      </c>
      <c r="AK927" t="s">
        <v>61</v>
      </c>
      <c r="AL927" t="s">
        <v>61</v>
      </c>
      <c r="AM927" t="s">
        <v>7707</v>
      </c>
      <c r="AN927" t="s">
        <v>61</v>
      </c>
      <c r="AO927" t="s">
        <v>61</v>
      </c>
      <c r="AP927" t="s">
        <v>61</v>
      </c>
      <c r="AQ927" t="s">
        <v>61</v>
      </c>
      <c r="AR927" t="s">
        <v>61</v>
      </c>
      <c r="AS927" t="s">
        <v>61</v>
      </c>
      <c r="AT927" t="s">
        <v>61</v>
      </c>
      <c r="AU927" t="s">
        <v>61</v>
      </c>
      <c r="AV927" t="s">
        <v>61</v>
      </c>
      <c r="AW927" t="s">
        <v>61</v>
      </c>
      <c r="AX927" t="s">
        <v>61</v>
      </c>
      <c r="AY927" t="s">
        <v>61</v>
      </c>
      <c r="AZ927" t="s">
        <v>61</v>
      </c>
      <c r="BA927" t="s">
        <v>61</v>
      </c>
      <c r="BB927" t="s">
        <v>61</v>
      </c>
      <c r="BC927" t="s">
        <v>61</v>
      </c>
      <c r="BD927" t="s">
        <v>61</v>
      </c>
      <c r="BE927" t="s">
        <v>61</v>
      </c>
      <c r="BF927" t="s">
        <v>61</v>
      </c>
    </row>
    <row r="928" spans="1:58">
      <c r="A928" t="s">
        <v>58</v>
      </c>
      <c r="B928" t="s">
        <v>7708</v>
      </c>
      <c r="C928" t="s">
        <v>7709</v>
      </c>
      <c r="D928" t="s">
        <v>408</v>
      </c>
      <c r="E928" t="s">
        <v>408</v>
      </c>
      <c r="F928">
        <v>2014</v>
      </c>
      <c r="G928" t="s">
        <v>645</v>
      </c>
      <c r="H928">
        <v>34</v>
      </c>
      <c r="I928">
        <v>10</v>
      </c>
      <c r="J928" t="s">
        <v>7710</v>
      </c>
      <c r="K928" t="s">
        <v>61</v>
      </c>
      <c r="L928" t="s">
        <v>7711</v>
      </c>
      <c r="M928" t="s">
        <v>7712</v>
      </c>
      <c r="N928" t="s">
        <v>7713</v>
      </c>
      <c r="O928" t="s">
        <v>61</v>
      </c>
      <c r="Q928" t="s">
        <v>61</v>
      </c>
      <c r="R928" t="s">
        <v>61</v>
      </c>
      <c r="S928" t="s">
        <v>61</v>
      </c>
      <c r="T928" t="s">
        <v>61</v>
      </c>
      <c r="X928" t="s">
        <v>61</v>
      </c>
      <c r="Y928" t="s">
        <v>414</v>
      </c>
      <c r="Z928" t="s">
        <v>61</v>
      </c>
      <c r="AA928" t="s">
        <v>61</v>
      </c>
      <c r="AB928" t="s">
        <v>61</v>
      </c>
      <c r="AC928" t="s">
        <v>67</v>
      </c>
      <c r="AD928" t="s">
        <v>61</v>
      </c>
      <c r="AE928" t="s">
        <v>61</v>
      </c>
      <c r="AF928" t="s">
        <v>61</v>
      </c>
      <c r="AG928" t="s">
        <v>61</v>
      </c>
      <c r="AH928" t="s">
        <v>61</v>
      </c>
      <c r="AI928" t="s">
        <v>61</v>
      </c>
      <c r="AJ928" t="s">
        <v>61</v>
      </c>
      <c r="AK928" t="s">
        <v>61</v>
      </c>
      <c r="AL928" t="s">
        <v>61</v>
      </c>
      <c r="AM928" t="s">
        <v>7709</v>
      </c>
      <c r="AN928" t="s">
        <v>61</v>
      </c>
      <c r="AO928" t="s">
        <v>61</v>
      </c>
      <c r="AP928" t="s">
        <v>61</v>
      </c>
      <c r="AQ928" t="s">
        <v>61</v>
      </c>
      <c r="AR928" t="s">
        <v>61</v>
      </c>
      <c r="AS928" t="s">
        <v>61</v>
      </c>
      <c r="AT928" t="s">
        <v>61</v>
      </c>
      <c r="AU928" t="s">
        <v>61</v>
      </c>
      <c r="AV928" t="s">
        <v>61</v>
      </c>
      <c r="AW928" t="s">
        <v>61</v>
      </c>
      <c r="AX928" t="s">
        <v>61</v>
      </c>
      <c r="AY928" t="s">
        <v>61</v>
      </c>
      <c r="AZ928" t="s">
        <v>61</v>
      </c>
      <c r="BA928" t="s">
        <v>61</v>
      </c>
      <c r="BB928" t="s">
        <v>61</v>
      </c>
      <c r="BC928" t="s">
        <v>61</v>
      </c>
      <c r="BD928" t="s">
        <v>61</v>
      </c>
      <c r="BE928" t="s">
        <v>61</v>
      </c>
      <c r="BF928" t="s">
        <v>61</v>
      </c>
    </row>
    <row r="929" spans="1:58">
      <c r="A929" t="s">
        <v>58</v>
      </c>
      <c r="B929" t="s">
        <v>7714</v>
      </c>
      <c r="C929" t="s">
        <v>7715</v>
      </c>
      <c r="D929" t="s">
        <v>1813</v>
      </c>
      <c r="E929" t="s">
        <v>61</v>
      </c>
      <c r="F929">
        <v>2014</v>
      </c>
      <c r="G929">
        <v>1</v>
      </c>
      <c r="H929">
        <v>6</v>
      </c>
      <c r="I929">
        <v>6</v>
      </c>
      <c r="J929">
        <v>752</v>
      </c>
      <c r="K929">
        <v>758</v>
      </c>
      <c r="L929" t="s">
        <v>7716</v>
      </c>
      <c r="M929" t="s">
        <v>7717</v>
      </c>
      <c r="N929" t="s">
        <v>7718</v>
      </c>
      <c r="O929" t="s">
        <v>61</v>
      </c>
      <c r="Q929" t="s">
        <v>61</v>
      </c>
      <c r="R929" t="s">
        <v>61</v>
      </c>
      <c r="S929" t="s">
        <v>61</v>
      </c>
      <c r="T929" t="s">
        <v>61</v>
      </c>
      <c r="X929" t="s">
        <v>61</v>
      </c>
      <c r="Y929" t="s">
        <v>1817</v>
      </c>
      <c r="Z929" t="s">
        <v>61</v>
      </c>
      <c r="AA929" t="s">
        <v>61</v>
      </c>
      <c r="AB929" t="s">
        <v>7719</v>
      </c>
      <c r="AC929" t="s">
        <v>67</v>
      </c>
      <c r="AD929" t="s">
        <v>61</v>
      </c>
      <c r="AE929" t="s">
        <v>61</v>
      </c>
      <c r="AF929" t="s">
        <v>61</v>
      </c>
      <c r="AG929" t="s">
        <v>61</v>
      </c>
      <c r="AH929" t="s">
        <v>61</v>
      </c>
      <c r="AI929" t="s">
        <v>61</v>
      </c>
      <c r="AJ929" t="s">
        <v>61</v>
      </c>
      <c r="AK929" t="s">
        <v>61</v>
      </c>
      <c r="AL929" t="s">
        <v>61</v>
      </c>
      <c r="AM929" t="s">
        <v>7715</v>
      </c>
      <c r="AN929" t="s">
        <v>61</v>
      </c>
      <c r="AO929" t="s">
        <v>61</v>
      </c>
      <c r="AP929" t="s">
        <v>61</v>
      </c>
      <c r="AQ929" t="s">
        <v>61</v>
      </c>
      <c r="AR929" t="s">
        <v>61</v>
      </c>
      <c r="AS929" t="s">
        <v>61</v>
      </c>
      <c r="AT929" t="s">
        <v>61</v>
      </c>
      <c r="AU929" t="s">
        <v>61</v>
      </c>
      <c r="AV929" t="s">
        <v>61</v>
      </c>
      <c r="AW929" t="s">
        <v>61</v>
      </c>
      <c r="AX929" t="s">
        <v>61</v>
      </c>
      <c r="AY929" t="s">
        <v>61</v>
      </c>
      <c r="AZ929" t="s">
        <v>61</v>
      </c>
      <c r="BA929" t="s">
        <v>61</v>
      </c>
      <c r="BB929" t="s">
        <v>61</v>
      </c>
      <c r="BC929" t="s">
        <v>61</v>
      </c>
      <c r="BD929" t="s">
        <v>61</v>
      </c>
      <c r="BE929" t="s">
        <v>61</v>
      </c>
      <c r="BF929" t="s">
        <v>61</v>
      </c>
    </row>
    <row r="930" spans="1:58">
      <c r="A930" t="s">
        <v>58</v>
      </c>
      <c r="B930" t="s">
        <v>7720</v>
      </c>
      <c r="C930" t="s">
        <v>7721</v>
      </c>
      <c r="D930" t="s">
        <v>7722</v>
      </c>
      <c r="E930" t="s">
        <v>61</v>
      </c>
      <c r="F930">
        <v>2012</v>
      </c>
      <c r="G930" t="s">
        <v>61</v>
      </c>
      <c r="H930">
        <v>5</v>
      </c>
      <c r="I930">
        <v>6</v>
      </c>
      <c r="J930">
        <v>1228</v>
      </c>
      <c r="K930">
        <v>1233</v>
      </c>
      <c r="L930" t="s">
        <v>7723</v>
      </c>
      <c r="M930" t="s">
        <v>7724</v>
      </c>
      <c r="N930" t="s">
        <v>7725</v>
      </c>
      <c r="O930" t="s">
        <v>61</v>
      </c>
      <c r="Q930" t="s">
        <v>61</v>
      </c>
      <c r="R930" t="s">
        <v>61</v>
      </c>
      <c r="S930" t="s">
        <v>61</v>
      </c>
      <c r="T930" t="s">
        <v>61</v>
      </c>
      <c r="X930" t="s">
        <v>61</v>
      </c>
      <c r="Y930" t="s">
        <v>7726</v>
      </c>
      <c r="Z930" t="s">
        <v>61</v>
      </c>
      <c r="AA930" t="s">
        <v>61</v>
      </c>
      <c r="AB930">
        <v>2012308763</v>
      </c>
      <c r="AC930" t="s">
        <v>67</v>
      </c>
      <c r="AD930" t="s">
        <v>61</v>
      </c>
      <c r="AE930" t="s">
        <v>61</v>
      </c>
      <c r="AF930" t="s">
        <v>61</v>
      </c>
      <c r="AG930" t="s">
        <v>61</v>
      </c>
      <c r="AH930" t="s">
        <v>61</v>
      </c>
      <c r="AI930" t="s">
        <v>61</v>
      </c>
      <c r="AJ930" t="s">
        <v>61</v>
      </c>
      <c r="AK930" t="s">
        <v>61</v>
      </c>
      <c r="AL930" t="s">
        <v>61</v>
      </c>
      <c r="AM930" t="s">
        <v>7721</v>
      </c>
      <c r="AN930" t="s">
        <v>61</v>
      </c>
      <c r="AO930" t="s">
        <v>61</v>
      </c>
      <c r="AP930" t="s">
        <v>61</v>
      </c>
      <c r="AQ930" t="s">
        <v>61</v>
      </c>
      <c r="AR930" t="s">
        <v>61</v>
      </c>
      <c r="AS930" t="s">
        <v>61</v>
      </c>
      <c r="AT930" t="s">
        <v>61</v>
      </c>
      <c r="AU930" t="s">
        <v>61</v>
      </c>
      <c r="AV930" t="s">
        <v>61</v>
      </c>
      <c r="AW930" t="s">
        <v>61</v>
      </c>
      <c r="AX930" t="s">
        <v>61</v>
      </c>
      <c r="AY930" t="s">
        <v>61</v>
      </c>
      <c r="AZ930" t="s">
        <v>61</v>
      </c>
      <c r="BA930" t="s">
        <v>61</v>
      </c>
      <c r="BB930" t="s">
        <v>61</v>
      </c>
      <c r="BC930" t="s">
        <v>61</v>
      </c>
      <c r="BD930" t="s">
        <v>61</v>
      </c>
      <c r="BE930" t="s">
        <v>61</v>
      </c>
      <c r="BF930" t="s">
        <v>61</v>
      </c>
    </row>
    <row r="931" spans="1:58">
      <c r="A931" t="s">
        <v>58</v>
      </c>
      <c r="B931" t="s">
        <v>7727</v>
      </c>
      <c r="C931" t="s">
        <v>7728</v>
      </c>
      <c r="D931" t="s">
        <v>7729</v>
      </c>
      <c r="E931" t="s">
        <v>7730</v>
      </c>
      <c r="F931">
        <v>2010</v>
      </c>
      <c r="G931" t="s">
        <v>61</v>
      </c>
      <c r="H931">
        <v>268</v>
      </c>
      <c r="I931">
        <v>6</v>
      </c>
      <c r="J931">
        <v>540</v>
      </c>
      <c r="K931" t="s">
        <v>7731</v>
      </c>
      <c r="L931" t="s">
        <v>7732</v>
      </c>
      <c r="M931" t="s">
        <v>7733</v>
      </c>
      <c r="N931" t="s">
        <v>7734</v>
      </c>
      <c r="O931" t="s">
        <v>61</v>
      </c>
      <c r="Q931" t="s">
        <v>61</v>
      </c>
      <c r="R931" t="s">
        <v>61</v>
      </c>
      <c r="S931" t="s">
        <v>61</v>
      </c>
      <c r="T931" t="s">
        <v>61</v>
      </c>
      <c r="X931" t="s">
        <v>61</v>
      </c>
      <c r="Y931" t="s">
        <v>7735</v>
      </c>
      <c r="Z931" t="s">
        <v>61</v>
      </c>
      <c r="AA931" t="s">
        <v>7736</v>
      </c>
      <c r="AB931">
        <v>104952047</v>
      </c>
      <c r="AC931" t="s">
        <v>67</v>
      </c>
      <c r="AD931" t="s">
        <v>61</v>
      </c>
      <c r="AE931" t="s">
        <v>61</v>
      </c>
      <c r="AF931" t="s">
        <v>61</v>
      </c>
      <c r="AG931" t="s">
        <v>7737</v>
      </c>
      <c r="AH931" t="s">
        <v>61</v>
      </c>
      <c r="AI931" t="s">
        <v>7738</v>
      </c>
      <c r="AJ931" t="s">
        <v>61</v>
      </c>
      <c r="AK931" t="s">
        <v>61</v>
      </c>
      <c r="AL931" t="s">
        <v>61</v>
      </c>
      <c r="AM931" t="s">
        <v>7739</v>
      </c>
      <c r="AN931" t="s">
        <v>61</v>
      </c>
      <c r="AO931" t="s">
        <v>61</v>
      </c>
      <c r="AP931" t="s">
        <v>61</v>
      </c>
      <c r="AQ931" t="s">
        <v>61</v>
      </c>
      <c r="AR931" t="s">
        <v>61</v>
      </c>
      <c r="AS931" t="s">
        <v>61</v>
      </c>
      <c r="AT931" t="s">
        <v>61</v>
      </c>
      <c r="AU931" t="s">
        <v>61</v>
      </c>
      <c r="AV931" t="s">
        <v>61</v>
      </c>
      <c r="AW931" t="s">
        <v>61</v>
      </c>
      <c r="AX931" t="s">
        <v>61</v>
      </c>
      <c r="AY931" t="s">
        <v>61</v>
      </c>
      <c r="AZ931" t="s">
        <v>61</v>
      </c>
      <c r="BA931" t="s">
        <v>61</v>
      </c>
      <c r="BB931" t="s">
        <v>61</v>
      </c>
      <c r="BC931" t="s">
        <v>61</v>
      </c>
      <c r="BD931" t="s">
        <v>61</v>
      </c>
      <c r="BE931" t="s">
        <v>61</v>
      </c>
      <c r="BF931" t="s">
        <v>61</v>
      </c>
    </row>
    <row r="932" spans="1:58">
      <c r="A932" t="s">
        <v>58</v>
      </c>
      <c r="B932" t="s">
        <v>7740</v>
      </c>
      <c r="C932" t="s">
        <v>7741</v>
      </c>
      <c r="D932" t="s">
        <v>704</v>
      </c>
      <c r="E932" t="s">
        <v>61</v>
      </c>
      <c r="F932">
        <v>2007</v>
      </c>
      <c r="G932" t="s">
        <v>851</v>
      </c>
      <c r="H932">
        <v>13</v>
      </c>
      <c r="I932">
        <v>9</v>
      </c>
      <c r="J932" t="s">
        <v>1493</v>
      </c>
      <c r="K932" t="s">
        <v>7742</v>
      </c>
      <c r="L932" t="s">
        <v>7743</v>
      </c>
      <c r="M932" t="s">
        <v>7744</v>
      </c>
      <c r="N932" t="s">
        <v>7745</v>
      </c>
      <c r="O932" t="s">
        <v>61</v>
      </c>
      <c r="Q932" t="s">
        <v>61</v>
      </c>
      <c r="R932" t="s">
        <v>61</v>
      </c>
      <c r="S932" t="s">
        <v>61</v>
      </c>
      <c r="T932" t="s">
        <v>61</v>
      </c>
      <c r="X932" t="s">
        <v>61</v>
      </c>
      <c r="Y932" t="s">
        <v>6886</v>
      </c>
      <c r="Z932" t="s">
        <v>61</v>
      </c>
      <c r="AA932" t="s">
        <v>7746</v>
      </c>
      <c r="AB932">
        <v>18062734</v>
      </c>
      <c r="AC932" t="s">
        <v>67</v>
      </c>
      <c r="AD932" t="s">
        <v>61</v>
      </c>
      <c r="AE932" t="s">
        <v>61</v>
      </c>
      <c r="AF932" t="s">
        <v>61</v>
      </c>
      <c r="AG932" t="s">
        <v>7747</v>
      </c>
      <c r="AH932" t="s">
        <v>61</v>
      </c>
      <c r="AI932" t="s">
        <v>61</v>
      </c>
      <c r="AJ932" t="s">
        <v>61</v>
      </c>
      <c r="AK932" t="s">
        <v>61</v>
      </c>
      <c r="AL932" t="s">
        <v>61</v>
      </c>
      <c r="AM932" t="s">
        <v>7748</v>
      </c>
      <c r="AN932" t="s">
        <v>61</v>
      </c>
      <c r="AO932" t="s">
        <v>61</v>
      </c>
      <c r="AP932" t="s">
        <v>61</v>
      </c>
      <c r="AQ932" t="s">
        <v>61</v>
      </c>
      <c r="AR932" t="s">
        <v>61</v>
      </c>
      <c r="AS932" t="s">
        <v>61</v>
      </c>
      <c r="AT932" t="s">
        <v>61</v>
      </c>
      <c r="AU932" t="s">
        <v>61</v>
      </c>
      <c r="AV932" t="s">
        <v>61</v>
      </c>
      <c r="AW932" t="s">
        <v>61</v>
      </c>
      <c r="AX932" t="s">
        <v>61</v>
      </c>
      <c r="AY932" t="s">
        <v>61</v>
      </c>
      <c r="AZ932" t="s">
        <v>61</v>
      </c>
      <c r="BA932" t="s">
        <v>61</v>
      </c>
      <c r="BB932" t="s">
        <v>61</v>
      </c>
      <c r="BC932" t="s">
        <v>61</v>
      </c>
      <c r="BD932" t="s">
        <v>61</v>
      </c>
      <c r="BE932" t="s">
        <v>61</v>
      </c>
      <c r="BF932" t="s">
        <v>61</v>
      </c>
    </row>
    <row r="933" spans="1:58">
      <c r="A933" t="s">
        <v>58</v>
      </c>
      <c r="B933" t="s">
        <v>7749</v>
      </c>
      <c r="C933" t="s">
        <v>7750</v>
      </c>
      <c r="D933" t="s">
        <v>7751</v>
      </c>
      <c r="E933" t="s">
        <v>61</v>
      </c>
      <c r="F933">
        <v>2015</v>
      </c>
      <c r="G933" t="s">
        <v>61</v>
      </c>
      <c r="H933">
        <v>51</v>
      </c>
      <c r="I933">
        <v>4</v>
      </c>
      <c r="J933">
        <v>89</v>
      </c>
      <c r="K933">
        <v>91</v>
      </c>
      <c r="L933" t="s">
        <v>7752</v>
      </c>
      <c r="M933" t="s">
        <v>7753</v>
      </c>
      <c r="N933" t="s">
        <v>7754</v>
      </c>
      <c r="O933" t="s">
        <v>61</v>
      </c>
      <c r="Q933" t="s">
        <v>61</v>
      </c>
      <c r="R933" t="s">
        <v>61</v>
      </c>
      <c r="S933" t="s">
        <v>61</v>
      </c>
      <c r="T933" t="s">
        <v>61</v>
      </c>
      <c r="X933" t="s">
        <v>61</v>
      </c>
      <c r="Y933" t="s">
        <v>7755</v>
      </c>
      <c r="Z933" t="s">
        <v>61</v>
      </c>
      <c r="AA933" t="s">
        <v>61</v>
      </c>
      <c r="AB933">
        <v>20151005926</v>
      </c>
      <c r="AC933" t="s">
        <v>67</v>
      </c>
      <c r="AD933" t="s">
        <v>61</v>
      </c>
      <c r="AE933" t="s">
        <v>61</v>
      </c>
      <c r="AF933" t="s">
        <v>61</v>
      </c>
      <c r="AG933" t="s">
        <v>61</v>
      </c>
      <c r="AH933" t="s">
        <v>61</v>
      </c>
      <c r="AI933" t="s">
        <v>61</v>
      </c>
      <c r="AJ933" t="s">
        <v>61</v>
      </c>
      <c r="AK933" t="s">
        <v>61</v>
      </c>
      <c r="AL933" t="s">
        <v>61</v>
      </c>
      <c r="AM933" t="s">
        <v>7750</v>
      </c>
      <c r="AN933" t="s">
        <v>61</v>
      </c>
      <c r="AO933" t="s">
        <v>61</v>
      </c>
      <c r="AP933" t="s">
        <v>61</v>
      </c>
      <c r="AQ933" t="s">
        <v>61</v>
      </c>
      <c r="AR933" t="s">
        <v>61</v>
      </c>
      <c r="AS933" t="s">
        <v>61</v>
      </c>
      <c r="AT933" t="s">
        <v>61</v>
      </c>
      <c r="AU933" t="s">
        <v>61</v>
      </c>
      <c r="AV933" t="s">
        <v>61</v>
      </c>
      <c r="AW933" t="s">
        <v>61</v>
      </c>
      <c r="AX933" t="s">
        <v>61</v>
      </c>
      <c r="AY933" t="s">
        <v>61</v>
      </c>
      <c r="AZ933" t="s">
        <v>61</v>
      </c>
      <c r="BA933" t="s">
        <v>61</v>
      </c>
      <c r="BB933" t="s">
        <v>61</v>
      </c>
      <c r="BC933" t="s">
        <v>61</v>
      </c>
      <c r="BD933" t="s">
        <v>61</v>
      </c>
      <c r="BE933" t="s">
        <v>61</v>
      </c>
      <c r="BF933" t="s">
        <v>61</v>
      </c>
    </row>
    <row r="934" spans="1:58">
      <c r="A934" t="s">
        <v>58</v>
      </c>
      <c r="B934" t="s">
        <v>7756</v>
      </c>
      <c r="C934" t="s">
        <v>7757</v>
      </c>
      <c r="D934" t="s">
        <v>5313</v>
      </c>
      <c r="E934" t="s">
        <v>5314</v>
      </c>
      <c r="F934">
        <v>1973</v>
      </c>
      <c r="G934" t="s">
        <v>273</v>
      </c>
      <c r="H934">
        <v>78</v>
      </c>
      <c r="I934">
        <v>2</v>
      </c>
      <c r="J934">
        <v>173</v>
      </c>
      <c r="K934">
        <v>181</v>
      </c>
      <c r="L934" t="s">
        <v>7758</v>
      </c>
      <c r="M934" t="s">
        <v>61</v>
      </c>
      <c r="N934" t="s">
        <v>7759</v>
      </c>
      <c r="O934" t="s">
        <v>61</v>
      </c>
      <c r="Q934" t="s">
        <v>61</v>
      </c>
      <c r="R934" t="s">
        <v>61</v>
      </c>
      <c r="S934" t="s">
        <v>61</v>
      </c>
      <c r="T934" t="s">
        <v>61</v>
      </c>
      <c r="X934" t="s">
        <v>61</v>
      </c>
      <c r="Y934" s="2">
        <v>1066204</v>
      </c>
      <c r="Z934" t="s">
        <v>61</v>
      </c>
      <c r="AA934" t="s">
        <v>61</v>
      </c>
      <c r="AB934">
        <v>4683747</v>
      </c>
      <c r="AC934" t="s">
        <v>67</v>
      </c>
      <c r="AD934" t="s">
        <v>61</v>
      </c>
      <c r="AE934" t="s">
        <v>61</v>
      </c>
      <c r="AF934" t="s">
        <v>61</v>
      </c>
      <c r="AG934" t="s">
        <v>7760</v>
      </c>
      <c r="AH934" t="s">
        <v>61</v>
      </c>
      <c r="AI934" t="s">
        <v>61</v>
      </c>
      <c r="AJ934" t="s">
        <v>61</v>
      </c>
      <c r="AK934" t="s">
        <v>61</v>
      </c>
      <c r="AL934" t="s">
        <v>61</v>
      </c>
      <c r="AM934" t="s">
        <v>7761</v>
      </c>
      <c r="AN934" t="s">
        <v>61</v>
      </c>
      <c r="AO934" t="s">
        <v>61</v>
      </c>
      <c r="AP934" t="s">
        <v>61</v>
      </c>
      <c r="AQ934" t="s">
        <v>61</v>
      </c>
      <c r="AR934" t="s">
        <v>61</v>
      </c>
      <c r="AS934" t="s">
        <v>61</v>
      </c>
      <c r="AT934" t="s">
        <v>61</v>
      </c>
      <c r="AU934" t="s">
        <v>61</v>
      </c>
      <c r="AV934" t="s">
        <v>61</v>
      </c>
      <c r="AW934" t="s">
        <v>61</v>
      </c>
      <c r="AX934" t="s">
        <v>61</v>
      </c>
      <c r="AY934" t="s">
        <v>61</v>
      </c>
      <c r="AZ934" t="s">
        <v>61</v>
      </c>
      <c r="BA934" t="s">
        <v>61</v>
      </c>
      <c r="BB934" t="s">
        <v>61</v>
      </c>
      <c r="BC934" t="s">
        <v>61</v>
      </c>
      <c r="BD934" t="s">
        <v>61</v>
      </c>
      <c r="BE934" t="s">
        <v>61</v>
      </c>
      <c r="BF934" t="s">
        <v>61</v>
      </c>
    </row>
    <row r="935" spans="1:58">
      <c r="A935" t="s">
        <v>58</v>
      </c>
      <c r="B935" t="s">
        <v>7762</v>
      </c>
      <c r="C935" t="s">
        <v>7763</v>
      </c>
      <c r="D935" t="s">
        <v>2271</v>
      </c>
      <c r="E935" t="s">
        <v>2272</v>
      </c>
      <c r="F935">
        <v>2002</v>
      </c>
      <c r="G935" t="s">
        <v>1332</v>
      </c>
      <c r="H935">
        <v>27</v>
      </c>
      <c r="I935">
        <v>6</v>
      </c>
      <c r="J935">
        <v>867</v>
      </c>
      <c r="K935">
        <v>886</v>
      </c>
      <c r="L935" t="s">
        <v>7764</v>
      </c>
      <c r="M935" t="s">
        <v>7765</v>
      </c>
      <c r="N935" t="s">
        <v>7766</v>
      </c>
      <c r="O935" t="s">
        <v>61</v>
      </c>
      <c r="Q935" t="s">
        <v>61</v>
      </c>
      <c r="R935" t="s">
        <v>61</v>
      </c>
      <c r="S935" t="s">
        <v>61</v>
      </c>
      <c r="T935" t="s">
        <v>61</v>
      </c>
      <c r="X935" t="s">
        <v>61</v>
      </c>
      <c r="Y935" t="s">
        <v>4999</v>
      </c>
      <c r="Z935" t="s">
        <v>61</v>
      </c>
      <c r="AA935" t="s">
        <v>7767</v>
      </c>
      <c r="AB935">
        <v>12369473</v>
      </c>
      <c r="AC935" t="s">
        <v>67</v>
      </c>
      <c r="AD935" t="s">
        <v>61</v>
      </c>
      <c r="AE935" t="s">
        <v>61</v>
      </c>
      <c r="AF935" t="s">
        <v>61</v>
      </c>
      <c r="AG935" t="s">
        <v>7768</v>
      </c>
      <c r="AH935" t="s">
        <v>61</v>
      </c>
      <c r="AI935" t="s">
        <v>61</v>
      </c>
      <c r="AJ935" t="s">
        <v>61</v>
      </c>
      <c r="AK935" t="s">
        <v>61</v>
      </c>
      <c r="AL935" t="s">
        <v>61</v>
      </c>
      <c r="AM935" t="s">
        <v>7769</v>
      </c>
      <c r="AN935" t="s">
        <v>61</v>
      </c>
      <c r="AO935" t="s">
        <v>61</v>
      </c>
      <c r="AP935" t="s">
        <v>61</v>
      </c>
      <c r="AQ935" t="s">
        <v>61</v>
      </c>
      <c r="AR935" t="s">
        <v>61</v>
      </c>
      <c r="AS935" t="s">
        <v>61</v>
      </c>
      <c r="AT935" t="s">
        <v>61</v>
      </c>
      <c r="AU935" t="s">
        <v>61</v>
      </c>
      <c r="AV935" t="s">
        <v>61</v>
      </c>
      <c r="AW935" t="s">
        <v>61</v>
      </c>
      <c r="AX935" t="s">
        <v>61</v>
      </c>
      <c r="AY935" t="s">
        <v>61</v>
      </c>
      <c r="AZ935" t="s">
        <v>61</v>
      </c>
      <c r="BA935" t="s">
        <v>61</v>
      </c>
      <c r="BB935" t="s">
        <v>61</v>
      </c>
      <c r="BC935" t="s">
        <v>61</v>
      </c>
      <c r="BD935" t="s">
        <v>61</v>
      </c>
      <c r="BE935" t="s">
        <v>61</v>
      </c>
      <c r="BF935" t="s">
        <v>61</v>
      </c>
    </row>
    <row r="936" spans="1:58">
      <c r="A936" t="s">
        <v>58</v>
      </c>
      <c r="B936" t="s">
        <v>7770</v>
      </c>
      <c r="C936" t="s">
        <v>7771</v>
      </c>
      <c r="D936" t="s">
        <v>428</v>
      </c>
      <c r="E936" t="s">
        <v>61</v>
      </c>
      <c r="F936">
        <v>2012</v>
      </c>
      <c r="G936" t="s">
        <v>645</v>
      </c>
      <c r="H936">
        <v>25</v>
      </c>
      <c r="I936">
        <v>5</v>
      </c>
      <c r="J936">
        <v>497</v>
      </c>
      <c r="K936">
        <v>502</v>
      </c>
      <c r="L936" t="s">
        <v>7772</v>
      </c>
      <c r="M936" t="s">
        <v>7773</v>
      </c>
      <c r="N936" t="s">
        <v>7774</v>
      </c>
      <c r="O936" t="s">
        <v>61</v>
      </c>
      <c r="Q936" t="s">
        <v>61</v>
      </c>
      <c r="R936" t="s">
        <v>61</v>
      </c>
      <c r="S936" t="s">
        <v>61</v>
      </c>
      <c r="T936" t="s">
        <v>61</v>
      </c>
      <c r="X936" t="s">
        <v>61</v>
      </c>
      <c r="Y936" t="s">
        <v>7775</v>
      </c>
      <c r="Z936" t="s">
        <v>61</v>
      </c>
      <c r="AA936" t="s">
        <v>61</v>
      </c>
      <c r="AB936">
        <v>2012569782</v>
      </c>
      <c r="AC936" t="s">
        <v>67</v>
      </c>
      <c r="AD936" t="s">
        <v>61</v>
      </c>
      <c r="AE936" t="s">
        <v>61</v>
      </c>
      <c r="AF936" t="s">
        <v>61</v>
      </c>
      <c r="AG936" t="s">
        <v>7776</v>
      </c>
      <c r="AH936" t="s">
        <v>61</v>
      </c>
      <c r="AI936" t="s">
        <v>61</v>
      </c>
      <c r="AJ936" t="s">
        <v>61</v>
      </c>
      <c r="AK936" t="s">
        <v>61</v>
      </c>
      <c r="AL936" t="s">
        <v>61</v>
      </c>
      <c r="AM936" t="s">
        <v>7777</v>
      </c>
      <c r="AN936" t="s">
        <v>61</v>
      </c>
      <c r="AO936" t="s">
        <v>61</v>
      </c>
      <c r="AP936" t="s">
        <v>61</v>
      </c>
      <c r="AQ936" t="s">
        <v>61</v>
      </c>
      <c r="AR936" t="s">
        <v>61</v>
      </c>
      <c r="AS936" t="s">
        <v>61</v>
      </c>
      <c r="AT936" t="s">
        <v>61</v>
      </c>
      <c r="AU936" t="s">
        <v>61</v>
      </c>
      <c r="AV936" t="s">
        <v>61</v>
      </c>
      <c r="AW936" t="s">
        <v>61</v>
      </c>
      <c r="AX936" t="s">
        <v>61</v>
      </c>
      <c r="AY936" t="s">
        <v>61</v>
      </c>
      <c r="AZ936" t="s">
        <v>61</v>
      </c>
      <c r="BA936" t="s">
        <v>61</v>
      </c>
      <c r="BB936" t="s">
        <v>61</v>
      </c>
      <c r="BC936" t="s">
        <v>61</v>
      </c>
      <c r="BD936" t="s">
        <v>61</v>
      </c>
      <c r="BE936" t="s">
        <v>61</v>
      </c>
      <c r="BF936" t="s">
        <v>61</v>
      </c>
    </row>
    <row r="937" spans="1:58">
      <c r="A937" t="s">
        <v>58</v>
      </c>
      <c r="B937" t="s">
        <v>7778</v>
      </c>
      <c r="C937" t="s">
        <v>7779</v>
      </c>
      <c r="D937" t="s">
        <v>428</v>
      </c>
      <c r="E937" t="s">
        <v>61</v>
      </c>
      <c r="F937">
        <v>2010</v>
      </c>
      <c r="G937" t="s">
        <v>429</v>
      </c>
      <c r="H937">
        <v>23</v>
      </c>
      <c r="I937">
        <v>2</v>
      </c>
      <c r="J937">
        <v>169</v>
      </c>
      <c r="K937" t="s">
        <v>61</v>
      </c>
      <c r="L937" t="s">
        <v>7780</v>
      </c>
      <c r="M937" t="s">
        <v>7781</v>
      </c>
      <c r="N937" t="s">
        <v>7782</v>
      </c>
      <c r="O937" t="s">
        <v>61</v>
      </c>
      <c r="Q937" t="s">
        <v>61</v>
      </c>
      <c r="R937" t="s">
        <v>61</v>
      </c>
      <c r="S937" t="s">
        <v>61</v>
      </c>
      <c r="T937" t="s">
        <v>61</v>
      </c>
      <c r="X937" t="s">
        <v>61</v>
      </c>
      <c r="Y937" t="s">
        <v>433</v>
      </c>
      <c r="Z937" t="s">
        <v>61</v>
      </c>
      <c r="AA937" t="s">
        <v>61</v>
      </c>
      <c r="AB937" t="s">
        <v>61</v>
      </c>
      <c r="AC937" t="s">
        <v>67</v>
      </c>
      <c r="AD937" t="s">
        <v>61</v>
      </c>
      <c r="AE937" t="s">
        <v>61</v>
      </c>
      <c r="AF937" t="s">
        <v>61</v>
      </c>
      <c r="AG937" t="s">
        <v>61</v>
      </c>
      <c r="AH937" t="s">
        <v>61</v>
      </c>
      <c r="AI937" t="s">
        <v>61</v>
      </c>
      <c r="AJ937" t="s">
        <v>61</v>
      </c>
      <c r="AK937" t="s">
        <v>61</v>
      </c>
      <c r="AL937" t="s">
        <v>61</v>
      </c>
      <c r="AM937" t="s">
        <v>7779</v>
      </c>
      <c r="AN937" t="s">
        <v>61</v>
      </c>
      <c r="AO937" t="s">
        <v>61</v>
      </c>
      <c r="AP937" t="s">
        <v>61</v>
      </c>
      <c r="AQ937" t="s">
        <v>61</v>
      </c>
      <c r="AR937" t="s">
        <v>61</v>
      </c>
      <c r="AS937" t="s">
        <v>61</v>
      </c>
      <c r="AT937" t="s">
        <v>61</v>
      </c>
      <c r="AU937" t="s">
        <v>61</v>
      </c>
      <c r="AV937" t="s">
        <v>61</v>
      </c>
      <c r="AW937" t="s">
        <v>61</v>
      </c>
      <c r="AX937" t="s">
        <v>61</v>
      </c>
      <c r="AY937" t="s">
        <v>61</v>
      </c>
      <c r="AZ937" t="s">
        <v>61</v>
      </c>
      <c r="BA937" t="s">
        <v>61</v>
      </c>
      <c r="BB937" t="s">
        <v>61</v>
      </c>
      <c r="BC937" t="s">
        <v>61</v>
      </c>
      <c r="BD937" t="s">
        <v>61</v>
      </c>
      <c r="BE937" t="s">
        <v>61</v>
      </c>
      <c r="BF937" t="s">
        <v>61</v>
      </c>
    </row>
    <row r="938" spans="1:58">
      <c r="A938" t="s">
        <v>58</v>
      </c>
      <c r="B938" t="s">
        <v>7783</v>
      </c>
      <c r="C938" t="s">
        <v>7784</v>
      </c>
      <c r="D938" t="s">
        <v>1637</v>
      </c>
      <c r="E938" t="s">
        <v>1638</v>
      </c>
      <c r="F938">
        <v>1995</v>
      </c>
      <c r="G938" t="s">
        <v>280</v>
      </c>
      <c r="H938">
        <v>48</v>
      </c>
      <c r="I938">
        <v>6</v>
      </c>
      <c r="J938">
        <v>336</v>
      </c>
      <c r="K938">
        <v>342</v>
      </c>
      <c r="L938" t="s">
        <v>7785</v>
      </c>
      <c r="M938" t="s">
        <v>7786</v>
      </c>
      <c r="N938" t="s">
        <v>7787</v>
      </c>
      <c r="O938" t="s">
        <v>61</v>
      </c>
      <c r="Q938" t="s">
        <v>61</v>
      </c>
      <c r="R938" t="s">
        <v>61</v>
      </c>
      <c r="S938" t="s">
        <v>61</v>
      </c>
      <c r="T938" t="s">
        <v>61</v>
      </c>
      <c r="X938" t="s">
        <v>61</v>
      </c>
      <c r="Y938" s="2">
        <v>812148</v>
      </c>
      <c r="Z938" t="s">
        <v>61</v>
      </c>
      <c r="AA938" t="s">
        <v>7788</v>
      </c>
      <c r="AB938">
        <v>10153865</v>
      </c>
      <c r="AC938" t="s">
        <v>67</v>
      </c>
      <c r="AD938" t="s">
        <v>61</v>
      </c>
      <c r="AE938" t="s">
        <v>61</v>
      </c>
      <c r="AF938" t="s">
        <v>61</v>
      </c>
      <c r="AG938" t="s">
        <v>7789</v>
      </c>
      <c r="AH938" t="s">
        <v>61</v>
      </c>
      <c r="AI938" t="s">
        <v>61</v>
      </c>
      <c r="AJ938" t="s">
        <v>61</v>
      </c>
      <c r="AK938" t="s">
        <v>61</v>
      </c>
      <c r="AL938" t="s">
        <v>61</v>
      </c>
      <c r="AM938" t="s">
        <v>7790</v>
      </c>
      <c r="AN938" t="s">
        <v>61</v>
      </c>
      <c r="AO938" t="s">
        <v>61</v>
      </c>
      <c r="AP938" t="s">
        <v>61</v>
      </c>
      <c r="AQ938" t="s">
        <v>61</v>
      </c>
      <c r="AR938" t="s">
        <v>61</v>
      </c>
      <c r="AS938" t="s">
        <v>61</v>
      </c>
      <c r="AT938" t="s">
        <v>61</v>
      </c>
      <c r="AU938" t="s">
        <v>61</v>
      </c>
      <c r="AV938" t="s">
        <v>61</v>
      </c>
      <c r="AW938" t="s">
        <v>61</v>
      </c>
      <c r="AX938" t="s">
        <v>61</v>
      </c>
      <c r="AY938" t="s">
        <v>61</v>
      </c>
      <c r="AZ938" t="s">
        <v>61</v>
      </c>
      <c r="BA938" t="s">
        <v>61</v>
      </c>
      <c r="BB938" t="s">
        <v>61</v>
      </c>
      <c r="BC938" t="s">
        <v>61</v>
      </c>
      <c r="BD938" t="s">
        <v>61</v>
      </c>
      <c r="BE938" t="s">
        <v>61</v>
      </c>
      <c r="BF938" t="s">
        <v>61</v>
      </c>
    </row>
    <row r="939" spans="1:58">
      <c r="A939" t="s">
        <v>58</v>
      </c>
      <c r="B939" t="s">
        <v>7791</v>
      </c>
      <c r="C939" t="s">
        <v>7792</v>
      </c>
      <c r="D939" t="s">
        <v>862</v>
      </c>
      <c r="E939" t="s">
        <v>61</v>
      </c>
      <c r="F939">
        <v>2011</v>
      </c>
      <c r="G939" t="s">
        <v>363</v>
      </c>
      <c r="H939">
        <v>26</v>
      </c>
      <c r="I939">
        <v>1</v>
      </c>
      <c r="J939">
        <v>32</v>
      </c>
      <c r="K939">
        <v>40</v>
      </c>
      <c r="L939" t="s">
        <v>7793</v>
      </c>
      <c r="M939" t="s">
        <v>7794</v>
      </c>
      <c r="N939" t="s">
        <v>7795</v>
      </c>
      <c r="O939" t="s">
        <v>61</v>
      </c>
      <c r="Q939" t="s">
        <v>61</v>
      </c>
      <c r="R939" t="s">
        <v>61</v>
      </c>
      <c r="S939" t="s">
        <v>61</v>
      </c>
      <c r="T939" t="s">
        <v>61</v>
      </c>
      <c r="X939" t="s">
        <v>61</v>
      </c>
      <c r="Y939" t="s">
        <v>866</v>
      </c>
      <c r="Z939" t="s">
        <v>61</v>
      </c>
      <c r="AA939" t="s">
        <v>7796</v>
      </c>
      <c r="AB939">
        <v>21224197</v>
      </c>
      <c r="AC939" t="s">
        <v>67</v>
      </c>
      <c r="AD939" t="s">
        <v>61</v>
      </c>
      <c r="AE939" t="s">
        <v>61</v>
      </c>
      <c r="AF939" t="s">
        <v>61</v>
      </c>
      <c r="AG939" t="s">
        <v>7797</v>
      </c>
      <c r="AH939" t="s">
        <v>61</v>
      </c>
      <c r="AI939" t="s">
        <v>7798</v>
      </c>
      <c r="AJ939" t="s">
        <v>61</v>
      </c>
      <c r="AK939" t="s">
        <v>61</v>
      </c>
      <c r="AL939" t="s">
        <v>61</v>
      </c>
      <c r="AM939" t="s">
        <v>7799</v>
      </c>
      <c r="AN939" t="s">
        <v>61</v>
      </c>
      <c r="AO939" t="s">
        <v>61</v>
      </c>
      <c r="AP939" t="s">
        <v>61</v>
      </c>
      <c r="AQ939" t="s">
        <v>61</v>
      </c>
      <c r="AR939" t="s">
        <v>61</v>
      </c>
      <c r="AS939" t="s">
        <v>61</v>
      </c>
      <c r="AT939" t="s">
        <v>61</v>
      </c>
      <c r="AU939" t="s">
        <v>61</v>
      </c>
      <c r="AV939" t="s">
        <v>61</v>
      </c>
      <c r="AW939" t="s">
        <v>61</v>
      </c>
      <c r="AX939" t="s">
        <v>61</v>
      </c>
      <c r="AY939" t="s">
        <v>61</v>
      </c>
      <c r="AZ939" t="s">
        <v>61</v>
      </c>
      <c r="BA939" t="s">
        <v>61</v>
      </c>
      <c r="BB939" t="s">
        <v>61</v>
      </c>
      <c r="BC939" t="s">
        <v>61</v>
      </c>
      <c r="BD939" t="s">
        <v>61</v>
      </c>
      <c r="BE939" t="s">
        <v>61</v>
      </c>
      <c r="BF939" t="s">
        <v>61</v>
      </c>
    </row>
    <row r="940" spans="1:58">
      <c r="A940" t="s">
        <v>58</v>
      </c>
      <c r="B940" t="s">
        <v>7800</v>
      </c>
      <c r="C940" t="s">
        <v>7801</v>
      </c>
      <c r="D940" t="s">
        <v>3742</v>
      </c>
      <c r="E940" t="s">
        <v>61</v>
      </c>
      <c r="F940">
        <v>2015</v>
      </c>
      <c r="G940" t="s">
        <v>1396</v>
      </c>
      <c r="H940">
        <v>13</v>
      </c>
      <c r="I940">
        <v>4</v>
      </c>
      <c r="J940">
        <v>669</v>
      </c>
      <c r="K940" t="s">
        <v>61</v>
      </c>
      <c r="L940" t="s">
        <v>61</v>
      </c>
      <c r="M940" t="s">
        <v>7802</v>
      </c>
      <c r="N940" t="s">
        <v>7803</v>
      </c>
      <c r="O940" t="s">
        <v>61</v>
      </c>
      <c r="Q940" t="s">
        <v>61</v>
      </c>
      <c r="R940" t="s">
        <v>61</v>
      </c>
      <c r="S940" t="s">
        <v>61</v>
      </c>
      <c r="T940" t="s">
        <v>61</v>
      </c>
      <c r="X940" t="s">
        <v>61</v>
      </c>
      <c r="Y940" t="s">
        <v>3745</v>
      </c>
      <c r="Z940" t="s">
        <v>61</v>
      </c>
      <c r="AA940" t="s">
        <v>7804</v>
      </c>
      <c r="AB940">
        <v>26759622</v>
      </c>
      <c r="AC940" t="s">
        <v>67</v>
      </c>
      <c r="AD940" t="s">
        <v>61</v>
      </c>
      <c r="AE940" t="s">
        <v>61</v>
      </c>
      <c r="AF940" t="s">
        <v>61</v>
      </c>
      <c r="AG940" t="s">
        <v>7805</v>
      </c>
      <c r="AH940" t="s">
        <v>61</v>
      </c>
      <c r="AI940" t="s">
        <v>7806</v>
      </c>
      <c r="AJ940" t="s">
        <v>61</v>
      </c>
      <c r="AK940" t="s">
        <v>61</v>
      </c>
      <c r="AL940" t="s">
        <v>61</v>
      </c>
      <c r="AM940" t="s">
        <v>7807</v>
      </c>
      <c r="AN940" t="s">
        <v>61</v>
      </c>
      <c r="AO940" t="s">
        <v>61</v>
      </c>
      <c r="AP940" t="s">
        <v>61</v>
      </c>
      <c r="AQ940" t="s">
        <v>61</v>
      </c>
      <c r="AR940" t="s">
        <v>61</v>
      </c>
      <c r="AS940" t="s">
        <v>61</v>
      </c>
      <c r="AT940" t="s">
        <v>61</v>
      </c>
      <c r="AU940" t="s">
        <v>61</v>
      </c>
      <c r="AV940" t="s">
        <v>61</v>
      </c>
      <c r="AW940" t="s">
        <v>61</v>
      </c>
      <c r="AX940" t="s">
        <v>61</v>
      </c>
      <c r="AY940" t="s">
        <v>61</v>
      </c>
      <c r="AZ940" t="s">
        <v>61</v>
      </c>
      <c r="BA940" t="s">
        <v>61</v>
      </c>
      <c r="BB940" t="s">
        <v>61</v>
      </c>
      <c r="BC940" t="s">
        <v>61</v>
      </c>
      <c r="BD940" t="s">
        <v>61</v>
      </c>
      <c r="BE940" t="s">
        <v>61</v>
      </c>
      <c r="BF940" t="s">
        <v>61</v>
      </c>
    </row>
    <row r="941" spans="1:58">
      <c r="A941" t="s">
        <v>58</v>
      </c>
      <c r="B941" t="s">
        <v>7808</v>
      </c>
      <c r="C941" t="s">
        <v>7809</v>
      </c>
      <c r="D941" t="s">
        <v>862</v>
      </c>
      <c r="E941" t="s">
        <v>61</v>
      </c>
      <c r="F941">
        <v>2012</v>
      </c>
      <c r="G941" t="s">
        <v>129</v>
      </c>
      <c r="H941">
        <v>27</v>
      </c>
      <c r="I941">
        <v>10</v>
      </c>
      <c r="J941">
        <v>729</v>
      </c>
      <c r="K941">
        <v>736</v>
      </c>
      <c r="L941" t="s">
        <v>7810</v>
      </c>
      <c r="M941" t="s">
        <v>7811</v>
      </c>
      <c r="N941" t="s">
        <v>7812</v>
      </c>
      <c r="O941" t="s">
        <v>61</v>
      </c>
      <c r="Q941" t="s">
        <v>61</v>
      </c>
      <c r="R941" t="s">
        <v>61</v>
      </c>
      <c r="S941" t="s">
        <v>61</v>
      </c>
      <c r="T941" t="s">
        <v>61</v>
      </c>
      <c r="X941" t="s">
        <v>61</v>
      </c>
      <c r="Y941" t="s">
        <v>866</v>
      </c>
      <c r="Z941" t="s">
        <v>61</v>
      </c>
      <c r="AA941" t="s">
        <v>7813</v>
      </c>
      <c r="AB941">
        <v>23045330</v>
      </c>
      <c r="AC941" t="s">
        <v>67</v>
      </c>
      <c r="AD941" t="s">
        <v>61</v>
      </c>
      <c r="AE941" t="s">
        <v>61</v>
      </c>
      <c r="AF941" t="s">
        <v>61</v>
      </c>
      <c r="AG941" t="s">
        <v>7814</v>
      </c>
      <c r="AH941" t="s">
        <v>61</v>
      </c>
      <c r="AI941" t="s">
        <v>7815</v>
      </c>
      <c r="AJ941" t="s">
        <v>61</v>
      </c>
      <c r="AK941" t="s">
        <v>61</v>
      </c>
      <c r="AL941" t="s">
        <v>61</v>
      </c>
      <c r="AM941" t="s">
        <v>7816</v>
      </c>
      <c r="AN941" t="s">
        <v>61</v>
      </c>
      <c r="AO941" t="s">
        <v>61</v>
      </c>
      <c r="AP941" t="s">
        <v>61</v>
      </c>
      <c r="AQ941" t="s">
        <v>61</v>
      </c>
      <c r="AR941" t="s">
        <v>61</v>
      </c>
      <c r="AS941" t="s">
        <v>61</v>
      </c>
      <c r="AT941" t="s">
        <v>61</v>
      </c>
      <c r="AU941" t="s">
        <v>61</v>
      </c>
      <c r="AV941" t="s">
        <v>61</v>
      </c>
      <c r="AW941" t="s">
        <v>61</v>
      </c>
      <c r="AX941" t="s">
        <v>61</v>
      </c>
      <c r="AY941" t="s">
        <v>61</v>
      </c>
      <c r="AZ941" t="s">
        <v>61</v>
      </c>
      <c r="BA941" t="s">
        <v>61</v>
      </c>
      <c r="BB941" t="s">
        <v>61</v>
      </c>
      <c r="BC941" t="s">
        <v>61</v>
      </c>
      <c r="BD941" t="s">
        <v>61</v>
      </c>
      <c r="BE941" t="s">
        <v>61</v>
      </c>
      <c r="BF941" t="s">
        <v>61</v>
      </c>
    </row>
    <row r="942" spans="1:58">
      <c r="A942" t="s">
        <v>58</v>
      </c>
      <c r="B942" t="s">
        <v>7817</v>
      </c>
      <c r="C942" t="s">
        <v>7818</v>
      </c>
      <c r="D942" t="s">
        <v>4095</v>
      </c>
      <c r="E942" t="s">
        <v>61</v>
      </c>
      <c r="F942">
        <v>2012</v>
      </c>
      <c r="G942" t="s">
        <v>429</v>
      </c>
      <c r="H942">
        <v>19</v>
      </c>
      <c r="I942">
        <v>2</v>
      </c>
      <c r="J942">
        <v>197</v>
      </c>
      <c r="K942" t="s">
        <v>61</v>
      </c>
      <c r="L942" t="s">
        <v>7819</v>
      </c>
      <c r="M942" t="s">
        <v>7820</v>
      </c>
      <c r="N942" t="s">
        <v>7821</v>
      </c>
      <c r="O942" t="s">
        <v>61</v>
      </c>
      <c r="Q942" t="s">
        <v>61</v>
      </c>
      <c r="R942" t="s">
        <v>61</v>
      </c>
      <c r="S942" t="s">
        <v>61</v>
      </c>
      <c r="T942" t="s">
        <v>61</v>
      </c>
      <c r="X942" t="s">
        <v>61</v>
      </c>
      <c r="Y942" t="s">
        <v>61</v>
      </c>
      <c r="Z942" t="s">
        <v>61</v>
      </c>
      <c r="AA942" t="s">
        <v>61</v>
      </c>
      <c r="AB942" t="s">
        <v>61</v>
      </c>
      <c r="AC942" t="s">
        <v>67</v>
      </c>
      <c r="AD942" t="s">
        <v>61</v>
      </c>
      <c r="AE942" t="s">
        <v>61</v>
      </c>
      <c r="AF942" t="s">
        <v>61</v>
      </c>
      <c r="AG942" t="s">
        <v>61</v>
      </c>
      <c r="AH942" t="s">
        <v>61</v>
      </c>
      <c r="AI942" t="s">
        <v>61</v>
      </c>
      <c r="AJ942" t="s">
        <v>61</v>
      </c>
      <c r="AK942" t="s">
        <v>61</v>
      </c>
      <c r="AL942" t="s">
        <v>61</v>
      </c>
      <c r="AM942" t="s">
        <v>7818</v>
      </c>
      <c r="AN942" t="s">
        <v>61</v>
      </c>
      <c r="AO942" t="s">
        <v>61</v>
      </c>
      <c r="AP942" t="s">
        <v>61</v>
      </c>
      <c r="AQ942" t="s">
        <v>61</v>
      </c>
      <c r="AR942" t="s">
        <v>61</v>
      </c>
      <c r="AS942" t="s">
        <v>61</v>
      </c>
      <c r="AT942" t="s">
        <v>61</v>
      </c>
      <c r="AU942" t="s">
        <v>61</v>
      </c>
      <c r="AV942" t="s">
        <v>61</v>
      </c>
      <c r="AW942" t="s">
        <v>61</v>
      </c>
      <c r="AX942" t="s">
        <v>61</v>
      </c>
      <c r="AY942" t="s">
        <v>61</v>
      </c>
      <c r="AZ942" t="s">
        <v>61</v>
      </c>
      <c r="BA942" t="s">
        <v>61</v>
      </c>
      <c r="BB942" t="s">
        <v>61</v>
      </c>
      <c r="BC942" t="s">
        <v>61</v>
      </c>
      <c r="BD942" t="s">
        <v>61</v>
      </c>
      <c r="BE942" t="s">
        <v>61</v>
      </c>
      <c r="BF942" t="s">
        <v>61</v>
      </c>
    </row>
    <row r="943" spans="1:58">
      <c r="A943" t="s">
        <v>58</v>
      </c>
      <c r="B943" t="s">
        <v>7822</v>
      </c>
      <c r="C943" t="s">
        <v>7823</v>
      </c>
      <c r="D943" t="s">
        <v>7824</v>
      </c>
      <c r="E943" t="s">
        <v>7825</v>
      </c>
      <c r="F943">
        <v>2011</v>
      </c>
      <c r="G943" t="s">
        <v>476</v>
      </c>
      <c r="H943" t="s">
        <v>7826</v>
      </c>
      <c r="I943" t="s">
        <v>61</v>
      </c>
      <c r="J943">
        <v>216</v>
      </c>
      <c r="K943" t="s">
        <v>61</v>
      </c>
      <c r="L943" t="s">
        <v>7827</v>
      </c>
      <c r="M943" t="s">
        <v>7828</v>
      </c>
      <c r="N943" t="s">
        <v>7829</v>
      </c>
      <c r="O943" t="s">
        <v>61</v>
      </c>
      <c r="Q943" t="s">
        <v>61</v>
      </c>
      <c r="R943" t="s">
        <v>61</v>
      </c>
      <c r="S943" t="s">
        <v>61</v>
      </c>
      <c r="T943" t="s">
        <v>61</v>
      </c>
      <c r="X943" t="s">
        <v>61</v>
      </c>
      <c r="Y943" t="s">
        <v>7830</v>
      </c>
      <c r="Z943" t="s">
        <v>61</v>
      </c>
      <c r="AA943" t="s">
        <v>61</v>
      </c>
      <c r="AB943" t="s">
        <v>61</v>
      </c>
      <c r="AC943" t="s">
        <v>67</v>
      </c>
      <c r="AD943" t="s">
        <v>61</v>
      </c>
      <c r="AE943" t="s">
        <v>61</v>
      </c>
      <c r="AF943" t="s">
        <v>61</v>
      </c>
      <c r="AG943" t="s">
        <v>61</v>
      </c>
      <c r="AH943" t="s">
        <v>61</v>
      </c>
      <c r="AI943" t="s">
        <v>61</v>
      </c>
      <c r="AJ943" t="s">
        <v>61</v>
      </c>
      <c r="AK943" t="s">
        <v>61</v>
      </c>
      <c r="AL943" t="s">
        <v>61</v>
      </c>
      <c r="AM943" t="s">
        <v>7823</v>
      </c>
      <c r="AN943" t="s">
        <v>61</v>
      </c>
      <c r="AO943" t="s">
        <v>61</v>
      </c>
      <c r="AP943" t="s">
        <v>61</v>
      </c>
      <c r="AQ943" t="s">
        <v>61</v>
      </c>
      <c r="AR943" t="s">
        <v>61</v>
      </c>
      <c r="AS943" t="s">
        <v>61</v>
      </c>
      <c r="AT943" t="s">
        <v>61</v>
      </c>
      <c r="AU943" t="s">
        <v>61</v>
      </c>
      <c r="AV943" t="s">
        <v>61</v>
      </c>
      <c r="AW943" t="s">
        <v>61</v>
      </c>
      <c r="AX943" t="s">
        <v>61</v>
      </c>
      <c r="AY943" t="s">
        <v>61</v>
      </c>
      <c r="AZ943" t="s">
        <v>61</v>
      </c>
      <c r="BA943" t="s">
        <v>61</v>
      </c>
      <c r="BB943" t="s">
        <v>61</v>
      </c>
      <c r="BC943" t="s">
        <v>61</v>
      </c>
      <c r="BD943" t="s">
        <v>61</v>
      </c>
      <c r="BE943" t="s">
        <v>61</v>
      </c>
      <c r="BF943" t="s">
        <v>61</v>
      </c>
    </row>
    <row r="944" spans="1:58">
      <c r="A944" t="s">
        <v>58</v>
      </c>
      <c r="B944" t="s">
        <v>7831</v>
      </c>
      <c r="C944" t="s">
        <v>7832</v>
      </c>
      <c r="D944" t="s">
        <v>1637</v>
      </c>
      <c r="E944" t="s">
        <v>1638</v>
      </c>
      <c r="F944">
        <v>2013</v>
      </c>
      <c r="G944" t="s">
        <v>559</v>
      </c>
      <c r="H944">
        <v>66</v>
      </c>
      <c r="I944">
        <v>3</v>
      </c>
      <c r="J944">
        <v>157</v>
      </c>
      <c r="K944">
        <v>162</v>
      </c>
      <c r="L944" t="s">
        <v>61</v>
      </c>
      <c r="M944" t="s">
        <v>7833</v>
      </c>
      <c r="N944" t="s">
        <v>7834</v>
      </c>
      <c r="O944" t="s">
        <v>61</v>
      </c>
      <c r="Q944" t="s">
        <v>61</v>
      </c>
      <c r="R944" t="s">
        <v>61</v>
      </c>
      <c r="S944" t="s">
        <v>61</v>
      </c>
      <c r="T944" t="s">
        <v>61</v>
      </c>
      <c r="X944" t="s">
        <v>61</v>
      </c>
      <c r="Y944" t="s">
        <v>5386</v>
      </c>
      <c r="Z944" t="s">
        <v>61</v>
      </c>
      <c r="AA944" t="s">
        <v>61</v>
      </c>
      <c r="AB944">
        <v>23814282</v>
      </c>
      <c r="AC944" t="s">
        <v>67</v>
      </c>
      <c r="AD944" t="s">
        <v>61</v>
      </c>
      <c r="AE944" t="s">
        <v>61</v>
      </c>
      <c r="AF944" t="s">
        <v>61</v>
      </c>
      <c r="AG944" t="s">
        <v>7835</v>
      </c>
      <c r="AH944" t="s">
        <v>61</v>
      </c>
      <c r="AI944" t="s">
        <v>61</v>
      </c>
      <c r="AJ944" t="s">
        <v>61</v>
      </c>
      <c r="AK944" t="s">
        <v>61</v>
      </c>
      <c r="AL944" t="s">
        <v>61</v>
      </c>
      <c r="AM944" t="s">
        <v>7836</v>
      </c>
      <c r="AN944" t="s">
        <v>61</v>
      </c>
      <c r="AO944" t="s">
        <v>61</v>
      </c>
      <c r="AP944" t="s">
        <v>61</v>
      </c>
      <c r="AQ944" t="s">
        <v>61</v>
      </c>
      <c r="AR944" t="s">
        <v>61</v>
      </c>
      <c r="AS944" t="s">
        <v>61</v>
      </c>
      <c r="AT944" t="s">
        <v>61</v>
      </c>
      <c r="AU944" t="s">
        <v>61</v>
      </c>
      <c r="AV944" t="s">
        <v>61</v>
      </c>
      <c r="AW944" t="s">
        <v>61</v>
      </c>
      <c r="AX944" t="s">
        <v>61</v>
      </c>
      <c r="AY944" t="s">
        <v>61</v>
      </c>
      <c r="AZ944" t="s">
        <v>61</v>
      </c>
      <c r="BA944" t="s">
        <v>61</v>
      </c>
      <c r="BB944" t="s">
        <v>61</v>
      </c>
      <c r="BC944" t="s">
        <v>61</v>
      </c>
      <c r="BD944" t="s">
        <v>61</v>
      </c>
      <c r="BE944" t="s">
        <v>61</v>
      </c>
      <c r="BF944" t="s">
        <v>61</v>
      </c>
    </row>
    <row r="945" spans="1:58">
      <c r="A945" t="s">
        <v>58</v>
      </c>
      <c r="B945" t="s">
        <v>7837</v>
      </c>
      <c r="C945" t="s">
        <v>7838</v>
      </c>
      <c r="D945" t="s">
        <v>1287</v>
      </c>
      <c r="E945" t="s">
        <v>1288</v>
      </c>
      <c r="F945">
        <v>2015</v>
      </c>
      <c r="G945" t="s">
        <v>637</v>
      </c>
      <c r="H945">
        <v>37</v>
      </c>
      <c r="I945">
        <v>8</v>
      </c>
      <c r="J945" t="s">
        <v>7839</v>
      </c>
      <c r="K945" t="s">
        <v>7840</v>
      </c>
      <c r="L945" t="s">
        <v>7841</v>
      </c>
      <c r="M945" t="s">
        <v>7842</v>
      </c>
      <c r="N945" t="s">
        <v>7843</v>
      </c>
      <c r="O945" t="s">
        <v>61</v>
      </c>
      <c r="Q945" t="s">
        <v>61</v>
      </c>
      <c r="R945" t="s">
        <v>61</v>
      </c>
      <c r="S945" t="s">
        <v>61</v>
      </c>
      <c r="T945" t="s">
        <v>61</v>
      </c>
      <c r="X945" t="s">
        <v>61</v>
      </c>
      <c r="Y945" t="s">
        <v>1293</v>
      </c>
      <c r="Z945" t="s">
        <v>61</v>
      </c>
      <c r="AA945" t="s">
        <v>61</v>
      </c>
      <c r="AB945" t="s">
        <v>61</v>
      </c>
      <c r="AC945" t="s">
        <v>67</v>
      </c>
      <c r="AD945" t="s">
        <v>61</v>
      </c>
      <c r="AE945" t="s">
        <v>61</v>
      </c>
      <c r="AF945" t="s">
        <v>61</v>
      </c>
      <c r="AG945" t="s">
        <v>61</v>
      </c>
      <c r="AH945" t="s">
        <v>61</v>
      </c>
      <c r="AI945" t="s">
        <v>61</v>
      </c>
      <c r="AJ945" t="s">
        <v>61</v>
      </c>
      <c r="AK945" t="s">
        <v>61</v>
      </c>
      <c r="AL945" t="s">
        <v>61</v>
      </c>
      <c r="AM945" t="s">
        <v>7838</v>
      </c>
      <c r="AN945" t="s">
        <v>61</v>
      </c>
      <c r="AO945" t="s">
        <v>61</v>
      </c>
      <c r="AP945" t="s">
        <v>61</v>
      </c>
      <c r="AQ945" t="s">
        <v>61</v>
      </c>
      <c r="AR945" t="s">
        <v>61</v>
      </c>
      <c r="AS945" t="s">
        <v>61</v>
      </c>
      <c r="AT945" t="s">
        <v>61</v>
      </c>
      <c r="AU945" t="s">
        <v>61</v>
      </c>
      <c r="AV945" t="s">
        <v>61</v>
      </c>
      <c r="AW945" t="s">
        <v>61</v>
      </c>
      <c r="AX945" t="s">
        <v>61</v>
      </c>
      <c r="AY945" t="s">
        <v>61</v>
      </c>
      <c r="AZ945" t="s">
        <v>61</v>
      </c>
      <c r="BA945" t="s">
        <v>61</v>
      </c>
      <c r="BB945" t="s">
        <v>61</v>
      </c>
      <c r="BC945" t="s">
        <v>61</v>
      </c>
      <c r="BD945" t="s">
        <v>61</v>
      </c>
      <c r="BE945" t="s">
        <v>61</v>
      </c>
      <c r="BF945" t="s">
        <v>61</v>
      </c>
    </row>
    <row r="946" spans="1:58">
      <c r="A946" t="s">
        <v>58</v>
      </c>
      <c r="B946" t="s">
        <v>7844</v>
      </c>
      <c r="C946" t="s">
        <v>7845</v>
      </c>
      <c r="D946" t="s">
        <v>3593</v>
      </c>
      <c r="E946" t="s">
        <v>61</v>
      </c>
      <c r="F946">
        <v>2014</v>
      </c>
      <c r="G946" t="s">
        <v>645</v>
      </c>
      <c r="H946" t="s">
        <v>7846</v>
      </c>
      <c r="I946" t="s">
        <v>61</v>
      </c>
      <c r="J946">
        <v>46</v>
      </c>
      <c r="K946" t="s">
        <v>61</v>
      </c>
      <c r="L946" t="s">
        <v>7847</v>
      </c>
      <c r="M946" t="s">
        <v>7848</v>
      </c>
      <c r="N946" t="s">
        <v>7849</v>
      </c>
      <c r="O946" t="s">
        <v>61</v>
      </c>
      <c r="Q946" t="s">
        <v>61</v>
      </c>
      <c r="R946" t="s">
        <v>61</v>
      </c>
      <c r="S946" t="s">
        <v>61</v>
      </c>
      <c r="T946" t="s">
        <v>61</v>
      </c>
      <c r="X946" t="s">
        <v>61</v>
      </c>
      <c r="Y946" t="s">
        <v>3598</v>
      </c>
      <c r="Z946" t="s">
        <v>61</v>
      </c>
      <c r="AA946" t="s">
        <v>61</v>
      </c>
      <c r="AB946" t="s">
        <v>61</v>
      </c>
      <c r="AC946" t="s">
        <v>67</v>
      </c>
      <c r="AD946" t="s">
        <v>61</v>
      </c>
      <c r="AE946" t="s">
        <v>61</v>
      </c>
      <c r="AF946" t="s">
        <v>61</v>
      </c>
      <c r="AG946" t="s">
        <v>61</v>
      </c>
      <c r="AH946" t="s">
        <v>61</v>
      </c>
      <c r="AI946" t="s">
        <v>61</v>
      </c>
      <c r="AJ946" t="s">
        <v>61</v>
      </c>
      <c r="AK946" t="s">
        <v>61</v>
      </c>
      <c r="AL946" t="s">
        <v>61</v>
      </c>
      <c r="AM946" t="s">
        <v>7845</v>
      </c>
      <c r="AN946" t="s">
        <v>61</v>
      </c>
      <c r="AO946" t="s">
        <v>61</v>
      </c>
      <c r="AP946" t="s">
        <v>61</v>
      </c>
      <c r="AQ946" t="s">
        <v>61</v>
      </c>
      <c r="AR946" t="s">
        <v>61</v>
      </c>
      <c r="AS946" t="s">
        <v>61</v>
      </c>
      <c r="AT946" t="s">
        <v>61</v>
      </c>
      <c r="AU946" t="s">
        <v>61</v>
      </c>
      <c r="AV946" t="s">
        <v>61</v>
      </c>
      <c r="AW946" t="s">
        <v>61</v>
      </c>
      <c r="AX946" t="s">
        <v>61</v>
      </c>
      <c r="AY946" t="s">
        <v>61</v>
      </c>
      <c r="AZ946" t="s">
        <v>61</v>
      </c>
      <c r="BA946" t="s">
        <v>61</v>
      </c>
      <c r="BB946" t="s">
        <v>61</v>
      </c>
      <c r="BC946" t="s">
        <v>61</v>
      </c>
      <c r="BD946" t="s">
        <v>61</v>
      </c>
      <c r="BE946" t="s">
        <v>61</v>
      </c>
      <c r="BF946" t="s">
        <v>61</v>
      </c>
    </row>
    <row r="947" spans="1:58">
      <c r="A947" t="s">
        <v>58</v>
      </c>
      <c r="B947" t="s">
        <v>7850</v>
      </c>
      <c r="C947" t="s">
        <v>7851</v>
      </c>
      <c r="D947" t="s">
        <v>84</v>
      </c>
      <c r="E947" t="s">
        <v>61</v>
      </c>
      <c r="F947">
        <v>1999</v>
      </c>
      <c r="G947" t="s">
        <v>280</v>
      </c>
      <c r="H947">
        <v>7</v>
      </c>
      <c r="I947">
        <v>4</v>
      </c>
      <c r="J947">
        <v>256</v>
      </c>
      <c r="K947">
        <v>263</v>
      </c>
      <c r="L947" t="s">
        <v>7852</v>
      </c>
      <c r="M947" t="s">
        <v>7853</v>
      </c>
      <c r="N947" t="s">
        <v>7854</v>
      </c>
      <c r="O947" t="s">
        <v>61</v>
      </c>
      <c r="Q947" t="s">
        <v>61</v>
      </c>
      <c r="R947" t="s">
        <v>61</v>
      </c>
      <c r="S947" t="s">
        <v>61</v>
      </c>
      <c r="T947" t="s">
        <v>61</v>
      </c>
      <c r="X947" t="s">
        <v>61</v>
      </c>
      <c r="Y947" t="s">
        <v>303</v>
      </c>
      <c r="Z947" t="s">
        <v>61</v>
      </c>
      <c r="AA947" t="s">
        <v>61</v>
      </c>
      <c r="AB947">
        <v>2000059978</v>
      </c>
      <c r="AC947" t="s">
        <v>67</v>
      </c>
      <c r="AD947" t="s">
        <v>61</v>
      </c>
      <c r="AE947" t="s">
        <v>61</v>
      </c>
      <c r="AF947" t="s">
        <v>61</v>
      </c>
      <c r="AG947" t="s">
        <v>61</v>
      </c>
      <c r="AH947" t="s">
        <v>61</v>
      </c>
      <c r="AI947" t="s">
        <v>61</v>
      </c>
      <c r="AJ947" t="s">
        <v>61</v>
      </c>
      <c r="AK947" t="s">
        <v>61</v>
      </c>
      <c r="AL947" t="s">
        <v>61</v>
      </c>
      <c r="AM947" t="s">
        <v>7851</v>
      </c>
      <c r="AN947" t="s">
        <v>61</v>
      </c>
      <c r="AO947" t="s">
        <v>61</v>
      </c>
      <c r="AP947" t="s">
        <v>61</v>
      </c>
      <c r="AQ947" t="s">
        <v>61</v>
      </c>
      <c r="AR947" t="s">
        <v>61</v>
      </c>
      <c r="AS947" t="s">
        <v>61</v>
      </c>
      <c r="AT947" t="s">
        <v>61</v>
      </c>
      <c r="AU947" t="s">
        <v>61</v>
      </c>
      <c r="AV947" t="s">
        <v>61</v>
      </c>
      <c r="AW947" t="s">
        <v>61</v>
      </c>
      <c r="AX947" t="s">
        <v>61</v>
      </c>
      <c r="AY947" t="s">
        <v>61</v>
      </c>
      <c r="AZ947" t="s">
        <v>61</v>
      </c>
      <c r="BA947" t="s">
        <v>61</v>
      </c>
      <c r="BB947" t="s">
        <v>61</v>
      </c>
      <c r="BC947" t="s">
        <v>61</v>
      </c>
      <c r="BD947" t="s">
        <v>61</v>
      </c>
      <c r="BE947" t="s">
        <v>61</v>
      </c>
      <c r="BF947" t="s">
        <v>61</v>
      </c>
    </row>
    <row r="948" spans="1:58">
      <c r="A948" t="s">
        <v>58</v>
      </c>
      <c r="B948" t="s">
        <v>7855</v>
      </c>
      <c r="C948" t="s">
        <v>7856</v>
      </c>
      <c r="D948" t="s">
        <v>7857</v>
      </c>
      <c r="E948" t="s">
        <v>61</v>
      </c>
      <c r="F948">
        <v>2013</v>
      </c>
      <c r="G948" t="s">
        <v>61</v>
      </c>
      <c r="H948">
        <v>2</v>
      </c>
      <c r="I948" t="s">
        <v>61</v>
      </c>
      <c r="J948">
        <v>80</v>
      </c>
      <c r="K948" t="s">
        <v>61</v>
      </c>
      <c r="L948" t="s">
        <v>61</v>
      </c>
      <c r="M948" t="s">
        <v>7858</v>
      </c>
      <c r="N948" t="s">
        <v>7859</v>
      </c>
      <c r="O948" t="s">
        <v>61</v>
      </c>
      <c r="Q948" t="s">
        <v>61</v>
      </c>
      <c r="R948" t="s">
        <v>61</v>
      </c>
      <c r="S948" t="s">
        <v>61</v>
      </c>
      <c r="T948" t="s">
        <v>61</v>
      </c>
      <c r="X948" t="s">
        <v>61</v>
      </c>
      <c r="Y948" t="s">
        <v>7860</v>
      </c>
      <c r="Z948" t="s">
        <v>61</v>
      </c>
      <c r="AA948" t="s">
        <v>7861</v>
      </c>
      <c r="AB948">
        <v>24524030</v>
      </c>
      <c r="AC948" t="s">
        <v>67</v>
      </c>
      <c r="AD948" t="s">
        <v>61</v>
      </c>
      <c r="AE948" t="s">
        <v>61</v>
      </c>
      <c r="AF948" t="s">
        <v>61</v>
      </c>
      <c r="AG948" t="s">
        <v>7862</v>
      </c>
      <c r="AH948" t="s">
        <v>61</v>
      </c>
      <c r="AI948" t="s">
        <v>7863</v>
      </c>
      <c r="AJ948" t="s">
        <v>61</v>
      </c>
      <c r="AK948" t="s">
        <v>61</v>
      </c>
      <c r="AL948" t="s">
        <v>61</v>
      </c>
      <c r="AM948" t="s">
        <v>7864</v>
      </c>
      <c r="AN948" t="s">
        <v>61</v>
      </c>
      <c r="AO948" t="s">
        <v>61</v>
      </c>
      <c r="AP948" t="s">
        <v>61</v>
      </c>
      <c r="AQ948" t="s">
        <v>61</v>
      </c>
      <c r="AR948" t="s">
        <v>61</v>
      </c>
      <c r="AS948" t="s">
        <v>61</v>
      </c>
      <c r="AT948" t="s">
        <v>61</v>
      </c>
      <c r="AU948" t="s">
        <v>61</v>
      </c>
      <c r="AV948" t="s">
        <v>61</v>
      </c>
      <c r="AW948" t="s">
        <v>61</v>
      </c>
      <c r="AX948" t="s">
        <v>61</v>
      </c>
      <c r="AY948" t="s">
        <v>61</v>
      </c>
      <c r="AZ948" t="s">
        <v>61</v>
      </c>
      <c r="BA948" t="s">
        <v>61</v>
      </c>
      <c r="BB948" t="s">
        <v>61</v>
      </c>
      <c r="BC948" t="s">
        <v>61</v>
      </c>
      <c r="BD948" t="s">
        <v>61</v>
      </c>
      <c r="BE948" t="s">
        <v>61</v>
      </c>
      <c r="BF948" t="s">
        <v>61</v>
      </c>
    </row>
    <row r="949" spans="1:58">
      <c r="A949" t="s">
        <v>58</v>
      </c>
      <c r="B949" t="s">
        <v>7865</v>
      </c>
      <c r="C949" t="s">
        <v>7866</v>
      </c>
      <c r="D949" t="s">
        <v>153</v>
      </c>
      <c r="E949" t="s">
        <v>61</v>
      </c>
      <c r="F949">
        <v>2013</v>
      </c>
      <c r="G949" t="s">
        <v>2798</v>
      </c>
      <c r="H949">
        <v>53</v>
      </c>
      <c r="I949">
        <v>1</v>
      </c>
      <c r="J949" t="s">
        <v>7867</v>
      </c>
      <c r="K949">
        <v>7</v>
      </c>
      <c r="L949" t="s">
        <v>7868</v>
      </c>
      <c r="M949" t="s">
        <v>7869</v>
      </c>
      <c r="N949" t="s">
        <v>7870</v>
      </c>
      <c r="O949" t="s">
        <v>61</v>
      </c>
      <c r="Q949" t="s">
        <v>61</v>
      </c>
      <c r="R949" t="s">
        <v>61</v>
      </c>
      <c r="S949" t="s">
        <v>61</v>
      </c>
      <c r="T949" t="s">
        <v>61</v>
      </c>
      <c r="X949" t="s">
        <v>61</v>
      </c>
      <c r="Y949" t="s">
        <v>157</v>
      </c>
      <c r="Z949" t="s">
        <v>61</v>
      </c>
      <c r="AA949" t="s">
        <v>7871</v>
      </c>
      <c r="AB949">
        <v>23636166</v>
      </c>
      <c r="AC949" t="s">
        <v>67</v>
      </c>
      <c r="AD949" t="s">
        <v>61</v>
      </c>
      <c r="AE949" t="s">
        <v>61</v>
      </c>
      <c r="AF949" t="s">
        <v>61</v>
      </c>
      <c r="AG949" t="s">
        <v>7872</v>
      </c>
      <c r="AH949" t="s">
        <v>61</v>
      </c>
      <c r="AI949" t="s">
        <v>7873</v>
      </c>
      <c r="AJ949" t="s">
        <v>61</v>
      </c>
      <c r="AK949" t="s">
        <v>61</v>
      </c>
      <c r="AL949" t="s">
        <v>61</v>
      </c>
      <c r="AM949" t="s">
        <v>7874</v>
      </c>
      <c r="AN949" t="s">
        <v>61</v>
      </c>
      <c r="AO949" t="s">
        <v>61</v>
      </c>
      <c r="AP949" t="s">
        <v>61</v>
      </c>
      <c r="AQ949" t="s">
        <v>61</v>
      </c>
      <c r="AR949" t="s">
        <v>61</v>
      </c>
      <c r="AS949" t="s">
        <v>61</v>
      </c>
      <c r="AT949" t="s">
        <v>61</v>
      </c>
      <c r="AU949" t="s">
        <v>61</v>
      </c>
      <c r="AV949" t="s">
        <v>61</v>
      </c>
      <c r="AW949" t="s">
        <v>61</v>
      </c>
      <c r="AX949" t="s">
        <v>61</v>
      </c>
      <c r="AY949" t="s">
        <v>61</v>
      </c>
      <c r="AZ949" t="s">
        <v>61</v>
      </c>
      <c r="BA949" t="s">
        <v>61</v>
      </c>
      <c r="BB949" t="s">
        <v>61</v>
      </c>
      <c r="BC949" t="s">
        <v>61</v>
      </c>
      <c r="BD949" t="s">
        <v>61</v>
      </c>
      <c r="BE949" t="s">
        <v>61</v>
      </c>
      <c r="BF949" t="s">
        <v>61</v>
      </c>
    </row>
    <row r="950" spans="1:58">
      <c r="A950" t="s">
        <v>58</v>
      </c>
      <c r="B950" t="s">
        <v>7875</v>
      </c>
      <c r="C950" t="s">
        <v>7876</v>
      </c>
      <c r="D950" t="s">
        <v>2197</v>
      </c>
      <c r="E950" t="s">
        <v>2198</v>
      </c>
      <c r="F950">
        <v>1991</v>
      </c>
      <c r="G950" t="s">
        <v>273</v>
      </c>
      <c r="H950">
        <v>81</v>
      </c>
      <c r="I950">
        <v>2</v>
      </c>
      <c r="J950">
        <v>177</v>
      </c>
      <c r="K950">
        <v>182</v>
      </c>
      <c r="L950" t="s">
        <v>7877</v>
      </c>
      <c r="M950" t="s">
        <v>7878</v>
      </c>
      <c r="N950" t="s">
        <v>7879</v>
      </c>
      <c r="O950" t="s">
        <v>61</v>
      </c>
      <c r="Q950" t="s">
        <v>61</v>
      </c>
      <c r="R950" t="s">
        <v>61</v>
      </c>
      <c r="S950" t="s">
        <v>61</v>
      </c>
      <c r="T950" t="s">
        <v>61</v>
      </c>
      <c r="X950" t="s">
        <v>61</v>
      </c>
      <c r="Y950" t="s">
        <v>2201</v>
      </c>
      <c r="Z950" t="s">
        <v>61</v>
      </c>
      <c r="AA950" t="s">
        <v>7880</v>
      </c>
      <c r="AB950">
        <v>1990855</v>
      </c>
      <c r="AC950" t="s">
        <v>67</v>
      </c>
      <c r="AD950" t="s">
        <v>61</v>
      </c>
      <c r="AE950" t="s">
        <v>61</v>
      </c>
      <c r="AF950" t="s">
        <v>61</v>
      </c>
      <c r="AG950" t="s">
        <v>7881</v>
      </c>
      <c r="AH950" t="s">
        <v>61</v>
      </c>
      <c r="AI950" t="s">
        <v>61</v>
      </c>
      <c r="AJ950" t="s">
        <v>61</v>
      </c>
      <c r="AK950" t="s">
        <v>61</v>
      </c>
      <c r="AL950" t="s">
        <v>61</v>
      </c>
      <c r="AM950" t="s">
        <v>7882</v>
      </c>
      <c r="AN950" t="s">
        <v>61</v>
      </c>
      <c r="AO950" t="s">
        <v>61</v>
      </c>
      <c r="AP950" t="s">
        <v>61</v>
      </c>
      <c r="AQ950" t="s">
        <v>61</v>
      </c>
      <c r="AR950" t="s">
        <v>61</v>
      </c>
      <c r="AS950" t="s">
        <v>61</v>
      </c>
      <c r="AT950" t="s">
        <v>61</v>
      </c>
      <c r="AU950" t="s">
        <v>61</v>
      </c>
      <c r="AV950" t="s">
        <v>61</v>
      </c>
      <c r="AW950" t="s">
        <v>61</v>
      </c>
      <c r="AX950" t="s">
        <v>61</v>
      </c>
      <c r="AY950" t="s">
        <v>61</v>
      </c>
      <c r="AZ950" t="s">
        <v>61</v>
      </c>
      <c r="BA950" t="s">
        <v>61</v>
      </c>
      <c r="BB950" t="s">
        <v>61</v>
      </c>
      <c r="BC950" t="s">
        <v>61</v>
      </c>
      <c r="BD950" t="s">
        <v>61</v>
      </c>
      <c r="BE950" t="s">
        <v>61</v>
      </c>
      <c r="BF950" t="s">
        <v>61</v>
      </c>
    </row>
    <row r="951" spans="1:58">
      <c r="A951" t="s">
        <v>58</v>
      </c>
      <c r="B951" t="s">
        <v>7883</v>
      </c>
      <c r="C951" t="s">
        <v>7884</v>
      </c>
      <c r="D951" t="s">
        <v>7885</v>
      </c>
      <c r="E951" t="s">
        <v>7886</v>
      </c>
      <c r="F951">
        <v>1986</v>
      </c>
      <c r="G951" s="1">
        <v>42638</v>
      </c>
      <c r="H951">
        <v>315</v>
      </c>
      <c r="I951">
        <v>13</v>
      </c>
      <c r="J951">
        <v>805</v>
      </c>
      <c r="K951">
        <v>810</v>
      </c>
      <c r="L951" t="s">
        <v>7887</v>
      </c>
      <c r="M951" t="s">
        <v>7888</v>
      </c>
      <c r="N951" t="s">
        <v>7889</v>
      </c>
      <c r="O951" t="s">
        <v>61</v>
      </c>
      <c r="Q951" t="s">
        <v>61</v>
      </c>
      <c r="R951" t="s">
        <v>61</v>
      </c>
      <c r="S951" t="s">
        <v>61</v>
      </c>
      <c r="T951" t="s">
        <v>61</v>
      </c>
      <c r="X951" t="s">
        <v>61</v>
      </c>
      <c r="Y951" t="s">
        <v>7890</v>
      </c>
      <c r="Z951" t="s">
        <v>61</v>
      </c>
      <c r="AA951" t="s">
        <v>61</v>
      </c>
      <c r="AB951">
        <v>3748091</v>
      </c>
      <c r="AC951" t="s">
        <v>67</v>
      </c>
      <c r="AD951" t="s">
        <v>61</v>
      </c>
      <c r="AE951" t="s">
        <v>61</v>
      </c>
      <c r="AF951" t="s">
        <v>61</v>
      </c>
      <c r="AG951" t="s">
        <v>7891</v>
      </c>
      <c r="AH951" t="s">
        <v>61</v>
      </c>
      <c r="AI951" t="s">
        <v>61</v>
      </c>
      <c r="AJ951" t="s">
        <v>61</v>
      </c>
      <c r="AK951" t="s">
        <v>61</v>
      </c>
      <c r="AL951" t="s">
        <v>61</v>
      </c>
      <c r="AM951" t="s">
        <v>7892</v>
      </c>
      <c r="AN951" t="s">
        <v>61</v>
      </c>
      <c r="AO951" t="s">
        <v>61</v>
      </c>
      <c r="AP951" t="s">
        <v>61</v>
      </c>
      <c r="AQ951" t="s">
        <v>61</v>
      </c>
      <c r="AR951" t="s">
        <v>61</v>
      </c>
      <c r="AS951" t="s">
        <v>61</v>
      </c>
      <c r="AT951" t="s">
        <v>61</v>
      </c>
      <c r="AU951" t="s">
        <v>61</v>
      </c>
      <c r="AV951" t="s">
        <v>61</v>
      </c>
      <c r="AW951" t="s">
        <v>61</v>
      </c>
      <c r="AX951" t="s">
        <v>61</v>
      </c>
      <c r="AY951" t="s">
        <v>61</v>
      </c>
      <c r="AZ951" t="s">
        <v>61</v>
      </c>
      <c r="BA951" t="s">
        <v>61</v>
      </c>
      <c r="BB951" t="s">
        <v>61</v>
      </c>
      <c r="BC951" t="s">
        <v>61</v>
      </c>
      <c r="BD951" t="s">
        <v>61</v>
      </c>
      <c r="BE951" t="s">
        <v>61</v>
      </c>
      <c r="BF951" t="s">
        <v>61</v>
      </c>
    </row>
    <row r="952" spans="1:58">
      <c r="A952" t="s">
        <v>58</v>
      </c>
      <c r="B952" t="s">
        <v>7893</v>
      </c>
      <c r="C952" t="s">
        <v>7894</v>
      </c>
      <c r="D952" t="s">
        <v>1739</v>
      </c>
      <c r="E952" t="s">
        <v>1740</v>
      </c>
      <c r="F952">
        <v>1987</v>
      </c>
      <c r="G952" t="s">
        <v>273</v>
      </c>
      <c r="H952">
        <v>44</v>
      </c>
      <c r="I952">
        <v>2</v>
      </c>
      <c r="J952">
        <v>311</v>
      </c>
      <c r="K952">
        <v>317</v>
      </c>
      <c r="L952" t="s">
        <v>7895</v>
      </c>
      <c r="M952" t="s">
        <v>7896</v>
      </c>
      <c r="N952" t="s">
        <v>7897</v>
      </c>
      <c r="O952" t="s">
        <v>61</v>
      </c>
      <c r="Q952" t="s">
        <v>61</v>
      </c>
      <c r="R952" t="s">
        <v>61</v>
      </c>
      <c r="S952" t="s">
        <v>61</v>
      </c>
      <c r="T952" t="s">
        <v>61</v>
      </c>
      <c r="X952" t="s">
        <v>61</v>
      </c>
      <c r="Y952" s="2">
        <v>2698811</v>
      </c>
      <c r="Z952" t="s">
        <v>61</v>
      </c>
      <c r="AA952" t="s">
        <v>61</v>
      </c>
      <c r="AB952">
        <v>2882673</v>
      </c>
      <c r="AC952" t="s">
        <v>67</v>
      </c>
      <c r="AD952" t="s">
        <v>61</v>
      </c>
      <c r="AE952" t="s">
        <v>61</v>
      </c>
      <c r="AF952" t="s">
        <v>61</v>
      </c>
      <c r="AG952" t="s">
        <v>7898</v>
      </c>
      <c r="AH952" t="s">
        <v>61</v>
      </c>
      <c r="AI952" t="s">
        <v>61</v>
      </c>
      <c r="AJ952" t="s">
        <v>61</v>
      </c>
      <c r="AK952" t="s">
        <v>61</v>
      </c>
      <c r="AL952" t="s">
        <v>61</v>
      </c>
      <c r="AM952" t="s">
        <v>7899</v>
      </c>
      <c r="AN952" t="s">
        <v>61</v>
      </c>
      <c r="AO952" t="s">
        <v>61</v>
      </c>
      <c r="AP952" t="s">
        <v>61</v>
      </c>
      <c r="AQ952" t="s">
        <v>61</v>
      </c>
      <c r="AR952" t="s">
        <v>61</v>
      </c>
      <c r="AS952" t="s">
        <v>61</v>
      </c>
      <c r="AT952" t="s">
        <v>61</v>
      </c>
      <c r="AU952" t="s">
        <v>61</v>
      </c>
      <c r="AV952" t="s">
        <v>61</v>
      </c>
      <c r="AW952" t="s">
        <v>61</v>
      </c>
      <c r="AX952" t="s">
        <v>61</v>
      </c>
      <c r="AY952" t="s">
        <v>61</v>
      </c>
      <c r="AZ952" t="s">
        <v>61</v>
      </c>
      <c r="BA952" t="s">
        <v>61</v>
      </c>
      <c r="BB952" t="s">
        <v>61</v>
      </c>
      <c r="BC952" t="s">
        <v>61</v>
      </c>
      <c r="BD952" t="s">
        <v>61</v>
      </c>
      <c r="BE952" t="s">
        <v>61</v>
      </c>
      <c r="BF952" t="s">
        <v>61</v>
      </c>
    </row>
    <row r="953" spans="1:58">
      <c r="A953" t="s">
        <v>58</v>
      </c>
      <c r="B953" t="s">
        <v>7900</v>
      </c>
      <c r="C953" t="s">
        <v>7901</v>
      </c>
      <c r="D953" t="s">
        <v>876</v>
      </c>
      <c r="E953" t="s">
        <v>877</v>
      </c>
      <c r="F953">
        <v>2013</v>
      </c>
      <c r="G953" s="1">
        <v>42533</v>
      </c>
      <c r="H953">
        <v>77</v>
      </c>
      <c r="I953">
        <v>5</v>
      </c>
      <c r="J953">
        <v>93</v>
      </c>
      <c r="K953" t="s">
        <v>61</v>
      </c>
      <c r="L953" t="s">
        <v>7902</v>
      </c>
      <c r="M953" t="s">
        <v>7903</v>
      </c>
      <c r="N953" t="s">
        <v>7904</v>
      </c>
      <c r="O953" t="s">
        <v>61</v>
      </c>
      <c r="Q953" t="s">
        <v>61</v>
      </c>
      <c r="R953" t="s">
        <v>61</v>
      </c>
      <c r="S953" t="s">
        <v>61</v>
      </c>
      <c r="T953" t="s">
        <v>61</v>
      </c>
      <c r="X953" t="s">
        <v>61</v>
      </c>
      <c r="Y953" t="s">
        <v>881</v>
      </c>
      <c r="Z953" t="s">
        <v>61</v>
      </c>
      <c r="AA953" t="s">
        <v>7905</v>
      </c>
      <c r="AB953">
        <v>23788804</v>
      </c>
      <c r="AC953" t="s">
        <v>67</v>
      </c>
      <c r="AD953" t="s">
        <v>61</v>
      </c>
      <c r="AE953" t="s">
        <v>61</v>
      </c>
      <c r="AF953" t="s">
        <v>61</v>
      </c>
      <c r="AG953" t="s">
        <v>7906</v>
      </c>
      <c r="AH953" t="s">
        <v>61</v>
      </c>
      <c r="AI953" t="s">
        <v>7907</v>
      </c>
      <c r="AJ953" t="s">
        <v>61</v>
      </c>
      <c r="AK953" t="s">
        <v>61</v>
      </c>
      <c r="AL953" t="s">
        <v>61</v>
      </c>
      <c r="AM953" t="s">
        <v>7908</v>
      </c>
      <c r="AN953" t="s">
        <v>61</v>
      </c>
      <c r="AO953" t="s">
        <v>61</v>
      </c>
      <c r="AP953" t="s">
        <v>61</v>
      </c>
      <c r="AQ953" t="s">
        <v>61</v>
      </c>
      <c r="AR953" t="s">
        <v>61</v>
      </c>
      <c r="AS953" t="s">
        <v>61</v>
      </c>
      <c r="AT953" t="s">
        <v>61</v>
      </c>
      <c r="AU953" t="s">
        <v>61</v>
      </c>
      <c r="AV953" t="s">
        <v>61</v>
      </c>
      <c r="AW953" t="s">
        <v>61</v>
      </c>
      <c r="AX953" t="s">
        <v>61</v>
      </c>
      <c r="AY953" t="s">
        <v>61</v>
      </c>
      <c r="AZ953" t="s">
        <v>61</v>
      </c>
      <c r="BA953" t="s">
        <v>61</v>
      </c>
      <c r="BB953" t="s">
        <v>61</v>
      </c>
      <c r="BC953" t="s">
        <v>61</v>
      </c>
      <c r="BD953" t="s">
        <v>61</v>
      </c>
      <c r="BE953" t="s">
        <v>61</v>
      </c>
      <c r="BF953" t="s">
        <v>61</v>
      </c>
    </row>
    <row r="954" spans="1:58">
      <c r="A954" t="s">
        <v>58</v>
      </c>
      <c r="B954" t="s">
        <v>7909</v>
      </c>
      <c r="C954" t="s">
        <v>7910</v>
      </c>
      <c r="D954" t="s">
        <v>162</v>
      </c>
      <c r="E954" t="s">
        <v>163</v>
      </c>
      <c r="F954">
        <v>2003</v>
      </c>
      <c r="G954">
        <v>1</v>
      </c>
      <c r="H954">
        <v>43</v>
      </c>
      <c r="I954">
        <v>10</v>
      </c>
      <c r="J954">
        <v>1071</v>
      </c>
      <c r="K954">
        <v>1081</v>
      </c>
      <c r="L954" t="s">
        <v>7911</v>
      </c>
      <c r="M954" t="s">
        <v>7912</v>
      </c>
      <c r="N954" t="s">
        <v>7913</v>
      </c>
      <c r="O954" t="s">
        <v>61</v>
      </c>
      <c r="Q954" t="s">
        <v>61</v>
      </c>
      <c r="R954" t="s">
        <v>61</v>
      </c>
      <c r="S954" t="s">
        <v>61</v>
      </c>
      <c r="T954" t="s">
        <v>61</v>
      </c>
      <c r="X954" t="s">
        <v>61</v>
      </c>
      <c r="Y954" t="s">
        <v>167</v>
      </c>
      <c r="Z954" t="s">
        <v>61</v>
      </c>
      <c r="AA954" t="s">
        <v>61</v>
      </c>
      <c r="AB954">
        <v>2003389923</v>
      </c>
      <c r="AC954" t="s">
        <v>67</v>
      </c>
      <c r="AD954" t="s">
        <v>61</v>
      </c>
      <c r="AE954" t="s">
        <v>61</v>
      </c>
      <c r="AF954" t="s">
        <v>61</v>
      </c>
      <c r="AG954" t="s">
        <v>7914</v>
      </c>
      <c r="AH954" t="s">
        <v>61</v>
      </c>
      <c r="AI954" t="s">
        <v>61</v>
      </c>
      <c r="AJ954" t="s">
        <v>61</v>
      </c>
      <c r="AK954" t="s">
        <v>61</v>
      </c>
      <c r="AL954" t="s">
        <v>61</v>
      </c>
      <c r="AM954" t="s">
        <v>7915</v>
      </c>
      <c r="AN954" t="s">
        <v>61</v>
      </c>
      <c r="AO954" t="s">
        <v>61</v>
      </c>
      <c r="AP954" t="s">
        <v>61</v>
      </c>
      <c r="AQ954" t="s">
        <v>61</v>
      </c>
      <c r="AR954" t="s">
        <v>61</v>
      </c>
      <c r="AS954" t="s">
        <v>61</v>
      </c>
      <c r="AT954" t="s">
        <v>61</v>
      </c>
      <c r="AU954" t="s">
        <v>61</v>
      </c>
      <c r="AV954" t="s">
        <v>61</v>
      </c>
      <c r="AW954" t="s">
        <v>61</v>
      </c>
      <c r="AX954" t="s">
        <v>61</v>
      </c>
      <c r="AY954" t="s">
        <v>61</v>
      </c>
      <c r="AZ954" t="s">
        <v>61</v>
      </c>
      <c r="BA954" t="s">
        <v>61</v>
      </c>
      <c r="BB954" t="s">
        <v>61</v>
      </c>
      <c r="BC954" t="s">
        <v>61</v>
      </c>
      <c r="BD954" t="s">
        <v>61</v>
      </c>
      <c r="BE954" t="s">
        <v>61</v>
      </c>
      <c r="BF954" t="s">
        <v>61</v>
      </c>
    </row>
    <row r="955" spans="1:58">
      <c r="A955" t="s">
        <v>58</v>
      </c>
      <c r="B955" t="s">
        <v>7916</v>
      </c>
      <c r="C955" t="s">
        <v>7917</v>
      </c>
      <c r="D955" t="s">
        <v>482</v>
      </c>
      <c r="E955" t="s">
        <v>61</v>
      </c>
      <c r="F955">
        <v>2009</v>
      </c>
      <c r="G955" s="1">
        <v>42522</v>
      </c>
      <c r="H955">
        <v>102</v>
      </c>
      <c r="I955" s="1">
        <v>42372</v>
      </c>
      <c r="J955">
        <v>63</v>
      </c>
      <c r="K955">
        <v>70</v>
      </c>
      <c r="L955" t="s">
        <v>7918</v>
      </c>
      <c r="M955" t="s">
        <v>7919</v>
      </c>
      <c r="N955" t="s">
        <v>7920</v>
      </c>
      <c r="O955" t="s">
        <v>61</v>
      </c>
      <c r="Q955" t="s">
        <v>61</v>
      </c>
      <c r="R955" t="s">
        <v>61</v>
      </c>
      <c r="S955" t="s">
        <v>61</v>
      </c>
      <c r="T955" t="s">
        <v>61</v>
      </c>
      <c r="X955" t="s">
        <v>61</v>
      </c>
      <c r="Y955" t="s">
        <v>2327</v>
      </c>
      <c r="Z955" t="s">
        <v>61</v>
      </c>
      <c r="AA955" t="s">
        <v>7921</v>
      </c>
      <c r="AB955">
        <v>19278795</v>
      </c>
      <c r="AC955" t="s">
        <v>67</v>
      </c>
      <c r="AD955" t="s">
        <v>61</v>
      </c>
      <c r="AE955" t="s">
        <v>61</v>
      </c>
      <c r="AF955" t="s">
        <v>61</v>
      </c>
      <c r="AG955" t="s">
        <v>7922</v>
      </c>
      <c r="AH955" t="s">
        <v>61</v>
      </c>
      <c r="AI955" t="s">
        <v>7923</v>
      </c>
      <c r="AJ955" t="s">
        <v>61</v>
      </c>
      <c r="AK955" t="s">
        <v>61</v>
      </c>
      <c r="AL955" t="s">
        <v>61</v>
      </c>
      <c r="AM955" t="s">
        <v>7924</v>
      </c>
      <c r="AN955" t="s">
        <v>61</v>
      </c>
      <c r="AO955" t="s">
        <v>61</v>
      </c>
      <c r="AP955" t="s">
        <v>61</v>
      </c>
      <c r="AQ955" t="s">
        <v>61</v>
      </c>
      <c r="AR955" t="s">
        <v>61</v>
      </c>
      <c r="AS955" t="s">
        <v>61</v>
      </c>
      <c r="AT955" t="s">
        <v>61</v>
      </c>
      <c r="AU955" t="s">
        <v>61</v>
      </c>
      <c r="AV955" t="s">
        <v>61</v>
      </c>
      <c r="AW955" t="s">
        <v>61</v>
      </c>
      <c r="AX955" t="s">
        <v>61</v>
      </c>
      <c r="AY955" t="s">
        <v>61</v>
      </c>
      <c r="AZ955" t="s">
        <v>61</v>
      </c>
      <c r="BA955" t="s">
        <v>61</v>
      </c>
      <c r="BB955" t="s">
        <v>61</v>
      </c>
      <c r="BC955" t="s">
        <v>61</v>
      </c>
      <c r="BD955" t="s">
        <v>61</v>
      </c>
      <c r="BE955" t="s">
        <v>61</v>
      </c>
      <c r="BF955" t="s">
        <v>61</v>
      </c>
    </row>
    <row r="956" spans="1:58">
      <c r="A956" t="s">
        <v>58</v>
      </c>
      <c r="B956" t="s">
        <v>7925</v>
      </c>
      <c r="C956" t="s">
        <v>7926</v>
      </c>
      <c r="D956" t="s">
        <v>7927</v>
      </c>
      <c r="E956" t="s">
        <v>7927</v>
      </c>
      <c r="F956">
        <v>2015</v>
      </c>
      <c r="G956" t="s">
        <v>61</v>
      </c>
      <c r="H956">
        <v>351</v>
      </c>
      <c r="I956" t="s">
        <v>61</v>
      </c>
      <c r="J956" t="s">
        <v>7928</v>
      </c>
      <c r="K956" t="s">
        <v>61</v>
      </c>
      <c r="L956" t="s">
        <v>7929</v>
      </c>
      <c r="M956" t="s">
        <v>61</v>
      </c>
      <c r="N956" t="s">
        <v>7930</v>
      </c>
      <c r="O956" t="s">
        <v>61</v>
      </c>
      <c r="Q956" t="s">
        <v>61</v>
      </c>
      <c r="R956" t="s">
        <v>61</v>
      </c>
      <c r="S956" t="s">
        <v>61</v>
      </c>
      <c r="T956" t="s">
        <v>61</v>
      </c>
      <c r="X956" t="s">
        <v>61</v>
      </c>
      <c r="Y956" t="s">
        <v>7931</v>
      </c>
      <c r="Z956" t="s">
        <v>61</v>
      </c>
      <c r="AA956" t="s">
        <v>7932</v>
      </c>
      <c r="AB956">
        <v>26493451</v>
      </c>
      <c r="AC956" t="s">
        <v>67</v>
      </c>
      <c r="AD956" t="s">
        <v>61</v>
      </c>
      <c r="AE956" t="s">
        <v>61</v>
      </c>
      <c r="AF956" t="s">
        <v>61</v>
      </c>
      <c r="AG956" t="s">
        <v>7933</v>
      </c>
      <c r="AH956" t="s">
        <v>61</v>
      </c>
      <c r="AI956" t="s">
        <v>7934</v>
      </c>
      <c r="AJ956" t="s">
        <v>61</v>
      </c>
      <c r="AK956" t="s">
        <v>61</v>
      </c>
      <c r="AL956" t="s">
        <v>61</v>
      </c>
      <c r="AM956" t="s">
        <v>7935</v>
      </c>
      <c r="AN956" t="s">
        <v>61</v>
      </c>
      <c r="AO956" t="s">
        <v>61</v>
      </c>
      <c r="AP956" t="s">
        <v>61</v>
      </c>
      <c r="AQ956" t="s">
        <v>61</v>
      </c>
      <c r="AR956" t="s">
        <v>61</v>
      </c>
      <c r="AS956" t="s">
        <v>61</v>
      </c>
      <c r="AT956" t="s">
        <v>61</v>
      </c>
      <c r="AU956" t="s">
        <v>61</v>
      </c>
      <c r="AV956" t="s">
        <v>61</v>
      </c>
      <c r="AW956" t="s">
        <v>61</v>
      </c>
      <c r="AX956" t="s">
        <v>61</v>
      </c>
      <c r="AY956" t="s">
        <v>61</v>
      </c>
      <c r="AZ956" t="s">
        <v>61</v>
      </c>
      <c r="BA956" t="s">
        <v>61</v>
      </c>
      <c r="BB956" t="s">
        <v>61</v>
      </c>
      <c r="BC956" t="s">
        <v>61</v>
      </c>
      <c r="BD956" t="s">
        <v>61</v>
      </c>
      <c r="BE956" t="s">
        <v>61</v>
      </c>
      <c r="BF956" t="s">
        <v>61</v>
      </c>
    </row>
    <row r="957" spans="1:58">
      <c r="A957" t="s">
        <v>58</v>
      </c>
      <c r="B957" t="s">
        <v>7936</v>
      </c>
      <c r="C957" t="s">
        <v>7937</v>
      </c>
      <c r="D957" t="s">
        <v>7938</v>
      </c>
      <c r="E957" t="s">
        <v>61</v>
      </c>
      <c r="F957">
        <v>1982</v>
      </c>
      <c r="G957" t="s">
        <v>119</v>
      </c>
      <c r="H957">
        <v>42</v>
      </c>
      <c r="I957">
        <v>6</v>
      </c>
      <c r="J957">
        <v>977</v>
      </c>
      <c r="K957">
        <v>988</v>
      </c>
      <c r="L957" t="s">
        <v>7939</v>
      </c>
      <c r="M957" t="s">
        <v>7940</v>
      </c>
      <c r="N957" t="s">
        <v>7941</v>
      </c>
      <c r="O957" t="s">
        <v>61</v>
      </c>
      <c r="Q957" t="s">
        <v>61</v>
      </c>
      <c r="R957" t="s">
        <v>61</v>
      </c>
      <c r="S957" t="s">
        <v>61</v>
      </c>
      <c r="T957" t="s">
        <v>61</v>
      </c>
      <c r="X957" t="s">
        <v>61</v>
      </c>
      <c r="Y957" t="s">
        <v>7942</v>
      </c>
      <c r="Z957" t="s">
        <v>61</v>
      </c>
      <c r="AA957" t="s">
        <v>61</v>
      </c>
      <c r="AB957">
        <v>7108741</v>
      </c>
      <c r="AC957" t="s">
        <v>67</v>
      </c>
      <c r="AD957" t="s">
        <v>61</v>
      </c>
      <c r="AE957" t="s">
        <v>61</v>
      </c>
      <c r="AF957" t="s">
        <v>61</v>
      </c>
      <c r="AG957" t="s">
        <v>7943</v>
      </c>
      <c r="AH957" t="s">
        <v>61</v>
      </c>
      <c r="AI957" t="s">
        <v>61</v>
      </c>
      <c r="AJ957" t="s">
        <v>61</v>
      </c>
      <c r="AK957" t="s">
        <v>61</v>
      </c>
      <c r="AL957" t="s">
        <v>61</v>
      </c>
      <c r="AM957" t="s">
        <v>7944</v>
      </c>
      <c r="AN957" t="s">
        <v>61</v>
      </c>
      <c r="AO957" t="s">
        <v>61</v>
      </c>
      <c r="AP957" t="s">
        <v>61</v>
      </c>
      <c r="AQ957" t="s">
        <v>61</v>
      </c>
      <c r="AR957" t="s">
        <v>61</v>
      </c>
      <c r="AS957" t="s">
        <v>61</v>
      </c>
      <c r="AT957" t="s">
        <v>61</v>
      </c>
      <c r="AU957" t="s">
        <v>61</v>
      </c>
      <c r="AV957" t="s">
        <v>61</v>
      </c>
      <c r="AW957" t="s">
        <v>61</v>
      </c>
      <c r="AX957" t="s">
        <v>61</v>
      </c>
      <c r="AY957" t="s">
        <v>61</v>
      </c>
      <c r="AZ957" t="s">
        <v>61</v>
      </c>
      <c r="BA957" t="s">
        <v>61</v>
      </c>
      <c r="BB957" t="s">
        <v>61</v>
      </c>
      <c r="BC957" t="s">
        <v>61</v>
      </c>
      <c r="BD957" t="s">
        <v>61</v>
      </c>
      <c r="BE957" t="s">
        <v>61</v>
      </c>
      <c r="BF957" t="s">
        <v>61</v>
      </c>
    </row>
    <row r="958" spans="1:58">
      <c r="A958" t="s">
        <v>58</v>
      </c>
      <c r="B958" t="s">
        <v>7945</v>
      </c>
      <c r="C958" t="s">
        <v>7946</v>
      </c>
      <c r="D958" t="s">
        <v>7947</v>
      </c>
      <c r="E958" t="s">
        <v>61</v>
      </c>
      <c r="F958">
        <v>2004</v>
      </c>
      <c r="G958" t="s">
        <v>61</v>
      </c>
      <c r="H958">
        <v>2</v>
      </c>
      <c r="I958">
        <v>2</v>
      </c>
      <c r="J958">
        <v>54</v>
      </c>
      <c r="K958" t="s">
        <v>7279</v>
      </c>
      <c r="L958" t="s">
        <v>7948</v>
      </c>
      <c r="M958" t="s">
        <v>7949</v>
      </c>
      <c r="N958" t="s">
        <v>7950</v>
      </c>
      <c r="O958" t="s">
        <v>61</v>
      </c>
      <c r="Q958" t="s">
        <v>61</v>
      </c>
      <c r="R958" t="s">
        <v>61</v>
      </c>
      <c r="S958" t="s">
        <v>61</v>
      </c>
      <c r="T958" t="s">
        <v>61</v>
      </c>
      <c r="X958" t="s">
        <v>61</v>
      </c>
      <c r="Y958" t="s">
        <v>7951</v>
      </c>
      <c r="Z958" t="s">
        <v>61</v>
      </c>
      <c r="AA958" t="s">
        <v>7952</v>
      </c>
      <c r="AB958">
        <v>106406571</v>
      </c>
      <c r="AC958" t="s">
        <v>67</v>
      </c>
      <c r="AD958" t="s">
        <v>61</v>
      </c>
      <c r="AE958" t="s">
        <v>61</v>
      </c>
      <c r="AF958" t="s">
        <v>61</v>
      </c>
      <c r="AG958" t="s">
        <v>7953</v>
      </c>
      <c r="AH958" t="s">
        <v>61</v>
      </c>
      <c r="AI958" t="s">
        <v>61</v>
      </c>
      <c r="AJ958" t="s">
        <v>61</v>
      </c>
      <c r="AK958" t="s">
        <v>61</v>
      </c>
      <c r="AL958" t="s">
        <v>61</v>
      </c>
      <c r="AM958" t="s">
        <v>7954</v>
      </c>
      <c r="AN958" t="s">
        <v>61</v>
      </c>
      <c r="AO958" t="s">
        <v>61</v>
      </c>
      <c r="AP958" t="s">
        <v>61</v>
      </c>
      <c r="AQ958" t="s">
        <v>61</v>
      </c>
      <c r="AR958" t="s">
        <v>61</v>
      </c>
      <c r="AS958" t="s">
        <v>61</v>
      </c>
      <c r="AT958" t="s">
        <v>61</v>
      </c>
      <c r="AU958" t="s">
        <v>61</v>
      </c>
      <c r="AV958" t="s">
        <v>61</v>
      </c>
      <c r="AW958" t="s">
        <v>61</v>
      </c>
      <c r="AX958" t="s">
        <v>61</v>
      </c>
      <c r="AY958" t="s">
        <v>61</v>
      </c>
      <c r="AZ958" t="s">
        <v>61</v>
      </c>
      <c r="BA958" t="s">
        <v>61</v>
      </c>
      <c r="BB958" t="s">
        <v>61</v>
      </c>
      <c r="BC958" t="s">
        <v>61</v>
      </c>
      <c r="BD958" t="s">
        <v>61</v>
      </c>
      <c r="BE958" t="s">
        <v>61</v>
      </c>
      <c r="BF958" t="s">
        <v>61</v>
      </c>
    </row>
    <row r="959" spans="1:58">
      <c r="A959" t="s">
        <v>58</v>
      </c>
      <c r="B959" t="s">
        <v>7955</v>
      </c>
      <c r="C959" t="s">
        <v>7956</v>
      </c>
      <c r="D959" t="s">
        <v>7957</v>
      </c>
      <c r="E959" t="s">
        <v>61</v>
      </c>
      <c r="F959">
        <v>2012</v>
      </c>
      <c r="G959" t="s">
        <v>1775</v>
      </c>
      <c r="H959">
        <v>9</v>
      </c>
      <c r="I959">
        <v>5</v>
      </c>
      <c r="J959">
        <v>479</v>
      </c>
      <c r="K959">
        <v>483</v>
      </c>
      <c r="L959" t="s">
        <v>7958</v>
      </c>
      <c r="M959" t="s">
        <v>7959</v>
      </c>
      <c r="N959" t="s">
        <v>7960</v>
      </c>
      <c r="O959" t="s">
        <v>61</v>
      </c>
      <c r="Q959" t="s">
        <v>61</v>
      </c>
      <c r="R959" t="s">
        <v>61</v>
      </c>
      <c r="S959" t="s">
        <v>61</v>
      </c>
      <c r="T959" t="s">
        <v>61</v>
      </c>
      <c r="X959" t="s">
        <v>61</v>
      </c>
      <c r="Y959" t="s">
        <v>7961</v>
      </c>
      <c r="Z959" t="s">
        <v>61</v>
      </c>
      <c r="AA959" t="s">
        <v>61</v>
      </c>
      <c r="AB959" t="s">
        <v>7962</v>
      </c>
      <c r="AC959" t="s">
        <v>67</v>
      </c>
      <c r="AD959" t="s">
        <v>61</v>
      </c>
      <c r="AE959" t="s">
        <v>61</v>
      </c>
      <c r="AF959" t="s">
        <v>61</v>
      </c>
      <c r="AG959" t="s">
        <v>61</v>
      </c>
      <c r="AH959" t="s">
        <v>61</v>
      </c>
      <c r="AI959" t="s">
        <v>61</v>
      </c>
      <c r="AJ959" t="s">
        <v>61</v>
      </c>
      <c r="AK959" t="s">
        <v>61</v>
      </c>
      <c r="AL959" t="s">
        <v>61</v>
      </c>
      <c r="AM959" t="s">
        <v>7956</v>
      </c>
      <c r="AN959" t="s">
        <v>61</v>
      </c>
      <c r="AO959" t="s">
        <v>61</v>
      </c>
      <c r="AP959" t="s">
        <v>61</v>
      </c>
      <c r="AQ959" t="s">
        <v>61</v>
      </c>
      <c r="AR959" t="s">
        <v>61</v>
      </c>
      <c r="AS959" t="s">
        <v>61</v>
      </c>
      <c r="AT959" t="s">
        <v>61</v>
      </c>
      <c r="AU959" t="s">
        <v>61</v>
      </c>
      <c r="AV959" t="s">
        <v>61</v>
      </c>
      <c r="AW959" t="s">
        <v>61</v>
      </c>
      <c r="AX959" t="s">
        <v>61</v>
      </c>
      <c r="AY959" t="s">
        <v>61</v>
      </c>
      <c r="AZ959" t="s">
        <v>61</v>
      </c>
      <c r="BA959" t="s">
        <v>61</v>
      </c>
      <c r="BB959" t="s">
        <v>61</v>
      </c>
      <c r="BC959" t="s">
        <v>61</v>
      </c>
      <c r="BD959" t="s">
        <v>61</v>
      </c>
      <c r="BE959" t="s">
        <v>61</v>
      </c>
      <c r="BF959" t="s">
        <v>61</v>
      </c>
    </row>
    <row r="960" spans="1:58">
      <c r="A960" t="s">
        <v>58</v>
      </c>
      <c r="B960" t="s">
        <v>7963</v>
      </c>
      <c r="C960" t="s">
        <v>7964</v>
      </c>
      <c r="D960" t="s">
        <v>271</v>
      </c>
      <c r="E960" t="s">
        <v>272</v>
      </c>
      <c r="F960">
        <v>1996</v>
      </c>
      <c r="G960" t="s">
        <v>237</v>
      </c>
      <c r="H960" t="s">
        <v>7965</v>
      </c>
      <c r="I960">
        <v>7</v>
      </c>
      <c r="J960">
        <v>453</v>
      </c>
      <c r="K960" t="s">
        <v>7966</v>
      </c>
      <c r="L960" t="s">
        <v>7967</v>
      </c>
      <c r="M960" t="s">
        <v>7968</v>
      </c>
      <c r="N960" t="s">
        <v>7969</v>
      </c>
      <c r="O960" t="s">
        <v>61</v>
      </c>
      <c r="Q960" t="s">
        <v>61</v>
      </c>
      <c r="R960" t="s">
        <v>61</v>
      </c>
      <c r="S960" t="s">
        <v>61</v>
      </c>
      <c r="T960" t="s">
        <v>61</v>
      </c>
      <c r="X960" t="s">
        <v>61</v>
      </c>
      <c r="Y960" t="s">
        <v>1661</v>
      </c>
      <c r="Z960" t="s">
        <v>61</v>
      </c>
      <c r="AA960" t="s">
        <v>7970</v>
      </c>
      <c r="AB960">
        <v>8840745</v>
      </c>
      <c r="AC960" t="s">
        <v>67</v>
      </c>
      <c r="AD960" t="s">
        <v>61</v>
      </c>
      <c r="AE960" t="s">
        <v>61</v>
      </c>
      <c r="AF960" t="s">
        <v>61</v>
      </c>
      <c r="AG960" t="s">
        <v>7971</v>
      </c>
      <c r="AH960" t="s">
        <v>61</v>
      </c>
      <c r="AI960" t="s">
        <v>61</v>
      </c>
      <c r="AJ960" t="s">
        <v>61</v>
      </c>
      <c r="AK960" t="s">
        <v>61</v>
      </c>
      <c r="AL960" t="s">
        <v>61</v>
      </c>
      <c r="AM960" t="s">
        <v>7972</v>
      </c>
      <c r="AN960" t="s">
        <v>61</v>
      </c>
      <c r="AO960" t="s">
        <v>61</v>
      </c>
      <c r="AP960" t="s">
        <v>61</v>
      </c>
      <c r="AQ960" t="s">
        <v>61</v>
      </c>
      <c r="AR960" t="s">
        <v>61</v>
      </c>
      <c r="AS960" t="s">
        <v>61</v>
      </c>
      <c r="AT960" t="s">
        <v>61</v>
      </c>
      <c r="AU960" t="s">
        <v>61</v>
      </c>
      <c r="AV960" t="s">
        <v>61</v>
      </c>
      <c r="AW960" t="s">
        <v>61</v>
      </c>
      <c r="AX960" t="s">
        <v>61</v>
      </c>
      <c r="AY960" t="s">
        <v>61</v>
      </c>
      <c r="AZ960" t="s">
        <v>61</v>
      </c>
      <c r="BA960" t="s">
        <v>61</v>
      </c>
      <c r="BB960" t="s">
        <v>61</v>
      </c>
      <c r="BC960" t="s">
        <v>61</v>
      </c>
      <c r="BD960" t="s">
        <v>61</v>
      </c>
      <c r="BE960" t="s">
        <v>61</v>
      </c>
      <c r="BF960" t="s">
        <v>61</v>
      </c>
    </row>
    <row r="961" spans="1:58">
      <c r="A961" t="s">
        <v>58</v>
      </c>
      <c r="B961" t="s">
        <v>7973</v>
      </c>
      <c r="C961" t="s">
        <v>7974</v>
      </c>
      <c r="D961" t="s">
        <v>153</v>
      </c>
      <c r="E961" t="s">
        <v>61</v>
      </c>
      <c r="F961">
        <v>2003</v>
      </c>
      <c r="G961" t="s">
        <v>154</v>
      </c>
      <c r="H961">
        <v>43</v>
      </c>
      <c r="I961">
        <v>4</v>
      </c>
      <c r="J961">
        <v>511</v>
      </c>
      <c r="K961">
        <v>518</v>
      </c>
      <c r="L961" t="s">
        <v>7975</v>
      </c>
      <c r="M961" t="s">
        <v>7976</v>
      </c>
      <c r="N961" t="s">
        <v>7977</v>
      </c>
      <c r="O961" t="s">
        <v>61</v>
      </c>
      <c r="Q961" t="s">
        <v>61</v>
      </c>
      <c r="R961" t="s">
        <v>61</v>
      </c>
      <c r="S961" t="s">
        <v>61</v>
      </c>
      <c r="T961" t="s">
        <v>61</v>
      </c>
      <c r="X961" t="s">
        <v>61</v>
      </c>
      <c r="Y961" t="s">
        <v>632</v>
      </c>
      <c r="Z961" t="s">
        <v>61</v>
      </c>
      <c r="AA961" t="s">
        <v>7978</v>
      </c>
      <c r="AB961">
        <v>12952316</v>
      </c>
      <c r="AC961" t="s">
        <v>67</v>
      </c>
      <c r="AD961" t="s">
        <v>61</v>
      </c>
      <c r="AE961" t="s">
        <v>61</v>
      </c>
      <c r="AF961" t="s">
        <v>61</v>
      </c>
      <c r="AG961" t="s">
        <v>7979</v>
      </c>
      <c r="AH961" t="s">
        <v>61</v>
      </c>
      <c r="AI961" t="s">
        <v>61</v>
      </c>
      <c r="AJ961" t="s">
        <v>61</v>
      </c>
      <c r="AK961" t="s">
        <v>61</v>
      </c>
      <c r="AL961" t="s">
        <v>61</v>
      </c>
      <c r="AM961" t="s">
        <v>7980</v>
      </c>
      <c r="AN961" t="s">
        <v>61</v>
      </c>
      <c r="AO961" t="s">
        <v>61</v>
      </c>
      <c r="AP961" t="s">
        <v>61</v>
      </c>
      <c r="AQ961" t="s">
        <v>61</v>
      </c>
      <c r="AR961" t="s">
        <v>61</v>
      </c>
      <c r="AS961" t="s">
        <v>61</v>
      </c>
      <c r="AT961" t="s">
        <v>61</v>
      </c>
      <c r="AU961" t="s">
        <v>61</v>
      </c>
      <c r="AV961" t="s">
        <v>61</v>
      </c>
      <c r="AW961" t="s">
        <v>61</v>
      </c>
      <c r="AX961" t="s">
        <v>61</v>
      </c>
      <c r="AY961" t="s">
        <v>61</v>
      </c>
      <c r="AZ961" t="s">
        <v>61</v>
      </c>
      <c r="BA961" t="s">
        <v>61</v>
      </c>
      <c r="BB961" t="s">
        <v>61</v>
      </c>
      <c r="BC961" t="s">
        <v>61</v>
      </c>
      <c r="BD961" t="s">
        <v>61</v>
      </c>
      <c r="BE961" t="s">
        <v>61</v>
      </c>
      <c r="BF961" t="s">
        <v>61</v>
      </c>
    </row>
    <row r="962" spans="1:58">
      <c r="A962" t="s">
        <v>58</v>
      </c>
      <c r="B962" t="s">
        <v>7981</v>
      </c>
      <c r="C962" t="s">
        <v>7982</v>
      </c>
      <c r="D962" t="s">
        <v>2716</v>
      </c>
      <c r="E962" t="s">
        <v>61</v>
      </c>
      <c r="F962">
        <v>2005</v>
      </c>
      <c r="G962" t="s">
        <v>2798</v>
      </c>
      <c r="H962">
        <v>8</v>
      </c>
      <c r="I962">
        <v>1</v>
      </c>
      <c r="J962">
        <v>24</v>
      </c>
      <c r="K962">
        <v>31</v>
      </c>
      <c r="L962" t="s">
        <v>7983</v>
      </c>
      <c r="M962" t="s">
        <v>7984</v>
      </c>
      <c r="N962" t="s">
        <v>7985</v>
      </c>
      <c r="O962" t="s">
        <v>61</v>
      </c>
      <c r="Q962" t="s">
        <v>61</v>
      </c>
      <c r="R962" t="s">
        <v>61</v>
      </c>
      <c r="S962" t="s">
        <v>61</v>
      </c>
      <c r="T962" t="s">
        <v>61</v>
      </c>
      <c r="X962" t="s">
        <v>61</v>
      </c>
      <c r="Y962" t="s">
        <v>2721</v>
      </c>
      <c r="Z962" t="s">
        <v>61</v>
      </c>
      <c r="AA962" t="s">
        <v>7986</v>
      </c>
      <c r="AB962">
        <v>15841891</v>
      </c>
      <c r="AC962" t="s">
        <v>67</v>
      </c>
      <c r="AD962" t="s">
        <v>61</v>
      </c>
      <c r="AE962" t="s">
        <v>61</v>
      </c>
      <c r="AF962" t="s">
        <v>61</v>
      </c>
      <c r="AG962" t="s">
        <v>7987</v>
      </c>
      <c r="AH962" t="s">
        <v>61</v>
      </c>
      <c r="AI962" t="s">
        <v>61</v>
      </c>
      <c r="AJ962" t="s">
        <v>61</v>
      </c>
      <c r="AK962" t="s">
        <v>61</v>
      </c>
      <c r="AL962" t="s">
        <v>61</v>
      </c>
      <c r="AM962" t="s">
        <v>7988</v>
      </c>
      <c r="AN962" t="s">
        <v>61</v>
      </c>
      <c r="AO962" t="s">
        <v>61</v>
      </c>
      <c r="AP962" t="s">
        <v>61</v>
      </c>
      <c r="AQ962" t="s">
        <v>61</v>
      </c>
      <c r="AR962" t="s">
        <v>61</v>
      </c>
      <c r="AS962" t="s">
        <v>61</v>
      </c>
      <c r="AT962" t="s">
        <v>61</v>
      </c>
      <c r="AU962" t="s">
        <v>61</v>
      </c>
      <c r="AV962" t="s">
        <v>61</v>
      </c>
      <c r="AW962" t="s">
        <v>61</v>
      </c>
      <c r="AX962" t="s">
        <v>61</v>
      </c>
      <c r="AY962" t="s">
        <v>61</v>
      </c>
      <c r="AZ962" t="s">
        <v>61</v>
      </c>
      <c r="BA962" t="s">
        <v>61</v>
      </c>
      <c r="BB962" t="s">
        <v>61</v>
      </c>
      <c r="BC962" t="s">
        <v>61</v>
      </c>
      <c r="BD962" t="s">
        <v>61</v>
      </c>
      <c r="BE962" t="s">
        <v>61</v>
      </c>
      <c r="BF962" t="s">
        <v>61</v>
      </c>
    </row>
    <row r="963" spans="1:58">
      <c r="A963" t="s">
        <v>58</v>
      </c>
      <c r="B963" t="s">
        <v>7989</v>
      </c>
      <c r="C963" t="s">
        <v>7990</v>
      </c>
      <c r="D963" t="s">
        <v>7991</v>
      </c>
      <c r="E963" t="s">
        <v>61</v>
      </c>
      <c r="F963">
        <v>1995</v>
      </c>
      <c r="G963" t="s">
        <v>119</v>
      </c>
      <c r="H963">
        <v>44</v>
      </c>
      <c r="I963">
        <v>6</v>
      </c>
      <c r="J963">
        <v>453</v>
      </c>
      <c r="K963">
        <v>459</v>
      </c>
      <c r="L963" t="s">
        <v>7992</v>
      </c>
      <c r="M963" t="s">
        <v>7993</v>
      </c>
      <c r="N963" t="s">
        <v>7994</v>
      </c>
      <c r="O963" t="s">
        <v>61</v>
      </c>
      <c r="Q963" t="s">
        <v>61</v>
      </c>
      <c r="R963" t="s">
        <v>61</v>
      </c>
      <c r="S963" t="s">
        <v>61</v>
      </c>
      <c r="T963" t="s">
        <v>61</v>
      </c>
      <c r="X963" t="s">
        <v>61</v>
      </c>
      <c r="Y963" t="s">
        <v>7995</v>
      </c>
      <c r="Z963" t="s">
        <v>61</v>
      </c>
      <c r="AA963" t="s">
        <v>7996</v>
      </c>
      <c r="AB963">
        <v>7596239</v>
      </c>
      <c r="AC963" t="s">
        <v>67</v>
      </c>
      <c r="AD963" t="s">
        <v>61</v>
      </c>
      <c r="AE963" t="s">
        <v>61</v>
      </c>
      <c r="AF963" t="s">
        <v>61</v>
      </c>
      <c r="AG963" t="s">
        <v>7997</v>
      </c>
      <c r="AH963" t="s">
        <v>61</v>
      </c>
      <c r="AI963" t="s">
        <v>61</v>
      </c>
      <c r="AJ963" t="s">
        <v>61</v>
      </c>
      <c r="AK963" t="s">
        <v>61</v>
      </c>
      <c r="AL963" t="s">
        <v>61</v>
      </c>
      <c r="AM963" t="s">
        <v>7998</v>
      </c>
      <c r="AN963" t="s">
        <v>61</v>
      </c>
      <c r="AO963" t="s">
        <v>61</v>
      </c>
      <c r="AP963" t="s">
        <v>61</v>
      </c>
      <c r="AQ963" t="s">
        <v>61</v>
      </c>
      <c r="AR963" t="s">
        <v>61</v>
      </c>
      <c r="AS963" t="s">
        <v>61</v>
      </c>
      <c r="AT963" t="s">
        <v>61</v>
      </c>
      <c r="AU963" t="s">
        <v>61</v>
      </c>
      <c r="AV963" t="s">
        <v>61</v>
      </c>
      <c r="AW963" t="s">
        <v>61</v>
      </c>
      <c r="AX963" t="s">
        <v>61</v>
      </c>
      <c r="AY963" t="s">
        <v>61</v>
      </c>
      <c r="AZ963" t="s">
        <v>61</v>
      </c>
      <c r="BA963" t="s">
        <v>61</v>
      </c>
      <c r="BB963" t="s">
        <v>61</v>
      </c>
      <c r="BC963" t="s">
        <v>61</v>
      </c>
      <c r="BD963" t="s">
        <v>61</v>
      </c>
      <c r="BE963" t="s">
        <v>61</v>
      </c>
      <c r="BF963" t="s">
        <v>61</v>
      </c>
    </row>
    <row r="964" spans="1:58">
      <c r="A964" t="s">
        <v>58</v>
      </c>
      <c r="B964" t="s">
        <v>7999</v>
      </c>
      <c r="C964" t="s">
        <v>8000</v>
      </c>
      <c r="D964" t="s">
        <v>8001</v>
      </c>
      <c r="E964" t="s">
        <v>8002</v>
      </c>
      <c r="F964">
        <v>1983</v>
      </c>
      <c r="G964" t="s">
        <v>1152</v>
      </c>
      <c r="H964">
        <v>39</v>
      </c>
      <c r="I964">
        <v>5</v>
      </c>
      <c r="J964">
        <v>791</v>
      </c>
      <c r="K964">
        <v>803</v>
      </c>
      <c r="L964" t="s">
        <v>8003</v>
      </c>
      <c r="M964" t="s">
        <v>8004</v>
      </c>
      <c r="N964" t="s">
        <v>8005</v>
      </c>
      <c r="O964" t="s">
        <v>61</v>
      </c>
      <c r="Q964" t="s">
        <v>61</v>
      </c>
      <c r="R964" t="s">
        <v>61</v>
      </c>
      <c r="S964" t="s">
        <v>61</v>
      </c>
      <c r="T964" t="s">
        <v>61</v>
      </c>
      <c r="X964" t="s">
        <v>61</v>
      </c>
      <c r="Y964" t="s">
        <v>8006</v>
      </c>
      <c r="Z964" t="s">
        <v>61</v>
      </c>
      <c r="AA964" t="s">
        <v>61</v>
      </c>
      <c r="AB964">
        <v>6630559</v>
      </c>
      <c r="AC964" t="s">
        <v>67</v>
      </c>
      <c r="AD964" t="s">
        <v>61</v>
      </c>
      <c r="AE964" t="s">
        <v>61</v>
      </c>
      <c r="AF964" t="s">
        <v>61</v>
      </c>
      <c r="AG964" t="s">
        <v>8007</v>
      </c>
      <c r="AH964" t="s">
        <v>61</v>
      </c>
      <c r="AI964" t="s">
        <v>61</v>
      </c>
      <c r="AJ964" t="s">
        <v>61</v>
      </c>
      <c r="AK964" t="s">
        <v>61</v>
      </c>
      <c r="AL964" t="s">
        <v>61</v>
      </c>
      <c r="AM964" t="s">
        <v>8008</v>
      </c>
      <c r="AN964" t="s">
        <v>61</v>
      </c>
      <c r="AO964" t="s">
        <v>61</v>
      </c>
      <c r="AP964" t="s">
        <v>61</v>
      </c>
      <c r="AQ964" t="s">
        <v>61</v>
      </c>
      <c r="AR964" t="s">
        <v>61</v>
      </c>
      <c r="AS964" t="s">
        <v>61</v>
      </c>
      <c r="AT964" t="s">
        <v>61</v>
      </c>
      <c r="AU964" t="s">
        <v>61</v>
      </c>
      <c r="AV964" t="s">
        <v>61</v>
      </c>
      <c r="AW964" t="s">
        <v>61</v>
      </c>
      <c r="AX964" t="s">
        <v>61</v>
      </c>
      <c r="AY964" t="s">
        <v>61</v>
      </c>
      <c r="AZ964" t="s">
        <v>61</v>
      </c>
      <c r="BA964" t="s">
        <v>61</v>
      </c>
      <c r="BB964" t="s">
        <v>61</v>
      </c>
      <c r="BC964" t="s">
        <v>61</v>
      </c>
      <c r="BD964" t="s">
        <v>61</v>
      </c>
      <c r="BE964" t="s">
        <v>61</v>
      </c>
      <c r="BF964" t="s">
        <v>61</v>
      </c>
    </row>
    <row r="965" spans="1:58">
      <c r="A965" t="s">
        <v>58</v>
      </c>
      <c r="B965" t="s">
        <v>8009</v>
      </c>
      <c r="C965" t="s">
        <v>8010</v>
      </c>
      <c r="D965" t="s">
        <v>8011</v>
      </c>
      <c r="E965" t="s">
        <v>8012</v>
      </c>
      <c r="F965">
        <v>2000</v>
      </c>
      <c r="G965" t="s">
        <v>851</v>
      </c>
      <c r="H965">
        <v>49</v>
      </c>
      <c r="I965">
        <v>11</v>
      </c>
      <c r="J965">
        <v>1025</v>
      </c>
      <c r="K965">
        <v>1029</v>
      </c>
      <c r="L965" t="s">
        <v>8013</v>
      </c>
      <c r="M965" t="s">
        <v>8014</v>
      </c>
      <c r="N965" t="s">
        <v>8015</v>
      </c>
      <c r="O965" t="s">
        <v>61</v>
      </c>
      <c r="Q965" t="s">
        <v>61</v>
      </c>
      <c r="R965" t="s">
        <v>61</v>
      </c>
      <c r="S965" t="s">
        <v>61</v>
      </c>
      <c r="T965" t="s">
        <v>61</v>
      </c>
      <c r="X965" t="s">
        <v>61</v>
      </c>
      <c r="Y965" t="s">
        <v>8016</v>
      </c>
      <c r="Z965" t="s">
        <v>61</v>
      </c>
      <c r="AA965" t="s">
        <v>8017</v>
      </c>
      <c r="AB965">
        <v>11093569</v>
      </c>
      <c r="AC965" t="s">
        <v>67</v>
      </c>
      <c r="AD965" t="s">
        <v>61</v>
      </c>
      <c r="AE965" t="s">
        <v>61</v>
      </c>
      <c r="AF965" t="s">
        <v>61</v>
      </c>
      <c r="AG965" t="s">
        <v>8018</v>
      </c>
      <c r="AH965" t="s">
        <v>61</v>
      </c>
      <c r="AI965" t="s">
        <v>61</v>
      </c>
      <c r="AJ965" t="s">
        <v>61</v>
      </c>
      <c r="AK965" t="s">
        <v>61</v>
      </c>
      <c r="AL965" t="s">
        <v>61</v>
      </c>
      <c r="AM965" t="s">
        <v>8019</v>
      </c>
      <c r="AN965" t="s">
        <v>61</v>
      </c>
      <c r="AO965" t="s">
        <v>61</v>
      </c>
      <c r="AP965" t="s">
        <v>61</v>
      </c>
      <c r="AQ965" t="s">
        <v>61</v>
      </c>
      <c r="AR965" t="s">
        <v>61</v>
      </c>
      <c r="AS965" t="s">
        <v>61</v>
      </c>
      <c r="AT965" t="s">
        <v>61</v>
      </c>
      <c r="AU965" t="s">
        <v>61</v>
      </c>
      <c r="AV965" t="s">
        <v>61</v>
      </c>
      <c r="AW965" t="s">
        <v>61</v>
      </c>
      <c r="AX965" t="s">
        <v>61</v>
      </c>
      <c r="AY965" t="s">
        <v>61</v>
      </c>
      <c r="AZ965" t="s">
        <v>61</v>
      </c>
      <c r="BA965" t="s">
        <v>61</v>
      </c>
      <c r="BB965" t="s">
        <v>61</v>
      </c>
      <c r="BC965" t="s">
        <v>61</v>
      </c>
      <c r="BD965" t="s">
        <v>61</v>
      </c>
      <c r="BE965" t="s">
        <v>61</v>
      </c>
      <c r="BF965" t="s">
        <v>61</v>
      </c>
    </row>
    <row r="966" spans="1:58">
      <c r="A966" t="s">
        <v>58</v>
      </c>
      <c r="B966" t="s">
        <v>8020</v>
      </c>
      <c r="C966" t="s">
        <v>8021</v>
      </c>
      <c r="D966" t="s">
        <v>862</v>
      </c>
      <c r="E966" t="s">
        <v>61</v>
      </c>
      <c r="F966">
        <v>2015</v>
      </c>
      <c r="G966" t="s">
        <v>61</v>
      </c>
      <c r="H966">
        <v>30</v>
      </c>
      <c r="I966">
        <v>11</v>
      </c>
      <c r="J966">
        <v>664</v>
      </c>
      <c r="K966">
        <v>670</v>
      </c>
      <c r="L966" t="s">
        <v>61</v>
      </c>
      <c r="M966" t="s">
        <v>8022</v>
      </c>
      <c r="N966" t="s">
        <v>8023</v>
      </c>
      <c r="O966" t="s">
        <v>61</v>
      </c>
      <c r="Q966" t="s">
        <v>61</v>
      </c>
      <c r="R966" t="s">
        <v>61</v>
      </c>
      <c r="S966" t="s">
        <v>61</v>
      </c>
      <c r="T966" t="s">
        <v>61</v>
      </c>
      <c r="X966" t="s">
        <v>61</v>
      </c>
      <c r="Y966" t="s">
        <v>866</v>
      </c>
      <c r="Z966" t="s">
        <v>61</v>
      </c>
      <c r="AA966" t="s">
        <v>8024</v>
      </c>
      <c r="AB966">
        <v>26629802</v>
      </c>
      <c r="AC966" t="s">
        <v>67</v>
      </c>
      <c r="AD966" t="s">
        <v>61</v>
      </c>
      <c r="AE966" t="s">
        <v>61</v>
      </c>
      <c r="AF966" t="s">
        <v>61</v>
      </c>
      <c r="AG966" t="s">
        <v>8025</v>
      </c>
      <c r="AH966" t="s">
        <v>61</v>
      </c>
      <c r="AI966" t="s">
        <v>8026</v>
      </c>
      <c r="AJ966" t="s">
        <v>61</v>
      </c>
      <c r="AK966" t="s">
        <v>61</v>
      </c>
      <c r="AL966" t="s">
        <v>61</v>
      </c>
      <c r="AM966" t="s">
        <v>8027</v>
      </c>
      <c r="AN966" t="s">
        <v>61</v>
      </c>
      <c r="AO966" t="s">
        <v>61</v>
      </c>
      <c r="AP966" t="s">
        <v>61</v>
      </c>
      <c r="AQ966" t="s">
        <v>61</v>
      </c>
      <c r="AR966" t="s">
        <v>61</v>
      </c>
      <c r="AS966" t="s">
        <v>61</v>
      </c>
      <c r="AT966" t="s">
        <v>61</v>
      </c>
      <c r="AU966" t="s">
        <v>61</v>
      </c>
      <c r="AV966" t="s">
        <v>61</v>
      </c>
      <c r="AW966" t="s">
        <v>61</v>
      </c>
      <c r="AX966" t="s">
        <v>61</v>
      </c>
      <c r="AY966" t="s">
        <v>61</v>
      </c>
      <c r="AZ966" t="s">
        <v>61</v>
      </c>
      <c r="BA966" t="s">
        <v>61</v>
      </c>
      <c r="BB966" t="s">
        <v>61</v>
      </c>
      <c r="BC966" t="s">
        <v>61</v>
      </c>
      <c r="BD966" t="s">
        <v>61</v>
      </c>
      <c r="BE966" t="s">
        <v>61</v>
      </c>
      <c r="BF966" t="s">
        <v>61</v>
      </c>
    </row>
    <row r="967" spans="1:58">
      <c r="A967" t="s">
        <v>58</v>
      </c>
      <c r="B967" t="s">
        <v>8028</v>
      </c>
      <c r="C967" t="s">
        <v>8029</v>
      </c>
      <c r="D967" t="s">
        <v>428</v>
      </c>
      <c r="E967" t="s">
        <v>61</v>
      </c>
      <c r="F967">
        <v>2015</v>
      </c>
      <c r="G967">
        <v>15</v>
      </c>
      <c r="H967">
        <v>28</v>
      </c>
      <c r="I967">
        <v>2</v>
      </c>
      <c r="J967">
        <v>166</v>
      </c>
      <c r="K967">
        <v>174</v>
      </c>
      <c r="L967" t="s">
        <v>8030</v>
      </c>
      <c r="M967" t="s">
        <v>8031</v>
      </c>
      <c r="N967" t="s">
        <v>8032</v>
      </c>
      <c r="O967" t="s">
        <v>61</v>
      </c>
      <c r="Q967" t="s">
        <v>61</v>
      </c>
      <c r="R967" t="s">
        <v>61</v>
      </c>
      <c r="S967" t="s">
        <v>61</v>
      </c>
      <c r="T967" t="s">
        <v>61</v>
      </c>
      <c r="X967" t="s">
        <v>61</v>
      </c>
      <c r="Y967" t="s">
        <v>8033</v>
      </c>
      <c r="Z967" t="s">
        <v>61</v>
      </c>
      <c r="AA967" t="s">
        <v>61</v>
      </c>
      <c r="AB967">
        <v>2015924077</v>
      </c>
      <c r="AC967" t="s">
        <v>67</v>
      </c>
      <c r="AD967" t="s">
        <v>61</v>
      </c>
      <c r="AE967" t="s">
        <v>61</v>
      </c>
      <c r="AF967" t="s">
        <v>61</v>
      </c>
      <c r="AG967" t="s">
        <v>8034</v>
      </c>
      <c r="AH967" t="s">
        <v>61</v>
      </c>
      <c r="AI967" t="s">
        <v>61</v>
      </c>
      <c r="AJ967" t="s">
        <v>61</v>
      </c>
      <c r="AK967" t="s">
        <v>61</v>
      </c>
      <c r="AL967" t="s">
        <v>61</v>
      </c>
      <c r="AM967" t="s">
        <v>8035</v>
      </c>
      <c r="AN967" t="s">
        <v>61</v>
      </c>
      <c r="AO967" t="s">
        <v>61</v>
      </c>
      <c r="AP967" t="s">
        <v>61</v>
      </c>
      <c r="AQ967" t="s">
        <v>61</v>
      </c>
      <c r="AR967" t="s">
        <v>61</v>
      </c>
      <c r="AS967" t="s">
        <v>61</v>
      </c>
      <c r="AT967" t="s">
        <v>61</v>
      </c>
      <c r="AU967" t="s">
        <v>61</v>
      </c>
      <c r="AV967" t="s">
        <v>61</v>
      </c>
      <c r="AW967" t="s">
        <v>61</v>
      </c>
      <c r="AX967" t="s">
        <v>61</v>
      </c>
      <c r="AY967" t="s">
        <v>61</v>
      </c>
      <c r="AZ967" t="s">
        <v>61</v>
      </c>
      <c r="BA967" t="s">
        <v>61</v>
      </c>
      <c r="BB967" t="s">
        <v>61</v>
      </c>
      <c r="BC967" t="s">
        <v>61</v>
      </c>
      <c r="BD967" t="s">
        <v>61</v>
      </c>
      <c r="BE967" t="s">
        <v>61</v>
      </c>
      <c r="BF967" t="s">
        <v>61</v>
      </c>
    </row>
    <row r="968" spans="1:58">
      <c r="A968" t="s">
        <v>58</v>
      </c>
      <c r="B968" t="s">
        <v>8036</v>
      </c>
      <c r="C968" t="s">
        <v>8037</v>
      </c>
      <c r="D968" t="s">
        <v>428</v>
      </c>
      <c r="E968" t="s">
        <v>61</v>
      </c>
      <c r="F968">
        <v>2010</v>
      </c>
      <c r="G968" t="s">
        <v>429</v>
      </c>
      <c r="H968">
        <v>23</v>
      </c>
      <c r="I968">
        <v>2</v>
      </c>
      <c r="J968">
        <v>179</v>
      </c>
      <c r="K968" t="s">
        <v>61</v>
      </c>
      <c r="L968" t="s">
        <v>8038</v>
      </c>
      <c r="M968" t="s">
        <v>8039</v>
      </c>
      <c r="N968" t="s">
        <v>8040</v>
      </c>
      <c r="O968" t="s">
        <v>61</v>
      </c>
      <c r="Q968" t="s">
        <v>61</v>
      </c>
      <c r="R968" t="s">
        <v>61</v>
      </c>
      <c r="S968" t="s">
        <v>61</v>
      </c>
      <c r="T968" t="s">
        <v>61</v>
      </c>
      <c r="X968" t="s">
        <v>61</v>
      </c>
      <c r="Y968" t="s">
        <v>433</v>
      </c>
      <c r="Z968" t="s">
        <v>61</v>
      </c>
      <c r="AA968" t="s">
        <v>61</v>
      </c>
      <c r="AB968" t="s">
        <v>61</v>
      </c>
      <c r="AC968" t="s">
        <v>67</v>
      </c>
      <c r="AD968" t="s">
        <v>61</v>
      </c>
      <c r="AE968" t="s">
        <v>61</v>
      </c>
      <c r="AF968" t="s">
        <v>61</v>
      </c>
      <c r="AG968" t="s">
        <v>61</v>
      </c>
      <c r="AH968" t="s">
        <v>61</v>
      </c>
      <c r="AI968" t="s">
        <v>61</v>
      </c>
      <c r="AJ968" t="s">
        <v>61</v>
      </c>
      <c r="AK968" t="s">
        <v>61</v>
      </c>
      <c r="AL968" t="s">
        <v>61</v>
      </c>
      <c r="AM968" t="s">
        <v>8037</v>
      </c>
      <c r="AN968" t="s">
        <v>61</v>
      </c>
      <c r="AO968" t="s">
        <v>61</v>
      </c>
      <c r="AP968" t="s">
        <v>61</v>
      </c>
      <c r="AQ968" t="s">
        <v>61</v>
      </c>
      <c r="AR968" t="s">
        <v>61</v>
      </c>
      <c r="AS968" t="s">
        <v>61</v>
      </c>
      <c r="AT968" t="s">
        <v>61</v>
      </c>
      <c r="AU968" t="s">
        <v>61</v>
      </c>
      <c r="AV968" t="s">
        <v>61</v>
      </c>
      <c r="AW968" t="s">
        <v>61</v>
      </c>
      <c r="AX968" t="s">
        <v>61</v>
      </c>
      <c r="AY968" t="s">
        <v>61</v>
      </c>
      <c r="AZ968" t="s">
        <v>61</v>
      </c>
      <c r="BA968" t="s">
        <v>61</v>
      </c>
      <c r="BB968" t="s">
        <v>61</v>
      </c>
      <c r="BC968" t="s">
        <v>61</v>
      </c>
      <c r="BD968" t="s">
        <v>61</v>
      </c>
      <c r="BE968" t="s">
        <v>61</v>
      </c>
      <c r="BF968" t="s">
        <v>61</v>
      </c>
    </row>
    <row r="969" spans="1:58">
      <c r="A969" t="s">
        <v>58</v>
      </c>
      <c r="B969" t="s">
        <v>8041</v>
      </c>
      <c r="C969" t="s">
        <v>8042</v>
      </c>
      <c r="D969" t="s">
        <v>1739</v>
      </c>
      <c r="E969" t="s">
        <v>1740</v>
      </c>
      <c r="F969">
        <v>1976</v>
      </c>
      <c r="G969" t="s">
        <v>418</v>
      </c>
      <c r="H969">
        <v>33</v>
      </c>
      <c r="I969">
        <v>8</v>
      </c>
      <c r="J969">
        <v>792</v>
      </c>
      <c r="K969">
        <v>795</v>
      </c>
      <c r="L969" t="s">
        <v>8043</v>
      </c>
      <c r="M969" t="s">
        <v>8044</v>
      </c>
      <c r="N969" t="s">
        <v>8045</v>
      </c>
      <c r="O969" t="s">
        <v>61</v>
      </c>
      <c r="Q969" t="s">
        <v>61</v>
      </c>
      <c r="R969" t="s">
        <v>61</v>
      </c>
      <c r="S969" t="s">
        <v>61</v>
      </c>
      <c r="T969" t="s">
        <v>61</v>
      </c>
      <c r="X969" t="s">
        <v>61</v>
      </c>
      <c r="Y969" s="2">
        <v>2698811</v>
      </c>
      <c r="Z969" t="s">
        <v>61</v>
      </c>
      <c r="AA969" t="s">
        <v>61</v>
      </c>
      <c r="AB969">
        <v>949062</v>
      </c>
      <c r="AC969" t="s">
        <v>67</v>
      </c>
      <c r="AD969" t="s">
        <v>61</v>
      </c>
      <c r="AE969" t="s">
        <v>61</v>
      </c>
      <c r="AF969" t="s">
        <v>61</v>
      </c>
      <c r="AG969" t="s">
        <v>8046</v>
      </c>
      <c r="AH969" t="s">
        <v>61</v>
      </c>
      <c r="AI969" t="s">
        <v>61</v>
      </c>
      <c r="AJ969" t="s">
        <v>61</v>
      </c>
      <c r="AK969" t="s">
        <v>61</v>
      </c>
      <c r="AL969" t="s">
        <v>61</v>
      </c>
      <c r="AM969" t="s">
        <v>8047</v>
      </c>
      <c r="AN969" t="s">
        <v>61</v>
      </c>
      <c r="AO969" t="s">
        <v>61</v>
      </c>
      <c r="AP969" t="s">
        <v>61</v>
      </c>
      <c r="AQ969" t="s">
        <v>61</v>
      </c>
      <c r="AR969" t="s">
        <v>61</v>
      </c>
      <c r="AS969" t="s">
        <v>61</v>
      </c>
      <c r="AT969" t="s">
        <v>61</v>
      </c>
      <c r="AU969" t="s">
        <v>61</v>
      </c>
      <c r="AV969" t="s">
        <v>61</v>
      </c>
      <c r="AW969" t="s">
        <v>61</v>
      </c>
      <c r="AX969" t="s">
        <v>61</v>
      </c>
      <c r="AY969" t="s">
        <v>61</v>
      </c>
      <c r="AZ969" t="s">
        <v>61</v>
      </c>
      <c r="BA969" t="s">
        <v>61</v>
      </c>
      <c r="BB969" t="s">
        <v>61</v>
      </c>
      <c r="BC969" t="s">
        <v>61</v>
      </c>
      <c r="BD969" t="s">
        <v>61</v>
      </c>
      <c r="BE969" t="s">
        <v>61</v>
      </c>
      <c r="BF969" t="s">
        <v>61</v>
      </c>
    </row>
    <row r="970" spans="1:58">
      <c r="A970" t="s">
        <v>58</v>
      </c>
      <c r="B970" t="s">
        <v>8048</v>
      </c>
      <c r="C970" t="s">
        <v>8049</v>
      </c>
      <c r="D970" t="s">
        <v>8050</v>
      </c>
      <c r="E970" t="s">
        <v>61</v>
      </c>
      <c r="F970">
        <v>2013</v>
      </c>
      <c r="G970" t="s">
        <v>4981</v>
      </c>
      <c r="H970">
        <v>10</v>
      </c>
      <c r="I970">
        <v>1</v>
      </c>
      <c r="J970">
        <v>204</v>
      </c>
      <c r="K970">
        <v>229</v>
      </c>
      <c r="L970" t="s">
        <v>8051</v>
      </c>
      <c r="M970" t="s">
        <v>8052</v>
      </c>
      <c r="N970" t="s">
        <v>8053</v>
      </c>
      <c r="O970" t="s">
        <v>61</v>
      </c>
      <c r="Q970" t="s">
        <v>61</v>
      </c>
      <c r="R970" t="s">
        <v>61</v>
      </c>
      <c r="S970" t="s">
        <v>61</v>
      </c>
      <c r="T970" t="s">
        <v>61</v>
      </c>
      <c r="X970" t="s">
        <v>61</v>
      </c>
      <c r="Y970" t="s">
        <v>8054</v>
      </c>
      <c r="Z970" t="s">
        <v>61</v>
      </c>
      <c r="AA970" t="s">
        <v>61</v>
      </c>
      <c r="AB970">
        <v>2013064701</v>
      </c>
      <c r="AC970" t="s">
        <v>67</v>
      </c>
      <c r="AD970" t="s">
        <v>61</v>
      </c>
      <c r="AE970" t="s">
        <v>61</v>
      </c>
      <c r="AF970" t="s">
        <v>61</v>
      </c>
      <c r="AG970" t="s">
        <v>8055</v>
      </c>
      <c r="AH970" t="s">
        <v>61</v>
      </c>
      <c r="AI970" t="s">
        <v>61</v>
      </c>
      <c r="AJ970" t="s">
        <v>61</v>
      </c>
      <c r="AK970" t="s">
        <v>61</v>
      </c>
      <c r="AL970" t="s">
        <v>61</v>
      </c>
      <c r="AM970" t="s">
        <v>8056</v>
      </c>
      <c r="AN970" t="s">
        <v>61</v>
      </c>
      <c r="AO970" t="s">
        <v>61</v>
      </c>
      <c r="AP970" t="s">
        <v>61</v>
      </c>
      <c r="AQ970" t="s">
        <v>61</v>
      </c>
      <c r="AR970" t="s">
        <v>61</v>
      </c>
      <c r="AS970" t="s">
        <v>61</v>
      </c>
      <c r="AT970" t="s">
        <v>61</v>
      </c>
      <c r="AU970" t="s">
        <v>61</v>
      </c>
      <c r="AV970" t="s">
        <v>61</v>
      </c>
      <c r="AW970" t="s">
        <v>61</v>
      </c>
      <c r="AX970" t="s">
        <v>61</v>
      </c>
      <c r="AY970" t="s">
        <v>61</v>
      </c>
      <c r="AZ970" t="s">
        <v>61</v>
      </c>
      <c r="BA970" t="s">
        <v>61</v>
      </c>
      <c r="BB970" t="s">
        <v>61</v>
      </c>
      <c r="BC970" t="s">
        <v>61</v>
      </c>
      <c r="BD970" t="s">
        <v>61</v>
      </c>
      <c r="BE970" t="s">
        <v>61</v>
      </c>
      <c r="BF970" t="s">
        <v>61</v>
      </c>
    </row>
    <row r="971" spans="1:58">
      <c r="A971" t="s">
        <v>58</v>
      </c>
      <c r="B971" t="s">
        <v>8057</v>
      </c>
      <c r="C971" t="s">
        <v>8058</v>
      </c>
      <c r="D971" t="s">
        <v>60</v>
      </c>
      <c r="E971" t="s">
        <v>61</v>
      </c>
      <c r="F971">
        <v>1997</v>
      </c>
      <c r="G971" s="1">
        <v>42430</v>
      </c>
      <c r="H971">
        <v>54</v>
      </c>
      <c r="I971">
        <v>5</v>
      </c>
      <c r="J971">
        <v>545</v>
      </c>
      <c r="K971">
        <v>549</v>
      </c>
      <c r="L971" t="s">
        <v>8059</v>
      </c>
      <c r="M971" t="s">
        <v>8060</v>
      </c>
      <c r="N971" t="s">
        <v>8061</v>
      </c>
      <c r="O971" t="s">
        <v>61</v>
      </c>
      <c r="Q971" t="s">
        <v>61</v>
      </c>
      <c r="R971" t="s">
        <v>61</v>
      </c>
      <c r="S971" t="s">
        <v>61</v>
      </c>
      <c r="T971" t="s">
        <v>61</v>
      </c>
      <c r="X971" t="s">
        <v>61</v>
      </c>
      <c r="Y971" t="s">
        <v>66</v>
      </c>
      <c r="Z971" t="s">
        <v>61</v>
      </c>
      <c r="AA971" t="s">
        <v>8062</v>
      </c>
      <c r="AB971">
        <v>9066863</v>
      </c>
      <c r="AC971" t="s">
        <v>67</v>
      </c>
      <c r="AD971" t="s">
        <v>61</v>
      </c>
      <c r="AE971" t="s">
        <v>61</v>
      </c>
      <c r="AF971" t="s">
        <v>61</v>
      </c>
      <c r="AG971" t="s">
        <v>8063</v>
      </c>
      <c r="AH971" t="s">
        <v>61</v>
      </c>
      <c r="AI971" t="s">
        <v>61</v>
      </c>
      <c r="AJ971" t="s">
        <v>61</v>
      </c>
      <c r="AK971" t="s">
        <v>61</v>
      </c>
      <c r="AL971" t="s">
        <v>61</v>
      </c>
      <c r="AM971" t="s">
        <v>8064</v>
      </c>
      <c r="AN971" t="s">
        <v>61</v>
      </c>
      <c r="AO971" t="s">
        <v>61</v>
      </c>
      <c r="AP971" t="s">
        <v>61</v>
      </c>
      <c r="AQ971" t="s">
        <v>61</v>
      </c>
      <c r="AR971" t="s">
        <v>61</v>
      </c>
      <c r="AS971" t="s">
        <v>61</v>
      </c>
      <c r="AT971" t="s">
        <v>61</v>
      </c>
      <c r="AU971" t="s">
        <v>61</v>
      </c>
      <c r="AV971" t="s">
        <v>61</v>
      </c>
      <c r="AW971" t="s">
        <v>61</v>
      </c>
      <c r="AX971" t="s">
        <v>61</v>
      </c>
      <c r="AY971" t="s">
        <v>61</v>
      </c>
      <c r="AZ971" t="s">
        <v>61</v>
      </c>
      <c r="BA971" t="s">
        <v>61</v>
      </c>
      <c r="BB971" t="s">
        <v>61</v>
      </c>
      <c r="BC971" t="s">
        <v>61</v>
      </c>
      <c r="BD971" t="s">
        <v>61</v>
      </c>
      <c r="BE971" t="s">
        <v>61</v>
      </c>
      <c r="BF971" t="s">
        <v>61</v>
      </c>
    </row>
    <row r="972" spans="1:58">
      <c r="A972" t="s">
        <v>58</v>
      </c>
      <c r="B972" t="s">
        <v>8065</v>
      </c>
      <c r="C972" t="s">
        <v>8066</v>
      </c>
      <c r="D972" t="s">
        <v>4265</v>
      </c>
      <c r="E972" t="s">
        <v>61</v>
      </c>
      <c r="F972">
        <v>2011</v>
      </c>
      <c r="G972" t="s">
        <v>1020</v>
      </c>
      <c r="H972">
        <v>20</v>
      </c>
      <c r="I972">
        <v>4</v>
      </c>
      <c r="J972">
        <v>392</v>
      </c>
      <c r="K972" t="s">
        <v>61</v>
      </c>
      <c r="L972" t="s">
        <v>8067</v>
      </c>
      <c r="M972" t="s">
        <v>8068</v>
      </c>
      <c r="N972" t="s">
        <v>8069</v>
      </c>
      <c r="O972" t="s">
        <v>61</v>
      </c>
      <c r="Q972" t="s">
        <v>61</v>
      </c>
      <c r="R972" t="s">
        <v>61</v>
      </c>
      <c r="S972" t="s">
        <v>61</v>
      </c>
      <c r="T972" t="s">
        <v>61</v>
      </c>
      <c r="X972" t="s">
        <v>61</v>
      </c>
      <c r="Y972" t="s">
        <v>4269</v>
      </c>
      <c r="Z972" t="s">
        <v>61</v>
      </c>
      <c r="AA972" t="s">
        <v>61</v>
      </c>
      <c r="AB972" t="s">
        <v>61</v>
      </c>
      <c r="AC972" t="s">
        <v>67</v>
      </c>
      <c r="AD972" t="s">
        <v>61</v>
      </c>
      <c r="AE972" t="s">
        <v>61</v>
      </c>
      <c r="AF972" t="s">
        <v>61</v>
      </c>
      <c r="AG972" t="s">
        <v>61</v>
      </c>
      <c r="AH972" t="s">
        <v>61</v>
      </c>
      <c r="AI972" t="s">
        <v>61</v>
      </c>
      <c r="AJ972" t="s">
        <v>61</v>
      </c>
      <c r="AK972" t="s">
        <v>61</v>
      </c>
      <c r="AL972" t="s">
        <v>61</v>
      </c>
      <c r="AM972" t="s">
        <v>8066</v>
      </c>
      <c r="AN972" t="s">
        <v>61</v>
      </c>
      <c r="AO972" t="s">
        <v>61</v>
      </c>
      <c r="AP972" t="s">
        <v>61</v>
      </c>
      <c r="AQ972" t="s">
        <v>61</v>
      </c>
      <c r="AR972" t="s">
        <v>61</v>
      </c>
      <c r="AS972" t="s">
        <v>61</v>
      </c>
      <c r="AT972" t="s">
        <v>61</v>
      </c>
      <c r="AU972" t="s">
        <v>61</v>
      </c>
      <c r="AV972" t="s">
        <v>61</v>
      </c>
      <c r="AW972" t="s">
        <v>61</v>
      </c>
      <c r="AX972" t="s">
        <v>61</v>
      </c>
      <c r="AY972" t="s">
        <v>61</v>
      </c>
      <c r="AZ972" t="s">
        <v>61</v>
      </c>
      <c r="BA972" t="s">
        <v>61</v>
      </c>
      <c r="BB972" t="s">
        <v>61</v>
      </c>
      <c r="BC972" t="s">
        <v>61</v>
      </c>
      <c r="BD972" t="s">
        <v>61</v>
      </c>
      <c r="BE972" t="s">
        <v>61</v>
      </c>
      <c r="BF972" t="s">
        <v>61</v>
      </c>
    </row>
    <row r="973" spans="1:58">
      <c r="A973" t="s">
        <v>58</v>
      </c>
      <c r="B973" t="s">
        <v>8070</v>
      </c>
      <c r="C973" t="s">
        <v>8071</v>
      </c>
      <c r="D973" t="s">
        <v>7098</v>
      </c>
      <c r="E973" t="s">
        <v>7098</v>
      </c>
      <c r="F973">
        <v>2014</v>
      </c>
      <c r="G973" t="s">
        <v>61</v>
      </c>
      <c r="H973">
        <v>76</v>
      </c>
      <c r="I973" t="s">
        <v>61</v>
      </c>
      <c r="J973">
        <v>528</v>
      </c>
      <c r="K973">
        <v>532</v>
      </c>
      <c r="L973" t="s">
        <v>8072</v>
      </c>
      <c r="M973" t="s">
        <v>8073</v>
      </c>
      <c r="N973" t="s">
        <v>8074</v>
      </c>
      <c r="O973" t="s">
        <v>61</v>
      </c>
      <c r="Q973" t="s">
        <v>61</v>
      </c>
      <c r="R973" t="s">
        <v>61</v>
      </c>
      <c r="S973" t="s">
        <v>61</v>
      </c>
      <c r="T973" t="s">
        <v>61</v>
      </c>
      <c r="X973" t="s">
        <v>61</v>
      </c>
      <c r="Y973" t="s">
        <v>8075</v>
      </c>
      <c r="Z973" t="s">
        <v>61</v>
      </c>
      <c r="AA973" t="s">
        <v>61</v>
      </c>
      <c r="AB973">
        <v>2013697403</v>
      </c>
      <c r="AC973" t="s">
        <v>67</v>
      </c>
      <c r="AD973" t="s">
        <v>61</v>
      </c>
      <c r="AE973" t="s">
        <v>61</v>
      </c>
      <c r="AF973" t="s">
        <v>61</v>
      </c>
      <c r="AG973" t="s">
        <v>8076</v>
      </c>
      <c r="AH973" t="s">
        <v>61</v>
      </c>
      <c r="AI973" t="s">
        <v>61</v>
      </c>
      <c r="AJ973" t="s">
        <v>61</v>
      </c>
      <c r="AK973" t="s">
        <v>61</v>
      </c>
      <c r="AL973" t="s">
        <v>61</v>
      </c>
      <c r="AM973" t="s">
        <v>8077</v>
      </c>
      <c r="AN973" t="s">
        <v>61</v>
      </c>
      <c r="AO973" t="s">
        <v>61</v>
      </c>
      <c r="AP973" t="s">
        <v>61</v>
      </c>
      <c r="AQ973" t="s">
        <v>61</v>
      </c>
      <c r="AR973" t="s">
        <v>61</v>
      </c>
      <c r="AS973" t="s">
        <v>61</v>
      </c>
      <c r="AT973" t="s">
        <v>61</v>
      </c>
      <c r="AU973" t="s">
        <v>61</v>
      </c>
      <c r="AV973" t="s">
        <v>61</v>
      </c>
      <c r="AW973" t="s">
        <v>61</v>
      </c>
      <c r="AX973" t="s">
        <v>61</v>
      </c>
      <c r="AY973" t="s">
        <v>61</v>
      </c>
      <c r="AZ973" t="s">
        <v>61</v>
      </c>
      <c r="BA973" t="s">
        <v>61</v>
      </c>
      <c r="BB973" t="s">
        <v>61</v>
      </c>
      <c r="BC973" t="s">
        <v>61</v>
      </c>
      <c r="BD973" t="s">
        <v>61</v>
      </c>
      <c r="BE973" t="s">
        <v>61</v>
      </c>
      <c r="BF973" t="s">
        <v>61</v>
      </c>
    </row>
    <row r="974" spans="1:58">
      <c r="A974" t="s">
        <v>58</v>
      </c>
      <c r="B974" t="s">
        <v>8078</v>
      </c>
      <c r="C974" t="s">
        <v>8079</v>
      </c>
      <c r="D974" t="s">
        <v>428</v>
      </c>
      <c r="E974" t="s">
        <v>61</v>
      </c>
      <c r="F974">
        <v>2010</v>
      </c>
      <c r="G974" t="s">
        <v>429</v>
      </c>
      <c r="H974">
        <v>23</v>
      </c>
      <c r="I974">
        <v>2</v>
      </c>
      <c r="J974">
        <v>169</v>
      </c>
      <c r="K974">
        <v>170</v>
      </c>
      <c r="L974" t="s">
        <v>8080</v>
      </c>
      <c r="M974" t="s">
        <v>8081</v>
      </c>
      <c r="N974" t="s">
        <v>8082</v>
      </c>
      <c r="O974" t="s">
        <v>61</v>
      </c>
      <c r="Q974" t="s">
        <v>61</v>
      </c>
      <c r="R974" t="s">
        <v>61</v>
      </c>
      <c r="S974" t="s">
        <v>61</v>
      </c>
      <c r="T974" t="s">
        <v>61</v>
      </c>
      <c r="X974" t="s">
        <v>61</v>
      </c>
      <c r="Y974" t="s">
        <v>433</v>
      </c>
      <c r="Z974" t="s">
        <v>61</v>
      </c>
      <c r="AA974" t="s">
        <v>61</v>
      </c>
      <c r="AB974" t="s">
        <v>61</v>
      </c>
      <c r="AC974" t="s">
        <v>67</v>
      </c>
      <c r="AD974" t="s">
        <v>61</v>
      </c>
      <c r="AE974" t="s">
        <v>61</v>
      </c>
      <c r="AF974" t="s">
        <v>61</v>
      </c>
      <c r="AG974" t="s">
        <v>61</v>
      </c>
      <c r="AH974" t="s">
        <v>61</v>
      </c>
      <c r="AI974" t="s">
        <v>61</v>
      </c>
      <c r="AJ974" t="s">
        <v>61</v>
      </c>
      <c r="AK974" t="s">
        <v>61</v>
      </c>
      <c r="AL974" t="s">
        <v>61</v>
      </c>
      <c r="AM974" t="s">
        <v>8079</v>
      </c>
      <c r="AN974" t="s">
        <v>61</v>
      </c>
      <c r="AO974" t="s">
        <v>61</v>
      </c>
      <c r="AP974" t="s">
        <v>61</v>
      </c>
      <c r="AQ974" t="s">
        <v>61</v>
      </c>
      <c r="AR974" t="s">
        <v>61</v>
      </c>
      <c r="AS974" t="s">
        <v>61</v>
      </c>
      <c r="AT974" t="s">
        <v>61</v>
      </c>
      <c r="AU974" t="s">
        <v>61</v>
      </c>
      <c r="AV974" t="s">
        <v>61</v>
      </c>
      <c r="AW974" t="s">
        <v>61</v>
      </c>
      <c r="AX974" t="s">
        <v>61</v>
      </c>
      <c r="AY974" t="s">
        <v>61</v>
      </c>
      <c r="AZ974" t="s">
        <v>61</v>
      </c>
      <c r="BA974" t="s">
        <v>61</v>
      </c>
      <c r="BB974" t="s">
        <v>61</v>
      </c>
      <c r="BC974" t="s">
        <v>61</v>
      </c>
      <c r="BD974" t="s">
        <v>61</v>
      </c>
      <c r="BE974" t="s">
        <v>61</v>
      </c>
      <c r="BF974" t="s">
        <v>61</v>
      </c>
    </row>
    <row r="975" spans="1:58">
      <c r="A975" t="s">
        <v>58</v>
      </c>
      <c r="B975" t="s">
        <v>8083</v>
      </c>
      <c r="C975" t="s">
        <v>8084</v>
      </c>
      <c r="D975" t="s">
        <v>2716</v>
      </c>
      <c r="E975" t="s">
        <v>61</v>
      </c>
      <c r="F975">
        <v>2013</v>
      </c>
      <c r="G975" t="s">
        <v>559</v>
      </c>
      <c r="H975">
        <v>16</v>
      </c>
      <c r="I975">
        <v>3</v>
      </c>
      <c r="J975" t="s">
        <v>8085</v>
      </c>
      <c r="K975" t="s">
        <v>61</v>
      </c>
      <c r="L975" t="s">
        <v>8086</v>
      </c>
      <c r="M975" t="s">
        <v>8087</v>
      </c>
      <c r="N975" t="s">
        <v>8088</v>
      </c>
      <c r="O975" t="s">
        <v>61</v>
      </c>
      <c r="Q975" t="s">
        <v>61</v>
      </c>
      <c r="R975" t="s">
        <v>61</v>
      </c>
      <c r="S975" t="s">
        <v>61</v>
      </c>
      <c r="T975" t="s">
        <v>61</v>
      </c>
      <c r="X975" t="s">
        <v>61</v>
      </c>
      <c r="Y975" t="s">
        <v>2721</v>
      </c>
      <c r="Z975" t="s">
        <v>61</v>
      </c>
      <c r="AA975" t="s">
        <v>61</v>
      </c>
      <c r="AB975" t="s">
        <v>61</v>
      </c>
      <c r="AC975" t="s">
        <v>67</v>
      </c>
      <c r="AD975" t="s">
        <v>61</v>
      </c>
      <c r="AE975" t="s">
        <v>61</v>
      </c>
      <c r="AF975" t="s">
        <v>61</v>
      </c>
      <c r="AG975" t="s">
        <v>61</v>
      </c>
      <c r="AH975" t="s">
        <v>61</v>
      </c>
      <c r="AI975" t="s">
        <v>61</v>
      </c>
      <c r="AJ975" t="s">
        <v>61</v>
      </c>
      <c r="AK975" t="s">
        <v>61</v>
      </c>
      <c r="AL975" t="s">
        <v>61</v>
      </c>
      <c r="AM975" t="s">
        <v>8084</v>
      </c>
      <c r="AN975" t="s">
        <v>61</v>
      </c>
      <c r="AO975" t="s">
        <v>61</v>
      </c>
      <c r="AP975" t="s">
        <v>61</v>
      </c>
      <c r="AQ975" t="s">
        <v>61</v>
      </c>
      <c r="AR975" t="s">
        <v>61</v>
      </c>
      <c r="AS975" t="s">
        <v>61</v>
      </c>
      <c r="AT975" t="s">
        <v>61</v>
      </c>
      <c r="AU975" t="s">
        <v>61</v>
      </c>
      <c r="AV975" t="s">
        <v>61</v>
      </c>
      <c r="AW975" t="s">
        <v>61</v>
      </c>
      <c r="AX975" t="s">
        <v>61</v>
      </c>
      <c r="AY975" t="s">
        <v>61</v>
      </c>
      <c r="AZ975" t="s">
        <v>61</v>
      </c>
      <c r="BA975" t="s">
        <v>61</v>
      </c>
      <c r="BB975" t="s">
        <v>61</v>
      </c>
      <c r="BC975" t="s">
        <v>61</v>
      </c>
      <c r="BD975" t="s">
        <v>61</v>
      </c>
      <c r="BE975" t="s">
        <v>61</v>
      </c>
      <c r="BF975" t="s">
        <v>61</v>
      </c>
    </row>
    <row r="976" spans="1:58">
      <c r="A976" t="s">
        <v>58</v>
      </c>
      <c r="B976" t="s">
        <v>8089</v>
      </c>
      <c r="C976" t="s">
        <v>8090</v>
      </c>
      <c r="D976" t="s">
        <v>8091</v>
      </c>
      <c r="E976" t="s">
        <v>61</v>
      </c>
      <c r="F976">
        <v>2015</v>
      </c>
      <c r="G976" t="s">
        <v>237</v>
      </c>
      <c r="H976">
        <v>28</v>
      </c>
      <c r="I976">
        <v>4</v>
      </c>
      <c r="J976">
        <v>1373</v>
      </c>
      <c r="K976">
        <v>1387</v>
      </c>
      <c r="L976" t="s">
        <v>8092</v>
      </c>
      <c r="M976" t="s">
        <v>8093</v>
      </c>
      <c r="N976" t="s">
        <v>8094</v>
      </c>
      <c r="O976" t="s">
        <v>61</v>
      </c>
      <c r="Q976" t="s">
        <v>61</v>
      </c>
      <c r="R976" t="s">
        <v>61</v>
      </c>
      <c r="S976" t="s">
        <v>61</v>
      </c>
      <c r="T976" t="s">
        <v>61</v>
      </c>
      <c r="X976" t="s">
        <v>61</v>
      </c>
      <c r="Y976" t="s">
        <v>8095</v>
      </c>
      <c r="Z976" t="s">
        <v>61</v>
      </c>
      <c r="AA976" t="s">
        <v>8096</v>
      </c>
      <c r="AB976">
        <v>26142528</v>
      </c>
      <c r="AC976" t="s">
        <v>67</v>
      </c>
      <c r="AD976" t="s">
        <v>61</v>
      </c>
      <c r="AE976" t="s">
        <v>61</v>
      </c>
      <c r="AF976" t="s">
        <v>61</v>
      </c>
      <c r="AG976" t="s">
        <v>8097</v>
      </c>
      <c r="AH976" t="s">
        <v>61</v>
      </c>
      <c r="AI976" t="s">
        <v>61</v>
      </c>
      <c r="AJ976" t="s">
        <v>61</v>
      </c>
      <c r="AK976" t="s">
        <v>61</v>
      </c>
      <c r="AL976" t="s">
        <v>61</v>
      </c>
      <c r="AM976" t="s">
        <v>8098</v>
      </c>
      <c r="AN976" t="s">
        <v>61</v>
      </c>
      <c r="AO976" t="s">
        <v>61</v>
      </c>
      <c r="AP976" t="s">
        <v>61</v>
      </c>
      <c r="AQ976" t="s">
        <v>61</v>
      </c>
      <c r="AR976" t="s">
        <v>61</v>
      </c>
      <c r="AS976" t="s">
        <v>61</v>
      </c>
      <c r="AT976" t="s">
        <v>61</v>
      </c>
      <c r="AU976" t="s">
        <v>61</v>
      </c>
      <c r="AV976" t="s">
        <v>61</v>
      </c>
      <c r="AW976" t="s">
        <v>61</v>
      </c>
      <c r="AX976" t="s">
        <v>61</v>
      </c>
      <c r="AY976" t="s">
        <v>61</v>
      </c>
      <c r="AZ976" t="s">
        <v>61</v>
      </c>
      <c r="BA976" t="s">
        <v>61</v>
      </c>
      <c r="BB976" t="s">
        <v>61</v>
      </c>
      <c r="BC976" t="s">
        <v>61</v>
      </c>
      <c r="BD976" t="s">
        <v>61</v>
      </c>
      <c r="BE976" t="s">
        <v>61</v>
      </c>
      <c r="BF976" t="s">
        <v>61</v>
      </c>
    </row>
    <row r="977" spans="1:58">
      <c r="A977" t="s">
        <v>58</v>
      </c>
      <c r="B977" t="s">
        <v>8099</v>
      </c>
      <c r="C977" t="s">
        <v>8100</v>
      </c>
      <c r="D977" t="s">
        <v>3742</v>
      </c>
      <c r="E977" t="s">
        <v>61</v>
      </c>
      <c r="F977">
        <v>2013</v>
      </c>
      <c r="G977" t="s">
        <v>363</v>
      </c>
      <c r="H977">
        <v>11</v>
      </c>
      <c r="I977">
        <v>1</v>
      </c>
      <c r="J977">
        <v>51</v>
      </c>
      <c r="K977">
        <v>57</v>
      </c>
      <c r="L977" t="s">
        <v>61</v>
      </c>
      <c r="M977" t="s">
        <v>8101</v>
      </c>
      <c r="N977" t="s">
        <v>8102</v>
      </c>
      <c r="O977" t="s">
        <v>61</v>
      </c>
      <c r="Q977" t="s">
        <v>61</v>
      </c>
      <c r="R977" t="s">
        <v>61</v>
      </c>
      <c r="S977" t="s">
        <v>61</v>
      </c>
      <c r="T977" t="s">
        <v>61</v>
      </c>
      <c r="X977" t="s">
        <v>61</v>
      </c>
      <c r="Y977" t="s">
        <v>3745</v>
      </c>
      <c r="Z977" t="s">
        <v>61</v>
      </c>
      <c r="AA977" t="s">
        <v>8103</v>
      </c>
      <c r="AB977">
        <v>24155850</v>
      </c>
      <c r="AC977" t="s">
        <v>67</v>
      </c>
      <c r="AD977" t="s">
        <v>61</v>
      </c>
      <c r="AE977" t="s">
        <v>61</v>
      </c>
      <c r="AF977" t="s">
        <v>61</v>
      </c>
      <c r="AG977" t="s">
        <v>8104</v>
      </c>
      <c r="AH977" t="s">
        <v>61</v>
      </c>
      <c r="AI977" t="s">
        <v>61</v>
      </c>
      <c r="AJ977" t="s">
        <v>61</v>
      </c>
      <c r="AK977" t="s">
        <v>61</v>
      </c>
      <c r="AL977" t="s">
        <v>61</v>
      </c>
      <c r="AM977" t="s">
        <v>8105</v>
      </c>
      <c r="AN977" t="s">
        <v>61</v>
      </c>
      <c r="AO977" t="s">
        <v>61</v>
      </c>
      <c r="AP977" t="s">
        <v>61</v>
      </c>
      <c r="AQ977" t="s">
        <v>61</v>
      </c>
      <c r="AR977" t="s">
        <v>61</v>
      </c>
      <c r="AS977" t="s">
        <v>61</v>
      </c>
      <c r="AT977" t="s">
        <v>61</v>
      </c>
      <c r="AU977" t="s">
        <v>61</v>
      </c>
      <c r="AV977" t="s">
        <v>61</v>
      </c>
      <c r="AW977" t="s">
        <v>61</v>
      </c>
      <c r="AX977" t="s">
        <v>61</v>
      </c>
      <c r="AY977" t="s">
        <v>61</v>
      </c>
      <c r="AZ977" t="s">
        <v>61</v>
      </c>
      <c r="BA977" t="s">
        <v>61</v>
      </c>
      <c r="BB977" t="s">
        <v>61</v>
      </c>
      <c r="BC977" t="s">
        <v>61</v>
      </c>
      <c r="BD977" t="s">
        <v>61</v>
      </c>
      <c r="BE977" t="s">
        <v>61</v>
      </c>
      <c r="BF977" t="s">
        <v>61</v>
      </c>
    </row>
    <row r="978" spans="1:58">
      <c r="A978" t="s">
        <v>58</v>
      </c>
      <c r="B978" t="s">
        <v>8106</v>
      </c>
      <c r="C978" t="s">
        <v>8107</v>
      </c>
      <c r="D978" t="s">
        <v>8108</v>
      </c>
      <c r="E978" t="s">
        <v>61</v>
      </c>
      <c r="F978">
        <v>2012</v>
      </c>
      <c r="G978" t="s">
        <v>429</v>
      </c>
      <c r="H978">
        <v>59</v>
      </c>
      <c r="I978">
        <v>4</v>
      </c>
      <c r="J978" t="s">
        <v>8109</v>
      </c>
      <c r="K978" t="s">
        <v>61</v>
      </c>
      <c r="L978" t="s">
        <v>8110</v>
      </c>
      <c r="M978" t="s">
        <v>8111</v>
      </c>
      <c r="N978" t="s">
        <v>8112</v>
      </c>
      <c r="O978" t="s">
        <v>61</v>
      </c>
      <c r="Q978" t="s">
        <v>61</v>
      </c>
      <c r="R978" t="s">
        <v>61</v>
      </c>
      <c r="S978" t="s">
        <v>61</v>
      </c>
      <c r="T978" t="s">
        <v>61</v>
      </c>
      <c r="X978" t="s">
        <v>61</v>
      </c>
      <c r="Y978" t="s">
        <v>8113</v>
      </c>
      <c r="Z978" t="s">
        <v>61</v>
      </c>
      <c r="AA978" t="s">
        <v>61</v>
      </c>
      <c r="AB978" t="s">
        <v>61</v>
      </c>
      <c r="AC978" t="s">
        <v>67</v>
      </c>
      <c r="AD978" t="s">
        <v>61</v>
      </c>
      <c r="AE978" t="s">
        <v>61</v>
      </c>
      <c r="AF978" t="s">
        <v>61</v>
      </c>
      <c r="AG978" t="s">
        <v>61</v>
      </c>
      <c r="AH978" t="s">
        <v>61</v>
      </c>
      <c r="AI978" t="s">
        <v>61</v>
      </c>
      <c r="AJ978" t="s">
        <v>61</v>
      </c>
      <c r="AK978" t="s">
        <v>61</v>
      </c>
      <c r="AL978" t="s">
        <v>61</v>
      </c>
      <c r="AM978" t="s">
        <v>8107</v>
      </c>
      <c r="AN978" t="s">
        <v>61</v>
      </c>
      <c r="AO978" t="s">
        <v>61</v>
      </c>
      <c r="AP978" t="s">
        <v>61</v>
      </c>
      <c r="AQ978" t="s">
        <v>61</v>
      </c>
      <c r="AR978" t="s">
        <v>61</v>
      </c>
      <c r="AS978" t="s">
        <v>61</v>
      </c>
      <c r="AT978" t="s">
        <v>61</v>
      </c>
      <c r="AU978" t="s">
        <v>61</v>
      </c>
      <c r="AV978" t="s">
        <v>61</v>
      </c>
      <c r="AW978" t="s">
        <v>61</v>
      </c>
      <c r="AX978" t="s">
        <v>61</v>
      </c>
      <c r="AY978" t="s">
        <v>61</v>
      </c>
      <c r="AZ978" t="s">
        <v>61</v>
      </c>
      <c r="BA978" t="s">
        <v>61</v>
      </c>
      <c r="BB978" t="s">
        <v>61</v>
      </c>
      <c r="BC978" t="s">
        <v>61</v>
      </c>
      <c r="BD978" t="s">
        <v>61</v>
      </c>
      <c r="BE978" t="s">
        <v>61</v>
      </c>
      <c r="BF978" t="s">
        <v>61</v>
      </c>
    </row>
    <row r="979" spans="1:58">
      <c r="A979" t="s">
        <v>58</v>
      </c>
      <c r="B979" t="s">
        <v>8114</v>
      </c>
      <c r="C979" t="s">
        <v>8115</v>
      </c>
      <c r="D979" t="s">
        <v>1085</v>
      </c>
      <c r="E979" t="s">
        <v>1086</v>
      </c>
      <c r="F979">
        <v>2000</v>
      </c>
      <c r="G979" t="s">
        <v>559</v>
      </c>
      <c r="H979">
        <v>34</v>
      </c>
      <c r="I979">
        <v>5</v>
      </c>
      <c r="J979">
        <v>585</v>
      </c>
      <c r="K979">
        <v>592</v>
      </c>
      <c r="L979" t="s">
        <v>8116</v>
      </c>
      <c r="M979" t="s">
        <v>8117</v>
      </c>
      <c r="N979" t="s">
        <v>8118</v>
      </c>
      <c r="O979" t="s">
        <v>61</v>
      </c>
      <c r="Q979" t="s">
        <v>61</v>
      </c>
      <c r="R979" t="s">
        <v>61</v>
      </c>
      <c r="S979" t="s">
        <v>61</v>
      </c>
      <c r="T979" t="s">
        <v>61</v>
      </c>
      <c r="X979" t="s">
        <v>61</v>
      </c>
      <c r="Y979" t="s">
        <v>3286</v>
      </c>
      <c r="Z979" t="s">
        <v>61</v>
      </c>
      <c r="AA979" t="s">
        <v>8119</v>
      </c>
      <c r="AB979">
        <v>10852084</v>
      </c>
      <c r="AC979" t="s">
        <v>67</v>
      </c>
      <c r="AD979" t="s">
        <v>61</v>
      </c>
      <c r="AE979" t="s">
        <v>61</v>
      </c>
      <c r="AF979" t="s">
        <v>61</v>
      </c>
      <c r="AG979" t="s">
        <v>8120</v>
      </c>
      <c r="AH979" t="s">
        <v>61</v>
      </c>
      <c r="AI979" t="s">
        <v>61</v>
      </c>
      <c r="AJ979" t="s">
        <v>61</v>
      </c>
      <c r="AK979" t="s">
        <v>61</v>
      </c>
      <c r="AL979" t="s">
        <v>61</v>
      </c>
      <c r="AM979" t="s">
        <v>8121</v>
      </c>
      <c r="AN979" t="s">
        <v>61</v>
      </c>
      <c r="AO979" t="s">
        <v>61</v>
      </c>
      <c r="AP979" t="s">
        <v>61</v>
      </c>
      <c r="AQ979" t="s">
        <v>61</v>
      </c>
      <c r="AR979" t="s">
        <v>61</v>
      </c>
      <c r="AS979" t="s">
        <v>61</v>
      </c>
      <c r="AT979" t="s">
        <v>61</v>
      </c>
      <c r="AU979" t="s">
        <v>61</v>
      </c>
      <c r="AV979" t="s">
        <v>61</v>
      </c>
      <c r="AW979" t="s">
        <v>61</v>
      </c>
      <c r="AX979" t="s">
        <v>61</v>
      </c>
      <c r="AY979" t="s">
        <v>61</v>
      </c>
      <c r="AZ979" t="s">
        <v>61</v>
      </c>
      <c r="BA979" t="s">
        <v>61</v>
      </c>
      <c r="BB979" t="s">
        <v>61</v>
      </c>
      <c r="BC979" t="s">
        <v>61</v>
      </c>
      <c r="BD979" t="s">
        <v>61</v>
      </c>
      <c r="BE979" t="s">
        <v>61</v>
      </c>
      <c r="BF979" t="s">
        <v>61</v>
      </c>
    </row>
    <row r="980" spans="1:58">
      <c r="A980" t="s">
        <v>58</v>
      </c>
      <c r="B980" t="s">
        <v>8122</v>
      </c>
      <c r="C980" t="s">
        <v>8123</v>
      </c>
      <c r="D980" t="s">
        <v>8124</v>
      </c>
      <c r="E980" t="s">
        <v>8125</v>
      </c>
      <c r="F980">
        <v>2015</v>
      </c>
      <c r="G980" t="s">
        <v>1152</v>
      </c>
      <c r="H980">
        <v>84</v>
      </c>
      <c r="I980">
        <v>9</v>
      </c>
      <c r="J980">
        <v>640</v>
      </c>
      <c r="K980">
        <v>646</v>
      </c>
      <c r="L980" t="s">
        <v>61</v>
      </c>
      <c r="M980" t="s">
        <v>8126</v>
      </c>
      <c r="N980" t="s">
        <v>8127</v>
      </c>
      <c r="O980" t="s">
        <v>61</v>
      </c>
      <c r="Q980" t="s">
        <v>61</v>
      </c>
      <c r="R980" t="s">
        <v>61</v>
      </c>
      <c r="S980" t="s">
        <v>61</v>
      </c>
      <c r="T980" t="s">
        <v>61</v>
      </c>
      <c r="X980" t="s">
        <v>61</v>
      </c>
      <c r="Y980" t="s">
        <v>8128</v>
      </c>
      <c r="Z980" t="s">
        <v>61</v>
      </c>
      <c r="AA980" t="s">
        <v>8129</v>
      </c>
      <c r="AB980">
        <v>26077512</v>
      </c>
      <c r="AC980" t="s">
        <v>67</v>
      </c>
      <c r="AD980" t="s">
        <v>61</v>
      </c>
      <c r="AE980" t="s">
        <v>61</v>
      </c>
      <c r="AF980" t="s">
        <v>61</v>
      </c>
      <c r="AG980" t="s">
        <v>8130</v>
      </c>
      <c r="AH980" t="s">
        <v>61</v>
      </c>
      <c r="AI980" t="s">
        <v>8131</v>
      </c>
      <c r="AJ980" t="s">
        <v>61</v>
      </c>
      <c r="AK980" t="s">
        <v>61</v>
      </c>
      <c r="AL980" t="s">
        <v>61</v>
      </c>
      <c r="AM980" t="s">
        <v>8132</v>
      </c>
      <c r="AN980" t="s">
        <v>61</v>
      </c>
      <c r="AO980" t="s">
        <v>61</v>
      </c>
      <c r="AP980" t="s">
        <v>61</v>
      </c>
      <c r="AQ980" t="s">
        <v>61</v>
      </c>
      <c r="AR980" t="s">
        <v>61</v>
      </c>
      <c r="AS980" t="s">
        <v>61</v>
      </c>
      <c r="AT980" t="s">
        <v>61</v>
      </c>
      <c r="AU980" t="s">
        <v>61</v>
      </c>
      <c r="AV980" t="s">
        <v>61</v>
      </c>
      <c r="AW980" t="s">
        <v>61</v>
      </c>
      <c r="AX980" t="s">
        <v>61</v>
      </c>
      <c r="AY980" t="s">
        <v>61</v>
      </c>
      <c r="AZ980" t="s">
        <v>61</v>
      </c>
      <c r="BA980" t="s">
        <v>61</v>
      </c>
      <c r="BB980" t="s">
        <v>61</v>
      </c>
      <c r="BC980" t="s">
        <v>61</v>
      </c>
      <c r="BD980" t="s">
        <v>61</v>
      </c>
      <c r="BE980" t="s">
        <v>61</v>
      </c>
      <c r="BF980" t="s">
        <v>61</v>
      </c>
    </row>
    <row r="981" spans="1:58">
      <c r="A981" t="s">
        <v>58</v>
      </c>
      <c r="B981" t="s">
        <v>8133</v>
      </c>
      <c r="C981" t="s">
        <v>8134</v>
      </c>
      <c r="D981" t="s">
        <v>1749</v>
      </c>
      <c r="E981" t="s">
        <v>1750</v>
      </c>
      <c r="F981">
        <v>2011</v>
      </c>
      <c r="G981" t="s">
        <v>273</v>
      </c>
      <c r="H981">
        <v>67</v>
      </c>
      <c r="I981">
        <v>2</v>
      </c>
      <c r="J981">
        <v>109</v>
      </c>
      <c r="K981">
        <v>120</v>
      </c>
      <c r="L981" t="s">
        <v>8135</v>
      </c>
      <c r="M981" t="s">
        <v>8136</v>
      </c>
      <c r="N981" t="s">
        <v>8137</v>
      </c>
      <c r="O981" t="s">
        <v>61</v>
      </c>
      <c r="Q981" t="s">
        <v>61</v>
      </c>
      <c r="R981" t="s">
        <v>61</v>
      </c>
      <c r="S981" t="s">
        <v>61</v>
      </c>
      <c r="T981" t="s">
        <v>61</v>
      </c>
      <c r="X981" t="s">
        <v>61</v>
      </c>
      <c r="Y981" t="s">
        <v>1754</v>
      </c>
      <c r="Z981" t="s">
        <v>61</v>
      </c>
      <c r="AA981" t="s">
        <v>8138</v>
      </c>
      <c r="AB981">
        <v>21107827</v>
      </c>
      <c r="AC981" t="s">
        <v>67</v>
      </c>
      <c r="AD981" t="s">
        <v>61</v>
      </c>
      <c r="AE981" t="s">
        <v>61</v>
      </c>
      <c r="AF981" t="s">
        <v>61</v>
      </c>
      <c r="AG981" t="s">
        <v>8139</v>
      </c>
      <c r="AH981" t="s">
        <v>61</v>
      </c>
      <c r="AI981" t="s">
        <v>8140</v>
      </c>
      <c r="AJ981" t="s">
        <v>61</v>
      </c>
      <c r="AK981" t="s">
        <v>61</v>
      </c>
      <c r="AL981" t="s">
        <v>61</v>
      </c>
      <c r="AM981" t="s">
        <v>8141</v>
      </c>
      <c r="AN981" t="s">
        <v>61</v>
      </c>
      <c r="AO981" t="s">
        <v>61</v>
      </c>
      <c r="AP981" t="s">
        <v>61</v>
      </c>
      <c r="AQ981" t="s">
        <v>61</v>
      </c>
      <c r="AR981" t="s">
        <v>61</v>
      </c>
      <c r="AS981" t="s">
        <v>61</v>
      </c>
      <c r="AT981" t="s">
        <v>61</v>
      </c>
      <c r="AU981" t="s">
        <v>61</v>
      </c>
      <c r="AV981" t="s">
        <v>61</v>
      </c>
      <c r="AW981" t="s">
        <v>61</v>
      </c>
      <c r="AX981" t="s">
        <v>61</v>
      </c>
      <c r="AY981" t="s">
        <v>61</v>
      </c>
      <c r="AZ981" t="s">
        <v>61</v>
      </c>
      <c r="BA981" t="s">
        <v>61</v>
      </c>
      <c r="BB981" t="s">
        <v>61</v>
      </c>
      <c r="BC981" t="s">
        <v>61</v>
      </c>
      <c r="BD981" t="s">
        <v>61</v>
      </c>
      <c r="BE981" t="s">
        <v>61</v>
      </c>
      <c r="BF981" t="s">
        <v>61</v>
      </c>
    </row>
    <row r="982" spans="1:58">
      <c r="A982" t="s">
        <v>58</v>
      </c>
      <c r="B982" t="s">
        <v>8142</v>
      </c>
      <c r="C982" t="s">
        <v>8143</v>
      </c>
      <c r="D982" t="s">
        <v>475</v>
      </c>
      <c r="E982" t="s">
        <v>61</v>
      </c>
      <c r="F982">
        <v>2011</v>
      </c>
      <c r="G982" t="s">
        <v>429</v>
      </c>
      <c r="H982">
        <v>33</v>
      </c>
      <c r="I982">
        <v>2</v>
      </c>
      <c r="J982">
        <v>428</v>
      </c>
      <c r="K982">
        <v>429</v>
      </c>
      <c r="L982" t="s">
        <v>8144</v>
      </c>
      <c r="M982" t="s">
        <v>8145</v>
      </c>
      <c r="N982" t="s">
        <v>8146</v>
      </c>
      <c r="O982" t="s">
        <v>61</v>
      </c>
      <c r="Q982" t="s">
        <v>61</v>
      </c>
      <c r="R982" t="s">
        <v>61</v>
      </c>
      <c r="S982" t="s">
        <v>61</v>
      </c>
      <c r="T982" t="s">
        <v>61</v>
      </c>
      <c r="X982" t="s">
        <v>61</v>
      </c>
      <c r="Y982" t="s">
        <v>308</v>
      </c>
      <c r="Z982" t="s">
        <v>61</v>
      </c>
      <c r="AA982" t="s">
        <v>61</v>
      </c>
      <c r="AB982" t="s">
        <v>61</v>
      </c>
      <c r="AC982" t="s">
        <v>67</v>
      </c>
      <c r="AD982" t="s">
        <v>61</v>
      </c>
      <c r="AE982" t="s">
        <v>61</v>
      </c>
      <c r="AF982" t="s">
        <v>61</v>
      </c>
      <c r="AG982" t="s">
        <v>61</v>
      </c>
      <c r="AH982" t="s">
        <v>61</v>
      </c>
      <c r="AI982" t="s">
        <v>61</v>
      </c>
      <c r="AJ982" t="s">
        <v>61</v>
      </c>
      <c r="AK982" t="s">
        <v>61</v>
      </c>
      <c r="AL982" t="s">
        <v>61</v>
      </c>
      <c r="AM982" t="s">
        <v>8143</v>
      </c>
      <c r="AN982" t="s">
        <v>61</v>
      </c>
      <c r="AO982" t="s">
        <v>61</v>
      </c>
      <c r="AP982" t="s">
        <v>61</v>
      </c>
      <c r="AQ982" t="s">
        <v>61</v>
      </c>
      <c r="AR982" t="s">
        <v>61</v>
      </c>
      <c r="AS982" t="s">
        <v>61</v>
      </c>
      <c r="AT982" t="s">
        <v>61</v>
      </c>
      <c r="AU982" t="s">
        <v>61</v>
      </c>
      <c r="AV982" t="s">
        <v>61</v>
      </c>
      <c r="AW982" t="s">
        <v>61</v>
      </c>
      <c r="AX982" t="s">
        <v>61</v>
      </c>
      <c r="AY982" t="s">
        <v>61</v>
      </c>
      <c r="AZ982" t="s">
        <v>61</v>
      </c>
      <c r="BA982" t="s">
        <v>61</v>
      </c>
      <c r="BB982" t="s">
        <v>61</v>
      </c>
      <c r="BC982" t="s">
        <v>61</v>
      </c>
      <c r="BD982" t="s">
        <v>61</v>
      </c>
      <c r="BE982" t="s">
        <v>61</v>
      </c>
      <c r="BF982" t="s">
        <v>61</v>
      </c>
    </row>
    <row r="983" spans="1:58">
      <c r="A983" t="s">
        <v>58</v>
      </c>
      <c r="B983" t="s">
        <v>8147</v>
      </c>
      <c r="C983" t="s">
        <v>8148</v>
      </c>
      <c r="D983" t="s">
        <v>153</v>
      </c>
      <c r="E983" t="s">
        <v>61</v>
      </c>
      <c r="F983">
        <v>2012</v>
      </c>
      <c r="G983" t="s">
        <v>154</v>
      </c>
      <c r="H983">
        <v>52</v>
      </c>
      <c r="I983">
        <v>4</v>
      </c>
      <c r="J983">
        <v>480</v>
      </c>
      <c r="K983">
        <v>491</v>
      </c>
      <c r="L983" t="s">
        <v>8149</v>
      </c>
      <c r="M983" t="s">
        <v>8150</v>
      </c>
      <c r="N983" t="s">
        <v>8151</v>
      </c>
      <c r="O983" t="s">
        <v>61</v>
      </c>
      <c r="Q983" t="s">
        <v>61</v>
      </c>
      <c r="R983" t="s">
        <v>61</v>
      </c>
      <c r="S983" t="s">
        <v>61</v>
      </c>
      <c r="T983" t="s">
        <v>61</v>
      </c>
      <c r="X983" t="s">
        <v>61</v>
      </c>
      <c r="Y983" t="s">
        <v>157</v>
      </c>
      <c r="Z983" t="s">
        <v>61</v>
      </c>
      <c r="AA983" t="s">
        <v>8152</v>
      </c>
      <c r="AB983">
        <v>22825228</v>
      </c>
      <c r="AC983" t="s">
        <v>67</v>
      </c>
      <c r="AD983" t="s">
        <v>61</v>
      </c>
      <c r="AE983" t="s">
        <v>61</v>
      </c>
      <c r="AF983" t="s">
        <v>61</v>
      </c>
      <c r="AG983" t="s">
        <v>8153</v>
      </c>
      <c r="AH983" t="s">
        <v>61</v>
      </c>
      <c r="AI983" t="s">
        <v>8154</v>
      </c>
      <c r="AJ983" t="s">
        <v>61</v>
      </c>
      <c r="AK983" t="s">
        <v>61</v>
      </c>
      <c r="AL983" t="s">
        <v>61</v>
      </c>
      <c r="AM983" t="s">
        <v>8155</v>
      </c>
      <c r="AN983" t="s">
        <v>61</v>
      </c>
      <c r="AO983" t="s">
        <v>61</v>
      </c>
      <c r="AP983" t="s">
        <v>61</v>
      </c>
      <c r="AQ983" t="s">
        <v>61</v>
      </c>
      <c r="AR983" t="s">
        <v>61</v>
      </c>
      <c r="AS983" t="s">
        <v>61</v>
      </c>
      <c r="AT983" t="s">
        <v>61</v>
      </c>
      <c r="AU983" t="s">
        <v>61</v>
      </c>
      <c r="AV983" t="s">
        <v>61</v>
      </c>
      <c r="AW983" t="s">
        <v>61</v>
      </c>
      <c r="AX983" t="s">
        <v>61</v>
      </c>
      <c r="AY983" t="s">
        <v>61</v>
      </c>
      <c r="AZ983" t="s">
        <v>61</v>
      </c>
      <c r="BA983" t="s">
        <v>61</v>
      </c>
      <c r="BB983" t="s">
        <v>61</v>
      </c>
      <c r="BC983" t="s">
        <v>61</v>
      </c>
      <c r="BD983" t="s">
        <v>61</v>
      </c>
      <c r="BE983" t="s">
        <v>61</v>
      </c>
      <c r="BF983" t="s">
        <v>61</v>
      </c>
    </row>
    <row r="984" spans="1:58">
      <c r="A984" t="s">
        <v>58</v>
      </c>
      <c r="B984" t="s">
        <v>8156</v>
      </c>
      <c r="C984" t="s">
        <v>8157</v>
      </c>
      <c r="D984" t="s">
        <v>8158</v>
      </c>
      <c r="E984" t="s">
        <v>8159</v>
      </c>
      <c r="F984">
        <v>1998</v>
      </c>
      <c r="G984" t="s">
        <v>119</v>
      </c>
      <c r="H984">
        <v>33</v>
      </c>
      <c r="I984">
        <v>8</v>
      </c>
      <c r="J984">
        <v>1667</v>
      </c>
      <c r="K984">
        <v>1680</v>
      </c>
      <c r="L984" t="s">
        <v>8160</v>
      </c>
      <c r="M984" t="s">
        <v>8161</v>
      </c>
      <c r="N984" t="s">
        <v>8162</v>
      </c>
      <c r="O984" t="s">
        <v>61</v>
      </c>
      <c r="Q984" t="s">
        <v>61</v>
      </c>
      <c r="R984" t="s">
        <v>61</v>
      </c>
      <c r="S984" t="s">
        <v>61</v>
      </c>
      <c r="T984" t="s">
        <v>61</v>
      </c>
      <c r="X984" t="s">
        <v>61</v>
      </c>
      <c r="Y984" t="s">
        <v>8163</v>
      </c>
      <c r="Z984" t="s">
        <v>61</v>
      </c>
      <c r="AA984" t="s">
        <v>8164</v>
      </c>
      <c r="AB984">
        <v>9680087</v>
      </c>
      <c r="AC984" t="s">
        <v>67</v>
      </c>
      <c r="AD984" t="s">
        <v>61</v>
      </c>
      <c r="AE984" t="s">
        <v>61</v>
      </c>
      <c r="AF984" t="s">
        <v>61</v>
      </c>
      <c r="AG984" t="s">
        <v>8165</v>
      </c>
      <c r="AH984" t="s">
        <v>61</v>
      </c>
      <c r="AI984" t="s">
        <v>61</v>
      </c>
      <c r="AJ984" t="s">
        <v>61</v>
      </c>
      <c r="AK984" t="s">
        <v>61</v>
      </c>
      <c r="AL984" t="s">
        <v>61</v>
      </c>
      <c r="AM984" t="s">
        <v>8166</v>
      </c>
      <c r="AN984" t="s">
        <v>61</v>
      </c>
      <c r="AO984" t="s">
        <v>61</v>
      </c>
      <c r="AP984" t="s">
        <v>61</v>
      </c>
      <c r="AQ984" t="s">
        <v>61</v>
      </c>
      <c r="AR984" t="s">
        <v>61</v>
      </c>
      <c r="AS984" t="s">
        <v>61</v>
      </c>
      <c r="AT984" t="s">
        <v>61</v>
      </c>
      <c r="AU984" t="s">
        <v>61</v>
      </c>
      <c r="AV984" t="s">
        <v>61</v>
      </c>
      <c r="AW984" t="s">
        <v>61</v>
      </c>
      <c r="AX984" t="s">
        <v>61</v>
      </c>
      <c r="AY984" t="s">
        <v>61</v>
      </c>
      <c r="AZ984" t="s">
        <v>61</v>
      </c>
      <c r="BA984" t="s">
        <v>61</v>
      </c>
      <c r="BB984" t="s">
        <v>61</v>
      </c>
      <c r="BC984" t="s">
        <v>61</v>
      </c>
      <c r="BD984" t="s">
        <v>61</v>
      </c>
      <c r="BE984" t="s">
        <v>61</v>
      </c>
      <c r="BF984" t="s">
        <v>61</v>
      </c>
    </row>
    <row r="985" spans="1:58">
      <c r="A985" t="s">
        <v>58</v>
      </c>
      <c r="B985" t="s">
        <v>8167</v>
      </c>
      <c r="C985" t="s">
        <v>8168</v>
      </c>
      <c r="D985" t="s">
        <v>8169</v>
      </c>
      <c r="E985" t="s">
        <v>8169</v>
      </c>
      <c r="F985">
        <v>2013</v>
      </c>
      <c r="G985" t="s">
        <v>1332</v>
      </c>
      <c r="H985">
        <v>68</v>
      </c>
      <c r="I985">
        <v>6</v>
      </c>
      <c r="J985">
        <v>393</v>
      </c>
      <c r="K985">
        <v>400</v>
      </c>
      <c r="L985" t="s">
        <v>8170</v>
      </c>
      <c r="M985" t="s">
        <v>8171</v>
      </c>
      <c r="N985" t="s">
        <v>8172</v>
      </c>
      <c r="O985" t="s">
        <v>61</v>
      </c>
      <c r="Q985" t="s">
        <v>61</v>
      </c>
      <c r="R985" t="s">
        <v>61</v>
      </c>
      <c r="S985" t="s">
        <v>61</v>
      </c>
      <c r="T985" t="s">
        <v>61</v>
      </c>
      <c r="X985" t="s">
        <v>61</v>
      </c>
      <c r="Y985" t="s">
        <v>8173</v>
      </c>
      <c r="Z985" t="s">
        <v>61</v>
      </c>
      <c r="AA985" t="s">
        <v>8174</v>
      </c>
      <c r="AB985">
        <v>24246120</v>
      </c>
      <c r="AC985" t="s">
        <v>67</v>
      </c>
      <c r="AD985" t="s">
        <v>61</v>
      </c>
      <c r="AE985" t="s">
        <v>61</v>
      </c>
      <c r="AF985" t="s">
        <v>61</v>
      </c>
      <c r="AG985" t="s">
        <v>8175</v>
      </c>
      <c r="AH985" t="s">
        <v>61</v>
      </c>
      <c r="AI985" t="s">
        <v>8176</v>
      </c>
      <c r="AJ985" t="s">
        <v>61</v>
      </c>
      <c r="AK985" t="s">
        <v>61</v>
      </c>
      <c r="AL985" t="s">
        <v>61</v>
      </c>
      <c r="AM985" t="s">
        <v>8177</v>
      </c>
      <c r="AN985" t="s">
        <v>61</v>
      </c>
      <c r="AO985" t="s">
        <v>61</v>
      </c>
      <c r="AP985" t="s">
        <v>61</v>
      </c>
      <c r="AQ985" t="s">
        <v>61</v>
      </c>
      <c r="AR985" t="s">
        <v>61</v>
      </c>
      <c r="AS985" t="s">
        <v>61</v>
      </c>
      <c r="AT985" t="s">
        <v>61</v>
      </c>
      <c r="AU985" t="s">
        <v>61</v>
      </c>
      <c r="AV985" t="s">
        <v>61</v>
      </c>
      <c r="AW985" t="s">
        <v>61</v>
      </c>
      <c r="AX985" t="s">
        <v>61</v>
      </c>
      <c r="AY985" t="s">
        <v>61</v>
      </c>
      <c r="AZ985" t="s">
        <v>61</v>
      </c>
      <c r="BA985" t="s">
        <v>61</v>
      </c>
      <c r="BB985" t="s">
        <v>61</v>
      </c>
      <c r="BC985" t="s">
        <v>61</v>
      </c>
      <c r="BD985" t="s">
        <v>61</v>
      </c>
      <c r="BE985" t="s">
        <v>61</v>
      </c>
      <c r="BF985" t="s">
        <v>61</v>
      </c>
    </row>
    <row r="986" spans="1:58">
      <c r="A986" t="s">
        <v>58</v>
      </c>
      <c r="B986" t="s">
        <v>8178</v>
      </c>
      <c r="C986" t="s">
        <v>8179</v>
      </c>
      <c r="D986" t="s">
        <v>475</v>
      </c>
      <c r="E986" t="s">
        <v>61</v>
      </c>
      <c r="F986">
        <v>2012</v>
      </c>
      <c r="G986" t="s">
        <v>381</v>
      </c>
      <c r="H986">
        <v>34</v>
      </c>
      <c r="I986">
        <v>1</v>
      </c>
      <c r="J986">
        <v>214</v>
      </c>
      <c r="K986">
        <v>215</v>
      </c>
      <c r="L986" t="s">
        <v>8180</v>
      </c>
      <c r="M986" t="s">
        <v>8181</v>
      </c>
      <c r="N986" t="s">
        <v>8182</v>
      </c>
      <c r="O986" t="s">
        <v>61</v>
      </c>
      <c r="Q986" t="s">
        <v>61</v>
      </c>
      <c r="R986" t="s">
        <v>61</v>
      </c>
      <c r="S986" t="s">
        <v>61</v>
      </c>
      <c r="T986" t="s">
        <v>61</v>
      </c>
      <c r="X986" t="s">
        <v>61</v>
      </c>
      <c r="Y986" t="s">
        <v>308</v>
      </c>
      <c r="Z986" t="s">
        <v>61</v>
      </c>
      <c r="AA986" t="s">
        <v>61</v>
      </c>
      <c r="AB986" t="s">
        <v>61</v>
      </c>
      <c r="AC986" t="s">
        <v>67</v>
      </c>
      <c r="AD986" t="s">
        <v>61</v>
      </c>
      <c r="AE986" t="s">
        <v>61</v>
      </c>
      <c r="AF986" t="s">
        <v>61</v>
      </c>
      <c r="AG986" t="s">
        <v>61</v>
      </c>
      <c r="AH986" t="s">
        <v>61</v>
      </c>
      <c r="AI986" t="s">
        <v>61</v>
      </c>
      <c r="AJ986" t="s">
        <v>61</v>
      </c>
      <c r="AK986" t="s">
        <v>61</v>
      </c>
      <c r="AL986" t="s">
        <v>61</v>
      </c>
      <c r="AM986" t="s">
        <v>8179</v>
      </c>
      <c r="AN986" t="s">
        <v>61</v>
      </c>
      <c r="AO986" t="s">
        <v>61</v>
      </c>
      <c r="AP986" t="s">
        <v>61</v>
      </c>
      <c r="AQ986" t="s">
        <v>61</v>
      </c>
      <c r="AR986" t="s">
        <v>61</v>
      </c>
      <c r="AS986" t="s">
        <v>61</v>
      </c>
      <c r="AT986" t="s">
        <v>61</v>
      </c>
      <c r="AU986" t="s">
        <v>61</v>
      </c>
      <c r="AV986" t="s">
        <v>61</v>
      </c>
      <c r="AW986" t="s">
        <v>61</v>
      </c>
      <c r="AX986" t="s">
        <v>61</v>
      </c>
      <c r="AY986" t="s">
        <v>61</v>
      </c>
      <c r="AZ986" t="s">
        <v>61</v>
      </c>
      <c r="BA986" t="s">
        <v>61</v>
      </c>
      <c r="BB986" t="s">
        <v>61</v>
      </c>
      <c r="BC986" t="s">
        <v>61</v>
      </c>
      <c r="BD986" t="s">
        <v>61</v>
      </c>
      <c r="BE986" t="s">
        <v>61</v>
      </c>
      <c r="BF986" t="s">
        <v>61</v>
      </c>
    </row>
    <row r="987" spans="1:58">
      <c r="A987" t="s">
        <v>58</v>
      </c>
      <c r="B987" t="s">
        <v>8183</v>
      </c>
      <c r="C987" t="s">
        <v>8184</v>
      </c>
      <c r="D987" t="s">
        <v>8185</v>
      </c>
      <c r="E987" t="s">
        <v>61</v>
      </c>
      <c r="F987">
        <v>2015</v>
      </c>
      <c r="G987" s="1">
        <v>42430</v>
      </c>
      <c r="H987" t="s">
        <v>8186</v>
      </c>
      <c r="I987" t="s">
        <v>61</v>
      </c>
      <c r="J987" t="s">
        <v>8187</v>
      </c>
      <c r="K987">
        <v>30</v>
      </c>
      <c r="L987" t="s">
        <v>8188</v>
      </c>
      <c r="M987" t="s">
        <v>8189</v>
      </c>
      <c r="N987" t="s">
        <v>8190</v>
      </c>
      <c r="O987" t="s">
        <v>61</v>
      </c>
      <c r="Q987" t="s">
        <v>61</v>
      </c>
      <c r="R987" t="s">
        <v>61</v>
      </c>
      <c r="S987" t="s">
        <v>61</v>
      </c>
      <c r="T987" t="s">
        <v>61</v>
      </c>
      <c r="X987" t="s">
        <v>61</v>
      </c>
      <c r="Y987" t="s">
        <v>8191</v>
      </c>
      <c r="Z987" t="s">
        <v>61</v>
      </c>
      <c r="AA987" t="s">
        <v>8192</v>
      </c>
      <c r="AB987">
        <v>25723976</v>
      </c>
      <c r="AC987" t="s">
        <v>67</v>
      </c>
      <c r="AD987" t="s">
        <v>61</v>
      </c>
      <c r="AE987" t="s">
        <v>61</v>
      </c>
      <c r="AF987" t="s">
        <v>61</v>
      </c>
      <c r="AG987" t="s">
        <v>8193</v>
      </c>
      <c r="AH987" t="s">
        <v>61</v>
      </c>
      <c r="AI987" t="s">
        <v>8194</v>
      </c>
      <c r="AJ987" t="s">
        <v>61</v>
      </c>
      <c r="AK987" t="s">
        <v>61</v>
      </c>
      <c r="AL987" t="s">
        <v>61</v>
      </c>
      <c r="AM987" t="s">
        <v>8195</v>
      </c>
      <c r="AN987" t="s">
        <v>61</v>
      </c>
      <c r="AO987" t="s">
        <v>61</v>
      </c>
      <c r="AP987" t="s">
        <v>61</v>
      </c>
      <c r="AQ987" t="s">
        <v>61</v>
      </c>
      <c r="AR987" t="s">
        <v>61</v>
      </c>
      <c r="AS987" t="s">
        <v>61</v>
      </c>
      <c r="AT987" t="s">
        <v>61</v>
      </c>
      <c r="AU987" t="s">
        <v>61</v>
      </c>
      <c r="AV987" t="s">
        <v>61</v>
      </c>
      <c r="AW987" t="s">
        <v>61</v>
      </c>
      <c r="AX987" t="s">
        <v>61</v>
      </c>
      <c r="AY987" t="s">
        <v>61</v>
      </c>
      <c r="AZ987" t="s">
        <v>61</v>
      </c>
      <c r="BA987" t="s">
        <v>61</v>
      </c>
      <c r="BB987" t="s">
        <v>61</v>
      </c>
      <c r="BC987" t="s">
        <v>61</v>
      </c>
      <c r="BD987" t="s">
        <v>61</v>
      </c>
      <c r="BE987" t="s">
        <v>61</v>
      </c>
      <c r="BF987" t="s">
        <v>61</v>
      </c>
    </row>
    <row r="988" spans="1:58">
      <c r="A988" t="s">
        <v>58</v>
      </c>
      <c r="B988" t="s">
        <v>8196</v>
      </c>
      <c r="C988" t="s">
        <v>8197</v>
      </c>
      <c r="D988" t="s">
        <v>373</v>
      </c>
      <c r="E988" t="s">
        <v>61</v>
      </c>
      <c r="F988">
        <v>2011</v>
      </c>
      <c r="G988" t="s">
        <v>61</v>
      </c>
      <c r="H988">
        <v>10</v>
      </c>
      <c r="I988">
        <v>1</v>
      </c>
      <c r="J988">
        <v>69</v>
      </c>
      <c r="K988">
        <v>74</v>
      </c>
      <c r="L988" t="s">
        <v>8198</v>
      </c>
      <c r="M988" t="s">
        <v>8199</v>
      </c>
      <c r="N988" t="s">
        <v>8200</v>
      </c>
      <c r="O988" t="s">
        <v>61</v>
      </c>
      <c r="Q988" t="s">
        <v>61</v>
      </c>
      <c r="R988" t="s">
        <v>61</v>
      </c>
      <c r="S988" t="s">
        <v>61</v>
      </c>
      <c r="T988" t="s">
        <v>61</v>
      </c>
      <c r="X988" t="s">
        <v>61</v>
      </c>
      <c r="Y988" t="s">
        <v>377</v>
      </c>
      <c r="Z988" t="s">
        <v>61</v>
      </c>
      <c r="AA988" t="s">
        <v>61</v>
      </c>
      <c r="AB988">
        <v>2011268100</v>
      </c>
      <c r="AC988" t="s">
        <v>67</v>
      </c>
      <c r="AD988" t="s">
        <v>61</v>
      </c>
      <c r="AE988" t="s">
        <v>61</v>
      </c>
      <c r="AF988" t="s">
        <v>61</v>
      </c>
      <c r="AG988" t="s">
        <v>61</v>
      </c>
      <c r="AH988" t="s">
        <v>61</v>
      </c>
      <c r="AI988" t="s">
        <v>61</v>
      </c>
      <c r="AJ988" t="s">
        <v>61</v>
      </c>
      <c r="AK988" t="s">
        <v>61</v>
      </c>
      <c r="AL988" t="s">
        <v>61</v>
      </c>
      <c r="AM988" t="s">
        <v>8197</v>
      </c>
      <c r="AN988" t="s">
        <v>61</v>
      </c>
      <c r="AO988" t="s">
        <v>61</v>
      </c>
      <c r="AP988" t="s">
        <v>61</v>
      </c>
      <c r="AQ988" t="s">
        <v>61</v>
      </c>
      <c r="AR988" t="s">
        <v>61</v>
      </c>
      <c r="AS988" t="s">
        <v>61</v>
      </c>
      <c r="AT988" t="s">
        <v>61</v>
      </c>
      <c r="AU988" t="s">
        <v>61</v>
      </c>
      <c r="AV988" t="s">
        <v>61</v>
      </c>
      <c r="AW988" t="s">
        <v>61</v>
      </c>
      <c r="AX988" t="s">
        <v>61</v>
      </c>
      <c r="AY988" t="s">
        <v>61</v>
      </c>
      <c r="AZ988" t="s">
        <v>61</v>
      </c>
      <c r="BA988" t="s">
        <v>61</v>
      </c>
      <c r="BB988" t="s">
        <v>61</v>
      </c>
      <c r="BC988" t="s">
        <v>61</v>
      </c>
      <c r="BD988" t="s">
        <v>61</v>
      </c>
      <c r="BE988" t="s">
        <v>61</v>
      </c>
      <c r="BF988" t="s">
        <v>61</v>
      </c>
    </row>
    <row r="989" spans="1:58">
      <c r="A989" t="s">
        <v>58</v>
      </c>
      <c r="B989" t="s">
        <v>8201</v>
      </c>
      <c r="C989" t="s">
        <v>8202</v>
      </c>
      <c r="D989" t="s">
        <v>8203</v>
      </c>
      <c r="E989" t="s">
        <v>61</v>
      </c>
      <c r="F989">
        <v>2011</v>
      </c>
      <c r="G989" t="s">
        <v>61</v>
      </c>
      <c r="H989">
        <v>25</v>
      </c>
      <c r="I989">
        <v>1</v>
      </c>
      <c r="J989">
        <v>31</v>
      </c>
      <c r="K989" t="s">
        <v>8204</v>
      </c>
      <c r="L989" t="s">
        <v>8205</v>
      </c>
      <c r="M989" t="s">
        <v>8206</v>
      </c>
      <c r="N989" t="s">
        <v>8207</v>
      </c>
      <c r="O989" t="s">
        <v>61</v>
      </c>
      <c r="Q989" t="s">
        <v>61</v>
      </c>
      <c r="R989" t="s">
        <v>61</v>
      </c>
      <c r="S989" t="s">
        <v>61</v>
      </c>
      <c r="T989" t="s">
        <v>61</v>
      </c>
      <c r="X989" t="s">
        <v>61</v>
      </c>
      <c r="Y989" t="s">
        <v>8208</v>
      </c>
      <c r="Z989" t="s">
        <v>61</v>
      </c>
      <c r="AA989" t="s">
        <v>8209</v>
      </c>
      <c r="AB989">
        <v>104824940</v>
      </c>
      <c r="AC989" t="s">
        <v>67</v>
      </c>
      <c r="AD989" t="s">
        <v>61</v>
      </c>
      <c r="AE989" t="s">
        <v>61</v>
      </c>
      <c r="AF989" t="s">
        <v>61</v>
      </c>
      <c r="AG989" t="s">
        <v>8210</v>
      </c>
      <c r="AH989" t="s">
        <v>61</v>
      </c>
      <c r="AI989" t="s">
        <v>8211</v>
      </c>
      <c r="AJ989" t="s">
        <v>61</v>
      </c>
      <c r="AK989" t="s">
        <v>61</v>
      </c>
      <c r="AL989" t="s">
        <v>61</v>
      </c>
      <c r="AM989" t="s">
        <v>8212</v>
      </c>
      <c r="AN989" t="s">
        <v>61</v>
      </c>
      <c r="AO989" t="s">
        <v>61</v>
      </c>
      <c r="AP989" t="s">
        <v>61</v>
      </c>
      <c r="AQ989" t="s">
        <v>61</v>
      </c>
      <c r="AR989" t="s">
        <v>61</v>
      </c>
      <c r="AS989" t="s">
        <v>61</v>
      </c>
      <c r="AT989" t="s">
        <v>61</v>
      </c>
      <c r="AU989" t="s">
        <v>61</v>
      </c>
      <c r="AV989" t="s">
        <v>61</v>
      </c>
      <c r="AW989" t="s">
        <v>61</v>
      </c>
      <c r="AX989" t="s">
        <v>61</v>
      </c>
      <c r="AY989" t="s">
        <v>61</v>
      </c>
      <c r="AZ989" t="s">
        <v>61</v>
      </c>
      <c r="BA989" t="s">
        <v>61</v>
      </c>
      <c r="BB989" t="s">
        <v>61</v>
      </c>
      <c r="BC989" t="s">
        <v>61</v>
      </c>
      <c r="BD989" t="s">
        <v>61</v>
      </c>
      <c r="BE989" t="s">
        <v>61</v>
      </c>
      <c r="BF989" t="s">
        <v>61</v>
      </c>
    </row>
    <row r="990" spans="1:58">
      <c r="A990" t="s">
        <v>58</v>
      </c>
      <c r="B990" t="s">
        <v>8213</v>
      </c>
      <c r="C990" t="s">
        <v>8214</v>
      </c>
      <c r="D990" t="s">
        <v>876</v>
      </c>
      <c r="E990" t="s">
        <v>877</v>
      </c>
      <c r="F990">
        <v>1990</v>
      </c>
      <c r="G990" t="s">
        <v>1644</v>
      </c>
      <c r="H990">
        <v>54</v>
      </c>
      <c r="I990">
        <v>1</v>
      </c>
      <c r="J990">
        <v>30</v>
      </c>
      <c r="K990">
        <v>34</v>
      </c>
      <c r="L990" t="s">
        <v>8215</v>
      </c>
      <c r="M990" t="s">
        <v>8216</v>
      </c>
      <c r="N990" t="s">
        <v>8217</v>
      </c>
      <c r="O990" t="s">
        <v>61</v>
      </c>
      <c r="Q990" t="s">
        <v>61</v>
      </c>
      <c r="R990" t="s">
        <v>61</v>
      </c>
      <c r="S990" t="s">
        <v>61</v>
      </c>
      <c r="T990" t="s">
        <v>61</v>
      </c>
      <c r="X990" t="s">
        <v>61</v>
      </c>
      <c r="Y990" t="s">
        <v>61</v>
      </c>
      <c r="Z990" t="s">
        <v>61</v>
      </c>
      <c r="AA990" t="s">
        <v>61</v>
      </c>
      <c r="AB990" t="s">
        <v>8218</v>
      </c>
      <c r="AC990" t="s">
        <v>67</v>
      </c>
      <c r="AD990" t="s">
        <v>61</v>
      </c>
      <c r="AE990" t="s">
        <v>61</v>
      </c>
      <c r="AF990" t="s">
        <v>61</v>
      </c>
      <c r="AG990" t="s">
        <v>61</v>
      </c>
      <c r="AH990" t="s">
        <v>61</v>
      </c>
      <c r="AI990" t="s">
        <v>61</v>
      </c>
      <c r="AJ990" t="s">
        <v>61</v>
      </c>
      <c r="AK990" t="s">
        <v>61</v>
      </c>
      <c r="AL990" t="s">
        <v>61</v>
      </c>
      <c r="AM990" t="s">
        <v>8219</v>
      </c>
      <c r="AN990" t="s">
        <v>61</v>
      </c>
      <c r="AO990" t="s">
        <v>61</v>
      </c>
      <c r="AP990" t="s">
        <v>61</v>
      </c>
      <c r="AQ990" t="s">
        <v>61</v>
      </c>
      <c r="AR990" t="s">
        <v>61</v>
      </c>
      <c r="AS990" t="s">
        <v>61</v>
      </c>
      <c r="AT990" t="s">
        <v>61</v>
      </c>
      <c r="AU990" t="s">
        <v>61</v>
      </c>
      <c r="AV990" t="s">
        <v>61</v>
      </c>
      <c r="AW990" t="s">
        <v>61</v>
      </c>
      <c r="AX990" t="s">
        <v>61</v>
      </c>
      <c r="AY990" t="s">
        <v>61</v>
      </c>
      <c r="AZ990" t="s">
        <v>61</v>
      </c>
      <c r="BA990" t="s">
        <v>61</v>
      </c>
      <c r="BB990" t="s">
        <v>61</v>
      </c>
      <c r="BC990" t="s">
        <v>61</v>
      </c>
      <c r="BD990" t="s">
        <v>61</v>
      </c>
      <c r="BE990" t="s">
        <v>61</v>
      </c>
      <c r="BF990" t="s">
        <v>61</v>
      </c>
    </row>
    <row r="991" spans="1:58">
      <c r="A991" t="s">
        <v>58</v>
      </c>
      <c r="B991" t="s">
        <v>8220</v>
      </c>
      <c r="C991" t="s">
        <v>8221</v>
      </c>
      <c r="D991" t="s">
        <v>162</v>
      </c>
      <c r="E991" t="s">
        <v>163</v>
      </c>
      <c r="F991">
        <v>2002</v>
      </c>
      <c r="G991" t="s">
        <v>61</v>
      </c>
      <c r="H991">
        <v>42</v>
      </c>
      <c r="I991">
        <v>7</v>
      </c>
      <c r="J991">
        <v>774</v>
      </c>
      <c r="K991">
        <v>781</v>
      </c>
      <c r="L991" t="s">
        <v>8222</v>
      </c>
      <c r="M991" t="s">
        <v>8223</v>
      </c>
      <c r="N991" t="s">
        <v>8224</v>
      </c>
      <c r="O991" t="s">
        <v>61</v>
      </c>
      <c r="Q991" t="s">
        <v>61</v>
      </c>
      <c r="R991" t="s">
        <v>61</v>
      </c>
      <c r="S991" t="s">
        <v>61</v>
      </c>
      <c r="T991" t="s">
        <v>61</v>
      </c>
      <c r="X991" t="s">
        <v>61</v>
      </c>
      <c r="Y991" t="s">
        <v>167</v>
      </c>
      <c r="Z991" t="s">
        <v>61</v>
      </c>
      <c r="AA991" t="s">
        <v>61</v>
      </c>
      <c r="AB991">
        <v>2002221507</v>
      </c>
      <c r="AC991" t="s">
        <v>67</v>
      </c>
      <c r="AD991" t="s">
        <v>61</v>
      </c>
      <c r="AE991" t="s">
        <v>61</v>
      </c>
      <c r="AF991" t="s">
        <v>61</v>
      </c>
      <c r="AG991" t="s">
        <v>8225</v>
      </c>
      <c r="AH991" t="s">
        <v>61</v>
      </c>
      <c r="AI991" t="s">
        <v>61</v>
      </c>
      <c r="AJ991" t="s">
        <v>61</v>
      </c>
      <c r="AK991" t="s">
        <v>61</v>
      </c>
      <c r="AL991" t="s">
        <v>61</v>
      </c>
      <c r="AM991" t="s">
        <v>8226</v>
      </c>
      <c r="AN991" t="s">
        <v>61</v>
      </c>
      <c r="AO991" t="s">
        <v>61</v>
      </c>
      <c r="AP991" t="s">
        <v>61</v>
      </c>
      <c r="AQ991" t="s">
        <v>61</v>
      </c>
      <c r="AR991" t="s">
        <v>61</v>
      </c>
      <c r="AS991" t="s">
        <v>61</v>
      </c>
      <c r="AT991" t="s">
        <v>61</v>
      </c>
      <c r="AU991" t="s">
        <v>61</v>
      </c>
      <c r="AV991" t="s">
        <v>61</v>
      </c>
      <c r="AW991" t="s">
        <v>61</v>
      </c>
      <c r="AX991" t="s">
        <v>61</v>
      </c>
      <c r="AY991" t="s">
        <v>61</v>
      </c>
      <c r="AZ991" t="s">
        <v>61</v>
      </c>
      <c r="BA991" t="s">
        <v>61</v>
      </c>
      <c r="BB991" t="s">
        <v>61</v>
      </c>
      <c r="BC991" t="s">
        <v>61</v>
      </c>
      <c r="BD991" t="s">
        <v>61</v>
      </c>
      <c r="BE991" t="s">
        <v>61</v>
      </c>
      <c r="BF991" t="s">
        <v>61</v>
      </c>
    </row>
    <row r="992" spans="1:58">
      <c r="A992" t="s">
        <v>58</v>
      </c>
      <c r="B992" t="s">
        <v>8227</v>
      </c>
      <c r="C992" t="s">
        <v>8228</v>
      </c>
      <c r="D992" t="s">
        <v>1749</v>
      </c>
      <c r="E992" t="s">
        <v>1750</v>
      </c>
      <c r="F992">
        <v>2002</v>
      </c>
      <c r="G992" t="s">
        <v>273</v>
      </c>
      <c r="H992">
        <v>57</v>
      </c>
      <c r="I992">
        <v>12</v>
      </c>
      <c r="J992">
        <v>903</v>
      </c>
      <c r="K992">
        <v>910</v>
      </c>
      <c r="L992" t="s">
        <v>8229</v>
      </c>
      <c r="M992" t="s">
        <v>8230</v>
      </c>
      <c r="N992" t="s">
        <v>8231</v>
      </c>
      <c r="O992" t="s">
        <v>61</v>
      </c>
      <c r="Q992" t="s">
        <v>61</v>
      </c>
      <c r="R992" t="s">
        <v>61</v>
      </c>
      <c r="S992" t="s">
        <v>61</v>
      </c>
      <c r="T992" t="s">
        <v>61</v>
      </c>
      <c r="X992" t="s">
        <v>61</v>
      </c>
      <c r="Y992" t="s">
        <v>5161</v>
      </c>
      <c r="Z992" t="s">
        <v>61</v>
      </c>
      <c r="AA992" t="s">
        <v>8232</v>
      </c>
      <c r="AB992">
        <v>11936711</v>
      </c>
      <c r="AC992" t="s">
        <v>67</v>
      </c>
      <c r="AD992" t="s">
        <v>61</v>
      </c>
      <c r="AE992" t="s">
        <v>61</v>
      </c>
      <c r="AF992" t="s">
        <v>61</v>
      </c>
      <c r="AG992" t="s">
        <v>8233</v>
      </c>
      <c r="AH992" t="s">
        <v>61</v>
      </c>
      <c r="AI992" t="s">
        <v>61</v>
      </c>
      <c r="AJ992" t="s">
        <v>61</v>
      </c>
      <c r="AK992" t="s">
        <v>61</v>
      </c>
      <c r="AL992" t="s">
        <v>61</v>
      </c>
      <c r="AM992" t="s">
        <v>8234</v>
      </c>
      <c r="AN992" t="s">
        <v>61</v>
      </c>
      <c r="AO992" t="s">
        <v>61</v>
      </c>
      <c r="AP992" t="s">
        <v>61</v>
      </c>
      <c r="AQ992" t="s">
        <v>61</v>
      </c>
      <c r="AR992" t="s">
        <v>61</v>
      </c>
      <c r="AS992" t="s">
        <v>61</v>
      </c>
      <c r="AT992" t="s">
        <v>61</v>
      </c>
      <c r="AU992" t="s">
        <v>61</v>
      </c>
      <c r="AV992" t="s">
        <v>61</v>
      </c>
      <c r="AW992" t="s">
        <v>61</v>
      </c>
      <c r="AX992" t="s">
        <v>61</v>
      </c>
      <c r="AY992" t="s">
        <v>61</v>
      </c>
      <c r="AZ992" t="s">
        <v>61</v>
      </c>
      <c r="BA992" t="s">
        <v>61</v>
      </c>
      <c r="BB992" t="s">
        <v>61</v>
      </c>
      <c r="BC992" t="s">
        <v>61</v>
      </c>
      <c r="BD992" t="s">
        <v>61</v>
      </c>
      <c r="BE992" t="s">
        <v>61</v>
      </c>
      <c r="BF992" t="s">
        <v>61</v>
      </c>
    </row>
    <row r="993" spans="1:58">
      <c r="A993" t="s">
        <v>58</v>
      </c>
      <c r="B993" t="s">
        <v>8235</v>
      </c>
      <c r="C993" t="s">
        <v>8236</v>
      </c>
      <c r="D993" t="s">
        <v>8237</v>
      </c>
      <c r="E993" t="s">
        <v>61</v>
      </c>
      <c r="F993">
        <v>1990</v>
      </c>
      <c r="G993" t="s">
        <v>61</v>
      </c>
      <c r="H993">
        <v>11</v>
      </c>
      <c r="I993">
        <v>3</v>
      </c>
      <c r="J993">
        <v>135</v>
      </c>
      <c r="K993">
        <v>151</v>
      </c>
      <c r="L993" t="s">
        <v>8238</v>
      </c>
      <c r="M993" t="s">
        <v>61</v>
      </c>
      <c r="N993" t="s">
        <v>8239</v>
      </c>
      <c r="O993" t="s">
        <v>61</v>
      </c>
      <c r="Q993" t="s">
        <v>61</v>
      </c>
      <c r="R993" t="s">
        <v>61</v>
      </c>
      <c r="S993" t="s">
        <v>61</v>
      </c>
      <c r="T993" t="s">
        <v>61</v>
      </c>
      <c r="X993" t="s">
        <v>61</v>
      </c>
      <c r="Y993" t="s">
        <v>8240</v>
      </c>
      <c r="Z993" t="s">
        <v>61</v>
      </c>
      <c r="AA993" t="s">
        <v>61</v>
      </c>
      <c r="AB993">
        <v>1990380840</v>
      </c>
      <c r="AC993" t="s">
        <v>67</v>
      </c>
      <c r="AD993" t="s">
        <v>61</v>
      </c>
      <c r="AE993" t="s">
        <v>61</v>
      </c>
      <c r="AF993" t="s">
        <v>61</v>
      </c>
      <c r="AG993" t="s">
        <v>61</v>
      </c>
      <c r="AH993" t="s">
        <v>61</v>
      </c>
      <c r="AI993" t="s">
        <v>61</v>
      </c>
      <c r="AJ993" t="s">
        <v>61</v>
      </c>
      <c r="AK993" t="s">
        <v>61</v>
      </c>
      <c r="AL993" t="s">
        <v>61</v>
      </c>
      <c r="AM993" t="s">
        <v>8236</v>
      </c>
      <c r="AN993" t="s">
        <v>61</v>
      </c>
      <c r="AO993" t="s">
        <v>61</v>
      </c>
      <c r="AP993" t="s">
        <v>61</v>
      </c>
      <c r="AQ993" t="s">
        <v>61</v>
      </c>
      <c r="AR993" t="s">
        <v>61</v>
      </c>
      <c r="AS993" t="s">
        <v>61</v>
      </c>
      <c r="AT993" t="s">
        <v>61</v>
      </c>
      <c r="AU993" t="s">
        <v>61</v>
      </c>
      <c r="AV993" t="s">
        <v>61</v>
      </c>
      <c r="AW993" t="s">
        <v>61</v>
      </c>
      <c r="AX993" t="s">
        <v>61</v>
      </c>
      <c r="AY993" t="s">
        <v>61</v>
      </c>
      <c r="AZ993" t="s">
        <v>61</v>
      </c>
      <c r="BA993" t="s">
        <v>61</v>
      </c>
      <c r="BB993" t="s">
        <v>61</v>
      </c>
      <c r="BC993" t="s">
        <v>61</v>
      </c>
      <c r="BD993" t="s">
        <v>61</v>
      </c>
      <c r="BE993" t="s">
        <v>61</v>
      </c>
      <c r="BF993" t="s">
        <v>61</v>
      </c>
    </row>
    <row r="994" spans="1:58">
      <c r="A994" t="s">
        <v>115</v>
      </c>
      <c r="B994" t="s">
        <v>8241</v>
      </c>
      <c r="C994" t="s">
        <v>8242</v>
      </c>
      <c r="D994" t="s">
        <v>876</v>
      </c>
      <c r="E994" t="s">
        <v>877</v>
      </c>
      <c r="F994">
        <v>1990</v>
      </c>
      <c r="G994" t="s">
        <v>1644</v>
      </c>
      <c r="H994">
        <v>54</v>
      </c>
      <c r="I994">
        <v>1</v>
      </c>
      <c r="J994">
        <v>27</v>
      </c>
      <c r="K994">
        <v>30</v>
      </c>
      <c r="L994" t="s">
        <v>8243</v>
      </c>
      <c r="M994" t="s">
        <v>8244</v>
      </c>
      <c r="N994" t="s">
        <v>8245</v>
      </c>
      <c r="O994" t="s">
        <v>61</v>
      </c>
      <c r="Q994" t="s">
        <v>61</v>
      </c>
      <c r="R994" t="s">
        <v>61</v>
      </c>
      <c r="S994" t="s">
        <v>61</v>
      </c>
      <c r="T994" t="s">
        <v>61</v>
      </c>
      <c r="X994" t="s">
        <v>61</v>
      </c>
      <c r="Y994" t="s">
        <v>61</v>
      </c>
      <c r="Z994" t="s">
        <v>61</v>
      </c>
      <c r="AA994" t="s">
        <v>61</v>
      </c>
      <c r="AB994" t="s">
        <v>8246</v>
      </c>
      <c r="AC994" t="s">
        <v>67</v>
      </c>
      <c r="AD994" t="s">
        <v>61</v>
      </c>
      <c r="AE994" t="s">
        <v>61</v>
      </c>
      <c r="AF994" t="s">
        <v>61</v>
      </c>
      <c r="AG994" t="s">
        <v>61</v>
      </c>
      <c r="AH994" t="s">
        <v>61</v>
      </c>
      <c r="AI994" t="s">
        <v>61</v>
      </c>
      <c r="AJ994" t="s">
        <v>61</v>
      </c>
      <c r="AK994" t="s">
        <v>61</v>
      </c>
      <c r="AL994" t="s">
        <v>61</v>
      </c>
      <c r="AM994" t="s">
        <v>8247</v>
      </c>
      <c r="AN994" t="s">
        <v>61</v>
      </c>
      <c r="AO994" t="s">
        <v>61</v>
      </c>
      <c r="AP994" t="s">
        <v>61</v>
      </c>
      <c r="AQ994" t="s">
        <v>61</v>
      </c>
      <c r="AR994" t="s">
        <v>61</v>
      </c>
      <c r="AS994" t="s">
        <v>61</v>
      </c>
      <c r="AT994" t="s">
        <v>61</v>
      </c>
      <c r="AU994" t="s">
        <v>61</v>
      </c>
      <c r="AV994" t="s">
        <v>61</v>
      </c>
      <c r="AW994" t="s">
        <v>61</v>
      </c>
      <c r="AX994" t="s">
        <v>61</v>
      </c>
      <c r="AY994" t="s">
        <v>61</v>
      </c>
      <c r="AZ994" t="s">
        <v>61</v>
      </c>
      <c r="BA994" t="s">
        <v>61</v>
      </c>
      <c r="BB994" t="s">
        <v>61</v>
      </c>
      <c r="BC994" t="s">
        <v>61</v>
      </c>
      <c r="BD994" t="s">
        <v>61</v>
      </c>
      <c r="BE994" t="s">
        <v>61</v>
      </c>
      <c r="BF994" t="s">
        <v>61</v>
      </c>
    </row>
    <row r="995" spans="1:58">
      <c r="A995" t="s">
        <v>58</v>
      </c>
      <c r="B995" t="s">
        <v>8248</v>
      </c>
      <c r="C995" t="s">
        <v>8249</v>
      </c>
      <c r="D995" t="s">
        <v>1739</v>
      </c>
      <c r="E995" t="s">
        <v>1740</v>
      </c>
      <c r="F995">
        <v>1981</v>
      </c>
      <c r="G995" t="s">
        <v>851</v>
      </c>
      <c r="H995">
        <v>38</v>
      </c>
      <c r="I995">
        <v>11</v>
      </c>
      <c r="J995">
        <v>1720</v>
      </c>
      <c r="K995">
        <v>1721</v>
      </c>
      <c r="L995" t="s">
        <v>8250</v>
      </c>
      <c r="M995" t="s">
        <v>8251</v>
      </c>
      <c r="N995" t="s">
        <v>8252</v>
      </c>
      <c r="O995" t="s">
        <v>61</v>
      </c>
      <c r="Q995" t="s">
        <v>61</v>
      </c>
      <c r="R995" t="s">
        <v>61</v>
      </c>
      <c r="S995" t="s">
        <v>61</v>
      </c>
      <c r="T995" t="s">
        <v>61</v>
      </c>
      <c r="X995" t="s">
        <v>61</v>
      </c>
      <c r="Y995" s="2">
        <v>2698811</v>
      </c>
      <c r="Z995" t="s">
        <v>61</v>
      </c>
      <c r="AA995" t="s">
        <v>61</v>
      </c>
      <c r="AB995">
        <v>7304625</v>
      </c>
      <c r="AC995" t="s">
        <v>67</v>
      </c>
      <c r="AD995" t="s">
        <v>61</v>
      </c>
      <c r="AE995" t="s">
        <v>61</v>
      </c>
      <c r="AF995" t="s">
        <v>61</v>
      </c>
      <c r="AG995" t="s">
        <v>8253</v>
      </c>
      <c r="AH995" t="s">
        <v>61</v>
      </c>
      <c r="AI995" t="s">
        <v>61</v>
      </c>
      <c r="AJ995" t="s">
        <v>61</v>
      </c>
      <c r="AK995" t="s">
        <v>61</v>
      </c>
      <c r="AL995" t="s">
        <v>61</v>
      </c>
      <c r="AM995" t="s">
        <v>8254</v>
      </c>
      <c r="AN995" t="s">
        <v>61</v>
      </c>
      <c r="AO995" t="s">
        <v>61</v>
      </c>
      <c r="AP995" t="s">
        <v>61</v>
      </c>
      <c r="AQ995" t="s">
        <v>61</v>
      </c>
      <c r="AR995" t="s">
        <v>61</v>
      </c>
      <c r="AS995" t="s">
        <v>61</v>
      </c>
      <c r="AT995" t="s">
        <v>61</v>
      </c>
      <c r="AU995" t="s">
        <v>61</v>
      </c>
      <c r="AV995" t="s">
        <v>61</v>
      </c>
      <c r="AW995" t="s">
        <v>61</v>
      </c>
      <c r="AX995" t="s">
        <v>61</v>
      </c>
      <c r="AY995" t="s">
        <v>61</v>
      </c>
      <c r="AZ995" t="s">
        <v>61</v>
      </c>
      <c r="BA995" t="s">
        <v>61</v>
      </c>
      <c r="BB995" t="s">
        <v>61</v>
      </c>
      <c r="BC995" t="s">
        <v>61</v>
      </c>
      <c r="BD995" t="s">
        <v>61</v>
      </c>
      <c r="BE995" t="s">
        <v>61</v>
      </c>
      <c r="BF995" t="s">
        <v>61</v>
      </c>
    </row>
    <row r="996" spans="1:58">
      <c r="A996" t="s">
        <v>58</v>
      </c>
      <c r="B996" t="s">
        <v>8255</v>
      </c>
      <c r="C996" t="s">
        <v>8256</v>
      </c>
      <c r="D996" t="s">
        <v>428</v>
      </c>
      <c r="E996" t="s">
        <v>61</v>
      </c>
      <c r="F996">
        <v>2013</v>
      </c>
      <c r="G996" t="s">
        <v>457</v>
      </c>
      <c r="H996">
        <v>26</v>
      </c>
      <c r="I996">
        <v>3</v>
      </c>
      <c r="J996">
        <v>337</v>
      </c>
      <c r="K996">
        <v>338</v>
      </c>
      <c r="L996" t="s">
        <v>8257</v>
      </c>
      <c r="M996" t="s">
        <v>8258</v>
      </c>
      <c r="N996" t="s">
        <v>8259</v>
      </c>
      <c r="O996" t="s">
        <v>61</v>
      </c>
      <c r="Q996" t="s">
        <v>61</v>
      </c>
      <c r="R996" t="s">
        <v>61</v>
      </c>
      <c r="S996" t="s">
        <v>61</v>
      </c>
      <c r="T996" t="s">
        <v>61</v>
      </c>
      <c r="X996" t="s">
        <v>61</v>
      </c>
      <c r="Y996" t="s">
        <v>433</v>
      </c>
      <c r="Z996" t="s">
        <v>61</v>
      </c>
      <c r="AA996" t="s">
        <v>61</v>
      </c>
      <c r="AB996" t="s">
        <v>61</v>
      </c>
      <c r="AC996" t="s">
        <v>67</v>
      </c>
      <c r="AD996" t="s">
        <v>61</v>
      </c>
      <c r="AE996" t="s">
        <v>61</v>
      </c>
      <c r="AF996" t="s">
        <v>61</v>
      </c>
      <c r="AG996" t="s">
        <v>61</v>
      </c>
      <c r="AH996" t="s">
        <v>61</v>
      </c>
      <c r="AI996" t="s">
        <v>61</v>
      </c>
      <c r="AJ996" t="s">
        <v>61</v>
      </c>
      <c r="AK996" t="s">
        <v>61</v>
      </c>
      <c r="AL996" t="s">
        <v>61</v>
      </c>
      <c r="AM996" t="s">
        <v>8256</v>
      </c>
      <c r="AN996" t="s">
        <v>61</v>
      </c>
      <c r="AO996" t="s">
        <v>61</v>
      </c>
      <c r="AP996" t="s">
        <v>61</v>
      </c>
      <c r="AQ996" t="s">
        <v>61</v>
      </c>
      <c r="AR996" t="s">
        <v>61</v>
      </c>
      <c r="AS996" t="s">
        <v>61</v>
      </c>
      <c r="AT996" t="s">
        <v>61</v>
      </c>
      <c r="AU996" t="s">
        <v>61</v>
      </c>
      <c r="AV996" t="s">
        <v>61</v>
      </c>
      <c r="AW996" t="s">
        <v>61</v>
      </c>
      <c r="AX996" t="s">
        <v>61</v>
      </c>
      <c r="AY996" t="s">
        <v>61</v>
      </c>
      <c r="AZ996" t="s">
        <v>61</v>
      </c>
      <c r="BA996" t="s">
        <v>61</v>
      </c>
      <c r="BB996" t="s">
        <v>61</v>
      </c>
      <c r="BC996" t="s">
        <v>61</v>
      </c>
      <c r="BD996" t="s">
        <v>61</v>
      </c>
      <c r="BE996" t="s">
        <v>61</v>
      </c>
      <c r="BF996" t="s">
        <v>61</v>
      </c>
    </row>
    <row r="997" spans="1:58">
      <c r="A997" t="s">
        <v>58</v>
      </c>
      <c r="B997" t="s">
        <v>8260</v>
      </c>
      <c r="C997" t="s">
        <v>8261</v>
      </c>
      <c r="D997" t="s">
        <v>4877</v>
      </c>
      <c r="E997" t="s">
        <v>4878</v>
      </c>
      <c r="F997">
        <v>1986</v>
      </c>
      <c r="G997" t="s">
        <v>61</v>
      </c>
      <c r="H997">
        <v>3</v>
      </c>
      <c r="I997">
        <v>2</v>
      </c>
      <c r="J997">
        <v>103</v>
      </c>
      <c r="K997">
        <v>109</v>
      </c>
      <c r="L997" t="s">
        <v>8262</v>
      </c>
      <c r="M997" t="s">
        <v>8263</v>
      </c>
      <c r="N997" t="s">
        <v>8264</v>
      </c>
      <c r="O997" t="s">
        <v>61</v>
      </c>
      <c r="Q997" t="s">
        <v>61</v>
      </c>
      <c r="R997" t="s">
        <v>61</v>
      </c>
      <c r="S997" t="s">
        <v>61</v>
      </c>
      <c r="T997" t="s">
        <v>61</v>
      </c>
      <c r="X997" t="s">
        <v>61</v>
      </c>
      <c r="Y997" t="s">
        <v>6667</v>
      </c>
      <c r="Z997" t="s">
        <v>61</v>
      </c>
      <c r="AA997" t="s">
        <v>61</v>
      </c>
      <c r="AB997">
        <v>3761406</v>
      </c>
      <c r="AC997" t="s">
        <v>67</v>
      </c>
      <c r="AD997" t="s">
        <v>61</v>
      </c>
      <c r="AE997" t="s">
        <v>61</v>
      </c>
      <c r="AF997" t="s">
        <v>61</v>
      </c>
      <c r="AG997" t="s">
        <v>8265</v>
      </c>
      <c r="AH997" t="s">
        <v>61</v>
      </c>
      <c r="AI997" t="s">
        <v>61</v>
      </c>
      <c r="AJ997" t="s">
        <v>61</v>
      </c>
      <c r="AK997" t="s">
        <v>61</v>
      </c>
      <c r="AL997" t="s">
        <v>61</v>
      </c>
      <c r="AM997" t="s">
        <v>8266</v>
      </c>
      <c r="AN997" t="s">
        <v>61</v>
      </c>
      <c r="AO997" t="s">
        <v>61</v>
      </c>
      <c r="AP997" t="s">
        <v>61</v>
      </c>
      <c r="AQ997" t="s">
        <v>61</v>
      </c>
      <c r="AR997" t="s">
        <v>61</v>
      </c>
      <c r="AS997" t="s">
        <v>61</v>
      </c>
      <c r="AT997" t="s">
        <v>61</v>
      </c>
      <c r="AU997" t="s">
        <v>61</v>
      </c>
      <c r="AV997" t="s">
        <v>61</v>
      </c>
      <c r="AW997" t="s">
        <v>61</v>
      </c>
      <c r="AX997" t="s">
        <v>61</v>
      </c>
      <c r="AY997" t="s">
        <v>61</v>
      </c>
      <c r="AZ997" t="s">
        <v>61</v>
      </c>
      <c r="BA997" t="s">
        <v>61</v>
      </c>
      <c r="BB997" t="s">
        <v>61</v>
      </c>
      <c r="BC997" t="s">
        <v>61</v>
      </c>
      <c r="BD997" t="s">
        <v>61</v>
      </c>
      <c r="BE997" t="s">
        <v>61</v>
      </c>
      <c r="BF997" t="s">
        <v>61</v>
      </c>
    </row>
    <row r="998" spans="1:58">
      <c r="A998" t="s">
        <v>58</v>
      </c>
      <c r="B998" t="s">
        <v>8267</v>
      </c>
      <c r="C998" t="s">
        <v>8268</v>
      </c>
      <c r="D998" t="s">
        <v>8269</v>
      </c>
      <c r="E998" t="s">
        <v>61</v>
      </c>
      <c r="F998">
        <v>2015</v>
      </c>
      <c r="G998" t="s">
        <v>154</v>
      </c>
      <c r="H998">
        <v>43</v>
      </c>
      <c r="I998">
        <v>4</v>
      </c>
      <c r="J998">
        <v>263</v>
      </c>
      <c r="K998">
        <v>272</v>
      </c>
      <c r="L998" t="s">
        <v>8270</v>
      </c>
      <c r="M998" t="s">
        <v>8271</v>
      </c>
      <c r="N998" t="s">
        <v>8272</v>
      </c>
      <c r="O998" t="s">
        <v>61</v>
      </c>
      <c r="Q998" t="s">
        <v>61</v>
      </c>
      <c r="R998" t="s">
        <v>61</v>
      </c>
      <c r="S998" t="s">
        <v>61</v>
      </c>
      <c r="T998" t="s">
        <v>61</v>
      </c>
      <c r="X998" t="s">
        <v>61</v>
      </c>
      <c r="Y998" t="s">
        <v>8273</v>
      </c>
      <c r="Z998" t="s">
        <v>61</v>
      </c>
      <c r="AA998" t="s">
        <v>8274</v>
      </c>
      <c r="AB998" t="s">
        <v>8275</v>
      </c>
      <c r="AC998" t="s">
        <v>67</v>
      </c>
      <c r="AD998" t="s">
        <v>61</v>
      </c>
      <c r="AE998" t="s">
        <v>61</v>
      </c>
      <c r="AF998" t="s">
        <v>61</v>
      </c>
      <c r="AG998" t="s">
        <v>61</v>
      </c>
      <c r="AH998" t="s">
        <v>61</v>
      </c>
      <c r="AI998" t="s">
        <v>61</v>
      </c>
      <c r="AJ998" t="s">
        <v>61</v>
      </c>
      <c r="AK998" t="s">
        <v>61</v>
      </c>
      <c r="AL998" t="s">
        <v>61</v>
      </c>
      <c r="AM998" t="s">
        <v>8276</v>
      </c>
      <c r="AN998" t="s">
        <v>61</v>
      </c>
      <c r="AO998" t="s">
        <v>61</v>
      </c>
      <c r="AP998" t="s">
        <v>61</v>
      </c>
      <c r="AQ998" t="s">
        <v>61</v>
      </c>
      <c r="AR998" t="s">
        <v>61</v>
      </c>
      <c r="AS998" t="s">
        <v>61</v>
      </c>
      <c r="AT998" t="s">
        <v>61</v>
      </c>
      <c r="AU998" t="s">
        <v>61</v>
      </c>
      <c r="AV998" t="s">
        <v>61</v>
      </c>
      <c r="AW998" t="s">
        <v>61</v>
      </c>
      <c r="AX998" t="s">
        <v>61</v>
      </c>
      <c r="AY998" t="s">
        <v>61</v>
      </c>
      <c r="AZ998" t="s">
        <v>61</v>
      </c>
      <c r="BA998" t="s">
        <v>61</v>
      </c>
      <c r="BB998" t="s">
        <v>61</v>
      </c>
      <c r="BC998" t="s">
        <v>61</v>
      </c>
      <c r="BD998" t="s">
        <v>61</v>
      </c>
      <c r="BE998" t="s">
        <v>61</v>
      </c>
      <c r="BF998" t="s">
        <v>61</v>
      </c>
    </row>
    <row r="999" spans="1:58">
      <c r="A999" t="s">
        <v>58</v>
      </c>
      <c r="B999" t="s">
        <v>8277</v>
      </c>
      <c r="C999" t="s">
        <v>8278</v>
      </c>
      <c r="D999" t="s">
        <v>8279</v>
      </c>
      <c r="E999" t="s">
        <v>8280</v>
      </c>
      <c r="F999">
        <v>2015</v>
      </c>
      <c r="G999" t="s">
        <v>61</v>
      </c>
      <c r="H999" s="3">
        <v>1.6701388888888891</v>
      </c>
      <c r="I999" t="s">
        <v>61</v>
      </c>
      <c r="J999" t="s">
        <v>61</v>
      </c>
      <c r="K999" t="s">
        <v>61</v>
      </c>
      <c r="L999" t="s">
        <v>8281</v>
      </c>
      <c r="M999" t="s">
        <v>8282</v>
      </c>
      <c r="N999" t="s">
        <v>8283</v>
      </c>
      <c r="O999" t="s">
        <v>61</v>
      </c>
      <c r="Q999" t="s">
        <v>61</v>
      </c>
      <c r="R999" t="s">
        <v>61</v>
      </c>
      <c r="S999" t="s">
        <v>61</v>
      </c>
      <c r="T999" t="s">
        <v>61</v>
      </c>
      <c r="X999" t="s">
        <v>61</v>
      </c>
      <c r="Y999" t="s">
        <v>8284</v>
      </c>
      <c r="Z999" t="s">
        <v>61</v>
      </c>
      <c r="AA999" t="s">
        <v>61</v>
      </c>
      <c r="AB999" t="s">
        <v>61</v>
      </c>
      <c r="AC999" t="s">
        <v>67</v>
      </c>
      <c r="AD999" t="s">
        <v>61</v>
      </c>
      <c r="AE999" t="s">
        <v>61</v>
      </c>
      <c r="AF999" t="s">
        <v>61</v>
      </c>
      <c r="AG999" t="s">
        <v>61</v>
      </c>
      <c r="AH999" t="s">
        <v>61</v>
      </c>
      <c r="AI999" t="s">
        <v>61</v>
      </c>
      <c r="AJ999" t="s">
        <v>61</v>
      </c>
      <c r="AK999" t="s">
        <v>61</v>
      </c>
      <c r="AL999" t="s">
        <v>61</v>
      </c>
      <c r="AM999" t="s">
        <v>8278</v>
      </c>
      <c r="AN999" t="s">
        <v>61</v>
      </c>
      <c r="AO999" t="s">
        <v>61</v>
      </c>
      <c r="AP999" t="s">
        <v>61</v>
      </c>
      <c r="AQ999" t="s">
        <v>61</v>
      </c>
      <c r="AR999" t="s">
        <v>61</v>
      </c>
      <c r="AS999" t="s">
        <v>61</v>
      </c>
      <c r="AT999" t="s">
        <v>61</v>
      </c>
      <c r="AU999" t="s">
        <v>61</v>
      </c>
      <c r="AV999" t="s">
        <v>61</v>
      </c>
      <c r="AW999" t="s">
        <v>61</v>
      </c>
      <c r="AX999" t="s">
        <v>61</v>
      </c>
      <c r="AY999" t="s">
        <v>61</v>
      </c>
      <c r="AZ999" t="s">
        <v>61</v>
      </c>
      <c r="BA999" t="s">
        <v>61</v>
      </c>
      <c r="BB999" t="s">
        <v>61</v>
      </c>
      <c r="BC999" t="s">
        <v>61</v>
      </c>
      <c r="BD999" t="s">
        <v>61</v>
      </c>
      <c r="BE999" t="s">
        <v>61</v>
      </c>
      <c r="BF999" t="s">
        <v>61</v>
      </c>
    </row>
    <row r="1000" spans="1:58">
      <c r="A1000" t="s">
        <v>58</v>
      </c>
      <c r="B1000" t="s">
        <v>8285</v>
      </c>
      <c r="C1000" t="s">
        <v>8286</v>
      </c>
      <c r="D1000" t="s">
        <v>8287</v>
      </c>
      <c r="E1000" t="s">
        <v>8288</v>
      </c>
      <c r="F1000">
        <v>2016</v>
      </c>
      <c r="G1000" t="s">
        <v>61</v>
      </c>
      <c r="H1000">
        <v>16</v>
      </c>
      <c r="I1000">
        <v>1</v>
      </c>
      <c r="J1000">
        <v>17</v>
      </c>
      <c r="K1000" t="s">
        <v>61</v>
      </c>
      <c r="L1000" t="s">
        <v>61</v>
      </c>
      <c r="M1000" t="s">
        <v>8289</v>
      </c>
      <c r="N1000" t="s">
        <v>8290</v>
      </c>
      <c r="O1000" t="s">
        <v>61</v>
      </c>
      <c r="Q1000" t="s">
        <v>61</v>
      </c>
      <c r="R1000" t="s">
        <v>61</v>
      </c>
      <c r="S1000" t="s">
        <v>61</v>
      </c>
      <c r="T1000" t="s">
        <v>61</v>
      </c>
      <c r="X1000" t="s">
        <v>61</v>
      </c>
      <c r="Y1000" t="s">
        <v>8291</v>
      </c>
      <c r="Z1000" t="s">
        <v>61</v>
      </c>
      <c r="AA1000" t="s">
        <v>8292</v>
      </c>
      <c r="AB1000">
        <v>26971306</v>
      </c>
      <c r="AC1000" t="s">
        <v>67</v>
      </c>
      <c r="AD1000" t="s">
        <v>61</v>
      </c>
      <c r="AE1000" t="s">
        <v>61</v>
      </c>
      <c r="AF1000" t="s">
        <v>61</v>
      </c>
      <c r="AG1000" t="s">
        <v>8293</v>
      </c>
      <c r="AH1000" t="s">
        <v>61</v>
      </c>
      <c r="AI1000" t="s">
        <v>8294</v>
      </c>
      <c r="AJ1000" t="s">
        <v>61</v>
      </c>
      <c r="AK1000" t="s">
        <v>61</v>
      </c>
      <c r="AL1000" t="s">
        <v>61</v>
      </c>
      <c r="AM1000" t="s">
        <v>8295</v>
      </c>
      <c r="AN1000" t="s">
        <v>61</v>
      </c>
      <c r="AO1000" t="s">
        <v>61</v>
      </c>
      <c r="AP1000" t="s">
        <v>61</v>
      </c>
      <c r="AQ1000" t="s">
        <v>61</v>
      </c>
      <c r="AR1000" t="s">
        <v>61</v>
      </c>
      <c r="AS1000" t="s">
        <v>61</v>
      </c>
      <c r="AT1000" t="s">
        <v>61</v>
      </c>
      <c r="AU1000" t="s">
        <v>61</v>
      </c>
      <c r="AV1000" t="s">
        <v>61</v>
      </c>
      <c r="AW1000" t="s">
        <v>61</v>
      </c>
      <c r="AX1000" t="s">
        <v>61</v>
      </c>
      <c r="AY1000" t="s">
        <v>61</v>
      </c>
      <c r="AZ1000" t="s">
        <v>61</v>
      </c>
      <c r="BA1000" t="s">
        <v>61</v>
      </c>
      <c r="BB1000" t="s">
        <v>61</v>
      </c>
      <c r="BC1000" t="s">
        <v>61</v>
      </c>
      <c r="BD1000" t="s">
        <v>61</v>
      </c>
      <c r="BE1000" t="s">
        <v>61</v>
      </c>
      <c r="BF1000" t="s">
        <v>61</v>
      </c>
    </row>
    <row r="1001" spans="1:58">
      <c r="A1001" t="s">
        <v>58</v>
      </c>
      <c r="B1001" t="s">
        <v>8296</v>
      </c>
      <c r="C1001" t="s">
        <v>8297</v>
      </c>
      <c r="D1001" t="s">
        <v>8298</v>
      </c>
      <c r="E1001" t="s">
        <v>61</v>
      </c>
      <c r="F1001">
        <v>2015</v>
      </c>
      <c r="G1001" t="s">
        <v>61</v>
      </c>
      <c r="H1001">
        <v>27</v>
      </c>
      <c r="I1001">
        <v>3</v>
      </c>
      <c r="J1001">
        <v>190</v>
      </c>
      <c r="K1001">
        <v>197</v>
      </c>
      <c r="L1001" t="s">
        <v>61</v>
      </c>
      <c r="M1001" t="s">
        <v>8299</v>
      </c>
      <c r="N1001" t="s">
        <v>8300</v>
      </c>
      <c r="O1001" t="s">
        <v>61</v>
      </c>
      <c r="Q1001" t="s">
        <v>61</v>
      </c>
      <c r="R1001" t="s">
        <v>61</v>
      </c>
      <c r="S1001" t="s">
        <v>61</v>
      </c>
      <c r="T1001" t="s">
        <v>61</v>
      </c>
      <c r="X1001" t="s">
        <v>61</v>
      </c>
      <c r="Y1001" t="s">
        <v>8301</v>
      </c>
      <c r="Z1001" t="s">
        <v>61</v>
      </c>
      <c r="AA1001" t="s">
        <v>8302</v>
      </c>
      <c r="AB1001">
        <v>26437317</v>
      </c>
      <c r="AC1001" t="s">
        <v>8303</v>
      </c>
      <c r="AD1001" t="s">
        <v>61</v>
      </c>
      <c r="AE1001" t="s">
        <v>61</v>
      </c>
      <c r="AF1001" t="s">
        <v>61</v>
      </c>
      <c r="AG1001" t="s">
        <v>8304</v>
      </c>
      <c r="AH1001" t="s">
        <v>61</v>
      </c>
      <c r="AI1001" t="s">
        <v>61</v>
      </c>
      <c r="AJ1001" t="s">
        <v>61</v>
      </c>
      <c r="AK1001" t="s">
        <v>61</v>
      </c>
      <c r="AL1001" t="s">
        <v>61</v>
      </c>
      <c r="AM1001" t="s">
        <v>8305</v>
      </c>
      <c r="AN1001" t="s">
        <v>61</v>
      </c>
      <c r="AO1001" t="s">
        <v>61</v>
      </c>
      <c r="AP1001" t="s">
        <v>61</v>
      </c>
      <c r="AQ1001" t="s">
        <v>61</v>
      </c>
      <c r="AR1001" t="s">
        <v>61</v>
      </c>
      <c r="AS1001" t="s">
        <v>61</v>
      </c>
      <c r="AT1001" t="s">
        <v>61</v>
      </c>
      <c r="AU1001" t="s">
        <v>61</v>
      </c>
      <c r="AV1001" t="s">
        <v>61</v>
      </c>
      <c r="AW1001" t="s">
        <v>61</v>
      </c>
      <c r="AX1001" t="s">
        <v>61</v>
      </c>
      <c r="AY1001" t="s">
        <v>61</v>
      </c>
      <c r="AZ1001" t="s">
        <v>61</v>
      </c>
      <c r="BA1001" t="s">
        <v>61</v>
      </c>
      <c r="BB1001" t="s">
        <v>61</v>
      </c>
      <c r="BC1001" t="s">
        <v>61</v>
      </c>
      <c r="BD1001" t="s">
        <v>61</v>
      </c>
      <c r="BE1001" t="s">
        <v>61</v>
      </c>
      <c r="BF1001" t="s">
        <v>61</v>
      </c>
    </row>
    <row r="1002" spans="1:58">
      <c r="A1002" t="s">
        <v>58</v>
      </c>
      <c r="B1002" t="s">
        <v>8306</v>
      </c>
      <c r="C1002" t="s">
        <v>8307</v>
      </c>
      <c r="D1002" t="s">
        <v>5512</v>
      </c>
      <c r="E1002" t="s">
        <v>5513</v>
      </c>
      <c r="F1002">
        <v>2012</v>
      </c>
      <c r="G1002" t="s">
        <v>538</v>
      </c>
      <c r="H1002" s="3">
        <v>3.2534722222222219</v>
      </c>
      <c r="I1002" t="s">
        <v>61</v>
      </c>
      <c r="J1002" t="s">
        <v>61</v>
      </c>
      <c r="K1002" t="s">
        <v>61</v>
      </c>
      <c r="L1002" t="s">
        <v>8308</v>
      </c>
      <c r="M1002" t="s">
        <v>8309</v>
      </c>
      <c r="N1002" t="s">
        <v>8310</v>
      </c>
      <c r="O1002" t="s">
        <v>61</v>
      </c>
      <c r="Q1002" t="s">
        <v>61</v>
      </c>
      <c r="R1002" t="s">
        <v>61</v>
      </c>
      <c r="S1002" t="s">
        <v>61</v>
      </c>
      <c r="T1002" t="s">
        <v>61</v>
      </c>
      <c r="X1002" t="s">
        <v>61</v>
      </c>
      <c r="Y1002" t="s">
        <v>5517</v>
      </c>
      <c r="Z1002" t="s">
        <v>61</v>
      </c>
      <c r="AA1002" t="s">
        <v>61</v>
      </c>
      <c r="AB1002" t="s">
        <v>61</v>
      </c>
      <c r="AC1002" t="s">
        <v>67</v>
      </c>
      <c r="AD1002" t="s">
        <v>61</v>
      </c>
      <c r="AE1002" t="s">
        <v>61</v>
      </c>
      <c r="AF1002" t="s">
        <v>61</v>
      </c>
      <c r="AG1002" t="s">
        <v>61</v>
      </c>
      <c r="AH1002" t="s">
        <v>61</v>
      </c>
      <c r="AI1002" t="s">
        <v>61</v>
      </c>
      <c r="AJ1002" t="s">
        <v>61</v>
      </c>
      <c r="AK1002" t="s">
        <v>61</v>
      </c>
      <c r="AL1002" t="s">
        <v>61</v>
      </c>
      <c r="AM1002" t="s">
        <v>8307</v>
      </c>
      <c r="AN1002" t="s">
        <v>61</v>
      </c>
      <c r="AO1002" t="s">
        <v>61</v>
      </c>
      <c r="AP1002" t="s">
        <v>61</v>
      </c>
      <c r="AQ1002" t="s">
        <v>61</v>
      </c>
      <c r="AR1002" t="s">
        <v>61</v>
      </c>
      <c r="AS1002" t="s">
        <v>61</v>
      </c>
      <c r="AT1002" t="s">
        <v>61</v>
      </c>
      <c r="AU1002" t="s">
        <v>61</v>
      </c>
      <c r="AV1002" t="s">
        <v>61</v>
      </c>
      <c r="AW1002" t="s">
        <v>61</v>
      </c>
      <c r="AX1002" t="s">
        <v>61</v>
      </c>
      <c r="AY1002" t="s">
        <v>61</v>
      </c>
      <c r="AZ1002" t="s">
        <v>61</v>
      </c>
      <c r="BA1002" t="s">
        <v>61</v>
      </c>
      <c r="BB1002" t="s">
        <v>61</v>
      </c>
      <c r="BC1002" t="s">
        <v>61</v>
      </c>
      <c r="BD1002" t="s">
        <v>61</v>
      </c>
      <c r="BE1002" t="s">
        <v>61</v>
      </c>
      <c r="BF1002" t="s">
        <v>61</v>
      </c>
    </row>
    <row r="1003" spans="1:58">
      <c r="A1003" t="s">
        <v>58</v>
      </c>
      <c r="B1003" t="s">
        <v>8311</v>
      </c>
      <c r="C1003" t="s">
        <v>8312</v>
      </c>
      <c r="D1003" t="s">
        <v>8313</v>
      </c>
      <c r="E1003" t="s">
        <v>8314</v>
      </c>
      <c r="F1003">
        <v>2009</v>
      </c>
      <c r="G1003" s="1">
        <v>42540</v>
      </c>
      <c r="H1003">
        <v>122</v>
      </c>
      <c r="I1003">
        <v>1297</v>
      </c>
      <c r="J1003">
        <v>25</v>
      </c>
      <c r="K1003">
        <v>37</v>
      </c>
      <c r="L1003" t="s">
        <v>8315</v>
      </c>
      <c r="M1003" t="s">
        <v>8316</v>
      </c>
      <c r="N1003" t="s">
        <v>8317</v>
      </c>
      <c r="O1003" t="s">
        <v>61</v>
      </c>
      <c r="Q1003" t="s">
        <v>61</v>
      </c>
      <c r="R1003" t="s">
        <v>61</v>
      </c>
      <c r="S1003" t="s">
        <v>61</v>
      </c>
      <c r="T1003" t="s">
        <v>61</v>
      </c>
      <c r="X1003" t="s">
        <v>61</v>
      </c>
      <c r="Y1003" t="s">
        <v>8318</v>
      </c>
      <c r="Z1003" t="s">
        <v>61</v>
      </c>
      <c r="AA1003" t="s">
        <v>8319</v>
      </c>
      <c r="AB1003">
        <v>19648999</v>
      </c>
      <c r="AC1003" t="s">
        <v>67</v>
      </c>
      <c r="AD1003" t="s">
        <v>61</v>
      </c>
      <c r="AE1003" t="s">
        <v>61</v>
      </c>
      <c r="AF1003" t="s">
        <v>61</v>
      </c>
      <c r="AG1003" t="s">
        <v>8320</v>
      </c>
      <c r="AH1003" t="s">
        <v>61</v>
      </c>
      <c r="AI1003" t="s">
        <v>61</v>
      </c>
      <c r="AJ1003" t="s">
        <v>61</v>
      </c>
      <c r="AK1003" t="s">
        <v>61</v>
      </c>
      <c r="AL1003" t="s">
        <v>61</v>
      </c>
      <c r="AM1003" t="s">
        <v>8321</v>
      </c>
      <c r="AN1003" t="s">
        <v>61</v>
      </c>
      <c r="AO1003" t="s">
        <v>61</v>
      </c>
      <c r="AP1003" t="s">
        <v>61</v>
      </c>
      <c r="AQ1003" t="s">
        <v>61</v>
      </c>
      <c r="AR1003" t="s">
        <v>61</v>
      </c>
      <c r="AS1003" t="s">
        <v>61</v>
      </c>
      <c r="AT1003" t="s">
        <v>61</v>
      </c>
      <c r="AU1003" t="s">
        <v>61</v>
      </c>
      <c r="AV1003" t="s">
        <v>61</v>
      </c>
      <c r="AW1003" t="s">
        <v>61</v>
      </c>
      <c r="AX1003" t="s">
        <v>61</v>
      </c>
      <c r="AY1003" t="s">
        <v>61</v>
      </c>
      <c r="AZ1003" t="s">
        <v>61</v>
      </c>
      <c r="BA1003" t="s">
        <v>61</v>
      </c>
      <c r="BB1003" t="s">
        <v>61</v>
      </c>
      <c r="BC1003" t="s">
        <v>61</v>
      </c>
      <c r="BD1003" t="s">
        <v>61</v>
      </c>
      <c r="BE1003" t="s">
        <v>61</v>
      </c>
      <c r="BF1003" t="s">
        <v>61</v>
      </c>
    </row>
    <row r="1004" spans="1:58">
      <c r="A1004" t="s">
        <v>58</v>
      </c>
      <c r="B1004" t="s">
        <v>8322</v>
      </c>
      <c r="C1004" t="s">
        <v>8323</v>
      </c>
      <c r="D1004" t="s">
        <v>1801</v>
      </c>
      <c r="E1004" t="s">
        <v>61</v>
      </c>
      <c r="F1004">
        <v>2010</v>
      </c>
      <c r="G1004" t="s">
        <v>429</v>
      </c>
      <c r="H1004">
        <v>30</v>
      </c>
      <c r="I1004">
        <v>2</v>
      </c>
      <c r="J1004">
        <v>117</v>
      </c>
      <c r="K1004">
        <v>120</v>
      </c>
      <c r="L1004" t="s">
        <v>8324</v>
      </c>
      <c r="M1004" t="s">
        <v>8325</v>
      </c>
      <c r="N1004" t="s">
        <v>8326</v>
      </c>
      <c r="O1004" t="s">
        <v>61</v>
      </c>
      <c r="Q1004" t="s">
        <v>61</v>
      </c>
      <c r="R1004" t="s">
        <v>61</v>
      </c>
      <c r="S1004" t="s">
        <v>61</v>
      </c>
      <c r="T1004" t="s">
        <v>61</v>
      </c>
      <c r="X1004" t="s">
        <v>61</v>
      </c>
      <c r="Y1004" t="s">
        <v>1805</v>
      </c>
      <c r="Z1004" t="s">
        <v>61</v>
      </c>
      <c r="AA1004" t="s">
        <v>61</v>
      </c>
      <c r="AB1004" t="s">
        <v>61</v>
      </c>
      <c r="AC1004" t="s">
        <v>67</v>
      </c>
      <c r="AD1004" t="s">
        <v>61</v>
      </c>
      <c r="AE1004" t="s">
        <v>61</v>
      </c>
      <c r="AF1004" t="s">
        <v>61</v>
      </c>
      <c r="AG1004" t="s">
        <v>61</v>
      </c>
      <c r="AH1004" t="s">
        <v>61</v>
      </c>
      <c r="AI1004" t="s">
        <v>61</v>
      </c>
      <c r="AJ1004" t="s">
        <v>61</v>
      </c>
      <c r="AK1004" t="s">
        <v>61</v>
      </c>
      <c r="AL1004" t="s">
        <v>61</v>
      </c>
      <c r="AM1004" t="s">
        <v>8323</v>
      </c>
      <c r="AN1004" t="s">
        <v>61</v>
      </c>
      <c r="AO1004" t="s">
        <v>61</v>
      </c>
      <c r="AP1004" t="s">
        <v>61</v>
      </c>
      <c r="AQ1004" t="s">
        <v>61</v>
      </c>
      <c r="AR1004" t="s">
        <v>61</v>
      </c>
      <c r="AS1004" t="s">
        <v>61</v>
      </c>
      <c r="AT1004" t="s">
        <v>61</v>
      </c>
      <c r="AU1004" t="s">
        <v>61</v>
      </c>
      <c r="AV1004" t="s">
        <v>61</v>
      </c>
      <c r="AW1004" t="s">
        <v>61</v>
      </c>
      <c r="AX1004" t="s">
        <v>61</v>
      </c>
      <c r="AY1004" t="s">
        <v>61</v>
      </c>
      <c r="AZ1004" t="s">
        <v>61</v>
      </c>
      <c r="BA1004" t="s">
        <v>61</v>
      </c>
      <c r="BB1004" t="s">
        <v>61</v>
      </c>
      <c r="BC1004" t="s">
        <v>61</v>
      </c>
      <c r="BD1004" t="s">
        <v>61</v>
      </c>
      <c r="BE1004" t="s">
        <v>61</v>
      </c>
      <c r="BF1004" t="s">
        <v>61</v>
      </c>
    </row>
    <row r="1005" spans="1:58">
      <c r="A1005" t="s">
        <v>58</v>
      </c>
      <c r="B1005" t="s">
        <v>8327</v>
      </c>
      <c r="C1005" t="s">
        <v>8328</v>
      </c>
      <c r="D1005" t="s">
        <v>557</v>
      </c>
      <c r="E1005" t="s">
        <v>558</v>
      </c>
      <c r="F1005">
        <v>1996</v>
      </c>
      <c r="G1005" t="s">
        <v>61</v>
      </c>
      <c r="H1005">
        <v>17</v>
      </c>
      <c r="I1005">
        <v>3</v>
      </c>
      <c r="J1005">
        <v>301</v>
      </c>
      <c r="K1005">
        <v>306</v>
      </c>
      <c r="L1005" t="s">
        <v>8329</v>
      </c>
      <c r="M1005" t="s">
        <v>8330</v>
      </c>
      <c r="N1005" t="s">
        <v>8331</v>
      </c>
      <c r="O1005" t="s">
        <v>61</v>
      </c>
      <c r="Q1005" t="s">
        <v>61</v>
      </c>
      <c r="R1005" t="s">
        <v>61</v>
      </c>
      <c r="S1005" t="s">
        <v>61</v>
      </c>
      <c r="T1005" t="s">
        <v>61</v>
      </c>
      <c r="X1005" t="s">
        <v>61</v>
      </c>
      <c r="Y1005" t="s">
        <v>562</v>
      </c>
      <c r="Z1005" t="s">
        <v>61</v>
      </c>
      <c r="AA1005" t="s">
        <v>61</v>
      </c>
      <c r="AB1005">
        <v>1996267309</v>
      </c>
      <c r="AC1005" t="s">
        <v>67</v>
      </c>
      <c r="AD1005" t="s">
        <v>61</v>
      </c>
      <c r="AE1005" t="s">
        <v>61</v>
      </c>
      <c r="AF1005" t="s">
        <v>61</v>
      </c>
      <c r="AG1005" t="s">
        <v>61</v>
      </c>
      <c r="AH1005" t="s">
        <v>61</v>
      </c>
      <c r="AI1005" t="s">
        <v>61</v>
      </c>
      <c r="AJ1005" t="s">
        <v>61</v>
      </c>
      <c r="AK1005" t="s">
        <v>61</v>
      </c>
      <c r="AL1005" t="s">
        <v>61</v>
      </c>
      <c r="AM1005" t="s">
        <v>8328</v>
      </c>
      <c r="AN1005" t="s">
        <v>61</v>
      </c>
      <c r="AO1005" t="s">
        <v>61</v>
      </c>
      <c r="AP1005" t="s">
        <v>61</v>
      </c>
      <c r="AQ1005" t="s">
        <v>61</v>
      </c>
      <c r="AR1005" t="s">
        <v>61</v>
      </c>
      <c r="AS1005" t="s">
        <v>61</v>
      </c>
      <c r="AT1005" t="s">
        <v>61</v>
      </c>
      <c r="AU1005" t="s">
        <v>61</v>
      </c>
      <c r="AV1005" t="s">
        <v>61</v>
      </c>
      <c r="AW1005" t="s">
        <v>61</v>
      </c>
      <c r="AX1005" t="s">
        <v>61</v>
      </c>
      <c r="AY1005" t="s">
        <v>61</v>
      </c>
      <c r="AZ1005" t="s">
        <v>61</v>
      </c>
      <c r="BA1005" t="s">
        <v>61</v>
      </c>
      <c r="BB1005" t="s">
        <v>61</v>
      </c>
      <c r="BC1005" t="s">
        <v>61</v>
      </c>
      <c r="BD1005" t="s">
        <v>61</v>
      </c>
      <c r="BE1005" t="s">
        <v>61</v>
      </c>
      <c r="BF1005" t="s">
        <v>61</v>
      </c>
    </row>
    <row r="1006" spans="1:58">
      <c r="A1006" t="s">
        <v>58</v>
      </c>
      <c r="B1006" t="s">
        <v>8332</v>
      </c>
      <c r="C1006" t="s">
        <v>8333</v>
      </c>
      <c r="D1006" t="s">
        <v>627</v>
      </c>
      <c r="E1006" t="s">
        <v>61</v>
      </c>
      <c r="F1006">
        <v>2010</v>
      </c>
      <c r="G1006" t="s">
        <v>628</v>
      </c>
      <c r="H1006">
        <v>50</v>
      </c>
      <c r="I1006">
        <v>2</v>
      </c>
      <c r="J1006">
        <v>275</v>
      </c>
      <c r="K1006">
        <v>276</v>
      </c>
      <c r="L1006" t="s">
        <v>8334</v>
      </c>
      <c r="M1006" t="s">
        <v>8335</v>
      </c>
      <c r="N1006" t="s">
        <v>8336</v>
      </c>
      <c r="O1006" t="s">
        <v>61</v>
      </c>
      <c r="Q1006" t="s">
        <v>61</v>
      </c>
      <c r="R1006" t="s">
        <v>61</v>
      </c>
      <c r="S1006" t="s">
        <v>61</v>
      </c>
      <c r="T1006" t="s">
        <v>61</v>
      </c>
      <c r="X1006" t="s">
        <v>61</v>
      </c>
      <c r="Y1006" t="s">
        <v>632</v>
      </c>
      <c r="Z1006" t="s">
        <v>61</v>
      </c>
      <c r="AA1006" t="s">
        <v>61</v>
      </c>
      <c r="AB1006" t="s">
        <v>61</v>
      </c>
      <c r="AC1006" t="s">
        <v>67</v>
      </c>
      <c r="AD1006" t="s">
        <v>61</v>
      </c>
      <c r="AE1006" t="s">
        <v>61</v>
      </c>
      <c r="AF1006" t="s">
        <v>61</v>
      </c>
      <c r="AG1006" t="s">
        <v>61</v>
      </c>
      <c r="AH1006" t="s">
        <v>61</v>
      </c>
      <c r="AI1006" t="s">
        <v>61</v>
      </c>
      <c r="AJ1006" t="s">
        <v>61</v>
      </c>
      <c r="AK1006" t="s">
        <v>61</v>
      </c>
      <c r="AL1006" t="s">
        <v>61</v>
      </c>
      <c r="AM1006" t="s">
        <v>8333</v>
      </c>
      <c r="AN1006" t="s">
        <v>61</v>
      </c>
      <c r="AO1006" t="s">
        <v>61</v>
      </c>
      <c r="AP1006" t="s">
        <v>61</v>
      </c>
      <c r="AQ1006" t="s">
        <v>61</v>
      </c>
      <c r="AR1006" t="s">
        <v>61</v>
      </c>
      <c r="AS1006" t="s">
        <v>61</v>
      </c>
      <c r="AT1006" t="s">
        <v>61</v>
      </c>
      <c r="AU1006" t="s">
        <v>61</v>
      </c>
      <c r="AV1006" t="s">
        <v>61</v>
      </c>
      <c r="AW1006" t="s">
        <v>61</v>
      </c>
      <c r="AX1006" t="s">
        <v>61</v>
      </c>
      <c r="AY1006" t="s">
        <v>61</v>
      </c>
      <c r="AZ1006" t="s">
        <v>61</v>
      </c>
      <c r="BA1006" t="s">
        <v>61</v>
      </c>
      <c r="BB1006" t="s">
        <v>61</v>
      </c>
      <c r="BC1006" t="s">
        <v>61</v>
      </c>
      <c r="BD1006" t="s">
        <v>61</v>
      </c>
      <c r="BE1006" t="s">
        <v>61</v>
      </c>
      <c r="BF1006" t="s">
        <v>61</v>
      </c>
    </row>
    <row r="1007" spans="1:58">
      <c r="A1007" t="s">
        <v>58</v>
      </c>
      <c r="B1007" t="s">
        <v>8337</v>
      </c>
      <c r="C1007" t="s">
        <v>8338</v>
      </c>
      <c r="D1007" t="s">
        <v>8339</v>
      </c>
      <c r="E1007" t="s">
        <v>8340</v>
      </c>
      <c r="F1007">
        <v>2013</v>
      </c>
      <c r="G1007" t="s">
        <v>559</v>
      </c>
      <c r="H1007">
        <v>77</v>
      </c>
      <c r="I1007">
        <v>5</v>
      </c>
      <c r="J1007">
        <v>289</v>
      </c>
      <c r="K1007">
        <v>294</v>
      </c>
      <c r="L1007" t="s">
        <v>8341</v>
      </c>
      <c r="M1007" t="s">
        <v>8342</v>
      </c>
      <c r="N1007" t="s">
        <v>8343</v>
      </c>
      <c r="O1007" t="s">
        <v>61</v>
      </c>
      <c r="Q1007" t="s">
        <v>61</v>
      </c>
      <c r="R1007" t="s">
        <v>61</v>
      </c>
      <c r="S1007" t="s">
        <v>61</v>
      </c>
      <c r="T1007" t="s">
        <v>61</v>
      </c>
      <c r="X1007" t="s">
        <v>61</v>
      </c>
      <c r="Y1007" s="2">
        <v>1562783</v>
      </c>
      <c r="Z1007" t="s">
        <v>61</v>
      </c>
      <c r="AA1007" t="s">
        <v>8344</v>
      </c>
      <c r="AB1007">
        <v>23777042</v>
      </c>
      <c r="AC1007" t="s">
        <v>67</v>
      </c>
      <c r="AD1007" t="s">
        <v>61</v>
      </c>
      <c r="AE1007" t="s">
        <v>61</v>
      </c>
      <c r="AF1007" t="s">
        <v>61</v>
      </c>
      <c r="AG1007" t="s">
        <v>8345</v>
      </c>
      <c r="AH1007" t="s">
        <v>61</v>
      </c>
      <c r="AI1007" t="s">
        <v>61</v>
      </c>
      <c r="AJ1007" t="s">
        <v>61</v>
      </c>
      <c r="AK1007" t="s">
        <v>61</v>
      </c>
      <c r="AL1007" t="s">
        <v>61</v>
      </c>
      <c r="AM1007" t="s">
        <v>8346</v>
      </c>
      <c r="AN1007" t="s">
        <v>61</v>
      </c>
      <c r="AO1007" t="s">
        <v>61</v>
      </c>
      <c r="AP1007" t="s">
        <v>61</v>
      </c>
      <c r="AQ1007" t="s">
        <v>61</v>
      </c>
      <c r="AR1007" t="s">
        <v>61</v>
      </c>
      <c r="AS1007" t="s">
        <v>61</v>
      </c>
      <c r="AT1007" t="s">
        <v>61</v>
      </c>
      <c r="AU1007" t="s">
        <v>61</v>
      </c>
      <c r="AV1007" t="s">
        <v>61</v>
      </c>
      <c r="AW1007" t="s">
        <v>61</v>
      </c>
      <c r="AX1007" t="s">
        <v>61</v>
      </c>
      <c r="AY1007" t="s">
        <v>61</v>
      </c>
      <c r="AZ1007" t="s">
        <v>61</v>
      </c>
      <c r="BA1007" t="s">
        <v>61</v>
      </c>
      <c r="BB1007" t="s">
        <v>61</v>
      </c>
      <c r="BC1007" t="s">
        <v>61</v>
      </c>
      <c r="BD1007" t="s">
        <v>61</v>
      </c>
      <c r="BE1007" t="s">
        <v>61</v>
      </c>
      <c r="BF1007" t="s">
        <v>61</v>
      </c>
    </row>
    <row r="1008" spans="1:58">
      <c r="A1008" t="s">
        <v>58</v>
      </c>
      <c r="B1008" t="s">
        <v>8347</v>
      </c>
      <c r="C1008" t="s">
        <v>8348</v>
      </c>
      <c r="D1008" t="s">
        <v>8349</v>
      </c>
      <c r="E1008" t="s">
        <v>61</v>
      </c>
      <c r="F1008">
        <v>2008</v>
      </c>
      <c r="G1008" t="s">
        <v>4981</v>
      </c>
      <c r="H1008">
        <v>3</v>
      </c>
      <c r="I1008">
        <v>1</v>
      </c>
      <c r="J1008">
        <v>33</v>
      </c>
      <c r="K1008">
        <v>43</v>
      </c>
      <c r="L1008" t="s">
        <v>8350</v>
      </c>
      <c r="M1008" t="s">
        <v>8351</v>
      </c>
      <c r="N1008" t="s">
        <v>8352</v>
      </c>
      <c r="O1008" t="s">
        <v>61</v>
      </c>
      <c r="Q1008" t="s">
        <v>61</v>
      </c>
      <c r="R1008" t="s">
        <v>61</v>
      </c>
      <c r="S1008" t="s">
        <v>61</v>
      </c>
      <c r="T1008" t="s">
        <v>61</v>
      </c>
      <c r="X1008" t="s">
        <v>61</v>
      </c>
      <c r="Y1008" t="s">
        <v>8353</v>
      </c>
      <c r="Z1008" t="s">
        <v>61</v>
      </c>
      <c r="AA1008" t="s">
        <v>61</v>
      </c>
      <c r="AB1008" t="s">
        <v>8354</v>
      </c>
      <c r="AC1008" t="s">
        <v>67</v>
      </c>
      <c r="AD1008" t="s">
        <v>61</v>
      </c>
      <c r="AE1008" t="s">
        <v>61</v>
      </c>
      <c r="AF1008" t="s">
        <v>61</v>
      </c>
      <c r="AG1008" t="s">
        <v>61</v>
      </c>
      <c r="AH1008" t="s">
        <v>61</v>
      </c>
      <c r="AI1008" t="s">
        <v>61</v>
      </c>
      <c r="AJ1008" t="s">
        <v>61</v>
      </c>
      <c r="AK1008" t="s">
        <v>61</v>
      </c>
      <c r="AL1008" t="s">
        <v>61</v>
      </c>
      <c r="AM1008" t="s">
        <v>8348</v>
      </c>
      <c r="AN1008" t="s">
        <v>61</v>
      </c>
      <c r="AO1008" t="s">
        <v>61</v>
      </c>
      <c r="AP1008" t="s">
        <v>61</v>
      </c>
      <c r="AQ1008" t="s">
        <v>61</v>
      </c>
      <c r="AR1008" t="s">
        <v>61</v>
      </c>
      <c r="AS1008" t="s">
        <v>61</v>
      </c>
      <c r="AT1008" t="s">
        <v>61</v>
      </c>
      <c r="AU1008" t="s">
        <v>61</v>
      </c>
      <c r="AV1008" t="s">
        <v>61</v>
      </c>
      <c r="AW1008" t="s">
        <v>61</v>
      </c>
      <c r="AX1008" t="s">
        <v>61</v>
      </c>
      <c r="AY1008" t="s">
        <v>61</v>
      </c>
      <c r="AZ1008" t="s">
        <v>61</v>
      </c>
      <c r="BA1008" t="s">
        <v>61</v>
      </c>
      <c r="BB1008" t="s">
        <v>61</v>
      </c>
      <c r="BC1008" t="s">
        <v>61</v>
      </c>
      <c r="BD1008" t="s">
        <v>61</v>
      </c>
      <c r="BE1008" t="s">
        <v>61</v>
      </c>
      <c r="BF1008" t="s">
        <v>61</v>
      </c>
    </row>
    <row r="1009" spans="1:58">
      <c r="A1009" t="s">
        <v>58</v>
      </c>
      <c r="B1009" t="s">
        <v>8355</v>
      </c>
      <c r="C1009" t="s">
        <v>8356</v>
      </c>
      <c r="D1009" t="s">
        <v>436</v>
      </c>
      <c r="E1009" t="s">
        <v>436</v>
      </c>
      <c r="F1009">
        <v>2011</v>
      </c>
      <c r="G1009" t="s">
        <v>476</v>
      </c>
      <c r="H1009" t="s">
        <v>1500</v>
      </c>
      <c r="I1009" t="s">
        <v>61</v>
      </c>
      <c r="J1009" t="s">
        <v>8357</v>
      </c>
      <c r="K1009" t="s">
        <v>61</v>
      </c>
      <c r="L1009" t="s">
        <v>8358</v>
      </c>
      <c r="M1009" t="s">
        <v>8359</v>
      </c>
      <c r="N1009" t="s">
        <v>8360</v>
      </c>
      <c r="O1009" t="s">
        <v>61</v>
      </c>
      <c r="Q1009" t="s">
        <v>61</v>
      </c>
      <c r="R1009" t="s">
        <v>61</v>
      </c>
      <c r="S1009" t="s">
        <v>61</v>
      </c>
      <c r="T1009" t="s">
        <v>61</v>
      </c>
      <c r="X1009" t="s">
        <v>61</v>
      </c>
      <c r="Y1009" t="s">
        <v>1505</v>
      </c>
      <c r="Z1009" t="s">
        <v>61</v>
      </c>
      <c r="AA1009" t="s">
        <v>61</v>
      </c>
      <c r="AB1009" t="s">
        <v>61</v>
      </c>
      <c r="AC1009" t="s">
        <v>67</v>
      </c>
      <c r="AD1009" t="s">
        <v>61</v>
      </c>
      <c r="AE1009" t="s">
        <v>61</v>
      </c>
      <c r="AF1009" t="s">
        <v>61</v>
      </c>
      <c r="AG1009" t="s">
        <v>61</v>
      </c>
      <c r="AH1009" t="s">
        <v>61</v>
      </c>
      <c r="AI1009" t="s">
        <v>61</v>
      </c>
      <c r="AJ1009" t="s">
        <v>61</v>
      </c>
      <c r="AK1009" t="s">
        <v>61</v>
      </c>
      <c r="AL1009" t="s">
        <v>61</v>
      </c>
      <c r="AM1009" t="s">
        <v>8356</v>
      </c>
      <c r="AN1009" t="s">
        <v>61</v>
      </c>
      <c r="AO1009" t="s">
        <v>61</v>
      </c>
      <c r="AP1009" t="s">
        <v>61</v>
      </c>
      <c r="AQ1009" t="s">
        <v>61</v>
      </c>
      <c r="AR1009" t="s">
        <v>61</v>
      </c>
      <c r="AS1009" t="s">
        <v>61</v>
      </c>
      <c r="AT1009" t="s">
        <v>61</v>
      </c>
      <c r="AU1009" t="s">
        <v>61</v>
      </c>
      <c r="AV1009" t="s">
        <v>61</v>
      </c>
      <c r="AW1009" t="s">
        <v>61</v>
      </c>
      <c r="AX1009" t="s">
        <v>61</v>
      </c>
      <c r="AY1009" t="s">
        <v>61</v>
      </c>
      <c r="AZ1009" t="s">
        <v>61</v>
      </c>
      <c r="BA1009" t="s">
        <v>61</v>
      </c>
      <c r="BB1009" t="s">
        <v>61</v>
      </c>
      <c r="BC1009" t="s">
        <v>61</v>
      </c>
      <c r="BD1009" t="s">
        <v>61</v>
      </c>
      <c r="BE1009" t="s">
        <v>61</v>
      </c>
      <c r="BF1009" t="s">
        <v>61</v>
      </c>
    </row>
    <row r="1010" spans="1:58">
      <c r="A1010" t="s">
        <v>58</v>
      </c>
      <c r="B1010" t="s">
        <v>8361</v>
      </c>
      <c r="C1010" t="s">
        <v>8362</v>
      </c>
      <c r="D1010" t="s">
        <v>8363</v>
      </c>
      <c r="E1010" t="s">
        <v>61</v>
      </c>
      <c r="F1010">
        <v>2016</v>
      </c>
      <c r="G1010">
        <v>1</v>
      </c>
      <c r="H1010">
        <v>9</v>
      </c>
      <c r="I1010">
        <v>1</v>
      </c>
      <c r="J1010">
        <v>279</v>
      </c>
      <c r="K1010">
        <v>283</v>
      </c>
      <c r="L1010" t="s">
        <v>8364</v>
      </c>
      <c r="M1010" t="s">
        <v>8365</v>
      </c>
      <c r="N1010" t="s">
        <v>8366</v>
      </c>
      <c r="O1010" t="s">
        <v>61</v>
      </c>
      <c r="Q1010" t="s">
        <v>61</v>
      </c>
      <c r="R1010" t="s">
        <v>61</v>
      </c>
      <c r="S1010" t="s">
        <v>61</v>
      </c>
      <c r="T1010" t="s">
        <v>61</v>
      </c>
      <c r="X1010" t="s">
        <v>61</v>
      </c>
      <c r="Y1010" t="s">
        <v>8367</v>
      </c>
      <c r="Z1010" t="s">
        <v>61</v>
      </c>
      <c r="AA1010" t="s">
        <v>61</v>
      </c>
      <c r="AB1010">
        <v>20160020198</v>
      </c>
      <c r="AC1010" t="s">
        <v>67</v>
      </c>
      <c r="AD1010" t="s">
        <v>61</v>
      </c>
      <c r="AE1010" t="s">
        <v>61</v>
      </c>
      <c r="AF1010" t="s">
        <v>61</v>
      </c>
      <c r="AG1010" t="s">
        <v>61</v>
      </c>
      <c r="AH1010" t="s">
        <v>61</v>
      </c>
      <c r="AI1010" t="s">
        <v>61</v>
      </c>
      <c r="AJ1010" t="s">
        <v>61</v>
      </c>
      <c r="AK1010" t="s">
        <v>61</v>
      </c>
      <c r="AL1010" t="s">
        <v>61</v>
      </c>
      <c r="AM1010" t="s">
        <v>8362</v>
      </c>
      <c r="AN1010" t="s">
        <v>61</v>
      </c>
      <c r="AO1010" t="s">
        <v>61</v>
      </c>
      <c r="AP1010" t="s">
        <v>61</v>
      </c>
      <c r="AQ1010" t="s">
        <v>61</v>
      </c>
      <c r="AR1010" t="s">
        <v>61</v>
      </c>
      <c r="AS1010" t="s">
        <v>61</v>
      </c>
      <c r="AT1010" t="s">
        <v>61</v>
      </c>
      <c r="AU1010" t="s">
        <v>61</v>
      </c>
      <c r="AV1010" t="s">
        <v>61</v>
      </c>
      <c r="AW1010" t="s">
        <v>61</v>
      </c>
      <c r="AX1010" t="s">
        <v>61</v>
      </c>
      <c r="AY1010" t="s">
        <v>61</v>
      </c>
      <c r="AZ1010" t="s">
        <v>61</v>
      </c>
      <c r="BA1010" t="s">
        <v>61</v>
      </c>
      <c r="BB1010" t="s">
        <v>61</v>
      </c>
      <c r="BC1010" t="s">
        <v>61</v>
      </c>
      <c r="BD1010" t="s">
        <v>61</v>
      </c>
      <c r="BE1010" t="s">
        <v>61</v>
      </c>
      <c r="BF1010" t="s">
        <v>61</v>
      </c>
    </row>
    <row r="1011" spans="1:58">
      <c r="A1011" t="s">
        <v>58</v>
      </c>
      <c r="B1011" t="s">
        <v>8368</v>
      </c>
      <c r="C1011" t="s">
        <v>8369</v>
      </c>
      <c r="D1011" t="s">
        <v>1630</v>
      </c>
      <c r="E1011" t="s">
        <v>61</v>
      </c>
      <c r="F1011">
        <v>2011</v>
      </c>
      <c r="G1011" t="s">
        <v>628</v>
      </c>
      <c r="H1011">
        <v>7</v>
      </c>
      <c r="I1011">
        <v>1</v>
      </c>
      <c r="J1011">
        <v>92</v>
      </c>
      <c r="K1011">
        <v>96</v>
      </c>
      <c r="L1011" t="s">
        <v>8370</v>
      </c>
      <c r="M1011" t="s">
        <v>8371</v>
      </c>
      <c r="N1011" t="s">
        <v>8372</v>
      </c>
      <c r="O1011" t="s">
        <v>61</v>
      </c>
      <c r="Q1011" t="s">
        <v>61</v>
      </c>
      <c r="R1011" t="s">
        <v>61</v>
      </c>
      <c r="S1011" t="s">
        <v>61</v>
      </c>
      <c r="T1011" t="s">
        <v>61</v>
      </c>
      <c r="X1011" t="s">
        <v>61</v>
      </c>
      <c r="Y1011" t="s">
        <v>1634</v>
      </c>
      <c r="Z1011" t="s">
        <v>61</v>
      </c>
      <c r="AA1011" t="s">
        <v>61</v>
      </c>
      <c r="AB1011">
        <v>2011507948</v>
      </c>
      <c r="AC1011" t="s">
        <v>67</v>
      </c>
      <c r="AD1011" t="s">
        <v>61</v>
      </c>
      <c r="AE1011" t="s">
        <v>61</v>
      </c>
      <c r="AF1011" t="s">
        <v>61</v>
      </c>
      <c r="AG1011" t="s">
        <v>61</v>
      </c>
      <c r="AH1011" t="s">
        <v>61</v>
      </c>
      <c r="AI1011" t="s">
        <v>61</v>
      </c>
      <c r="AJ1011" t="s">
        <v>61</v>
      </c>
      <c r="AK1011" t="s">
        <v>61</v>
      </c>
      <c r="AL1011" t="s">
        <v>61</v>
      </c>
      <c r="AM1011" t="s">
        <v>8369</v>
      </c>
      <c r="AN1011" t="s">
        <v>61</v>
      </c>
      <c r="AO1011" t="s">
        <v>61</v>
      </c>
      <c r="AP1011" t="s">
        <v>61</v>
      </c>
      <c r="AQ1011" t="s">
        <v>61</v>
      </c>
      <c r="AR1011" t="s">
        <v>61</v>
      </c>
      <c r="AS1011" t="s">
        <v>61</v>
      </c>
      <c r="AT1011" t="s">
        <v>61</v>
      </c>
      <c r="AU1011" t="s">
        <v>61</v>
      </c>
      <c r="AV1011" t="s">
        <v>61</v>
      </c>
      <c r="AW1011" t="s">
        <v>61</v>
      </c>
      <c r="AX1011" t="s">
        <v>61</v>
      </c>
      <c r="AY1011" t="s">
        <v>61</v>
      </c>
      <c r="AZ1011" t="s">
        <v>61</v>
      </c>
      <c r="BA1011" t="s">
        <v>61</v>
      </c>
      <c r="BB1011" t="s">
        <v>61</v>
      </c>
      <c r="BC1011" t="s">
        <v>61</v>
      </c>
      <c r="BD1011" t="s">
        <v>61</v>
      </c>
      <c r="BE1011" t="s">
        <v>61</v>
      </c>
      <c r="BF1011" t="s">
        <v>61</v>
      </c>
    </row>
    <row r="1012" spans="1:58">
      <c r="A1012" t="s">
        <v>58</v>
      </c>
      <c r="B1012" t="s">
        <v>8373</v>
      </c>
      <c r="C1012" t="s">
        <v>8374</v>
      </c>
      <c r="D1012" t="s">
        <v>5121</v>
      </c>
      <c r="E1012" t="s">
        <v>61</v>
      </c>
      <c r="F1012">
        <v>2006</v>
      </c>
      <c r="G1012" t="s">
        <v>61</v>
      </c>
      <c r="H1012">
        <v>9</v>
      </c>
      <c r="I1012">
        <v>4</v>
      </c>
      <c r="J1012">
        <v>109</v>
      </c>
      <c r="K1012" t="s">
        <v>8375</v>
      </c>
      <c r="L1012" t="s">
        <v>8376</v>
      </c>
      <c r="M1012" t="s">
        <v>8377</v>
      </c>
      <c r="N1012" t="s">
        <v>8378</v>
      </c>
      <c r="O1012" t="s">
        <v>61</v>
      </c>
      <c r="Q1012" t="s">
        <v>61</v>
      </c>
      <c r="R1012" t="s">
        <v>61</v>
      </c>
      <c r="S1012" t="s">
        <v>61</v>
      </c>
      <c r="T1012" t="s">
        <v>61</v>
      </c>
      <c r="X1012" t="s">
        <v>61</v>
      </c>
      <c r="Y1012" t="s">
        <v>5126</v>
      </c>
      <c r="Z1012" t="s">
        <v>61</v>
      </c>
      <c r="AA1012" t="s">
        <v>8379</v>
      </c>
      <c r="AB1012">
        <v>106216767</v>
      </c>
      <c r="AC1012" t="s">
        <v>67</v>
      </c>
      <c r="AD1012" t="s">
        <v>61</v>
      </c>
      <c r="AE1012" t="s">
        <v>61</v>
      </c>
      <c r="AF1012" t="s">
        <v>61</v>
      </c>
      <c r="AG1012" t="s">
        <v>8380</v>
      </c>
      <c r="AH1012" t="s">
        <v>61</v>
      </c>
      <c r="AI1012" t="s">
        <v>61</v>
      </c>
      <c r="AJ1012" t="s">
        <v>61</v>
      </c>
      <c r="AK1012" t="s">
        <v>61</v>
      </c>
      <c r="AL1012" t="s">
        <v>61</v>
      </c>
      <c r="AM1012" t="s">
        <v>8381</v>
      </c>
      <c r="AN1012" t="s">
        <v>61</v>
      </c>
      <c r="AO1012" t="s">
        <v>61</v>
      </c>
      <c r="AP1012" t="s">
        <v>61</v>
      </c>
      <c r="AQ1012" t="s">
        <v>61</v>
      </c>
      <c r="AR1012" t="s">
        <v>61</v>
      </c>
      <c r="AS1012" t="s">
        <v>61</v>
      </c>
      <c r="AT1012" t="s">
        <v>61</v>
      </c>
      <c r="AU1012" t="s">
        <v>61</v>
      </c>
      <c r="AV1012" t="s">
        <v>61</v>
      </c>
      <c r="AW1012" t="s">
        <v>61</v>
      </c>
      <c r="AX1012" t="s">
        <v>61</v>
      </c>
      <c r="AY1012" t="s">
        <v>61</v>
      </c>
      <c r="AZ1012" t="s">
        <v>61</v>
      </c>
      <c r="BA1012" t="s">
        <v>61</v>
      </c>
      <c r="BB1012" t="s">
        <v>61</v>
      </c>
      <c r="BC1012" t="s">
        <v>61</v>
      </c>
      <c r="BD1012" t="s">
        <v>61</v>
      </c>
      <c r="BE1012" t="s">
        <v>61</v>
      </c>
      <c r="BF1012" t="s">
        <v>61</v>
      </c>
    </row>
    <row r="1013" spans="1:58">
      <c r="A1013" t="s">
        <v>58</v>
      </c>
      <c r="B1013" t="s">
        <v>8382</v>
      </c>
      <c r="C1013" t="s">
        <v>8383</v>
      </c>
      <c r="D1013" t="s">
        <v>8279</v>
      </c>
      <c r="E1013" t="s">
        <v>8280</v>
      </c>
      <c r="F1013">
        <v>2014</v>
      </c>
      <c r="G1013" t="s">
        <v>8384</v>
      </c>
      <c r="H1013">
        <v>39</v>
      </c>
      <c r="I1013">
        <v>5</v>
      </c>
      <c r="J1013" t="s">
        <v>8385</v>
      </c>
      <c r="K1013" t="s">
        <v>8386</v>
      </c>
      <c r="L1013" t="s">
        <v>8387</v>
      </c>
      <c r="M1013" t="s">
        <v>8388</v>
      </c>
      <c r="N1013" t="s">
        <v>8389</v>
      </c>
      <c r="O1013" t="s">
        <v>61</v>
      </c>
      <c r="Q1013" t="s">
        <v>61</v>
      </c>
      <c r="R1013" t="s">
        <v>61</v>
      </c>
      <c r="S1013" t="s">
        <v>61</v>
      </c>
      <c r="T1013" t="s">
        <v>61</v>
      </c>
      <c r="X1013" t="s">
        <v>61</v>
      </c>
      <c r="Y1013" t="s">
        <v>8284</v>
      </c>
      <c r="Z1013" t="s">
        <v>61</v>
      </c>
      <c r="AA1013" t="s">
        <v>61</v>
      </c>
      <c r="AB1013" t="s">
        <v>61</v>
      </c>
      <c r="AC1013" t="s">
        <v>67</v>
      </c>
      <c r="AD1013" t="s">
        <v>61</v>
      </c>
      <c r="AE1013" t="s">
        <v>61</v>
      </c>
      <c r="AF1013" t="s">
        <v>61</v>
      </c>
      <c r="AG1013" t="s">
        <v>61</v>
      </c>
      <c r="AH1013" t="s">
        <v>61</v>
      </c>
      <c r="AI1013" t="s">
        <v>61</v>
      </c>
      <c r="AJ1013" t="s">
        <v>61</v>
      </c>
      <c r="AK1013" t="s">
        <v>61</v>
      </c>
      <c r="AL1013" t="s">
        <v>61</v>
      </c>
      <c r="AM1013" t="s">
        <v>8383</v>
      </c>
      <c r="AN1013" t="s">
        <v>61</v>
      </c>
      <c r="AO1013" t="s">
        <v>61</v>
      </c>
      <c r="AP1013" t="s">
        <v>61</v>
      </c>
      <c r="AQ1013" t="s">
        <v>61</v>
      </c>
      <c r="AR1013" t="s">
        <v>61</v>
      </c>
      <c r="AS1013" t="s">
        <v>61</v>
      </c>
      <c r="AT1013" t="s">
        <v>61</v>
      </c>
      <c r="AU1013" t="s">
        <v>61</v>
      </c>
      <c r="AV1013" t="s">
        <v>61</v>
      </c>
      <c r="AW1013" t="s">
        <v>61</v>
      </c>
      <c r="AX1013" t="s">
        <v>61</v>
      </c>
      <c r="AY1013" t="s">
        <v>61</v>
      </c>
      <c r="AZ1013" t="s">
        <v>61</v>
      </c>
      <c r="BA1013" t="s">
        <v>61</v>
      </c>
      <c r="BB1013" t="s">
        <v>61</v>
      </c>
      <c r="BC1013" t="s">
        <v>61</v>
      </c>
      <c r="BD1013" t="s">
        <v>61</v>
      </c>
      <c r="BE1013" t="s">
        <v>61</v>
      </c>
      <c r="BF1013" t="s">
        <v>61</v>
      </c>
    </row>
    <row r="1014" spans="1:58">
      <c r="A1014" t="s">
        <v>58</v>
      </c>
      <c r="B1014" t="s">
        <v>8390</v>
      </c>
      <c r="C1014" t="s">
        <v>8391</v>
      </c>
      <c r="D1014" t="s">
        <v>8392</v>
      </c>
      <c r="E1014" t="s">
        <v>61</v>
      </c>
      <c r="F1014">
        <v>2014</v>
      </c>
      <c r="G1014" t="s">
        <v>61</v>
      </c>
      <c r="H1014">
        <v>10</v>
      </c>
      <c r="I1014" t="s">
        <v>61</v>
      </c>
      <c r="J1014">
        <v>631</v>
      </c>
      <c r="K1014">
        <v>639</v>
      </c>
      <c r="L1014" t="s">
        <v>61</v>
      </c>
      <c r="M1014" t="s">
        <v>8393</v>
      </c>
      <c r="N1014" t="s">
        <v>8394</v>
      </c>
      <c r="O1014" t="s">
        <v>61</v>
      </c>
      <c r="Q1014" t="s">
        <v>61</v>
      </c>
      <c r="R1014" t="s">
        <v>61</v>
      </c>
      <c r="S1014" t="s">
        <v>61</v>
      </c>
      <c r="T1014" t="s">
        <v>61</v>
      </c>
      <c r="X1014" t="s">
        <v>61</v>
      </c>
      <c r="Y1014" t="s">
        <v>8395</v>
      </c>
      <c r="Z1014" t="s">
        <v>61</v>
      </c>
      <c r="AA1014" t="s">
        <v>8396</v>
      </c>
      <c r="AB1014">
        <v>25120369</v>
      </c>
      <c r="AC1014" t="s">
        <v>67</v>
      </c>
      <c r="AD1014" t="s">
        <v>61</v>
      </c>
      <c r="AE1014" t="s">
        <v>61</v>
      </c>
      <c r="AF1014" t="s">
        <v>61</v>
      </c>
      <c r="AG1014" t="s">
        <v>8397</v>
      </c>
      <c r="AH1014" t="s">
        <v>61</v>
      </c>
      <c r="AI1014" t="s">
        <v>8398</v>
      </c>
      <c r="AJ1014" t="s">
        <v>61</v>
      </c>
      <c r="AK1014" t="s">
        <v>61</v>
      </c>
      <c r="AL1014" t="s">
        <v>61</v>
      </c>
      <c r="AM1014" t="s">
        <v>8399</v>
      </c>
      <c r="AN1014" t="s">
        <v>61</v>
      </c>
      <c r="AO1014" t="s">
        <v>61</v>
      </c>
      <c r="AP1014" t="s">
        <v>61</v>
      </c>
      <c r="AQ1014" t="s">
        <v>61</v>
      </c>
      <c r="AR1014" t="s">
        <v>61</v>
      </c>
      <c r="AS1014" t="s">
        <v>61</v>
      </c>
      <c r="AT1014" t="s">
        <v>61</v>
      </c>
      <c r="AU1014" t="s">
        <v>61</v>
      </c>
      <c r="AV1014" t="s">
        <v>61</v>
      </c>
      <c r="AW1014" t="s">
        <v>61</v>
      </c>
      <c r="AX1014" t="s">
        <v>61</v>
      </c>
      <c r="AY1014" t="s">
        <v>61</v>
      </c>
      <c r="AZ1014" t="s">
        <v>61</v>
      </c>
      <c r="BA1014" t="s">
        <v>61</v>
      </c>
      <c r="BB1014" t="s">
        <v>61</v>
      </c>
      <c r="BC1014" t="s">
        <v>61</v>
      </c>
      <c r="BD1014" t="s">
        <v>61</v>
      </c>
      <c r="BE1014" t="s">
        <v>61</v>
      </c>
      <c r="BF1014" t="s">
        <v>61</v>
      </c>
    </row>
    <row r="1015" spans="1:58">
      <c r="A1015" t="s">
        <v>58</v>
      </c>
      <c r="B1015" t="s">
        <v>8400</v>
      </c>
      <c r="C1015" t="s">
        <v>8401</v>
      </c>
      <c r="D1015" t="s">
        <v>3308</v>
      </c>
      <c r="E1015" t="s">
        <v>61</v>
      </c>
      <c r="F1015">
        <v>2008</v>
      </c>
      <c r="G1015" t="s">
        <v>8402</v>
      </c>
      <c r="H1015">
        <v>11</v>
      </c>
      <c r="I1015" t="s">
        <v>61</v>
      </c>
      <c r="J1015" t="s">
        <v>61</v>
      </c>
      <c r="K1015" t="s">
        <v>61</v>
      </c>
      <c r="L1015" t="s">
        <v>8403</v>
      </c>
      <c r="M1015" t="s">
        <v>8404</v>
      </c>
      <c r="N1015" t="s">
        <v>8405</v>
      </c>
      <c r="O1015" t="s">
        <v>61</v>
      </c>
      <c r="Q1015" t="s">
        <v>61</v>
      </c>
      <c r="R1015" t="s">
        <v>61</v>
      </c>
      <c r="S1015" t="s">
        <v>61</v>
      </c>
      <c r="T1015" t="s">
        <v>61</v>
      </c>
      <c r="X1015" t="s">
        <v>61</v>
      </c>
      <c r="Y1015" t="s">
        <v>3313</v>
      </c>
      <c r="Z1015" t="s">
        <v>61</v>
      </c>
      <c r="AA1015" t="s">
        <v>8406</v>
      </c>
      <c r="AB1015" t="s">
        <v>8407</v>
      </c>
      <c r="AC1015" t="s">
        <v>67</v>
      </c>
      <c r="AD1015" t="s">
        <v>61</v>
      </c>
      <c r="AE1015" t="s">
        <v>61</v>
      </c>
      <c r="AF1015" t="s">
        <v>61</v>
      </c>
      <c r="AG1015" t="s">
        <v>61</v>
      </c>
      <c r="AH1015" t="s">
        <v>61</v>
      </c>
      <c r="AI1015" t="s">
        <v>61</v>
      </c>
      <c r="AJ1015" t="s">
        <v>61</v>
      </c>
      <c r="AK1015" t="s">
        <v>61</v>
      </c>
      <c r="AL1015" t="s">
        <v>61</v>
      </c>
      <c r="AM1015" t="s">
        <v>8408</v>
      </c>
      <c r="AN1015" t="s">
        <v>61</v>
      </c>
      <c r="AO1015" t="s">
        <v>61</v>
      </c>
      <c r="AP1015" t="s">
        <v>61</v>
      </c>
      <c r="AQ1015" t="s">
        <v>61</v>
      </c>
      <c r="AR1015" t="s">
        <v>61</v>
      </c>
      <c r="AS1015" t="s">
        <v>61</v>
      </c>
      <c r="AT1015" t="s">
        <v>61</v>
      </c>
      <c r="AU1015" t="s">
        <v>61</v>
      </c>
      <c r="AV1015" t="s">
        <v>61</v>
      </c>
      <c r="AW1015" t="s">
        <v>61</v>
      </c>
      <c r="AX1015" t="s">
        <v>61</v>
      </c>
      <c r="AY1015" t="s">
        <v>61</v>
      </c>
      <c r="AZ1015" t="s">
        <v>61</v>
      </c>
      <c r="BA1015" t="s">
        <v>61</v>
      </c>
      <c r="BB1015" t="s">
        <v>61</v>
      </c>
      <c r="BC1015" t="s">
        <v>61</v>
      </c>
      <c r="BD1015" t="s">
        <v>61</v>
      </c>
      <c r="BE1015" t="s">
        <v>61</v>
      </c>
      <c r="BF1015" t="s">
        <v>61</v>
      </c>
    </row>
    <row r="1016" spans="1:58">
      <c r="A1016" t="s">
        <v>58</v>
      </c>
      <c r="B1016" t="s">
        <v>8409</v>
      </c>
      <c r="C1016" t="s">
        <v>8410</v>
      </c>
      <c r="D1016" t="s">
        <v>8411</v>
      </c>
      <c r="E1016" t="s">
        <v>61</v>
      </c>
      <c r="F1016">
        <v>2005</v>
      </c>
      <c r="G1016" t="s">
        <v>61</v>
      </c>
      <c r="H1016">
        <v>3</v>
      </c>
      <c r="I1016">
        <v>3</v>
      </c>
      <c r="J1016" t="s">
        <v>8412</v>
      </c>
      <c r="K1016" t="s">
        <v>8413</v>
      </c>
      <c r="L1016" t="s">
        <v>8414</v>
      </c>
      <c r="M1016" t="s">
        <v>8415</v>
      </c>
      <c r="N1016" t="s">
        <v>8416</v>
      </c>
      <c r="O1016" t="s">
        <v>61</v>
      </c>
      <c r="Q1016" t="s">
        <v>61</v>
      </c>
      <c r="R1016" t="s">
        <v>61</v>
      </c>
      <c r="S1016" t="s">
        <v>61</v>
      </c>
      <c r="T1016" t="s">
        <v>61</v>
      </c>
      <c r="X1016" t="s">
        <v>61</v>
      </c>
      <c r="Y1016" t="s">
        <v>8417</v>
      </c>
      <c r="Z1016" t="s">
        <v>61</v>
      </c>
      <c r="AA1016" t="s">
        <v>8418</v>
      </c>
      <c r="AB1016">
        <v>106416312</v>
      </c>
      <c r="AC1016" t="s">
        <v>67</v>
      </c>
      <c r="AD1016" t="s">
        <v>61</v>
      </c>
      <c r="AE1016" t="s">
        <v>61</v>
      </c>
      <c r="AF1016" t="s">
        <v>61</v>
      </c>
      <c r="AG1016" t="s">
        <v>8419</v>
      </c>
      <c r="AH1016" t="s">
        <v>61</v>
      </c>
      <c r="AI1016" t="s">
        <v>61</v>
      </c>
      <c r="AJ1016" t="s">
        <v>61</v>
      </c>
      <c r="AK1016" t="s">
        <v>61</v>
      </c>
      <c r="AL1016" t="s">
        <v>61</v>
      </c>
      <c r="AM1016" t="s">
        <v>8420</v>
      </c>
      <c r="AN1016" t="s">
        <v>61</v>
      </c>
      <c r="AO1016" t="s">
        <v>61</v>
      </c>
      <c r="AP1016" t="s">
        <v>61</v>
      </c>
      <c r="AQ1016" t="s">
        <v>61</v>
      </c>
      <c r="AR1016" t="s">
        <v>61</v>
      </c>
      <c r="AS1016" t="s">
        <v>61</v>
      </c>
      <c r="AT1016" t="s">
        <v>61</v>
      </c>
      <c r="AU1016" t="s">
        <v>61</v>
      </c>
      <c r="AV1016" t="s">
        <v>61</v>
      </c>
      <c r="AW1016" t="s">
        <v>61</v>
      </c>
      <c r="AX1016" t="s">
        <v>61</v>
      </c>
      <c r="AY1016" t="s">
        <v>61</v>
      </c>
      <c r="AZ1016" t="s">
        <v>61</v>
      </c>
      <c r="BA1016" t="s">
        <v>61</v>
      </c>
      <c r="BB1016" t="s">
        <v>61</v>
      </c>
      <c r="BC1016" t="s">
        <v>61</v>
      </c>
      <c r="BD1016" t="s">
        <v>61</v>
      </c>
      <c r="BE1016" t="s">
        <v>61</v>
      </c>
      <c r="BF1016" t="s">
        <v>61</v>
      </c>
    </row>
    <row r="1017" spans="1:58">
      <c r="A1017" t="s">
        <v>58</v>
      </c>
      <c r="B1017" t="s">
        <v>8421</v>
      </c>
      <c r="C1017" t="s">
        <v>8422</v>
      </c>
      <c r="D1017" t="s">
        <v>1739</v>
      </c>
      <c r="E1017" t="s">
        <v>1740</v>
      </c>
      <c r="F1017">
        <v>1980</v>
      </c>
      <c r="G1017" t="s">
        <v>1152</v>
      </c>
      <c r="H1017">
        <v>37</v>
      </c>
      <c r="I1017">
        <v>9</v>
      </c>
      <c r="J1017">
        <v>1211</v>
      </c>
      <c r="K1017">
        <v>1215</v>
      </c>
      <c r="L1017" t="s">
        <v>8423</v>
      </c>
      <c r="M1017" t="s">
        <v>8424</v>
      </c>
      <c r="N1017" t="s">
        <v>8425</v>
      </c>
      <c r="O1017" t="s">
        <v>61</v>
      </c>
      <c r="Q1017" t="s">
        <v>61</v>
      </c>
      <c r="R1017" t="s">
        <v>61</v>
      </c>
      <c r="S1017" t="s">
        <v>61</v>
      </c>
      <c r="T1017" t="s">
        <v>61</v>
      </c>
      <c r="X1017" t="s">
        <v>61</v>
      </c>
      <c r="Y1017" s="2">
        <v>2698811</v>
      </c>
      <c r="Z1017" t="s">
        <v>61</v>
      </c>
      <c r="AA1017" t="s">
        <v>61</v>
      </c>
      <c r="AB1017">
        <v>7416176</v>
      </c>
      <c r="AC1017" t="s">
        <v>67</v>
      </c>
      <c r="AD1017" t="s">
        <v>61</v>
      </c>
      <c r="AE1017" t="s">
        <v>61</v>
      </c>
      <c r="AF1017" t="s">
        <v>61</v>
      </c>
      <c r="AG1017" t="s">
        <v>8426</v>
      </c>
      <c r="AH1017" t="s">
        <v>61</v>
      </c>
      <c r="AI1017" t="s">
        <v>61</v>
      </c>
      <c r="AJ1017" t="s">
        <v>61</v>
      </c>
      <c r="AK1017" t="s">
        <v>61</v>
      </c>
      <c r="AL1017" t="s">
        <v>61</v>
      </c>
      <c r="AM1017" t="s">
        <v>8427</v>
      </c>
      <c r="AN1017" t="s">
        <v>61</v>
      </c>
      <c r="AO1017" t="s">
        <v>61</v>
      </c>
      <c r="AP1017" t="s">
        <v>61</v>
      </c>
      <c r="AQ1017" t="s">
        <v>61</v>
      </c>
      <c r="AR1017" t="s">
        <v>61</v>
      </c>
      <c r="AS1017" t="s">
        <v>61</v>
      </c>
      <c r="AT1017" t="s">
        <v>61</v>
      </c>
      <c r="AU1017" t="s">
        <v>61</v>
      </c>
      <c r="AV1017" t="s">
        <v>61</v>
      </c>
      <c r="AW1017" t="s">
        <v>61</v>
      </c>
      <c r="AX1017" t="s">
        <v>61</v>
      </c>
      <c r="AY1017" t="s">
        <v>61</v>
      </c>
      <c r="AZ1017" t="s">
        <v>61</v>
      </c>
      <c r="BA1017" t="s">
        <v>61</v>
      </c>
      <c r="BB1017" t="s">
        <v>61</v>
      </c>
      <c r="BC1017" t="s">
        <v>61</v>
      </c>
      <c r="BD1017" t="s">
        <v>61</v>
      </c>
      <c r="BE1017" t="s">
        <v>61</v>
      </c>
      <c r="BF1017" t="s">
        <v>61</v>
      </c>
    </row>
    <row r="1018" spans="1:58">
      <c r="A1018" t="s">
        <v>58</v>
      </c>
      <c r="B1018" t="s">
        <v>8428</v>
      </c>
      <c r="C1018" t="s">
        <v>8429</v>
      </c>
      <c r="D1018" t="s">
        <v>8430</v>
      </c>
      <c r="E1018" t="s">
        <v>8431</v>
      </c>
      <c r="F1018">
        <v>2002</v>
      </c>
      <c r="G1018" t="s">
        <v>119</v>
      </c>
      <c r="H1018">
        <v>102</v>
      </c>
      <c r="I1018">
        <v>6</v>
      </c>
      <c r="J1018">
        <v>342</v>
      </c>
      <c r="K1018">
        <v>348</v>
      </c>
      <c r="L1018" t="s">
        <v>8432</v>
      </c>
      <c r="M1018" t="s">
        <v>8433</v>
      </c>
      <c r="N1018" t="s">
        <v>8434</v>
      </c>
      <c r="O1018" t="s">
        <v>61</v>
      </c>
      <c r="Q1018" t="s">
        <v>61</v>
      </c>
      <c r="R1018" t="s">
        <v>61</v>
      </c>
      <c r="S1018" t="s">
        <v>61</v>
      </c>
      <c r="T1018" t="s">
        <v>61</v>
      </c>
      <c r="X1018" t="s">
        <v>61</v>
      </c>
      <c r="Y1018" t="s">
        <v>8435</v>
      </c>
      <c r="Z1018" t="s">
        <v>61</v>
      </c>
      <c r="AA1018" t="s">
        <v>8436</v>
      </c>
      <c r="AB1018">
        <v>12090652</v>
      </c>
      <c r="AC1018" t="s">
        <v>67</v>
      </c>
      <c r="AD1018" t="s">
        <v>61</v>
      </c>
      <c r="AE1018" t="s">
        <v>61</v>
      </c>
      <c r="AF1018" t="s">
        <v>61</v>
      </c>
      <c r="AG1018" t="s">
        <v>8437</v>
      </c>
      <c r="AH1018" t="s">
        <v>61</v>
      </c>
      <c r="AI1018" t="s">
        <v>61</v>
      </c>
      <c r="AJ1018" t="s">
        <v>61</v>
      </c>
      <c r="AK1018" t="s">
        <v>61</v>
      </c>
      <c r="AL1018" t="s">
        <v>61</v>
      </c>
      <c r="AM1018" t="s">
        <v>8438</v>
      </c>
      <c r="AN1018" t="s">
        <v>61</v>
      </c>
      <c r="AO1018" t="s">
        <v>61</v>
      </c>
      <c r="AP1018" t="s">
        <v>61</v>
      </c>
      <c r="AQ1018" t="s">
        <v>61</v>
      </c>
      <c r="AR1018" t="s">
        <v>61</v>
      </c>
      <c r="AS1018" t="s">
        <v>61</v>
      </c>
      <c r="AT1018" t="s">
        <v>61</v>
      </c>
      <c r="AU1018" t="s">
        <v>61</v>
      </c>
      <c r="AV1018" t="s">
        <v>61</v>
      </c>
      <c r="AW1018" t="s">
        <v>61</v>
      </c>
      <c r="AX1018" t="s">
        <v>61</v>
      </c>
      <c r="AY1018" t="s">
        <v>61</v>
      </c>
      <c r="AZ1018" t="s">
        <v>61</v>
      </c>
      <c r="BA1018" t="s">
        <v>61</v>
      </c>
      <c r="BB1018" t="s">
        <v>61</v>
      </c>
      <c r="BC1018" t="s">
        <v>61</v>
      </c>
      <c r="BD1018" t="s">
        <v>61</v>
      </c>
      <c r="BE1018" t="s">
        <v>61</v>
      </c>
      <c r="BF1018" t="s">
        <v>61</v>
      </c>
    </row>
    <row r="1019" spans="1:58">
      <c r="A1019" t="s">
        <v>58</v>
      </c>
      <c r="B1019" t="s">
        <v>8439</v>
      </c>
      <c r="C1019" t="s">
        <v>8440</v>
      </c>
      <c r="D1019" t="s">
        <v>8441</v>
      </c>
      <c r="E1019" t="s">
        <v>61</v>
      </c>
      <c r="F1019">
        <v>2008</v>
      </c>
      <c r="G1019" t="s">
        <v>61</v>
      </c>
      <c r="H1019">
        <v>10</v>
      </c>
      <c r="I1019">
        <v>4</v>
      </c>
      <c r="J1019" t="s">
        <v>8442</v>
      </c>
      <c r="K1019" t="s">
        <v>8443</v>
      </c>
      <c r="L1019" t="s">
        <v>8444</v>
      </c>
      <c r="M1019" t="s">
        <v>8445</v>
      </c>
      <c r="N1019" t="s">
        <v>8446</v>
      </c>
      <c r="O1019" t="s">
        <v>61</v>
      </c>
      <c r="Q1019" t="s">
        <v>61</v>
      </c>
      <c r="R1019" t="s">
        <v>61</v>
      </c>
      <c r="S1019" t="s">
        <v>61</v>
      </c>
      <c r="T1019" t="s">
        <v>61</v>
      </c>
      <c r="X1019" t="s">
        <v>61</v>
      </c>
      <c r="Y1019" t="s">
        <v>8447</v>
      </c>
      <c r="Z1019" t="s">
        <v>61</v>
      </c>
      <c r="AA1019" t="s">
        <v>8448</v>
      </c>
      <c r="AB1019">
        <v>105572555</v>
      </c>
      <c r="AC1019" t="s">
        <v>67</v>
      </c>
      <c r="AD1019" t="s">
        <v>61</v>
      </c>
      <c r="AE1019" t="s">
        <v>61</v>
      </c>
      <c r="AF1019" t="s">
        <v>61</v>
      </c>
      <c r="AG1019" t="s">
        <v>8449</v>
      </c>
      <c r="AH1019" t="s">
        <v>61</v>
      </c>
      <c r="AI1019" t="s">
        <v>61</v>
      </c>
      <c r="AJ1019" t="s">
        <v>61</v>
      </c>
      <c r="AK1019" t="s">
        <v>61</v>
      </c>
      <c r="AL1019" t="s">
        <v>61</v>
      </c>
      <c r="AM1019" t="s">
        <v>8450</v>
      </c>
      <c r="AN1019" t="s">
        <v>61</v>
      </c>
      <c r="AO1019" t="s">
        <v>61</v>
      </c>
      <c r="AP1019" t="s">
        <v>61</v>
      </c>
      <c r="AQ1019" t="s">
        <v>61</v>
      </c>
      <c r="AR1019" t="s">
        <v>61</v>
      </c>
      <c r="AS1019" t="s">
        <v>61</v>
      </c>
      <c r="AT1019" t="s">
        <v>61</v>
      </c>
      <c r="AU1019" t="s">
        <v>61</v>
      </c>
      <c r="AV1019" t="s">
        <v>61</v>
      </c>
      <c r="AW1019" t="s">
        <v>61</v>
      </c>
      <c r="AX1019" t="s">
        <v>61</v>
      </c>
      <c r="AY1019" t="s">
        <v>61</v>
      </c>
      <c r="AZ1019" t="s">
        <v>61</v>
      </c>
      <c r="BA1019" t="s">
        <v>61</v>
      </c>
      <c r="BB1019" t="s">
        <v>61</v>
      </c>
      <c r="BC1019" t="s">
        <v>61</v>
      </c>
      <c r="BD1019" t="s">
        <v>61</v>
      </c>
      <c r="BE1019" t="s">
        <v>61</v>
      </c>
      <c r="BF1019" t="s">
        <v>61</v>
      </c>
    </row>
    <row r="1020" spans="1:58">
      <c r="A1020" t="s">
        <v>58</v>
      </c>
      <c r="B1020" t="s">
        <v>8451</v>
      </c>
      <c r="C1020" t="s">
        <v>8452</v>
      </c>
      <c r="D1020" t="s">
        <v>60</v>
      </c>
      <c r="E1020" t="s">
        <v>61</v>
      </c>
      <c r="F1020">
        <v>1999</v>
      </c>
      <c r="G1020" s="1">
        <v>42401</v>
      </c>
      <c r="H1020">
        <v>56</v>
      </c>
      <c r="I1020">
        <v>3</v>
      </c>
      <c r="J1020">
        <v>236</v>
      </c>
      <c r="K1020">
        <v>240</v>
      </c>
      <c r="L1020" t="s">
        <v>8453</v>
      </c>
      <c r="M1020" t="s">
        <v>8454</v>
      </c>
      <c r="N1020" t="s">
        <v>8455</v>
      </c>
      <c r="O1020" t="s">
        <v>61</v>
      </c>
      <c r="Q1020" t="s">
        <v>61</v>
      </c>
      <c r="R1020" t="s">
        <v>61</v>
      </c>
      <c r="S1020" t="s">
        <v>61</v>
      </c>
      <c r="T1020" t="s">
        <v>61</v>
      </c>
      <c r="X1020" t="s">
        <v>61</v>
      </c>
      <c r="Y1020" t="s">
        <v>66</v>
      </c>
      <c r="Z1020" t="s">
        <v>61</v>
      </c>
      <c r="AA1020" t="s">
        <v>8456</v>
      </c>
      <c r="AB1020">
        <v>10030508</v>
      </c>
      <c r="AC1020" t="s">
        <v>67</v>
      </c>
      <c r="AD1020" t="s">
        <v>61</v>
      </c>
      <c r="AE1020" t="s">
        <v>61</v>
      </c>
      <c r="AF1020" t="s">
        <v>61</v>
      </c>
      <c r="AG1020" t="s">
        <v>8457</v>
      </c>
      <c r="AH1020" t="s">
        <v>61</v>
      </c>
      <c r="AI1020" t="s">
        <v>61</v>
      </c>
      <c r="AJ1020" t="s">
        <v>61</v>
      </c>
      <c r="AK1020" t="s">
        <v>61</v>
      </c>
      <c r="AL1020" t="s">
        <v>61</v>
      </c>
      <c r="AM1020" t="s">
        <v>8458</v>
      </c>
      <c r="AN1020" t="s">
        <v>61</v>
      </c>
      <c r="AO1020" t="s">
        <v>61</v>
      </c>
      <c r="AP1020" t="s">
        <v>61</v>
      </c>
      <c r="AQ1020" t="s">
        <v>61</v>
      </c>
      <c r="AR1020" t="s">
        <v>61</v>
      </c>
      <c r="AS1020" t="s">
        <v>61</v>
      </c>
      <c r="AT1020" t="s">
        <v>61</v>
      </c>
      <c r="AU1020" t="s">
        <v>61</v>
      </c>
      <c r="AV1020" t="s">
        <v>61</v>
      </c>
      <c r="AW1020" t="s">
        <v>61</v>
      </c>
      <c r="AX1020" t="s">
        <v>61</v>
      </c>
      <c r="AY1020" t="s">
        <v>61</v>
      </c>
      <c r="AZ1020" t="s">
        <v>61</v>
      </c>
      <c r="BA1020" t="s">
        <v>61</v>
      </c>
      <c r="BB1020" t="s">
        <v>61</v>
      </c>
      <c r="BC1020" t="s">
        <v>61</v>
      </c>
      <c r="BD1020" t="s">
        <v>61</v>
      </c>
      <c r="BE1020" t="s">
        <v>61</v>
      </c>
      <c r="BF1020" t="s">
        <v>61</v>
      </c>
    </row>
    <row r="1021" spans="1:58">
      <c r="A1021" t="s">
        <v>58</v>
      </c>
      <c r="B1021" t="s">
        <v>8459</v>
      </c>
      <c r="C1021" t="s">
        <v>8460</v>
      </c>
      <c r="D1021" t="s">
        <v>408</v>
      </c>
      <c r="E1021" t="s">
        <v>408</v>
      </c>
      <c r="F1021">
        <v>2011</v>
      </c>
      <c r="G1021" t="s">
        <v>645</v>
      </c>
      <c r="H1021">
        <v>31</v>
      </c>
      <c r="I1021">
        <v>10</v>
      </c>
      <c r="J1021" t="s">
        <v>8461</v>
      </c>
      <c r="K1021" t="s">
        <v>61</v>
      </c>
      <c r="L1021" t="s">
        <v>8462</v>
      </c>
      <c r="M1021" t="s">
        <v>8463</v>
      </c>
      <c r="N1021" t="s">
        <v>8464</v>
      </c>
      <c r="O1021" t="s">
        <v>61</v>
      </c>
      <c r="Q1021" t="s">
        <v>61</v>
      </c>
      <c r="R1021" t="s">
        <v>61</v>
      </c>
      <c r="S1021" t="s">
        <v>61</v>
      </c>
      <c r="T1021" t="s">
        <v>61</v>
      </c>
      <c r="X1021" t="s">
        <v>61</v>
      </c>
      <c r="Y1021" t="s">
        <v>414</v>
      </c>
      <c r="Z1021" t="s">
        <v>61</v>
      </c>
      <c r="AA1021" t="s">
        <v>61</v>
      </c>
      <c r="AB1021" t="s">
        <v>61</v>
      </c>
      <c r="AC1021" t="s">
        <v>67</v>
      </c>
      <c r="AD1021" t="s">
        <v>61</v>
      </c>
      <c r="AE1021" t="s">
        <v>61</v>
      </c>
      <c r="AF1021" t="s">
        <v>61</v>
      </c>
      <c r="AG1021" t="s">
        <v>61</v>
      </c>
      <c r="AH1021" t="s">
        <v>61</v>
      </c>
      <c r="AI1021" t="s">
        <v>61</v>
      </c>
      <c r="AJ1021" t="s">
        <v>61</v>
      </c>
      <c r="AK1021" t="s">
        <v>61</v>
      </c>
      <c r="AL1021" t="s">
        <v>61</v>
      </c>
      <c r="AM1021" t="s">
        <v>8460</v>
      </c>
      <c r="AN1021" t="s">
        <v>61</v>
      </c>
      <c r="AO1021" t="s">
        <v>61</v>
      </c>
      <c r="AP1021" t="s">
        <v>61</v>
      </c>
      <c r="AQ1021" t="s">
        <v>61</v>
      </c>
      <c r="AR1021" t="s">
        <v>61</v>
      </c>
      <c r="AS1021" t="s">
        <v>61</v>
      </c>
      <c r="AT1021" t="s">
        <v>61</v>
      </c>
      <c r="AU1021" t="s">
        <v>61</v>
      </c>
      <c r="AV1021" t="s">
        <v>61</v>
      </c>
      <c r="AW1021" t="s">
        <v>61</v>
      </c>
      <c r="AX1021" t="s">
        <v>61</v>
      </c>
      <c r="AY1021" t="s">
        <v>61</v>
      </c>
      <c r="AZ1021" t="s">
        <v>61</v>
      </c>
      <c r="BA1021" t="s">
        <v>61</v>
      </c>
      <c r="BB1021" t="s">
        <v>61</v>
      </c>
      <c r="BC1021" t="s">
        <v>61</v>
      </c>
      <c r="BD1021" t="s">
        <v>61</v>
      </c>
      <c r="BE1021" t="s">
        <v>61</v>
      </c>
      <c r="BF1021" t="s">
        <v>61</v>
      </c>
    </row>
    <row r="1022" spans="1:58">
      <c r="A1022" t="s">
        <v>58</v>
      </c>
      <c r="B1022" t="s">
        <v>8465</v>
      </c>
      <c r="C1022" t="s">
        <v>8466</v>
      </c>
      <c r="D1022" t="s">
        <v>1454</v>
      </c>
      <c r="E1022" t="s">
        <v>1455</v>
      </c>
      <c r="F1022">
        <v>1977</v>
      </c>
      <c r="G1022" t="s">
        <v>61</v>
      </c>
      <c r="H1022">
        <v>7</v>
      </c>
      <c r="I1022">
        <v>4</v>
      </c>
      <c r="J1022">
        <v>337</v>
      </c>
      <c r="K1022">
        <v>345</v>
      </c>
      <c r="L1022" t="s">
        <v>8467</v>
      </c>
      <c r="M1022" t="s">
        <v>8468</v>
      </c>
      <c r="N1022" t="s">
        <v>8469</v>
      </c>
      <c r="O1022" t="s">
        <v>61</v>
      </c>
      <c r="Q1022" t="s">
        <v>61</v>
      </c>
      <c r="R1022" t="s">
        <v>61</v>
      </c>
      <c r="S1022" t="s">
        <v>61</v>
      </c>
      <c r="T1022" t="s">
        <v>61</v>
      </c>
      <c r="X1022" t="s">
        <v>61</v>
      </c>
      <c r="Y1022" t="s">
        <v>1459</v>
      </c>
      <c r="Z1022" t="s">
        <v>61</v>
      </c>
      <c r="AA1022" t="s">
        <v>61</v>
      </c>
      <c r="AB1022">
        <v>1978268789</v>
      </c>
      <c r="AC1022" t="s">
        <v>67</v>
      </c>
      <c r="AD1022" t="s">
        <v>61</v>
      </c>
      <c r="AE1022" t="s">
        <v>61</v>
      </c>
      <c r="AF1022" t="s">
        <v>61</v>
      </c>
      <c r="AG1022" t="s">
        <v>61</v>
      </c>
      <c r="AH1022" t="s">
        <v>61</v>
      </c>
      <c r="AI1022" t="s">
        <v>61</v>
      </c>
      <c r="AJ1022" t="s">
        <v>61</v>
      </c>
      <c r="AK1022" t="s">
        <v>61</v>
      </c>
      <c r="AL1022" t="s">
        <v>61</v>
      </c>
      <c r="AM1022" t="s">
        <v>8466</v>
      </c>
      <c r="AN1022" t="s">
        <v>61</v>
      </c>
      <c r="AO1022" t="s">
        <v>61</v>
      </c>
      <c r="AP1022" t="s">
        <v>61</v>
      </c>
      <c r="AQ1022" t="s">
        <v>61</v>
      </c>
      <c r="AR1022" t="s">
        <v>61</v>
      </c>
      <c r="AS1022" t="s">
        <v>61</v>
      </c>
      <c r="AT1022" t="s">
        <v>61</v>
      </c>
      <c r="AU1022" t="s">
        <v>61</v>
      </c>
      <c r="AV1022" t="s">
        <v>61</v>
      </c>
      <c r="AW1022" t="s">
        <v>61</v>
      </c>
      <c r="AX1022" t="s">
        <v>61</v>
      </c>
      <c r="AY1022" t="s">
        <v>61</v>
      </c>
      <c r="AZ1022" t="s">
        <v>61</v>
      </c>
      <c r="BA1022" t="s">
        <v>61</v>
      </c>
      <c r="BB1022" t="s">
        <v>61</v>
      </c>
      <c r="BC1022" t="s">
        <v>61</v>
      </c>
      <c r="BD1022" t="s">
        <v>61</v>
      </c>
      <c r="BE1022" t="s">
        <v>61</v>
      </c>
      <c r="BF1022" t="s">
        <v>61</v>
      </c>
    </row>
    <row r="1023" spans="1:58">
      <c r="A1023" t="s">
        <v>58</v>
      </c>
      <c r="B1023" t="s">
        <v>8470</v>
      </c>
      <c r="C1023" t="s">
        <v>8471</v>
      </c>
      <c r="D1023" t="s">
        <v>2166</v>
      </c>
      <c r="E1023" t="s">
        <v>61</v>
      </c>
      <c r="F1023">
        <v>2007</v>
      </c>
      <c r="G1023" t="s">
        <v>237</v>
      </c>
      <c r="H1023">
        <v>26</v>
      </c>
      <c r="I1023">
        <v>4</v>
      </c>
      <c r="J1023">
        <v>369</v>
      </c>
      <c r="K1023">
        <v>378</v>
      </c>
      <c r="L1023" t="s">
        <v>8472</v>
      </c>
      <c r="M1023" t="s">
        <v>8473</v>
      </c>
      <c r="N1023" t="s">
        <v>8474</v>
      </c>
      <c r="O1023" t="s">
        <v>61</v>
      </c>
      <c r="Q1023" t="s">
        <v>61</v>
      </c>
      <c r="R1023" t="s">
        <v>61</v>
      </c>
      <c r="S1023" t="s">
        <v>61</v>
      </c>
      <c r="T1023" t="s">
        <v>61</v>
      </c>
      <c r="X1023" t="s">
        <v>61</v>
      </c>
      <c r="Y1023" t="s">
        <v>8475</v>
      </c>
      <c r="Z1023" t="s">
        <v>61</v>
      </c>
      <c r="AA1023" t="s">
        <v>8476</v>
      </c>
      <c r="AB1023">
        <v>17564872</v>
      </c>
      <c r="AC1023" t="s">
        <v>67</v>
      </c>
      <c r="AD1023" t="s">
        <v>61</v>
      </c>
      <c r="AE1023" t="s">
        <v>61</v>
      </c>
      <c r="AF1023" t="s">
        <v>61</v>
      </c>
      <c r="AG1023" t="s">
        <v>8477</v>
      </c>
      <c r="AH1023" t="s">
        <v>61</v>
      </c>
      <c r="AI1023" t="s">
        <v>61</v>
      </c>
      <c r="AJ1023" t="s">
        <v>61</v>
      </c>
      <c r="AK1023" t="s">
        <v>61</v>
      </c>
      <c r="AL1023" t="s">
        <v>61</v>
      </c>
      <c r="AM1023" t="s">
        <v>8478</v>
      </c>
      <c r="AN1023" t="s">
        <v>61</v>
      </c>
      <c r="AO1023" t="s">
        <v>61</v>
      </c>
      <c r="AP1023" t="s">
        <v>61</v>
      </c>
      <c r="AQ1023" t="s">
        <v>61</v>
      </c>
      <c r="AR1023" t="s">
        <v>61</v>
      </c>
      <c r="AS1023" t="s">
        <v>61</v>
      </c>
      <c r="AT1023" t="s">
        <v>61</v>
      </c>
      <c r="AU1023" t="s">
        <v>61</v>
      </c>
      <c r="AV1023" t="s">
        <v>61</v>
      </c>
      <c r="AW1023" t="s">
        <v>61</v>
      </c>
      <c r="AX1023" t="s">
        <v>61</v>
      </c>
      <c r="AY1023" t="s">
        <v>61</v>
      </c>
      <c r="AZ1023" t="s">
        <v>61</v>
      </c>
      <c r="BA1023" t="s">
        <v>61</v>
      </c>
      <c r="BB1023" t="s">
        <v>61</v>
      </c>
      <c r="BC1023" t="s">
        <v>61</v>
      </c>
      <c r="BD1023" t="s">
        <v>61</v>
      </c>
      <c r="BE1023" t="s">
        <v>61</v>
      </c>
      <c r="BF1023" t="s">
        <v>61</v>
      </c>
    </row>
    <row r="1024" spans="1:58">
      <c r="A1024" t="s">
        <v>58</v>
      </c>
      <c r="B1024" t="s">
        <v>8479</v>
      </c>
      <c r="C1024" t="s">
        <v>8480</v>
      </c>
      <c r="D1024" t="s">
        <v>428</v>
      </c>
      <c r="E1024" t="s">
        <v>61</v>
      </c>
      <c r="F1024">
        <v>2010</v>
      </c>
      <c r="G1024" t="s">
        <v>429</v>
      </c>
      <c r="H1024">
        <v>23</v>
      </c>
      <c r="I1024">
        <v>2</v>
      </c>
      <c r="J1024">
        <v>168</v>
      </c>
      <c r="K1024" t="s">
        <v>61</v>
      </c>
      <c r="L1024" t="s">
        <v>8481</v>
      </c>
      <c r="M1024" t="s">
        <v>8482</v>
      </c>
      <c r="N1024" t="s">
        <v>8483</v>
      </c>
      <c r="O1024" t="s">
        <v>61</v>
      </c>
      <c r="Q1024" t="s">
        <v>61</v>
      </c>
      <c r="R1024" t="s">
        <v>61</v>
      </c>
      <c r="S1024" t="s">
        <v>61</v>
      </c>
      <c r="T1024" t="s">
        <v>61</v>
      </c>
      <c r="X1024" t="s">
        <v>61</v>
      </c>
      <c r="Y1024" t="s">
        <v>433</v>
      </c>
      <c r="Z1024" t="s">
        <v>61</v>
      </c>
      <c r="AA1024" t="s">
        <v>61</v>
      </c>
      <c r="AB1024" t="s">
        <v>61</v>
      </c>
      <c r="AC1024" t="s">
        <v>67</v>
      </c>
      <c r="AD1024" t="s">
        <v>61</v>
      </c>
      <c r="AE1024" t="s">
        <v>61</v>
      </c>
      <c r="AF1024" t="s">
        <v>61</v>
      </c>
      <c r="AG1024" t="s">
        <v>61</v>
      </c>
      <c r="AH1024" t="s">
        <v>61</v>
      </c>
      <c r="AI1024" t="s">
        <v>61</v>
      </c>
      <c r="AJ1024" t="s">
        <v>61</v>
      </c>
      <c r="AK1024" t="s">
        <v>61</v>
      </c>
      <c r="AL1024" t="s">
        <v>61</v>
      </c>
      <c r="AM1024" t="s">
        <v>8480</v>
      </c>
      <c r="AN1024" t="s">
        <v>61</v>
      </c>
      <c r="AO1024" t="s">
        <v>61</v>
      </c>
      <c r="AP1024" t="s">
        <v>61</v>
      </c>
      <c r="AQ1024" t="s">
        <v>61</v>
      </c>
      <c r="AR1024" t="s">
        <v>61</v>
      </c>
      <c r="AS1024" t="s">
        <v>61</v>
      </c>
      <c r="AT1024" t="s">
        <v>61</v>
      </c>
      <c r="AU1024" t="s">
        <v>61</v>
      </c>
      <c r="AV1024" t="s">
        <v>61</v>
      </c>
      <c r="AW1024" t="s">
        <v>61</v>
      </c>
      <c r="AX1024" t="s">
        <v>61</v>
      </c>
      <c r="AY1024" t="s">
        <v>61</v>
      </c>
      <c r="AZ1024" t="s">
        <v>61</v>
      </c>
      <c r="BA1024" t="s">
        <v>61</v>
      </c>
      <c r="BB1024" t="s">
        <v>61</v>
      </c>
      <c r="BC1024" t="s">
        <v>61</v>
      </c>
      <c r="BD1024" t="s">
        <v>61</v>
      </c>
      <c r="BE1024" t="s">
        <v>61</v>
      </c>
      <c r="BF1024" t="s">
        <v>61</v>
      </c>
    </row>
    <row r="1025" spans="1:58">
      <c r="A1025" t="s">
        <v>58</v>
      </c>
      <c r="B1025" t="s">
        <v>8484</v>
      </c>
      <c r="C1025" t="s">
        <v>8485</v>
      </c>
      <c r="D1025" t="s">
        <v>8486</v>
      </c>
      <c r="E1025" t="s">
        <v>61</v>
      </c>
      <c r="F1025">
        <v>2011</v>
      </c>
      <c r="G1025" t="s">
        <v>61</v>
      </c>
      <c r="H1025">
        <v>117</v>
      </c>
      <c r="I1025">
        <v>1</v>
      </c>
      <c r="J1025">
        <v>6</v>
      </c>
      <c r="K1025">
        <v>11</v>
      </c>
      <c r="L1025" t="s">
        <v>8487</v>
      </c>
      <c r="M1025" t="s">
        <v>8488</v>
      </c>
      <c r="N1025" t="s">
        <v>8489</v>
      </c>
      <c r="O1025" t="s">
        <v>61</v>
      </c>
      <c r="Q1025" t="s">
        <v>61</v>
      </c>
      <c r="R1025" t="s">
        <v>61</v>
      </c>
      <c r="S1025" t="s">
        <v>61</v>
      </c>
      <c r="T1025" t="s">
        <v>61</v>
      </c>
      <c r="X1025" t="s">
        <v>61</v>
      </c>
      <c r="Y1025" t="s">
        <v>8490</v>
      </c>
      <c r="Z1025" t="s">
        <v>61</v>
      </c>
      <c r="AA1025" t="s">
        <v>8491</v>
      </c>
      <c r="AB1025">
        <v>21821968</v>
      </c>
      <c r="AC1025" t="s">
        <v>67</v>
      </c>
      <c r="AD1025" t="s">
        <v>61</v>
      </c>
      <c r="AE1025" t="s">
        <v>61</v>
      </c>
      <c r="AF1025" t="s">
        <v>61</v>
      </c>
      <c r="AG1025" t="s">
        <v>8492</v>
      </c>
      <c r="AH1025" t="s">
        <v>61</v>
      </c>
      <c r="AI1025" t="s">
        <v>61</v>
      </c>
      <c r="AJ1025" t="s">
        <v>61</v>
      </c>
      <c r="AK1025" t="s">
        <v>61</v>
      </c>
      <c r="AL1025" t="s">
        <v>61</v>
      </c>
      <c r="AM1025" t="s">
        <v>8493</v>
      </c>
      <c r="AN1025" t="s">
        <v>61</v>
      </c>
      <c r="AO1025" t="s">
        <v>61</v>
      </c>
      <c r="AP1025" t="s">
        <v>61</v>
      </c>
      <c r="AQ1025" t="s">
        <v>61</v>
      </c>
      <c r="AR1025" t="s">
        <v>61</v>
      </c>
      <c r="AS1025" t="s">
        <v>61</v>
      </c>
      <c r="AT1025" t="s">
        <v>61</v>
      </c>
      <c r="AU1025" t="s">
        <v>61</v>
      </c>
      <c r="AV1025" t="s">
        <v>61</v>
      </c>
      <c r="AW1025" t="s">
        <v>61</v>
      </c>
      <c r="AX1025" t="s">
        <v>61</v>
      </c>
      <c r="AY1025" t="s">
        <v>61</v>
      </c>
      <c r="AZ1025" t="s">
        <v>61</v>
      </c>
      <c r="BA1025" t="s">
        <v>61</v>
      </c>
      <c r="BB1025" t="s">
        <v>61</v>
      </c>
      <c r="BC1025" t="s">
        <v>61</v>
      </c>
      <c r="BD1025" t="s">
        <v>61</v>
      </c>
      <c r="BE1025" t="s">
        <v>61</v>
      </c>
      <c r="BF1025" t="s">
        <v>61</v>
      </c>
    </row>
    <row r="1026" spans="1:58">
      <c r="A1026" t="s">
        <v>58</v>
      </c>
      <c r="B1026" t="s">
        <v>8494</v>
      </c>
      <c r="C1026" t="s">
        <v>8495</v>
      </c>
      <c r="D1026" t="s">
        <v>8496</v>
      </c>
      <c r="E1026" t="s">
        <v>61</v>
      </c>
      <c r="F1026">
        <v>2008</v>
      </c>
      <c r="G1026" t="s">
        <v>61</v>
      </c>
      <c r="H1026">
        <v>30</v>
      </c>
      <c r="I1026">
        <v>3</v>
      </c>
      <c r="J1026">
        <v>211</v>
      </c>
      <c r="K1026" t="s">
        <v>8497</v>
      </c>
      <c r="L1026" t="s">
        <v>8498</v>
      </c>
      <c r="M1026" t="s">
        <v>61</v>
      </c>
      <c r="N1026" t="s">
        <v>8499</v>
      </c>
      <c r="O1026" t="s">
        <v>61</v>
      </c>
      <c r="Q1026" t="s">
        <v>61</v>
      </c>
      <c r="R1026" t="s">
        <v>61</v>
      </c>
      <c r="S1026" t="s">
        <v>61</v>
      </c>
      <c r="T1026" t="s">
        <v>61</v>
      </c>
      <c r="X1026" t="s">
        <v>61</v>
      </c>
      <c r="Y1026" t="s">
        <v>8500</v>
      </c>
      <c r="Z1026" t="s">
        <v>61</v>
      </c>
      <c r="AA1026" t="s">
        <v>8501</v>
      </c>
      <c r="AB1026">
        <v>105687771</v>
      </c>
      <c r="AC1026" t="s">
        <v>67</v>
      </c>
      <c r="AD1026" t="s">
        <v>61</v>
      </c>
      <c r="AE1026" t="s">
        <v>61</v>
      </c>
      <c r="AF1026" t="s">
        <v>61</v>
      </c>
      <c r="AG1026" t="s">
        <v>8502</v>
      </c>
      <c r="AH1026" t="s">
        <v>61</v>
      </c>
      <c r="AI1026" t="s">
        <v>61</v>
      </c>
      <c r="AJ1026" t="s">
        <v>61</v>
      </c>
      <c r="AK1026" t="s">
        <v>61</v>
      </c>
      <c r="AL1026" t="s">
        <v>61</v>
      </c>
      <c r="AM1026" t="s">
        <v>8503</v>
      </c>
      <c r="AN1026" t="s">
        <v>61</v>
      </c>
      <c r="AO1026" t="s">
        <v>61</v>
      </c>
      <c r="AP1026" t="s">
        <v>61</v>
      </c>
      <c r="AQ1026" t="s">
        <v>61</v>
      </c>
      <c r="AR1026" t="s">
        <v>61</v>
      </c>
      <c r="AS1026" t="s">
        <v>61</v>
      </c>
      <c r="AT1026" t="s">
        <v>61</v>
      </c>
      <c r="AU1026" t="s">
        <v>61</v>
      </c>
      <c r="AV1026" t="s">
        <v>61</v>
      </c>
      <c r="AW1026" t="s">
        <v>61</v>
      </c>
      <c r="AX1026" t="s">
        <v>61</v>
      </c>
      <c r="AY1026" t="s">
        <v>61</v>
      </c>
      <c r="AZ1026" t="s">
        <v>61</v>
      </c>
      <c r="BA1026" t="s">
        <v>61</v>
      </c>
      <c r="BB1026" t="s">
        <v>61</v>
      </c>
      <c r="BC1026" t="s">
        <v>61</v>
      </c>
      <c r="BD1026" t="s">
        <v>61</v>
      </c>
      <c r="BE1026" t="s">
        <v>61</v>
      </c>
      <c r="BF1026" t="s">
        <v>61</v>
      </c>
    </row>
    <row r="1027" spans="1:58">
      <c r="A1027" t="s">
        <v>58</v>
      </c>
      <c r="B1027" t="s">
        <v>8504</v>
      </c>
      <c r="C1027" t="s">
        <v>8505</v>
      </c>
      <c r="D1027" t="s">
        <v>408</v>
      </c>
      <c r="E1027" t="s">
        <v>408</v>
      </c>
      <c r="F1027">
        <v>2013</v>
      </c>
      <c r="G1027" t="s">
        <v>645</v>
      </c>
      <c r="H1027">
        <v>33</v>
      </c>
      <c r="I1027">
        <v>10</v>
      </c>
      <c r="J1027" t="s">
        <v>2636</v>
      </c>
      <c r="K1027" t="s">
        <v>61</v>
      </c>
      <c r="L1027" t="s">
        <v>8506</v>
      </c>
      <c r="M1027" t="s">
        <v>8507</v>
      </c>
      <c r="N1027" t="s">
        <v>8508</v>
      </c>
      <c r="O1027" t="s">
        <v>61</v>
      </c>
      <c r="Q1027" t="s">
        <v>61</v>
      </c>
      <c r="R1027" t="s">
        <v>61</v>
      </c>
      <c r="S1027" t="s">
        <v>61</v>
      </c>
      <c r="T1027" t="s">
        <v>61</v>
      </c>
      <c r="X1027" t="s">
        <v>61</v>
      </c>
      <c r="Y1027" t="s">
        <v>414</v>
      </c>
      <c r="Z1027" t="s">
        <v>61</v>
      </c>
      <c r="AA1027" t="s">
        <v>61</v>
      </c>
      <c r="AB1027" t="s">
        <v>61</v>
      </c>
      <c r="AC1027" t="s">
        <v>67</v>
      </c>
      <c r="AD1027" t="s">
        <v>61</v>
      </c>
      <c r="AE1027" t="s">
        <v>61</v>
      </c>
      <c r="AF1027" t="s">
        <v>61</v>
      </c>
      <c r="AG1027" t="s">
        <v>61</v>
      </c>
      <c r="AH1027" t="s">
        <v>61</v>
      </c>
      <c r="AI1027" t="s">
        <v>61</v>
      </c>
      <c r="AJ1027" t="s">
        <v>61</v>
      </c>
      <c r="AK1027" t="s">
        <v>61</v>
      </c>
      <c r="AL1027" t="s">
        <v>61</v>
      </c>
      <c r="AM1027" t="s">
        <v>8505</v>
      </c>
      <c r="AN1027" t="s">
        <v>61</v>
      </c>
      <c r="AO1027" t="s">
        <v>61</v>
      </c>
      <c r="AP1027" t="s">
        <v>61</v>
      </c>
      <c r="AQ1027" t="s">
        <v>61</v>
      </c>
      <c r="AR1027" t="s">
        <v>61</v>
      </c>
      <c r="AS1027" t="s">
        <v>61</v>
      </c>
      <c r="AT1027" t="s">
        <v>61</v>
      </c>
      <c r="AU1027" t="s">
        <v>61</v>
      </c>
      <c r="AV1027" t="s">
        <v>61</v>
      </c>
      <c r="AW1027" t="s">
        <v>61</v>
      </c>
      <c r="AX1027" t="s">
        <v>61</v>
      </c>
      <c r="AY1027" t="s">
        <v>61</v>
      </c>
      <c r="AZ1027" t="s">
        <v>61</v>
      </c>
      <c r="BA1027" t="s">
        <v>61</v>
      </c>
      <c r="BB1027" t="s">
        <v>61</v>
      </c>
      <c r="BC1027" t="s">
        <v>61</v>
      </c>
      <c r="BD1027" t="s">
        <v>61</v>
      </c>
      <c r="BE1027" t="s">
        <v>61</v>
      </c>
      <c r="BF1027" t="s">
        <v>61</v>
      </c>
    </row>
    <row r="1028" spans="1:58">
      <c r="A1028" t="s">
        <v>58</v>
      </c>
      <c r="B1028" t="s">
        <v>8509</v>
      </c>
      <c r="C1028" t="s">
        <v>8510</v>
      </c>
      <c r="D1028" t="s">
        <v>8511</v>
      </c>
      <c r="E1028" t="s">
        <v>61</v>
      </c>
      <c r="F1028">
        <v>1981</v>
      </c>
      <c r="G1028" t="s">
        <v>61</v>
      </c>
      <c r="H1028">
        <v>23</v>
      </c>
      <c r="I1028">
        <v>8</v>
      </c>
      <c r="J1028">
        <v>9</v>
      </c>
      <c r="K1028">
        <v>19</v>
      </c>
      <c r="L1028" t="s">
        <v>8512</v>
      </c>
      <c r="M1028" t="s">
        <v>8513</v>
      </c>
      <c r="N1028" t="s">
        <v>8514</v>
      </c>
      <c r="O1028" t="s">
        <v>61</v>
      </c>
      <c r="Q1028" t="s">
        <v>61</v>
      </c>
      <c r="R1028" t="s">
        <v>61</v>
      </c>
      <c r="S1028" t="s">
        <v>61</v>
      </c>
      <c r="T1028" t="s">
        <v>61</v>
      </c>
      <c r="X1028" t="s">
        <v>61</v>
      </c>
      <c r="Y1028" t="s">
        <v>8515</v>
      </c>
      <c r="Z1028" t="s">
        <v>61</v>
      </c>
      <c r="AA1028" t="s">
        <v>61</v>
      </c>
      <c r="AB1028">
        <v>1981252172</v>
      </c>
      <c r="AC1028" t="s">
        <v>67</v>
      </c>
      <c r="AD1028" t="s">
        <v>61</v>
      </c>
      <c r="AE1028" t="s">
        <v>61</v>
      </c>
      <c r="AF1028" t="s">
        <v>61</v>
      </c>
      <c r="AG1028" t="s">
        <v>61</v>
      </c>
      <c r="AH1028" t="s">
        <v>61</v>
      </c>
      <c r="AI1028" t="s">
        <v>61</v>
      </c>
      <c r="AJ1028" t="s">
        <v>61</v>
      </c>
      <c r="AK1028" t="s">
        <v>61</v>
      </c>
      <c r="AL1028" t="s">
        <v>61</v>
      </c>
      <c r="AM1028" t="s">
        <v>8510</v>
      </c>
      <c r="AN1028" t="s">
        <v>61</v>
      </c>
      <c r="AO1028" t="s">
        <v>61</v>
      </c>
      <c r="AP1028" t="s">
        <v>61</v>
      </c>
      <c r="AQ1028" t="s">
        <v>61</v>
      </c>
      <c r="AR1028" t="s">
        <v>61</v>
      </c>
      <c r="AS1028" t="s">
        <v>61</v>
      </c>
      <c r="AT1028" t="s">
        <v>61</v>
      </c>
      <c r="AU1028" t="s">
        <v>61</v>
      </c>
      <c r="AV1028" t="s">
        <v>61</v>
      </c>
      <c r="AW1028" t="s">
        <v>61</v>
      </c>
      <c r="AX1028" t="s">
        <v>61</v>
      </c>
      <c r="AY1028" t="s">
        <v>61</v>
      </c>
      <c r="AZ1028" t="s">
        <v>61</v>
      </c>
      <c r="BA1028" t="s">
        <v>61</v>
      </c>
      <c r="BB1028" t="s">
        <v>61</v>
      </c>
      <c r="BC1028" t="s">
        <v>61</v>
      </c>
      <c r="BD1028" t="s">
        <v>61</v>
      </c>
      <c r="BE1028" t="s">
        <v>61</v>
      </c>
      <c r="BF1028" t="s">
        <v>61</v>
      </c>
    </row>
    <row r="1029" spans="1:58">
      <c r="A1029" t="s">
        <v>58</v>
      </c>
      <c r="B1029" t="s">
        <v>8516</v>
      </c>
      <c r="C1029" t="s">
        <v>8517</v>
      </c>
      <c r="D1029" t="s">
        <v>428</v>
      </c>
      <c r="E1029" t="s">
        <v>61</v>
      </c>
      <c r="F1029">
        <v>2010</v>
      </c>
      <c r="G1029" t="s">
        <v>429</v>
      </c>
      <c r="H1029">
        <v>23</v>
      </c>
      <c r="I1029">
        <v>2</v>
      </c>
      <c r="J1029">
        <v>173</v>
      </c>
      <c r="K1029">
        <v>174</v>
      </c>
      <c r="L1029" t="s">
        <v>8518</v>
      </c>
      <c r="M1029" t="s">
        <v>8519</v>
      </c>
      <c r="N1029" t="s">
        <v>8520</v>
      </c>
      <c r="O1029" t="s">
        <v>61</v>
      </c>
      <c r="Q1029" t="s">
        <v>61</v>
      </c>
      <c r="R1029" t="s">
        <v>61</v>
      </c>
      <c r="S1029" t="s">
        <v>61</v>
      </c>
      <c r="T1029" t="s">
        <v>61</v>
      </c>
      <c r="X1029" t="s">
        <v>61</v>
      </c>
      <c r="Y1029" t="s">
        <v>433</v>
      </c>
      <c r="Z1029" t="s">
        <v>61</v>
      </c>
      <c r="AA1029" t="s">
        <v>61</v>
      </c>
      <c r="AB1029" t="s">
        <v>61</v>
      </c>
      <c r="AC1029" t="s">
        <v>67</v>
      </c>
      <c r="AD1029" t="s">
        <v>61</v>
      </c>
      <c r="AE1029" t="s">
        <v>61</v>
      </c>
      <c r="AF1029" t="s">
        <v>61</v>
      </c>
      <c r="AG1029" t="s">
        <v>61</v>
      </c>
      <c r="AH1029" t="s">
        <v>61</v>
      </c>
      <c r="AI1029" t="s">
        <v>61</v>
      </c>
      <c r="AJ1029" t="s">
        <v>61</v>
      </c>
      <c r="AK1029" t="s">
        <v>61</v>
      </c>
      <c r="AL1029" t="s">
        <v>61</v>
      </c>
      <c r="AM1029" t="s">
        <v>8517</v>
      </c>
      <c r="AN1029" t="s">
        <v>61</v>
      </c>
      <c r="AO1029" t="s">
        <v>61</v>
      </c>
      <c r="AP1029" t="s">
        <v>61</v>
      </c>
      <c r="AQ1029" t="s">
        <v>61</v>
      </c>
      <c r="AR1029" t="s">
        <v>61</v>
      </c>
      <c r="AS1029" t="s">
        <v>61</v>
      </c>
      <c r="AT1029" t="s">
        <v>61</v>
      </c>
      <c r="AU1029" t="s">
        <v>61</v>
      </c>
      <c r="AV1029" t="s">
        <v>61</v>
      </c>
      <c r="AW1029" t="s">
        <v>61</v>
      </c>
      <c r="AX1029" t="s">
        <v>61</v>
      </c>
      <c r="AY1029" t="s">
        <v>61</v>
      </c>
      <c r="AZ1029" t="s">
        <v>61</v>
      </c>
      <c r="BA1029" t="s">
        <v>61</v>
      </c>
      <c r="BB1029" t="s">
        <v>61</v>
      </c>
      <c r="BC1029" t="s">
        <v>61</v>
      </c>
      <c r="BD1029" t="s">
        <v>61</v>
      </c>
      <c r="BE1029" t="s">
        <v>61</v>
      </c>
      <c r="BF1029" t="s">
        <v>61</v>
      </c>
    </row>
    <row r="1030" spans="1:58">
      <c r="A1030" t="s">
        <v>58</v>
      </c>
      <c r="B1030" t="s">
        <v>8521</v>
      </c>
      <c r="C1030" t="s">
        <v>8522</v>
      </c>
      <c r="D1030" t="s">
        <v>1739</v>
      </c>
      <c r="E1030" t="s">
        <v>1740</v>
      </c>
      <c r="F1030">
        <v>1986</v>
      </c>
      <c r="G1030" t="s">
        <v>61</v>
      </c>
      <c r="H1030">
        <v>43</v>
      </c>
      <c r="I1030">
        <v>2</v>
      </c>
      <c r="J1030">
        <v>360</v>
      </c>
      <c r="K1030">
        <v>367</v>
      </c>
      <c r="L1030" t="s">
        <v>8523</v>
      </c>
      <c r="M1030" t="s">
        <v>8524</v>
      </c>
      <c r="N1030" t="s">
        <v>8525</v>
      </c>
      <c r="O1030" t="s">
        <v>61</v>
      </c>
      <c r="Q1030" t="s">
        <v>61</v>
      </c>
      <c r="R1030" t="s">
        <v>61</v>
      </c>
      <c r="S1030" t="s">
        <v>61</v>
      </c>
      <c r="T1030" t="s">
        <v>61</v>
      </c>
      <c r="X1030" t="s">
        <v>61</v>
      </c>
      <c r="Y1030" s="2">
        <v>2698811</v>
      </c>
      <c r="Z1030" t="s">
        <v>61</v>
      </c>
      <c r="AA1030" t="s">
        <v>61</v>
      </c>
      <c r="AB1030">
        <v>1986076482</v>
      </c>
      <c r="AC1030" t="s">
        <v>67</v>
      </c>
      <c r="AD1030" t="s">
        <v>61</v>
      </c>
      <c r="AE1030" t="s">
        <v>61</v>
      </c>
      <c r="AF1030" t="s">
        <v>61</v>
      </c>
      <c r="AG1030" t="s">
        <v>8526</v>
      </c>
      <c r="AH1030" t="s">
        <v>61</v>
      </c>
      <c r="AI1030" t="s">
        <v>61</v>
      </c>
      <c r="AJ1030" t="s">
        <v>61</v>
      </c>
      <c r="AK1030" t="s">
        <v>61</v>
      </c>
      <c r="AL1030" t="s">
        <v>61</v>
      </c>
      <c r="AM1030" t="s">
        <v>8527</v>
      </c>
      <c r="AN1030" t="s">
        <v>61</v>
      </c>
      <c r="AO1030" t="s">
        <v>61</v>
      </c>
      <c r="AP1030" t="s">
        <v>61</v>
      </c>
      <c r="AQ1030" t="s">
        <v>61</v>
      </c>
      <c r="AR1030" t="s">
        <v>61</v>
      </c>
      <c r="AS1030" t="s">
        <v>61</v>
      </c>
      <c r="AT1030" t="s">
        <v>61</v>
      </c>
      <c r="AU1030" t="s">
        <v>61</v>
      </c>
      <c r="AV1030" t="s">
        <v>61</v>
      </c>
      <c r="AW1030" t="s">
        <v>61</v>
      </c>
      <c r="AX1030" t="s">
        <v>61</v>
      </c>
      <c r="AY1030" t="s">
        <v>61</v>
      </c>
      <c r="AZ1030" t="s">
        <v>61</v>
      </c>
      <c r="BA1030" t="s">
        <v>61</v>
      </c>
      <c r="BB1030" t="s">
        <v>61</v>
      </c>
      <c r="BC1030" t="s">
        <v>61</v>
      </c>
      <c r="BD1030" t="s">
        <v>61</v>
      </c>
      <c r="BE1030" t="s">
        <v>61</v>
      </c>
      <c r="BF1030" t="s">
        <v>61</v>
      </c>
    </row>
    <row r="1031" spans="1:58">
      <c r="A1031" t="s">
        <v>58</v>
      </c>
      <c r="B1031" t="s">
        <v>8528</v>
      </c>
      <c r="C1031" t="s">
        <v>8529</v>
      </c>
      <c r="D1031" t="s">
        <v>2704</v>
      </c>
      <c r="E1031" t="s">
        <v>61</v>
      </c>
      <c r="F1031">
        <v>2011</v>
      </c>
      <c r="G1031" s="1">
        <v>42675</v>
      </c>
      <c r="H1031">
        <v>34</v>
      </c>
      <c r="I1031">
        <v>11</v>
      </c>
      <c r="J1031">
        <v>1079</v>
      </c>
      <c r="K1031">
        <v>1088</v>
      </c>
      <c r="L1031" t="s">
        <v>8530</v>
      </c>
      <c r="M1031" t="s">
        <v>8531</v>
      </c>
      <c r="N1031" t="s">
        <v>8532</v>
      </c>
      <c r="O1031" t="s">
        <v>61</v>
      </c>
      <c r="Q1031" t="s">
        <v>61</v>
      </c>
      <c r="R1031" t="s">
        <v>61</v>
      </c>
      <c r="S1031" t="s">
        <v>61</v>
      </c>
      <c r="T1031" t="s">
        <v>61</v>
      </c>
      <c r="X1031" t="s">
        <v>61</v>
      </c>
      <c r="Y1031" t="s">
        <v>313</v>
      </c>
      <c r="Z1031" t="s">
        <v>61</v>
      </c>
      <c r="AA1031" t="s">
        <v>8533</v>
      </c>
      <c r="AB1031">
        <v>21981435</v>
      </c>
      <c r="AC1031" t="s">
        <v>67</v>
      </c>
      <c r="AD1031" t="s">
        <v>61</v>
      </c>
      <c r="AE1031" t="s">
        <v>61</v>
      </c>
      <c r="AF1031" t="s">
        <v>61</v>
      </c>
      <c r="AG1031" t="s">
        <v>8534</v>
      </c>
      <c r="AH1031" t="s">
        <v>61</v>
      </c>
      <c r="AI1031" t="s">
        <v>8535</v>
      </c>
      <c r="AJ1031" t="s">
        <v>61</v>
      </c>
      <c r="AK1031" t="s">
        <v>61</v>
      </c>
      <c r="AL1031" t="s">
        <v>61</v>
      </c>
      <c r="AM1031" t="s">
        <v>8536</v>
      </c>
      <c r="AN1031" t="s">
        <v>61</v>
      </c>
      <c r="AO1031" t="s">
        <v>61</v>
      </c>
      <c r="AP1031" t="s">
        <v>61</v>
      </c>
      <c r="AQ1031" t="s">
        <v>61</v>
      </c>
      <c r="AR1031" t="s">
        <v>61</v>
      </c>
      <c r="AS1031" t="s">
        <v>61</v>
      </c>
      <c r="AT1031" t="s">
        <v>61</v>
      </c>
      <c r="AU1031" t="s">
        <v>61</v>
      </c>
      <c r="AV1031" t="s">
        <v>61</v>
      </c>
      <c r="AW1031" t="s">
        <v>61</v>
      </c>
      <c r="AX1031" t="s">
        <v>61</v>
      </c>
      <c r="AY1031" t="s">
        <v>61</v>
      </c>
      <c r="AZ1031" t="s">
        <v>61</v>
      </c>
      <c r="BA1031" t="s">
        <v>61</v>
      </c>
      <c r="BB1031" t="s">
        <v>61</v>
      </c>
      <c r="BC1031" t="s">
        <v>61</v>
      </c>
      <c r="BD1031" t="s">
        <v>61</v>
      </c>
      <c r="BE1031" t="s">
        <v>61</v>
      </c>
      <c r="BF1031" t="s">
        <v>61</v>
      </c>
    </row>
    <row r="1032" spans="1:58">
      <c r="A1032" t="s">
        <v>58</v>
      </c>
      <c r="B1032" t="s">
        <v>8537</v>
      </c>
      <c r="C1032" t="s">
        <v>8538</v>
      </c>
      <c r="D1032" t="s">
        <v>1739</v>
      </c>
      <c r="E1032" t="s">
        <v>1740</v>
      </c>
      <c r="F1032">
        <v>1978</v>
      </c>
      <c r="G1032" t="s">
        <v>559</v>
      </c>
      <c r="H1032">
        <v>35</v>
      </c>
      <c r="I1032">
        <v>5</v>
      </c>
      <c r="J1032">
        <v>574</v>
      </c>
      <c r="K1032">
        <v>578</v>
      </c>
      <c r="L1032" t="s">
        <v>8539</v>
      </c>
      <c r="M1032" t="s">
        <v>8540</v>
      </c>
      <c r="N1032" t="s">
        <v>8541</v>
      </c>
      <c r="O1032" t="s">
        <v>61</v>
      </c>
      <c r="Q1032" t="s">
        <v>61</v>
      </c>
      <c r="R1032" t="s">
        <v>61</v>
      </c>
      <c r="S1032" t="s">
        <v>61</v>
      </c>
      <c r="T1032" t="s">
        <v>61</v>
      </c>
      <c r="X1032" t="s">
        <v>61</v>
      </c>
      <c r="Y1032" s="2">
        <v>2698811</v>
      </c>
      <c r="Z1032" t="s">
        <v>61</v>
      </c>
      <c r="AA1032" t="s">
        <v>61</v>
      </c>
      <c r="AB1032">
        <v>655180</v>
      </c>
      <c r="AC1032" t="s">
        <v>67</v>
      </c>
      <c r="AD1032" t="s">
        <v>61</v>
      </c>
      <c r="AE1032" t="s">
        <v>61</v>
      </c>
      <c r="AF1032" t="s">
        <v>61</v>
      </c>
      <c r="AG1032" t="s">
        <v>8542</v>
      </c>
      <c r="AH1032" t="s">
        <v>61</v>
      </c>
      <c r="AI1032" t="s">
        <v>61</v>
      </c>
      <c r="AJ1032" t="s">
        <v>61</v>
      </c>
      <c r="AK1032" t="s">
        <v>61</v>
      </c>
      <c r="AL1032" t="s">
        <v>61</v>
      </c>
      <c r="AM1032" t="s">
        <v>8543</v>
      </c>
      <c r="AN1032" t="s">
        <v>61</v>
      </c>
      <c r="AO1032" t="s">
        <v>61</v>
      </c>
      <c r="AP1032" t="s">
        <v>61</v>
      </c>
      <c r="AQ1032" t="s">
        <v>61</v>
      </c>
      <c r="AR1032" t="s">
        <v>61</v>
      </c>
      <c r="AS1032" t="s">
        <v>61</v>
      </c>
      <c r="AT1032" t="s">
        <v>61</v>
      </c>
      <c r="AU1032" t="s">
        <v>61</v>
      </c>
      <c r="AV1032" t="s">
        <v>61</v>
      </c>
      <c r="AW1032" t="s">
        <v>61</v>
      </c>
      <c r="AX1032" t="s">
        <v>61</v>
      </c>
      <c r="AY1032" t="s">
        <v>61</v>
      </c>
      <c r="AZ1032" t="s">
        <v>61</v>
      </c>
      <c r="BA1032" t="s">
        <v>61</v>
      </c>
      <c r="BB1032" t="s">
        <v>61</v>
      </c>
      <c r="BC1032" t="s">
        <v>61</v>
      </c>
      <c r="BD1032" t="s">
        <v>61</v>
      </c>
      <c r="BE1032" t="s">
        <v>61</v>
      </c>
      <c r="BF1032" t="s">
        <v>61</v>
      </c>
    </row>
    <row r="1033" spans="1:58">
      <c r="A1033" t="s">
        <v>58</v>
      </c>
      <c r="B1033" t="s">
        <v>8544</v>
      </c>
      <c r="C1033" t="s">
        <v>8545</v>
      </c>
      <c r="D1033" t="s">
        <v>3798</v>
      </c>
      <c r="E1033" t="s">
        <v>61</v>
      </c>
      <c r="F1033">
        <v>1999</v>
      </c>
      <c r="G1033" t="s">
        <v>61</v>
      </c>
      <c r="H1033">
        <v>16</v>
      </c>
      <c r="I1033">
        <v>1</v>
      </c>
      <c r="J1033">
        <v>61</v>
      </c>
      <c r="K1033">
        <v>68</v>
      </c>
      <c r="L1033" t="s">
        <v>8546</v>
      </c>
      <c r="M1033" t="s">
        <v>8547</v>
      </c>
      <c r="N1033" t="s">
        <v>8548</v>
      </c>
      <c r="O1033" t="s">
        <v>61</v>
      </c>
      <c r="Q1033" t="s">
        <v>61</v>
      </c>
      <c r="R1033" t="s">
        <v>61</v>
      </c>
      <c r="S1033" t="s">
        <v>61</v>
      </c>
      <c r="T1033" t="s">
        <v>61</v>
      </c>
      <c r="X1033" t="s">
        <v>61</v>
      </c>
      <c r="Y1033" t="s">
        <v>3802</v>
      </c>
      <c r="Z1033" t="s">
        <v>61</v>
      </c>
      <c r="AA1033" t="s">
        <v>61</v>
      </c>
      <c r="AB1033">
        <v>1999252754</v>
      </c>
      <c r="AC1033" t="s">
        <v>67</v>
      </c>
      <c r="AD1033" t="s">
        <v>61</v>
      </c>
      <c r="AE1033" t="s">
        <v>61</v>
      </c>
      <c r="AF1033" t="s">
        <v>61</v>
      </c>
      <c r="AG1033" t="s">
        <v>61</v>
      </c>
      <c r="AH1033" t="s">
        <v>61</v>
      </c>
      <c r="AI1033" t="s">
        <v>61</v>
      </c>
      <c r="AJ1033" t="s">
        <v>61</v>
      </c>
      <c r="AK1033" t="s">
        <v>61</v>
      </c>
      <c r="AL1033" t="s">
        <v>61</v>
      </c>
      <c r="AM1033" t="s">
        <v>8545</v>
      </c>
      <c r="AN1033" t="s">
        <v>61</v>
      </c>
      <c r="AO1033" t="s">
        <v>61</v>
      </c>
      <c r="AP1033" t="s">
        <v>61</v>
      </c>
      <c r="AQ1033" t="s">
        <v>61</v>
      </c>
      <c r="AR1033" t="s">
        <v>61</v>
      </c>
      <c r="AS1033" t="s">
        <v>61</v>
      </c>
      <c r="AT1033" t="s">
        <v>61</v>
      </c>
      <c r="AU1033" t="s">
        <v>61</v>
      </c>
      <c r="AV1033" t="s">
        <v>61</v>
      </c>
      <c r="AW1033" t="s">
        <v>61</v>
      </c>
      <c r="AX1033" t="s">
        <v>61</v>
      </c>
      <c r="AY1033" t="s">
        <v>61</v>
      </c>
      <c r="AZ1033" t="s">
        <v>61</v>
      </c>
      <c r="BA1033" t="s">
        <v>61</v>
      </c>
      <c r="BB1033" t="s">
        <v>61</v>
      </c>
      <c r="BC1033" t="s">
        <v>61</v>
      </c>
      <c r="BD1033" t="s">
        <v>61</v>
      </c>
      <c r="BE1033" t="s">
        <v>61</v>
      </c>
      <c r="BF1033" t="s">
        <v>61</v>
      </c>
    </row>
    <row r="1034" spans="1:58">
      <c r="A1034" t="s">
        <v>58</v>
      </c>
      <c r="B1034" t="s">
        <v>8549</v>
      </c>
      <c r="C1034" t="s">
        <v>8550</v>
      </c>
      <c r="D1034" t="s">
        <v>8551</v>
      </c>
      <c r="E1034" t="s">
        <v>8552</v>
      </c>
      <c r="F1034">
        <v>2005</v>
      </c>
      <c r="G1034" t="s">
        <v>1152</v>
      </c>
      <c r="H1034">
        <v>95</v>
      </c>
      <c r="I1034">
        <v>3</v>
      </c>
      <c r="J1034">
        <v>300</v>
      </c>
      <c r="K1034">
        <v>304</v>
      </c>
      <c r="L1034" t="s">
        <v>8553</v>
      </c>
      <c r="M1034" t="s">
        <v>8554</v>
      </c>
      <c r="N1034" t="s">
        <v>8555</v>
      </c>
      <c r="O1034" t="s">
        <v>61</v>
      </c>
      <c r="Q1034" t="s">
        <v>61</v>
      </c>
      <c r="R1034" t="s">
        <v>61</v>
      </c>
      <c r="S1034" t="s">
        <v>61</v>
      </c>
      <c r="T1034" t="s">
        <v>61</v>
      </c>
      <c r="X1034" t="s">
        <v>61</v>
      </c>
      <c r="Y1034" t="s">
        <v>8556</v>
      </c>
      <c r="Z1034" t="s">
        <v>61</v>
      </c>
      <c r="AA1034" t="s">
        <v>8557</v>
      </c>
      <c r="AB1034">
        <v>15964889</v>
      </c>
      <c r="AC1034" t="s">
        <v>67</v>
      </c>
      <c r="AD1034" t="s">
        <v>61</v>
      </c>
      <c r="AE1034" t="s">
        <v>61</v>
      </c>
      <c r="AF1034" t="s">
        <v>61</v>
      </c>
      <c r="AG1034" t="s">
        <v>8558</v>
      </c>
      <c r="AH1034" t="s">
        <v>61</v>
      </c>
      <c r="AI1034" t="s">
        <v>61</v>
      </c>
      <c r="AJ1034" t="s">
        <v>61</v>
      </c>
      <c r="AK1034" t="s">
        <v>61</v>
      </c>
      <c r="AL1034" t="s">
        <v>61</v>
      </c>
      <c r="AM1034" t="s">
        <v>8559</v>
      </c>
      <c r="AN1034" t="s">
        <v>61</v>
      </c>
      <c r="AO1034" t="s">
        <v>61</v>
      </c>
      <c r="AP1034" t="s">
        <v>61</v>
      </c>
      <c r="AQ1034" t="s">
        <v>61</v>
      </c>
      <c r="AR1034" t="s">
        <v>61</v>
      </c>
      <c r="AS1034" t="s">
        <v>61</v>
      </c>
      <c r="AT1034" t="s">
        <v>61</v>
      </c>
      <c r="AU1034" t="s">
        <v>61</v>
      </c>
      <c r="AV1034" t="s">
        <v>61</v>
      </c>
      <c r="AW1034" t="s">
        <v>61</v>
      </c>
      <c r="AX1034" t="s">
        <v>61</v>
      </c>
      <c r="AY1034" t="s">
        <v>61</v>
      </c>
      <c r="AZ1034" t="s">
        <v>61</v>
      </c>
      <c r="BA1034" t="s">
        <v>61</v>
      </c>
      <c r="BB1034" t="s">
        <v>61</v>
      </c>
      <c r="BC1034" t="s">
        <v>61</v>
      </c>
      <c r="BD1034" t="s">
        <v>61</v>
      </c>
      <c r="BE1034" t="s">
        <v>61</v>
      </c>
      <c r="BF1034" t="s">
        <v>61</v>
      </c>
    </row>
    <row r="1035" spans="1:58">
      <c r="A1035" t="s">
        <v>58</v>
      </c>
      <c r="B1035" t="s">
        <v>8560</v>
      </c>
      <c r="C1035" t="s">
        <v>8561</v>
      </c>
      <c r="D1035" t="s">
        <v>84</v>
      </c>
      <c r="E1035" t="s">
        <v>61</v>
      </c>
      <c r="F1035">
        <v>2012</v>
      </c>
      <c r="G1035" t="s">
        <v>61</v>
      </c>
      <c r="H1035">
        <v>20</v>
      </c>
      <c r="I1035">
        <v>6</v>
      </c>
      <c r="J1035">
        <v>367</v>
      </c>
      <c r="K1035" t="s">
        <v>8562</v>
      </c>
      <c r="L1035" t="s">
        <v>8563</v>
      </c>
      <c r="M1035" t="s">
        <v>61</v>
      </c>
      <c r="N1035" t="s">
        <v>8564</v>
      </c>
      <c r="O1035" t="s">
        <v>61</v>
      </c>
      <c r="Q1035" t="s">
        <v>61</v>
      </c>
      <c r="R1035" t="s">
        <v>61</v>
      </c>
      <c r="S1035" t="s">
        <v>61</v>
      </c>
      <c r="T1035" t="s">
        <v>61</v>
      </c>
      <c r="X1035" t="s">
        <v>61</v>
      </c>
      <c r="Y1035" t="s">
        <v>303</v>
      </c>
      <c r="Z1035" t="s">
        <v>61</v>
      </c>
      <c r="AA1035" t="s">
        <v>8565</v>
      </c>
      <c r="AB1035">
        <v>104434521</v>
      </c>
      <c r="AC1035" t="s">
        <v>67</v>
      </c>
      <c r="AD1035" t="s">
        <v>61</v>
      </c>
      <c r="AE1035" t="s">
        <v>61</v>
      </c>
      <c r="AF1035" t="s">
        <v>61</v>
      </c>
      <c r="AG1035" t="s">
        <v>8566</v>
      </c>
      <c r="AH1035" t="s">
        <v>61</v>
      </c>
      <c r="AI1035" t="s">
        <v>8567</v>
      </c>
      <c r="AJ1035" t="s">
        <v>61</v>
      </c>
      <c r="AK1035" t="s">
        <v>61</v>
      </c>
      <c r="AL1035" t="s">
        <v>61</v>
      </c>
      <c r="AM1035" t="s">
        <v>8568</v>
      </c>
      <c r="AN1035" t="s">
        <v>61</v>
      </c>
      <c r="AO1035" t="s">
        <v>61</v>
      </c>
      <c r="AP1035" t="s">
        <v>61</v>
      </c>
      <c r="AQ1035" t="s">
        <v>61</v>
      </c>
      <c r="AR1035" t="s">
        <v>61</v>
      </c>
      <c r="AS1035" t="s">
        <v>61</v>
      </c>
      <c r="AT1035" t="s">
        <v>61</v>
      </c>
      <c r="AU1035" t="s">
        <v>61</v>
      </c>
      <c r="AV1035" t="s">
        <v>61</v>
      </c>
      <c r="AW1035" t="s">
        <v>61</v>
      </c>
      <c r="AX1035" t="s">
        <v>61</v>
      </c>
      <c r="AY1035" t="s">
        <v>61</v>
      </c>
      <c r="AZ1035" t="s">
        <v>61</v>
      </c>
      <c r="BA1035" t="s">
        <v>61</v>
      </c>
      <c r="BB1035" t="s">
        <v>61</v>
      </c>
      <c r="BC1035" t="s">
        <v>61</v>
      </c>
      <c r="BD1035" t="s">
        <v>61</v>
      </c>
      <c r="BE1035" t="s">
        <v>61</v>
      </c>
      <c r="BF1035" t="s">
        <v>61</v>
      </c>
    </row>
    <row r="1036" spans="1:58">
      <c r="A1036" t="s">
        <v>58</v>
      </c>
      <c r="B1036" t="s">
        <v>8569</v>
      </c>
      <c r="C1036" t="s">
        <v>8570</v>
      </c>
      <c r="D1036" t="s">
        <v>436</v>
      </c>
      <c r="E1036" t="s">
        <v>436</v>
      </c>
      <c r="F1036">
        <v>2015</v>
      </c>
      <c r="G1036" t="s">
        <v>476</v>
      </c>
      <c r="H1036" t="s">
        <v>8571</v>
      </c>
      <c r="I1036" t="s">
        <v>61</v>
      </c>
      <c r="J1036" t="s">
        <v>8572</v>
      </c>
      <c r="K1036" t="s">
        <v>8573</v>
      </c>
      <c r="L1036" t="s">
        <v>8574</v>
      </c>
      <c r="M1036" t="s">
        <v>8575</v>
      </c>
      <c r="N1036" t="s">
        <v>8576</v>
      </c>
      <c r="O1036" t="s">
        <v>61</v>
      </c>
      <c r="Q1036" t="s">
        <v>61</v>
      </c>
      <c r="R1036" t="s">
        <v>61</v>
      </c>
      <c r="S1036" t="s">
        <v>61</v>
      </c>
      <c r="T1036" t="s">
        <v>61</v>
      </c>
      <c r="X1036" t="s">
        <v>61</v>
      </c>
      <c r="Y1036" t="s">
        <v>1505</v>
      </c>
      <c r="Z1036" t="s">
        <v>61</v>
      </c>
      <c r="AA1036" t="s">
        <v>61</v>
      </c>
      <c r="AB1036" t="s">
        <v>61</v>
      </c>
      <c r="AC1036" t="s">
        <v>67</v>
      </c>
      <c r="AD1036" t="s">
        <v>61</v>
      </c>
      <c r="AE1036" t="s">
        <v>61</v>
      </c>
      <c r="AF1036" t="s">
        <v>61</v>
      </c>
      <c r="AG1036" t="s">
        <v>61</v>
      </c>
      <c r="AH1036" t="s">
        <v>61</v>
      </c>
      <c r="AI1036" t="s">
        <v>61</v>
      </c>
      <c r="AJ1036" t="s">
        <v>61</v>
      </c>
      <c r="AK1036" t="s">
        <v>61</v>
      </c>
      <c r="AL1036" t="s">
        <v>61</v>
      </c>
      <c r="AM1036" t="s">
        <v>8570</v>
      </c>
      <c r="AN1036" t="s">
        <v>61</v>
      </c>
      <c r="AO1036" t="s">
        <v>61</v>
      </c>
      <c r="AP1036" t="s">
        <v>61</v>
      </c>
      <c r="AQ1036" t="s">
        <v>61</v>
      </c>
      <c r="AR1036" t="s">
        <v>61</v>
      </c>
      <c r="AS1036" t="s">
        <v>61</v>
      </c>
      <c r="AT1036" t="s">
        <v>61</v>
      </c>
      <c r="AU1036" t="s">
        <v>61</v>
      </c>
      <c r="AV1036" t="s">
        <v>61</v>
      </c>
      <c r="AW1036" t="s">
        <v>61</v>
      </c>
      <c r="AX1036" t="s">
        <v>61</v>
      </c>
      <c r="AY1036" t="s">
        <v>61</v>
      </c>
      <c r="AZ1036" t="s">
        <v>61</v>
      </c>
      <c r="BA1036" t="s">
        <v>61</v>
      </c>
      <c r="BB1036" t="s">
        <v>61</v>
      </c>
      <c r="BC1036" t="s">
        <v>61</v>
      </c>
      <c r="BD1036" t="s">
        <v>61</v>
      </c>
      <c r="BE1036" t="s">
        <v>61</v>
      </c>
      <c r="BF1036" t="s">
        <v>61</v>
      </c>
    </row>
    <row r="1037" spans="1:58">
      <c r="A1037" t="s">
        <v>58</v>
      </c>
      <c r="B1037" t="s">
        <v>8577</v>
      </c>
      <c r="C1037" t="s">
        <v>8578</v>
      </c>
      <c r="D1037" t="s">
        <v>1287</v>
      </c>
      <c r="E1037" t="s">
        <v>1288</v>
      </c>
      <c r="F1037">
        <v>1997</v>
      </c>
      <c r="G1037" t="s">
        <v>2798</v>
      </c>
      <c r="H1037">
        <v>19</v>
      </c>
      <c r="I1037">
        <v>1</v>
      </c>
      <c r="J1037">
        <v>113</v>
      </c>
      <c r="K1037">
        <v>123</v>
      </c>
      <c r="L1037" t="s">
        <v>8579</v>
      </c>
      <c r="M1037" t="s">
        <v>8580</v>
      </c>
      <c r="N1037" t="s">
        <v>8581</v>
      </c>
      <c r="O1037" t="s">
        <v>61</v>
      </c>
      <c r="Q1037" t="s">
        <v>61</v>
      </c>
      <c r="R1037" t="s">
        <v>61</v>
      </c>
      <c r="S1037" t="s">
        <v>61</v>
      </c>
      <c r="T1037" t="s">
        <v>61</v>
      </c>
      <c r="X1037" t="s">
        <v>61</v>
      </c>
      <c r="Y1037" t="s">
        <v>1293</v>
      </c>
      <c r="Z1037" t="s">
        <v>61</v>
      </c>
      <c r="AA1037" t="s">
        <v>8582</v>
      </c>
      <c r="AB1037">
        <v>9083713</v>
      </c>
      <c r="AC1037" t="s">
        <v>67</v>
      </c>
      <c r="AD1037" t="s">
        <v>61</v>
      </c>
      <c r="AE1037" t="s">
        <v>61</v>
      </c>
      <c r="AF1037" t="s">
        <v>61</v>
      </c>
      <c r="AG1037" t="s">
        <v>8583</v>
      </c>
      <c r="AH1037" t="s">
        <v>61</v>
      </c>
      <c r="AI1037" t="s">
        <v>61</v>
      </c>
      <c r="AJ1037" t="s">
        <v>61</v>
      </c>
      <c r="AK1037" t="s">
        <v>61</v>
      </c>
      <c r="AL1037" t="s">
        <v>61</v>
      </c>
      <c r="AM1037" t="s">
        <v>8584</v>
      </c>
      <c r="AN1037" t="s">
        <v>61</v>
      </c>
      <c r="AO1037" t="s">
        <v>61</v>
      </c>
      <c r="AP1037" t="s">
        <v>61</v>
      </c>
      <c r="AQ1037" t="s">
        <v>61</v>
      </c>
      <c r="AR1037" t="s">
        <v>61</v>
      </c>
      <c r="AS1037" t="s">
        <v>61</v>
      </c>
      <c r="AT1037" t="s">
        <v>61</v>
      </c>
      <c r="AU1037" t="s">
        <v>61</v>
      </c>
      <c r="AV1037" t="s">
        <v>61</v>
      </c>
      <c r="AW1037" t="s">
        <v>61</v>
      </c>
      <c r="AX1037" t="s">
        <v>61</v>
      </c>
      <c r="AY1037" t="s">
        <v>61</v>
      </c>
      <c r="AZ1037" t="s">
        <v>61</v>
      </c>
      <c r="BA1037" t="s">
        <v>61</v>
      </c>
      <c r="BB1037" t="s">
        <v>61</v>
      </c>
      <c r="BC1037" t="s">
        <v>61</v>
      </c>
      <c r="BD1037" t="s">
        <v>61</v>
      </c>
      <c r="BE1037" t="s">
        <v>61</v>
      </c>
      <c r="BF1037" t="s">
        <v>61</v>
      </c>
    </row>
    <row r="1038" spans="1:58">
      <c r="A1038" t="s">
        <v>58</v>
      </c>
      <c r="B1038" t="s">
        <v>8585</v>
      </c>
      <c r="C1038" t="s">
        <v>8586</v>
      </c>
      <c r="D1038" t="s">
        <v>830</v>
      </c>
      <c r="E1038" t="s">
        <v>61</v>
      </c>
      <c r="F1038">
        <v>2011</v>
      </c>
      <c r="G1038" t="s">
        <v>61</v>
      </c>
      <c r="H1038">
        <v>18</v>
      </c>
      <c r="I1038">
        <v>2</v>
      </c>
      <c r="J1038" t="s">
        <v>8587</v>
      </c>
      <c r="K1038" t="s">
        <v>1718</v>
      </c>
      <c r="L1038" t="s">
        <v>8588</v>
      </c>
      <c r="M1038" t="s">
        <v>8589</v>
      </c>
      <c r="N1038" t="s">
        <v>8590</v>
      </c>
      <c r="O1038" t="s">
        <v>61</v>
      </c>
      <c r="Q1038" t="s">
        <v>61</v>
      </c>
      <c r="R1038" t="s">
        <v>61</v>
      </c>
      <c r="S1038" t="s">
        <v>61</v>
      </c>
      <c r="T1038" t="s">
        <v>61</v>
      </c>
      <c r="X1038" t="s">
        <v>61</v>
      </c>
      <c r="Y1038" t="s">
        <v>836</v>
      </c>
      <c r="Z1038" t="s">
        <v>61</v>
      </c>
      <c r="AA1038" t="s">
        <v>61</v>
      </c>
      <c r="AB1038" t="s">
        <v>61</v>
      </c>
      <c r="AC1038" t="s">
        <v>837</v>
      </c>
      <c r="AD1038" t="s">
        <v>61</v>
      </c>
      <c r="AE1038" t="s">
        <v>61</v>
      </c>
      <c r="AF1038" t="s">
        <v>61</v>
      </c>
      <c r="AG1038" t="s">
        <v>61</v>
      </c>
      <c r="AH1038" t="s">
        <v>61</v>
      </c>
      <c r="AI1038" t="s">
        <v>61</v>
      </c>
      <c r="AJ1038" t="s">
        <v>61</v>
      </c>
      <c r="AK1038" t="s">
        <v>61</v>
      </c>
      <c r="AL1038" t="s">
        <v>61</v>
      </c>
      <c r="AM1038" t="s">
        <v>8586</v>
      </c>
      <c r="AN1038" t="s">
        <v>61</v>
      </c>
      <c r="AO1038" t="s">
        <v>61</v>
      </c>
      <c r="AP1038" t="s">
        <v>61</v>
      </c>
      <c r="AQ1038" t="s">
        <v>61</v>
      </c>
      <c r="AR1038" t="s">
        <v>61</v>
      </c>
      <c r="AS1038" t="s">
        <v>61</v>
      </c>
      <c r="AT1038" t="s">
        <v>61</v>
      </c>
      <c r="AU1038" t="s">
        <v>61</v>
      </c>
      <c r="AV1038" t="s">
        <v>61</v>
      </c>
      <c r="AW1038" t="s">
        <v>61</v>
      </c>
      <c r="AX1038" t="s">
        <v>61</v>
      </c>
      <c r="AY1038" t="s">
        <v>61</v>
      </c>
      <c r="AZ1038" t="s">
        <v>61</v>
      </c>
      <c r="BA1038" t="s">
        <v>61</v>
      </c>
      <c r="BB1038" t="s">
        <v>61</v>
      </c>
      <c r="BC1038" t="s">
        <v>61</v>
      </c>
      <c r="BD1038" t="s">
        <v>61</v>
      </c>
      <c r="BE1038" t="s">
        <v>61</v>
      </c>
      <c r="BF1038" t="s">
        <v>61</v>
      </c>
    </row>
    <row r="1039" spans="1:58">
      <c r="A1039" t="s">
        <v>58</v>
      </c>
      <c r="B1039" t="s">
        <v>8591</v>
      </c>
      <c r="C1039" t="s">
        <v>8592</v>
      </c>
      <c r="D1039" t="s">
        <v>4285</v>
      </c>
      <c r="E1039" t="s">
        <v>61</v>
      </c>
      <c r="F1039">
        <v>2010</v>
      </c>
      <c r="G1039" t="s">
        <v>363</v>
      </c>
      <c r="H1039">
        <v>11</v>
      </c>
      <c r="I1039">
        <v>1</v>
      </c>
      <c r="J1039">
        <v>58</v>
      </c>
      <c r="K1039">
        <v>66</v>
      </c>
      <c r="L1039" t="s">
        <v>8593</v>
      </c>
      <c r="M1039" t="s">
        <v>8594</v>
      </c>
      <c r="N1039" t="s">
        <v>8595</v>
      </c>
      <c r="O1039" t="s">
        <v>61</v>
      </c>
      <c r="Q1039" t="s">
        <v>61</v>
      </c>
      <c r="R1039" t="s">
        <v>61</v>
      </c>
      <c r="S1039" t="s">
        <v>61</v>
      </c>
      <c r="T1039" t="s">
        <v>61</v>
      </c>
      <c r="X1039" t="s">
        <v>61</v>
      </c>
      <c r="Y1039" t="s">
        <v>8596</v>
      </c>
      <c r="Z1039" t="s">
        <v>61</v>
      </c>
      <c r="AA1039" t="s">
        <v>8597</v>
      </c>
      <c r="AB1039">
        <v>19930113</v>
      </c>
      <c r="AC1039" t="s">
        <v>67</v>
      </c>
      <c r="AD1039" t="s">
        <v>61</v>
      </c>
      <c r="AE1039" t="s">
        <v>61</v>
      </c>
      <c r="AF1039" t="s">
        <v>61</v>
      </c>
      <c r="AG1039" t="s">
        <v>8598</v>
      </c>
      <c r="AH1039" t="s">
        <v>61</v>
      </c>
      <c r="AI1039" t="s">
        <v>8599</v>
      </c>
      <c r="AJ1039" t="s">
        <v>61</v>
      </c>
      <c r="AK1039" t="s">
        <v>61</v>
      </c>
      <c r="AL1039" t="s">
        <v>61</v>
      </c>
      <c r="AM1039" t="s">
        <v>8600</v>
      </c>
      <c r="AN1039" t="s">
        <v>61</v>
      </c>
      <c r="AO1039" t="s">
        <v>61</v>
      </c>
      <c r="AP1039" t="s">
        <v>61</v>
      </c>
      <c r="AQ1039" t="s">
        <v>61</v>
      </c>
      <c r="AR1039" t="s">
        <v>61</v>
      </c>
      <c r="AS1039" t="s">
        <v>61</v>
      </c>
      <c r="AT1039" t="s">
        <v>61</v>
      </c>
      <c r="AU1039" t="s">
        <v>61</v>
      </c>
      <c r="AV1039" t="s">
        <v>61</v>
      </c>
      <c r="AW1039" t="s">
        <v>61</v>
      </c>
      <c r="AX1039" t="s">
        <v>61</v>
      </c>
      <c r="AY1039" t="s">
        <v>61</v>
      </c>
      <c r="AZ1039" t="s">
        <v>61</v>
      </c>
      <c r="BA1039" t="s">
        <v>61</v>
      </c>
      <c r="BB1039" t="s">
        <v>61</v>
      </c>
      <c r="BC1039" t="s">
        <v>61</v>
      </c>
      <c r="BD1039" t="s">
        <v>61</v>
      </c>
      <c r="BE1039" t="s">
        <v>61</v>
      </c>
      <c r="BF1039" t="s">
        <v>61</v>
      </c>
    </row>
    <row r="1040" spans="1:58">
      <c r="A1040" t="s">
        <v>58</v>
      </c>
      <c r="B1040" t="s">
        <v>8601</v>
      </c>
      <c r="C1040" t="s">
        <v>8602</v>
      </c>
      <c r="D1040" t="s">
        <v>8603</v>
      </c>
      <c r="E1040" t="s">
        <v>61</v>
      </c>
      <c r="F1040">
        <v>2013</v>
      </c>
      <c r="G1040" t="s">
        <v>8604</v>
      </c>
      <c r="H1040">
        <v>24</v>
      </c>
      <c r="I1040">
        <v>1</v>
      </c>
      <c r="J1040">
        <v>4</v>
      </c>
      <c r="K1040">
        <v>7</v>
      </c>
      <c r="L1040" t="s">
        <v>8605</v>
      </c>
      <c r="M1040" t="s">
        <v>8606</v>
      </c>
      <c r="N1040" t="s">
        <v>8607</v>
      </c>
      <c r="O1040" t="s">
        <v>61</v>
      </c>
      <c r="Q1040" t="s">
        <v>61</v>
      </c>
      <c r="R1040" t="s">
        <v>61</v>
      </c>
      <c r="S1040" t="s">
        <v>61</v>
      </c>
      <c r="T1040" t="s">
        <v>61</v>
      </c>
      <c r="X1040" t="s">
        <v>61</v>
      </c>
      <c r="Y1040" t="s">
        <v>8608</v>
      </c>
      <c r="Z1040" t="s">
        <v>61</v>
      </c>
      <c r="AA1040" t="s">
        <v>8609</v>
      </c>
      <c r="AB1040">
        <v>24622524</v>
      </c>
      <c r="AC1040" t="s">
        <v>67</v>
      </c>
      <c r="AD1040" t="s">
        <v>61</v>
      </c>
      <c r="AE1040" t="s">
        <v>61</v>
      </c>
      <c r="AF1040" t="s">
        <v>61</v>
      </c>
      <c r="AG1040" t="s">
        <v>8610</v>
      </c>
      <c r="AH1040" t="s">
        <v>61</v>
      </c>
      <c r="AI1040" t="s">
        <v>8611</v>
      </c>
      <c r="AJ1040" t="s">
        <v>61</v>
      </c>
      <c r="AK1040" t="s">
        <v>61</v>
      </c>
      <c r="AL1040" t="s">
        <v>61</v>
      </c>
      <c r="AM1040" t="s">
        <v>8612</v>
      </c>
      <c r="AN1040" t="s">
        <v>61</v>
      </c>
      <c r="AO1040" t="s">
        <v>61</v>
      </c>
      <c r="AP1040" t="s">
        <v>61</v>
      </c>
      <c r="AQ1040" t="s">
        <v>61</v>
      </c>
      <c r="AR1040" t="s">
        <v>61</v>
      </c>
      <c r="AS1040" t="s">
        <v>61</v>
      </c>
      <c r="AT1040" t="s">
        <v>61</v>
      </c>
      <c r="AU1040" t="s">
        <v>61</v>
      </c>
      <c r="AV1040" t="s">
        <v>61</v>
      </c>
      <c r="AW1040" t="s">
        <v>61</v>
      </c>
      <c r="AX1040" t="s">
        <v>61</v>
      </c>
      <c r="AY1040" t="s">
        <v>61</v>
      </c>
      <c r="AZ1040" t="s">
        <v>61</v>
      </c>
      <c r="BA1040" t="s">
        <v>61</v>
      </c>
      <c r="BB1040" t="s">
        <v>61</v>
      </c>
      <c r="BC1040" t="s">
        <v>61</v>
      </c>
      <c r="BD1040" t="s">
        <v>61</v>
      </c>
      <c r="BE1040" t="s">
        <v>61</v>
      </c>
      <c r="BF1040" t="s">
        <v>61</v>
      </c>
    </row>
    <row r="1041" spans="1:58">
      <c r="A1041" t="s">
        <v>58</v>
      </c>
      <c r="B1041" t="s">
        <v>8613</v>
      </c>
      <c r="C1041" t="s">
        <v>8614</v>
      </c>
      <c r="D1041" t="s">
        <v>2757</v>
      </c>
      <c r="E1041" t="s">
        <v>2758</v>
      </c>
      <c r="F1041">
        <v>2009</v>
      </c>
      <c r="G1041" t="s">
        <v>273</v>
      </c>
      <c r="H1041">
        <v>123</v>
      </c>
      <c r="I1041">
        <v>1</v>
      </c>
      <c r="J1041">
        <v>97</v>
      </c>
      <c r="K1041">
        <v>108</v>
      </c>
      <c r="L1041" t="s">
        <v>8615</v>
      </c>
      <c r="M1041" t="s">
        <v>8616</v>
      </c>
      <c r="N1041" t="s">
        <v>8617</v>
      </c>
      <c r="O1041" t="s">
        <v>61</v>
      </c>
      <c r="Q1041" t="s">
        <v>61</v>
      </c>
      <c r="R1041" t="s">
        <v>61</v>
      </c>
      <c r="S1041" t="s">
        <v>61</v>
      </c>
      <c r="T1041" t="s">
        <v>61</v>
      </c>
      <c r="X1041" t="s">
        <v>61</v>
      </c>
      <c r="Y1041" t="s">
        <v>8618</v>
      </c>
      <c r="Z1041" t="s">
        <v>61</v>
      </c>
      <c r="AA1041" t="s">
        <v>8619</v>
      </c>
      <c r="AB1041">
        <v>19170434</v>
      </c>
      <c r="AC1041" t="s">
        <v>67</v>
      </c>
      <c r="AD1041" t="s">
        <v>61</v>
      </c>
      <c r="AE1041" t="s">
        <v>61</v>
      </c>
      <c r="AF1041" t="s">
        <v>61</v>
      </c>
      <c r="AG1041" t="s">
        <v>8620</v>
      </c>
      <c r="AH1041" t="s">
        <v>61</v>
      </c>
      <c r="AI1041" t="s">
        <v>8621</v>
      </c>
      <c r="AJ1041" t="s">
        <v>61</v>
      </c>
      <c r="AK1041" t="s">
        <v>61</v>
      </c>
      <c r="AL1041" t="s">
        <v>61</v>
      </c>
      <c r="AM1041" t="s">
        <v>8622</v>
      </c>
      <c r="AN1041" t="s">
        <v>61</v>
      </c>
      <c r="AO1041" t="s">
        <v>61</v>
      </c>
      <c r="AP1041" t="s">
        <v>61</v>
      </c>
      <c r="AQ1041" t="s">
        <v>61</v>
      </c>
      <c r="AR1041" t="s">
        <v>61</v>
      </c>
      <c r="AS1041" t="s">
        <v>61</v>
      </c>
      <c r="AT1041" t="s">
        <v>61</v>
      </c>
      <c r="AU1041" t="s">
        <v>61</v>
      </c>
      <c r="AV1041" t="s">
        <v>61</v>
      </c>
      <c r="AW1041" t="s">
        <v>61</v>
      </c>
      <c r="AX1041" t="s">
        <v>61</v>
      </c>
      <c r="AY1041" t="s">
        <v>61</v>
      </c>
      <c r="AZ1041" t="s">
        <v>61</v>
      </c>
      <c r="BA1041" t="s">
        <v>61</v>
      </c>
      <c r="BB1041" t="s">
        <v>61</v>
      </c>
      <c r="BC1041" t="s">
        <v>61</v>
      </c>
      <c r="BD1041" t="s">
        <v>61</v>
      </c>
      <c r="BE1041" t="s">
        <v>61</v>
      </c>
      <c r="BF1041" t="s">
        <v>61</v>
      </c>
    </row>
    <row r="1042" spans="1:58">
      <c r="A1042" t="s">
        <v>58</v>
      </c>
      <c r="B1042" t="s">
        <v>8623</v>
      </c>
      <c r="C1042" t="s">
        <v>8624</v>
      </c>
      <c r="D1042" t="s">
        <v>8625</v>
      </c>
      <c r="E1042" t="s">
        <v>61</v>
      </c>
      <c r="F1042">
        <v>2013</v>
      </c>
      <c r="G1042" t="s">
        <v>129</v>
      </c>
      <c r="H1042" t="s">
        <v>8626</v>
      </c>
      <c r="I1042">
        <v>7</v>
      </c>
      <c r="J1042">
        <v>661</v>
      </c>
      <c r="K1042">
        <v>670</v>
      </c>
      <c r="L1042" t="s">
        <v>8627</v>
      </c>
      <c r="M1042" t="s">
        <v>8628</v>
      </c>
      <c r="N1042" t="s">
        <v>8629</v>
      </c>
      <c r="O1042" t="s">
        <v>61</v>
      </c>
      <c r="Q1042" t="s">
        <v>61</v>
      </c>
      <c r="R1042" t="s">
        <v>61</v>
      </c>
      <c r="S1042" t="s">
        <v>61</v>
      </c>
      <c r="T1042" t="s">
        <v>61</v>
      </c>
      <c r="X1042" t="s">
        <v>61</v>
      </c>
      <c r="Y1042" t="s">
        <v>8630</v>
      </c>
      <c r="Z1042" t="s">
        <v>61</v>
      </c>
      <c r="AA1042" t="s">
        <v>8631</v>
      </c>
      <c r="AB1042">
        <v>24132898</v>
      </c>
      <c r="AC1042" t="s">
        <v>67</v>
      </c>
      <c r="AD1042" t="s">
        <v>61</v>
      </c>
      <c r="AE1042" t="s">
        <v>61</v>
      </c>
      <c r="AF1042" t="s">
        <v>61</v>
      </c>
      <c r="AG1042" t="s">
        <v>8632</v>
      </c>
      <c r="AH1042" t="s">
        <v>61</v>
      </c>
      <c r="AI1042" t="s">
        <v>8633</v>
      </c>
      <c r="AJ1042" t="s">
        <v>61</v>
      </c>
      <c r="AK1042" t="s">
        <v>61</v>
      </c>
      <c r="AL1042" t="s">
        <v>61</v>
      </c>
      <c r="AM1042" t="s">
        <v>8634</v>
      </c>
      <c r="AN1042" t="s">
        <v>61</v>
      </c>
      <c r="AO1042" t="s">
        <v>61</v>
      </c>
      <c r="AP1042" t="s">
        <v>61</v>
      </c>
      <c r="AQ1042" t="s">
        <v>61</v>
      </c>
      <c r="AR1042" t="s">
        <v>61</v>
      </c>
      <c r="AS1042" t="s">
        <v>61</v>
      </c>
      <c r="AT1042" t="s">
        <v>61</v>
      </c>
      <c r="AU1042" t="s">
        <v>61</v>
      </c>
      <c r="AV1042" t="s">
        <v>61</v>
      </c>
      <c r="AW1042" t="s">
        <v>61</v>
      </c>
      <c r="AX1042" t="s">
        <v>61</v>
      </c>
      <c r="AY1042" t="s">
        <v>61</v>
      </c>
      <c r="AZ1042" t="s">
        <v>61</v>
      </c>
      <c r="BA1042" t="s">
        <v>61</v>
      </c>
      <c r="BB1042" t="s">
        <v>61</v>
      </c>
      <c r="BC1042" t="s">
        <v>61</v>
      </c>
      <c r="BD1042" t="s">
        <v>61</v>
      </c>
      <c r="BE1042" t="s">
        <v>61</v>
      </c>
      <c r="BF1042" t="s">
        <v>61</v>
      </c>
    </row>
    <row r="1043" spans="1:58">
      <c r="A1043" t="s">
        <v>58</v>
      </c>
      <c r="B1043" t="s">
        <v>8635</v>
      </c>
      <c r="C1043" t="s">
        <v>8636</v>
      </c>
      <c r="D1043" t="s">
        <v>8637</v>
      </c>
      <c r="E1043" t="s">
        <v>8638</v>
      </c>
      <c r="F1043">
        <v>2014</v>
      </c>
      <c r="G1043" t="s">
        <v>559</v>
      </c>
      <c r="H1043">
        <v>238</v>
      </c>
      <c r="I1043" t="s">
        <v>61</v>
      </c>
      <c r="J1043" t="s">
        <v>8639</v>
      </c>
      <c r="K1043">
        <v>5</v>
      </c>
      <c r="L1043" t="s">
        <v>8640</v>
      </c>
      <c r="M1043" t="s">
        <v>8641</v>
      </c>
      <c r="N1043" t="s">
        <v>8642</v>
      </c>
      <c r="O1043" t="s">
        <v>61</v>
      </c>
      <c r="Q1043" t="s">
        <v>61</v>
      </c>
      <c r="R1043" t="s">
        <v>61</v>
      </c>
      <c r="S1043" t="s">
        <v>61</v>
      </c>
      <c r="T1043" t="s">
        <v>61</v>
      </c>
      <c r="X1043" t="s">
        <v>61</v>
      </c>
      <c r="Y1043" t="s">
        <v>8643</v>
      </c>
      <c r="Z1043" t="s">
        <v>61</v>
      </c>
      <c r="AA1043" t="s">
        <v>8644</v>
      </c>
      <c r="AB1043">
        <v>24642023</v>
      </c>
      <c r="AC1043" t="s">
        <v>67</v>
      </c>
      <c r="AD1043" t="s">
        <v>61</v>
      </c>
      <c r="AE1043" t="s">
        <v>61</v>
      </c>
      <c r="AF1043" t="s">
        <v>61</v>
      </c>
      <c r="AG1043" t="s">
        <v>8645</v>
      </c>
      <c r="AH1043" t="s">
        <v>61</v>
      </c>
      <c r="AI1043" t="s">
        <v>8646</v>
      </c>
      <c r="AJ1043" t="s">
        <v>61</v>
      </c>
      <c r="AK1043" t="s">
        <v>61</v>
      </c>
      <c r="AL1043" t="s">
        <v>61</v>
      </c>
      <c r="AM1043" t="s">
        <v>8647</v>
      </c>
      <c r="AN1043" t="s">
        <v>61</v>
      </c>
      <c r="AO1043" t="s">
        <v>61</v>
      </c>
      <c r="AP1043" t="s">
        <v>61</v>
      </c>
      <c r="AQ1043" t="s">
        <v>61</v>
      </c>
      <c r="AR1043" t="s">
        <v>61</v>
      </c>
      <c r="AS1043" t="s">
        <v>61</v>
      </c>
      <c r="AT1043" t="s">
        <v>61</v>
      </c>
      <c r="AU1043" t="s">
        <v>61</v>
      </c>
      <c r="AV1043" t="s">
        <v>61</v>
      </c>
      <c r="AW1043" t="s">
        <v>61</v>
      </c>
      <c r="AX1043" t="s">
        <v>61</v>
      </c>
      <c r="AY1043" t="s">
        <v>61</v>
      </c>
      <c r="AZ1043" t="s">
        <v>61</v>
      </c>
      <c r="BA1043" t="s">
        <v>61</v>
      </c>
      <c r="BB1043" t="s">
        <v>61</v>
      </c>
      <c r="BC1043" t="s">
        <v>61</v>
      </c>
      <c r="BD1043" t="s">
        <v>61</v>
      </c>
      <c r="BE1043" t="s">
        <v>61</v>
      </c>
      <c r="BF1043" t="s">
        <v>61</v>
      </c>
    </row>
    <row r="1044" spans="1:58">
      <c r="A1044" t="s">
        <v>58</v>
      </c>
      <c r="B1044" t="s">
        <v>8648</v>
      </c>
      <c r="C1044" t="s">
        <v>8649</v>
      </c>
      <c r="D1044" t="s">
        <v>8650</v>
      </c>
      <c r="E1044" t="s">
        <v>61</v>
      </c>
      <c r="F1044">
        <v>2010</v>
      </c>
      <c r="G1044" t="s">
        <v>1775</v>
      </c>
      <c r="H1044">
        <v>32</v>
      </c>
      <c r="I1044">
        <v>5</v>
      </c>
      <c r="J1044">
        <v>424</v>
      </c>
      <c r="K1044">
        <v>425</v>
      </c>
      <c r="L1044" t="s">
        <v>8651</v>
      </c>
      <c r="M1044" t="s">
        <v>8652</v>
      </c>
      <c r="N1044" t="s">
        <v>8653</v>
      </c>
      <c r="O1044" t="s">
        <v>61</v>
      </c>
      <c r="Q1044" t="s">
        <v>61</v>
      </c>
      <c r="R1044" t="s">
        <v>61</v>
      </c>
      <c r="S1044" t="s">
        <v>61</v>
      </c>
      <c r="T1044" t="s">
        <v>61</v>
      </c>
      <c r="X1044" t="s">
        <v>61</v>
      </c>
      <c r="Y1044" t="s">
        <v>8654</v>
      </c>
      <c r="Z1044" t="s">
        <v>61</v>
      </c>
      <c r="AA1044" t="s">
        <v>61</v>
      </c>
      <c r="AB1044" t="s">
        <v>61</v>
      </c>
      <c r="AC1044" t="s">
        <v>67</v>
      </c>
      <c r="AD1044" t="s">
        <v>61</v>
      </c>
      <c r="AE1044" t="s">
        <v>61</v>
      </c>
      <c r="AF1044" t="s">
        <v>61</v>
      </c>
      <c r="AG1044" t="s">
        <v>61</v>
      </c>
      <c r="AH1044" t="s">
        <v>61</v>
      </c>
      <c r="AI1044" t="s">
        <v>61</v>
      </c>
      <c r="AJ1044" t="s">
        <v>61</v>
      </c>
      <c r="AK1044" t="s">
        <v>61</v>
      </c>
      <c r="AL1044" t="s">
        <v>61</v>
      </c>
      <c r="AM1044" t="s">
        <v>8649</v>
      </c>
      <c r="AN1044" t="s">
        <v>61</v>
      </c>
      <c r="AO1044" t="s">
        <v>61</v>
      </c>
      <c r="AP1044" t="s">
        <v>61</v>
      </c>
      <c r="AQ1044" t="s">
        <v>61</v>
      </c>
      <c r="AR1044" t="s">
        <v>61</v>
      </c>
      <c r="AS1044" t="s">
        <v>61</v>
      </c>
      <c r="AT1044" t="s">
        <v>61</v>
      </c>
      <c r="AU1044" t="s">
        <v>61</v>
      </c>
      <c r="AV1044" t="s">
        <v>61</v>
      </c>
      <c r="AW1044" t="s">
        <v>61</v>
      </c>
      <c r="AX1044" t="s">
        <v>61</v>
      </c>
      <c r="AY1044" t="s">
        <v>61</v>
      </c>
      <c r="AZ1044" t="s">
        <v>61</v>
      </c>
      <c r="BA1044" t="s">
        <v>61</v>
      </c>
      <c r="BB1044" t="s">
        <v>61</v>
      </c>
      <c r="BC1044" t="s">
        <v>61</v>
      </c>
      <c r="BD1044" t="s">
        <v>61</v>
      </c>
      <c r="BE1044" t="s">
        <v>61</v>
      </c>
      <c r="BF1044" t="s">
        <v>61</v>
      </c>
    </row>
    <row r="1045" spans="1:58">
      <c r="A1045" t="s">
        <v>58</v>
      </c>
      <c r="B1045" t="s">
        <v>8655</v>
      </c>
      <c r="C1045" t="s">
        <v>8656</v>
      </c>
      <c r="D1045" t="s">
        <v>8657</v>
      </c>
      <c r="E1045" t="s">
        <v>61</v>
      </c>
      <c r="F1045">
        <v>2012</v>
      </c>
      <c r="G1045" t="s">
        <v>429</v>
      </c>
      <c r="H1045">
        <v>3</v>
      </c>
      <c r="I1045">
        <v>4</v>
      </c>
      <c r="J1045">
        <v>148</v>
      </c>
      <c r="K1045">
        <v>149</v>
      </c>
      <c r="L1045" t="s">
        <v>8658</v>
      </c>
      <c r="M1045" t="s">
        <v>8659</v>
      </c>
      <c r="N1045" t="s">
        <v>8660</v>
      </c>
      <c r="O1045" t="s">
        <v>61</v>
      </c>
      <c r="Q1045" t="s">
        <v>61</v>
      </c>
      <c r="R1045" t="s">
        <v>61</v>
      </c>
      <c r="S1045" t="s">
        <v>61</v>
      </c>
      <c r="T1045" t="s">
        <v>61</v>
      </c>
      <c r="X1045" t="s">
        <v>61</v>
      </c>
      <c r="Y1045" t="s">
        <v>8661</v>
      </c>
      <c r="Z1045" t="s">
        <v>61</v>
      </c>
      <c r="AA1045" t="s">
        <v>61</v>
      </c>
      <c r="AB1045">
        <v>2012440124</v>
      </c>
      <c r="AC1045" t="s">
        <v>67</v>
      </c>
      <c r="AD1045" t="s">
        <v>61</v>
      </c>
      <c r="AE1045" t="s">
        <v>61</v>
      </c>
      <c r="AF1045" t="s">
        <v>61</v>
      </c>
      <c r="AG1045" t="s">
        <v>61</v>
      </c>
      <c r="AH1045" t="s">
        <v>61</v>
      </c>
      <c r="AI1045" t="s">
        <v>61</v>
      </c>
      <c r="AJ1045" t="s">
        <v>61</v>
      </c>
      <c r="AK1045" t="s">
        <v>61</v>
      </c>
      <c r="AL1045" t="s">
        <v>61</v>
      </c>
      <c r="AM1045" t="s">
        <v>8656</v>
      </c>
      <c r="AN1045" t="s">
        <v>61</v>
      </c>
      <c r="AO1045" t="s">
        <v>61</v>
      </c>
      <c r="AP1045" t="s">
        <v>61</v>
      </c>
      <c r="AQ1045" t="s">
        <v>61</v>
      </c>
      <c r="AR1045" t="s">
        <v>61</v>
      </c>
      <c r="AS1045" t="s">
        <v>61</v>
      </c>
      <c r="AT1045" t="s">
        <v>61</v>
      </c>
      <c r="AU1045" t="s">
        <v>61</v>
      </c>
      <c r="AV1045" t="s">
        <v>61</v>
      </c>
      <c r="AW1045" t="s">
        <v>61</v>
      </c>
      <c r="AX1045" t="s">
        <v>61</v>
      </c>
      <c r="AY1045" t="s">
        <v>61</v>
      </c>
      <c r="AZ1045" t="s">
        <v>61</v>
      </c>
      <c r="BA1045" t="s">
        <v>61</v>
      </c>
      <c r="BB1045" t="s">
        <v>61</v>
      </c>
      <c r="BC1045" t="s">
        <v>61</v>
      </c>
      <c r="BD1045" t="s">
        <v>61</v>
      </c>
      <c r="BE1045" t="s">
        <v>61</v>
      </c>
      <c r="BF1045" t="s">
        <v>61</v>
      </c>
    </row>
    <row r="1046" spans="1:58">
      <c r="A1046" t="s">
        <v>58</v>
      </c>
      <c r="B1046" t="s">
        <v>8662</v>
      </c>
      <c r="C1046" t="s">
        <v>8663</v>
      </c>
      <c r="D1046" t="s">
        <v>8664</v>
      </c>
      <c r="E1046" t="s">
        <v>8664</v>
      </c>
      <c r="F1046">
        <v>1998</v>
      </c>
      <c r="G1046" t="s">
        <v>280</v>
      </c>
      <c r="H1046">
        <v>10</v>
      </c>
      <c r="I1046">
        <v>6</v>
      </c>
      <c r="J1046">
        <v>689</v>
      </c>
      <c r="K1046">
        <v>700</v>
      </c>
      <c r="L1046" t="s">
        <v>8665</v>
      </c>
      <c r="M1046" t="s">
        <v>8666</v>
      </c>
      <c r="N1046" t="s">
        <v>8667</v>
      </c>
      <c r="O1046" t="s">
        <v>61</v>
      </c>
      <c r="Q1046" t="s">
        <v>61</v>
      </c>
      <c r="R1046" t="s">
        <v>61</v>
      </c>
      <c r="S1046" t="s">
        <v>61</v>
      </c>
      <c r="T1046" t="s">
        <v>61</v>
      </c>
      <c r="X1046" t="s">
        <v>61</v>
      </c>
      <c r="Y1046" t="s">
        <v>8668</v>
      </c>
      <c r="Z1046" t="s">
        <v>61</v>
      </c>
      <c r="AA1046" t="s">
        <v>8669</v>
      </c>
      <c r="AB1046">
        <v>9924524</v>
      </c>
      <c r="AC1046" t="s">
        <v>67</v>
      </c>
      <c r="AD1046" t="s">
        <v>61</v>
      </c>
      <c r="AE1046" t="s">
        <v>61</v>
      </c>
      <c r="AF1046" t="s">
        <v>61</v>
      </c>
      <c r="AG1046" t="s">
        <v>8670</v>
      </c>
      <c r="AH1046" t="s">
        <v>61</v>
      </c>
      <c r="AI1046" t="s">
        <v>61</v>
      </c>
      <c r="AJ1046" t="s">
        <v>61</v>
      </c>
      <c r="AK1046" t="s">
        <v>61</v>
      </c>
      <c r="AL1046" t="s">
        <v>61</v>
      </c>
      <c r="AM1046" t="s">
        <v>8671</v>
      </c>
      <c r="AN1046" t="s">
        <v>61</v>
      </c>
      <c r="AO1046" t="s">
        <v>61</v>
      </c>
      <c r="AP1046" t="s">
        <v>61</v>
      </c>
      <c r="AQ1046" t="s">
        <v>61</v>
      </c>
      <c r="AR1046" t="s">
        <v>61</v>
      </c>
      <c r="AS1046" t="s">
        <v>61</v>
      </c>
      <c r="AT1046" t="s">
        <v>61</v>
      </c>
      <c r="AU1046" t="s">
        <v>61</v>
      </c>
      <c r="AV1046" t="s">
        <v>61</v>
      </c>
      <c r="AW1046" t="s">
        <v>61</v>
      </c>
      <c r="AX1046" t="s">
        <v>61</v>
      </c>
      <c r="AY1046" t="s">
        <v>61</v>
      </c>
      <c r="AZ1046" t="s">
        <v>61</v>
      </c>
      <c r="BA1046" t="s">
        <v>61</v>
      </c>
      <c r="BB1046" t="s">
        <v>61</v>
      </c>
      <c r="BC1046" t="s">
        <v>61</v>
      </c>
      <c r="BD1046" t="s">
        <v>61</v>
      </c>
      <c r="BE1046" t="s">
        <v>61</v>
      </c>
      <c r="BF1046" t="s">
        <v>61</v>
      </c>
    </row>
    <row r="1047" spans="1:58">
      <c r="A1047" t="s">
        <v>58</v>
      </c>
      <c r="B1047" t="s">
        <v>8672</v>
      </c>
      <c r="C1047" t="s">
        <v>8673</v>
      </c>
      <c r="D1047" t="s">
        <v>475</v>
      </c>
      <c r="E1047" t="s">
        <v>61</v>
      </c>
      <c r="F1047">
        <v>2014</v>
      </c>
      <c r="G1047" t="s">
        <v>637</v>
      </c>
      <c r="H1047">
        <v>36</v>
      </c>
      <c r="I1047">
        <v>4</v>
      </c>
      <c r="J1047">
        <v>850</v>
      </c>
      <c r="K1047">
        <v>851</v>
      </c>
      <c r="L1047" t="s">
        <v>8674</v>
      </c>
      <c r="M1047" t="s">
        <v>8675</v>
      </c>
      <c r="N1047" t="s">
        <v>8676</v>
      </c>
      <c r="O1047" t="s">
        <v>61</v>
      </c>
      <c r="Q1047" t="s">
        <v>61</v>
      </c>
      <c r="R1047" t="s">
        <v>61</v>
      </c>
      <c r="S1047" t="s">
        <v>61</v>
      </c>
      <c r="T1047" t="s">
        <v>61</v>
      </c>
      <c r="X1047" t="s">
        <v>61</v>
      </c>
      <c r="Y1047" t="s">
        <v>308</v>
      </c>
      <c r="Z1047" t="s">
        <v>61</v>
      </c>
      <c r="AA1047" t="s">
        <v>61</v>
      </c>
      <c r="AB1047" t="s">
        <v>61</v>
      </c>
      <c r="AC1047" t="s">
        <v>67</v>
      </c>
      <c r="AD1047" t="s">
        <v>61</v>
      </c>
      <c r="AE1047" t="s">
        <v>61</v>
      </c>
      <c r="AF1047" t="s">
        <v>61</v>
      </c>
      <c r="AG1047" t="s">
        <v>61</v>
      </c>
      <c r="AH1047" t="s">
        <v>61</v>
      </c>
      <c r="AI1047" t="s">
        <v>61</v>
      </c>
      <c r="AJ1047" t="s">
        <v>61</v>
      </c>
      <c r="AK1047" t="s">
        <v>61</v>
      </c>
      <c r="AL1047" t="s">
        <v>61</v>
      </c>
      <c r="AM1047" t="s">
        <v>8673</v>
      </c>
      <c r="AN1047" t="s">
        <v>61</v>
      </c>
      <c r="AO1047" t="s">
        <v>61</v>
      </c>
      <c r="AP1047" t="s">
        <v>61</v>
      </c>
      <c r="AQ1047" t="s">
        <v>61</v>
      </c>
      <c r="AR1047" t="s">
        <v>61</v>
      </c>
      <c r="AS1047" t="s">
        <v>61</v>
      </c>
      <c r="AT1047" t="s">
        <v>61</v>
      </c>
      <c r="AU1047" t="s">
        <v>61</v>
      </c>
      <c r="AV1047" t="s">
        <v>61</v>
      </c>
      <c r="AW1047" t="s">
        <v>61</v>
      </c>
      <c r="AX1047" t="s">
        <v>61</v>
      </c>
      <c r="AY1047" t="s">
        <v>61</v>
      </c>
      <c r="AZ1047" t="s">
        <v>61</v>
      </c>
      <c r="BA1047" t="s">
        <v>61</v>
      </c>
      <c r="BB1047" t="s">
        <v>61</v>
      </c>
      <c r="BC1047" t="s">
        <v>61</v>
      </c>
      <c r="BD1047" t="s">
        <v>61</v>
      </c>
      <c r="BE1047" t="s">
        <v>61</v>
      </c>
      <c r="BF1047" t="s">
        <v>61</v>
      </c>
    </row>
    <row r="1048" spans="1:58">
      <c r="A1048" t="s">
        <v>58</v>
      </c>
      <c r="B1048" t="s">
        <v>8677</v>
      </c>
      <c r="C1048" t="s">
        <v>8678</v>
      </c>
      <c r="D1048" t="s">
        <v>153</v>
      </c>
      <c r="E1048" t="s">
        <v>61</v>
      </c>
      <c r="F1048">
        <v>2010</v>
      </c>
      <c r="G1048" t="s">
        <v>8679</v>
      </c>
      <c r="H1048">
        <v>50</v>
      </c>
      <c r="I1048">
        <v>2</v>
      </c>
      <c r="J1048">
        <v>148</v>
      </c>
      <c r="K1048">
        <v>157</v>
      </c>
      <c r="L1048" t="s">
        <v>8680</v>
      </c>
      <c r="M1048" t="s">
        <v>8681</v>
      </c>
      <c r="N1048" t="s">
        <v>8682</v>
      </c>
      <c r="O1048" t="s">
        <v>61</v>
      </c>
      <c r="Q1048" t="s">
        <v>61</v>
      </c>
      <c r="R1048" t="s">
        <v>61</v>
      </c>
      <c r="S1048" t="s">
        <v>61</v>
      </c>
      <c r="T1048" t="s">
        <v>61</v>
      </c>
      <c r="X1048" t="s">
        <v>61</v>
      </c>
      <c r="Y1048" t="s">
        <v>157</v>
      </c>
      <c r="Z1048" t="s">
        <v>61</v>
      </c>
      <c r="AA1048" t="s">
        <v>8683</v>
      </c>
      <c r="AB1048">
        <v>20199955</v>
      </c>
      <c r="AC1048" t="s">
        <v>67</v>
      </c>
      <c r="AD1048" t="s">
        <v>61</v>
      </c>
      <c r="AE1048" t="s">
        <v>61</v>
      </c>
      <c r="AF1048" t="s">
        <v>61</v>
      </c>
      <c r="AG1048" t="s">
        <v>8684</v>
      </c>
      <c r="AH1048" t="s">
        <v>61</v>
      </c>
      <c r="AI1048" t="s">
        <v>8685</v>
      </c>
      <c r="AJ1048" t="s">
        <v>61</v>
      </c>
      <c r="AK1048" t="s">
        <v>61</v>
      </c>
      <c r="AL1048" t="s">
        <v>61</v>
      </c>
      <c r="AM1048" t="s">
        <v>8686</v>
      </c>
      <c r="AN1048" t="s">
        <v>61</v>
      </c>
      <c r="AO1048" t="s">
        <v>61</v>
      </c>
      <c r="AP1048" t="s">
        <v>61</v>
      </c>
      <c r="AQ1048" t="s">
        <v>61</v>
      </c>
      <c r="AR1048" t="s">
        <v>61</v>
      </c>
      <c r="AS1048" t="s">
        <v>61</v>
      </c>
      <c r="AT1048" t="s">
        <v>61</v>
      </c>
      <c r="AU1048" t="s">
        <v>61</v>
      </c>
      <c r="AV1048" t="s">
        <v>61</v>
      </c>
      <c r="AW1048" t="s">
        <v>61</v>
      </c>
      <c r="AX1048" t="s">
        <v>61</v>
      </c>
      <c r="AY1048" t="s">
        <v>61</v>
      </c>
      <c r="AZ1048" t="s">
        <v>61</v>
      </c>
      <c r="BA1048" t="s">
        <v>61</v>
      </c>
      <c r="BB1048" t="s">
        <v>61</v>
      </c>
      <c r="BC1048" t="s">
        <v>61</v>
      </c>
      <c r="BD1048" t="s">
        <v>61</v>
      </c>
      <c r="BE1048" t="s">
        <v>61</v>
      </c>
      <c r="BF1048" t="s">
        <v>61</v>
      </c>
    </row>
    <row r="1049" spans="1:58">
      <c r="A1049" t="s">
        <v>58</v>
      </c>
      <c r="B1049" t="s">
        <v>8687</v>
      </c>
      <c r="C1049" t="s">
        <v>8688</v>
      </c>
      <c r="D1049" t="s">
        <v>373</v>
      </c>
      <c r="E1049" t="s">
        <v>61</v>
      </c>
      <c r="F1049">
        <v>2011</v>
      </c>
      <c r="G1049" t="s">
        <v>344</v>
      </c>
      <c r="H1049">
        <v>10</v>
      </c>
      <c r="I1049">
        <v>3</v>
      </c>
      <c r="J1049">
        <v>535</v>
      </c>
      <c r="K1049">
        <v>545</v>
      </c>
      <c r="L1049" t="s">
        <v>8689</v>
      </c>
      <c r="M1049" t="s">
        <v>8690</v>
      </c>
      <c r="N1049" t="s">
        <v>8691</v>
      </c>
      <c r="O1049" t="s">
        <v>61</v>
      </c>
      <c r="Q1049" t="s">
        <v>61</v>
      </c>
      <c r="R1049" t="s">
        <v>61</v>
      </c>
      <c r="S1049" t="s">
        <v>61</v>
      </c>
      <c r="T1049" t="s">
        <v>61</v>
      </c>
      <c r="X1049" t="s">
        <v>61</v>
      </c>
      <c r="Y1049" t="s">
        <v>377</v>
      </c>
      <c r="Z1049" t="s">
        <v>61</v>
      </c>
      <c r="AA1049" t="s">
        <v>61</v>
      </c>
      <c r="AB1049">
        <v>2012085272</v>
      </c>
      <c r="AC1049" t="s">
        <v>67</v>
      </c>
      <c r="AD1049" t="s">
        <v>61</v>
      </c>
      <c r="AE1049" t="s">
        <v>61</v>
      </c>
      <c r="AF1049" t="s">
        <v>61</v>
      </c>
      <c r="AG1049" t="s">
        <v>61</v>
      </c>
      <c r="AH1049" t="s">
        <v>61</v>
      </c>
      <c r="AI1049" t="s">
        <v>61</v>
      </c>
      <c r="AJ1049" t="s">
        <v>61</v>
      </c>
      <c r="AK1049" t="s">
        <v>61</v>
      </c>
      <c r="AL1049" t="s">
        <v>61</v>
      </c>
      <c r="AM1049" t="s">
        <v>8688</v>
      </c>
      <c r="AN1049" t="s">
        <v>61</v>
      </c>
      <c r="AO1049" t="s">
        <v>61</v>
      </c>
      <c r="AP1049" t="s">
        <v>61</v>
      </c>
      <c r="AQ1049" t="s">
        <v>61</v>
      </c>
      <c r="AR1049" t="s">
        <v>61</v>
      </c>
      <c r="AS1049" t="s">
        <v>61</v>
      </c>
      <c r="AT1049" t="s">
        <v>61</v>
      </c>
      <c r="AU1049" t="s">
        <v>61</v>
      </c>
      <c r="AV1049" t="s">
        <v>61</v>
      </c>
      <c r="AW1049" t="s">
        <v>61</v>
      </c>
      <c r="AX1049" t="s">
        <v>61</v>
      </c>
      <c r="AY1049" t="s">
        <v>61</v>
      </c>
      <c r="AZ1049" t="s">
        <v>61</v>
      </c>
      <c r="BA1049" t="s">
        <v>61</v>
      </c>
      <c r="BB1049" t="s">
        <v>61</v>
      </c>
      <c r="BC1049" t="s">
        <v>61</v>
      </c>
      <c r="BD1049" t="s">
        <v>61</v>
      </c>
      <c r="BE1049" t="s">
        <v>61</v>
      </c>
      <c r="BF1049" t="s">
        <v>61</v>
      </c>
    </row>
    <row r="1050" spans="1:58">
      <c r="A1050" t="s">
        <v>58</v>
      </c>
      <c r="B1050" t="s">
        <v>8692</v>
      </c>
      <c r="C1050" t="s">
        <v>8693</v>
      </c>
      <c r="D1050" t="s">
        <v>8694</v>
      </c>
      <c r="E1050" t="s">
        <v>61</v>
      </c>
      <c r="F1050">
        <v>2004</v>
      </c>
      <c r="G1050" t="s">
        <v>280</v>
      </c>
      <c r="H1050">
        <v>36</v>
      </c>
      <c r="I1050">
        <v>6</v>
      </c>
      <c r="J1050">
        <v>340</v>
      </c>
      <c r="K1050">
        <v>343</v>
      </c>
      <c r="L1050" t="s">
        <v>8695</v>
      </c>
      <c r="M1050" t="s">
        <v>8696</v>
      </c>
      <c r="N1050" t="s">
        <v>8697</v>
      </c>
      <c r="O1050" t="s">
        <v>61</v>
      </c>
      <c r="Q1050" t="s">
        <v>61</v>
      </c>
      <c r="R1050" t="s">
        <v>61</v>
      </c>
      <c r="S1050" t="s">
        <v>61</v>
      </c>
      <c r="T1050" t="s">
        <v>61</v>
      </c>
      <c r="X1050" t="s">
        <v>61</v>
      </c>
      <c r="Y1050" t="s">
        <v>8698</v>
      </c>
      <c r="Z1050" t="s">
        <v>61</v>
      </c>
      <c r="AA1050" t="s">
        <v>8699</v>
      </c>
      <c r="AB1050">
        <v>15673210</v>
      </c>
      <c r="AC1050" t="s">
        <v>67</v>
      </c>
      <c r="AD1050" t="s">
        <v>61</v>
      </c>
      <c r="AE1050" t="s">
        <v>61</v>
      </c>
      <c r="AF1050" t="s">
        <v>61</v>
      </c>
      <c r="AG1050" t="s">
        <v>8700</v>
      </c>
      <c r="AH1050" t="s">
        <v>61</v>
      </c>
      <c r="AI1050" t="s">
        <v>61</v>
      </c>
      <c r="AJ1050" t="s">
        <v>61</v>
      </c>
      <c r="AK1050" t="s">
        <v>61</v>
      </c>
      <c r="AL1050" t="s">
        <v>61</v>
      </c>
      <c r="AM1050" t="s">
        <v>8701</v>
      </c>
      <c r="AN1050" t="s">
        <v>61</v>
      </c>
      <c r="AO1050" t="s">
        <v>61</v>
      </c>
      <c r="AP1050" t="s">
        <v>61</v>
      </c>
      <c r="AQ1050" t="s">
        <v>61</v>
      </c>
      <c r="AR1050" t="s">
        <v>61</v>
      </c>
      <c r="AS1050" t="s">
        <v>61</v>
      </c>
      <c r="AT1050" t="s">
        <v>61</v>
      </c>
      <c r="AU1050" t="s">
        <v>61</v>
      </c>
      <c r="AV1050" t="s">
        <v>61</v>
      </c>
      <c r="AW1050" t="s">
        <v>61</v>
      </c>
      <c r="AX1050" t="s">
        <v>61</v>
      </c>
      <c r="AY1050" t="s">
        <v>61</v>
      </c>
      <c r="AZ1050" t="s">
        <v>61</v>
      </c>
      <c r="BA1050" t="s">
        <v>61</v>
      </c>
      <c r="BB1050" t="s">
        <v>61</v>
      </c>
      <c r="BC1050" t="s">
        <v>61</v>
      </c>
      <c r="BD1050" t="s">
        <v>61</v>
      </c>
      <c r="BE1050" t="s">
        <v>61</v>
      </c>
      <c r="BF1050" t="s">
        <v>61</v>
      </c>
    </row>
    <row r="1051" spans="1:58">
      <c r="A1051" t="s">
        <v>58</v>
      </c>
      <c r="B1051" t="s">
        <v>8702</v>
      </c>
      <c r="C1051" t="s">
        <v>8703</v>
      </c>
      <c r="D1051" t="s">
        <v>2271</v>
      </c>
      <c r="E1051" t="s">
        <v>2272</v>
      </c>
      <c r="F1051">
        <v>2006</v>
      </c>
      <c r="G1051" t="s">
        <v>851</v>
      </c>
      <c r="H1051">
        <v>31</v>
      </c>
      <c r="I1051">
        <v>11</v>
      </c>
      <c r="J1051">
        <v>2127</v>
      </c>
      <c r="K1051">
        <v>2134</v>
      </c>
      <c r="L1051" t="s">
        <v>8704</v>
      </c>
      <c r="M1051" t="s">
        <v>8705</v>
      </c>
      <c r="N1051" t="s">
        <v>8706</v>
      </c>
      <c r="O1051" t="s">
        <v>61</v>
      </c>
      <c r="Q1051" t="s">
        <v>61</v>
      </c>
      <c r="R1051" t="s">
        <v>61</v>
      </c>
      <c r="S1051" t="s">
        <v>61</v>
      </c>
      <c r="T1051" t="s">
        <v>61</v>
      </c>
      <c r="X1051" t="s">
        <v>61</v>
      </c>
      <c r="Y1051" t="s">
        <v>4999</v>
      </c>
      <c r="Z1051" t="s">
        <v>61</v>
      </c>
      <c r="AA1051" t="s">
        <v>8707</v>
      </c>
      <c r="AB1051">
        <v>16473476</v>
      </c>
      <c r="AC1051" t="s">
        <v>67</v>
      </c>
      <c r="AD1051" t="s">
        <v>61</v>
      </c>
      <c r="AE1051" t="s">
        <v>61</v>
      </c>
      <c r="AF1051" t="s">
        <v>61</v>
      </c>
      <c r="AG1051" t="s">
        <v>8708</v>
      </c>
      <c r="AH1051" t="s">
        <v>61</v>
      </c>
      <c r="AI1051" t="s">
        <v>61</v>
      </c>
      <c r="AJ1051" t="s">
        <v>61</v>
      </c>
      <c r="AK1051" t="s">
        <v>61</v>
      </c>
      <c r="AL1051" t="s">
        <v>61</v>
      </c>
      <c r="AM1051" t="s">
        <v>8709</v>
      </c>
      <c r="AN1051" t="s">
        <v>61</v>
      </c>
      <c r="AO1051" t="s">
        <v>61</v>
      </c>
      <c r="AP1051" t="s">
        <v>61</v>
      </c>
      <c r="AQ1051" t="s">
        <v>61</v>
      </c>
      <c r="AR1051" t="s">
        <v>61</v>
      </c>
      <c r="AS1051" t="s">
        <v>61</v>
      </c>
      <c r="AT1051" t="s">
        <v>61</v>
      </c>
      <c r="AU1051" t="s">
        <v>61</v>
      </c>
      <c r="AV1051" t="s">
        <v>61</v>
      </c>
      <c r="AW1051" t="s">
        <v>61</v>
      </c>
      <c r="AX1051" t="s">
        <v>61</v>
      </c>
      <c r="AY1051" t="s">
        <v>61</v>
      </c>
      <c r="AZ1051" t="s">
        <v>61</v>
      </c>
      <c r="BA1051" t="s">
        <v>61</v>
      </c>
      <c r="BB1051" t="s">
        <v>61</v>
      </c>
      <c r="BC1051" t="s">
        <v>61</v>
      </c>
      <c r="BD1051" t="s">
        <v>61</v>
      </c>
      <c r="BE1051" t="s">
        <v>61</v>
      </c>
      <c r="BF1051" t="s">
        <v>61</v>
      </c>
    </row>
    <row r="1052" spans="1:58">
      <c r="A1052" t="s">
        <v>58</v>
      </c>
      <c r="B1052" t="s">
        <v>8710</v>
      </c>
      <c r="C1052" t="s">
        <v>8711</v>
      </c>
      <c r="D1052" t="s">
        <v>6071</v>
      </c>
      <c r="E1052" t="s">
        <v>61</v>
      </c>
      <c r="F1052">
        <v>2013</v>
      </c>
      <c r="G1052" t="s">
        <v>429</v>
      </c>
      <c r="H1052">
        <v>14</v>
      </c>
      <c r="I1052">
        <v>4</v>
      </c>
      <c r="J1052" t="s">
        <v>2314</v>
      </c>
      <c r="K1052" t="s">
        <v>61</v>
      </c>
      <c r="L1052" t="s">
        <v>8712</v>
      </c>
      <c r="M1052" t="s">
        <v>8713</v>
      </c>
      <c r="N1052" t="s">
        <v>8714</v>
      </c>
      <c r="O1052" t="s">
        <v>61</v>
      </c>
      <c r="Q1052" t="s">
        <v>61</v>
      </c>
      <c r="R1052" t="s">
        <v>61</v>
      </c>
      <c r="S1052" t="s">
        <v>61</v>
      </c>
      <c r="T1052" t="s">
        <v>61</v>
      </c>
      <c r="X1052" t="s">
        <v>61</v>
      </c>
      <c r="Y1052" t="s">
        <v>6076</v>
      </c>
      <c r="Z1052" t="s">
        <v>61</v>
      </c>
      <c r="AA1052" t="s">
        <v>61</v>
      </c>
      <c r="AB1052" t="s">
        <v>61</v>
      </c>
      <c r="AC1052" t="s">
        <v>67</v>
      </c>
      <c r="AD1052" t="s">
        <v>61</v>
      </c>
      <c r="AE1052" t="s">
        <v>61</v>
      </c>
      <c r="AF1052" t="s">
        <v>61</v>
      </c>
      <c r="AG1052" t="s">
        <v>61</v>
      </c>
      <c r="AH1052" t="s">
        <v>61</v>
      </c>
      <c r="AI1052" t="s">
        <v>61</v>
      </c>
      <c r="AJ1052" t="s">
        <v>61</v>
      </c>
      <c r="AK1052" t="s">
        <v>61</v>
      </c>
      <c r="AL1052" t="s">
        <v>61</v>
      </c>
      <c r="AM1052" t="s">
        <v>8711</v>
      </c>
      <c r="AN1052" t="s">
        <v>61</v>
      </c>
      <c r="AO1052" t="s">
        <v>61</v>
      </c>
      <c r="AP1052" t="s">
        <v>61</v>
      </c>
      <c r="AQ1052" t="s">
        <v>61</v>
      </c>
      <c r="AR1052" t="s">
        <v>61</v>
      </c>
      <c r="AS1052" t="s">
        <v>61</v>
      </c>
      <c r="AT1052" t="s">
        <v>61</v>
      </c>
      <c r="AU1052" t="s">
        <v>61</v>
      </c>
      <c r="AV1052" t="s">
        <v>61</v>
      </c>
      <c r="AW1052" t="s">
        <v>61</v>
      </c>
      <c r="AX1052" t="s">
        <v>61</v>
      </c>
      <c r="AY1052" t="s">
        <v>61</v>
      </c>
      <c r="AZ1052" t="s">
        <v>61</v>
      </c>
      <c r="BA1052" t="s">
        <v>61</v>
      </c>
      <c r="BB1052" t="s">
        <v>61</v>
      </c>
      <c r="BC1052" t="s">
        <v>61</v>
      </c>
      <c r="BD1052" t="s">
        <v>61</v>
      </c>
      <c r="BE1052" t="s">
        <v>61</v>
      </c>
      <c r="BF1052" t="s">
        <v>61</v>
      </c>
    </row>
    <row r="1053" spans="1:58">
      <c r="A1053" t="s">
        <v>58</v>
      </c>
      <c r="B1053" t="s">
        <v>8715</v>
      </c>
      <c r="C1053" t="s">
        <v>8716</v>
      </c>
      <c r="D1053" t="s">
        <v>4635</v>
      </c>
      <c r="E1053" t="s">
        <v>4636</v>
      </c>
      <c r="F1053">
        <v>2002</v>
      </c>
      <c r="G1053" t="s">
        <v>61</v>
      </c>
      <c r="H1053">
        <v>366</v>
      </c>
      <c r="I1053">
        <v>1</v>
      </c>
      <c r="J1053">
        <v>30</v>
      </c>
      <c r="K1053">
        <v>32</v>
      </c>
      <c r="L1053" t="s">
        <v>8717</v>
      </c>
      <c r="M1053" t="s">
        <v>8718</v>
      </c>
      <c r="N1053" t="s">
        <v>8719</v>
      </c>
      <c r="O1053" t="s">
        <v>61</v>
      </c>
      <c r="Q1053" t="s">
        <v>61</v>
      </c>
      <c r="R1053" t="s">
        <v>61</v>
      </c>
      <c r="S1053" t="s">
        <v>61</v>
      </c>
      <c r="T1053" t="s">
        <v>61</v>
      </c>
      <c r="X1053" t="s">
        <v>61</v>
      </c>
      <c r="Y1053" t="s">
        <v>4080</v>
      </c>
      <c r="Z1053" t="s">
        <v>61</v>
      </c>
      <c r="AA1053" t="s">
        <v>61</v>
      </c>
      <c r="AB1053">
        <v>2002215506</v>
      </c>
      <c r="AC1053" t="s">
        <v>67</v>
      </c>
      <c r="AD1053" t="s">
        <v>61</v>
      </c>
      <c r="AE1053" t="s">
        <v>61</v>
      </c>
      <c r="AF1053" t="s">
        <v>61</v>
      </c>
      <c r="AG1053" t="s">
        <v>8720</v>
      </c>
      <c r="AH1053" t="s">
        <v>61</v>
      </c>
      <c r="AI1053" t="s">
        <v>61</v>
      </c>
      <c r="AJ1053" t="s">
        <v>61</v>
      </c>
      <c r="AK1053" t="s">
        <v>61</v>
      </c>
      <c r="AL1053" t="s">
        <v>61</v>
      </c>
      <c r="AM1053" t="s">
        <v>8721</v>
      </c>
      <c r="AN1053" t="s">
        <v>61</v>
      </c>
      <c r="AO1053" t="s">
        <v>61</v>
      </c>
      <c r="AP1053" t="s">
        <v>61</v>
      </c>
      <c r="AQ1053" t="s">
        <v>61</v>
      </c>
      <c r="AR1053" t="s">
        <v>61</v>
      </c>
      <c r="AS1053" t="s">
        <v>61</v>
      </c>
      <c r="AT1053" t="s">
        <v>61</v>
      </c>
      <c r="AU1053" t="s">
        <v>61</v>
      </c>
      <c r="AV1053" t="s">
        <v>61</v>
      </c>
      <c r="AW1053" t="s">
        <v>61</v>
      </c>
      <c r="AX1053" t="s">
        <v>61</v>
      </c>
      <c r="AY1053" t="s">
        <v>61</v>
      </c>
      <c r="AZ1053" t="s">
        <v>61</v>
      </c>
      <c r="BA1053" t="s">
        <v>61</v>
      </c>
      <c r="BB1053" t="s">
        <v>61</v>
      </c>
      <c r="BC1053" t="s">
        <v>61</v>
      </c>
      <c r="BD1053" t="s">
        <v>61</v>
      </c>
      <c r="BE1053" t="s">
        <v>61</v>
      </c>
      <c r="BF1053" t="s">
        <v>61</v>
      </c>
    </row>
    <row r="1054" spans="1:58">
      <c r="A1054" t="s">
        <v>58</v>
      </c>
      <c r="B1054" t="s">
        <v>8722</v>
      </c>
      <c r="C1054" t="s">
        <v>8723</v>
      </c>
      <c r="D1054" t="s">
        <v>8724</v>
      </c>
      <c r="E1054" t="s">
        <v>61</v>
      </c>
      <c r="F1054">
        <v>2009</v>
      </c>
      <c r="G1054" t="s">
        <v>61</v>
      </c>
      <c r="H1054">
        <v>1</v>
      </c>
      <c r="I1054">
        <v>2</v>
      </c>
      <c r="J1054">
        <v>92</v>
      </c>
      <c r="K1054">
        <v>97</v>
      </c>
      <c r="L1054" t="s">
        <v>61</v>
      </c>
      <c r="M1054" t="s">
        <v>8725</v>
      </c>
      <c r="N1054" t="s">
        <v>8726</v>
      </c>
      <c r="O1054" t="s">
        <v>61</v>
      </c>
      <c r="Q1054" t="s">
        <v>61</v>
      </c>
      <c r="R1054" t="s">
        <v>61</v>
      </c>
      <c r="S1054" t="s">
        <v>61</v>
      </c>
      <c r="T1054" t="s">
        <v>61</v>
      </c>
      <c r="X1054" t="s">
        <v>61</v>
      </c>
      <c r="Y1054" t="s">
        <v>8727</v>
      </c>
      <c r="Z1054" t="s">
        <v>61</v>
      </c>
      <c r="AA1054" t="s">
        <v>8728</v>
      </c>
      <c r="AB1054">
        <v>24494090</v>
      </c>
      <c r="AC1054" t="s">
        <v>67</v>
      </c>
      <c r="AD1054" t="s">
        <v>61</v>
      </c>
      <c r="AE1054" t="s">
        <v>61</v>
      </c>
      <c r="AF1054" t="s">
        <v>61</v>
      </c>
      <c r="AG1054" t="s">
        <v>8729</v>
      </c>
      <c r="AH1054" t="s">
        <v>61</v>
      </c>
      <c r="AI1054" t="s">
        <v>61</v>
      </c>
      <c r="AJ1054" t="s">
        <v>61</v>
      </c>
      <c r="AK1054" t="s">
        <v>61</v>
      </c>
      <c r="AL1054" t="s">
        <v>61</v>
      </c>
      <c r="AM1054" t="s">
        <v>8730</v>
      </c>
      <c r="AN1054" t="s">
        <v>61</v>
      </c>
      <c r="AO1054" t="s">
        <v>61</v>
      </c>
      <c r="AP1054" t="s">
        <v>61</v>
      </c>
      <c r="AQ1054" t="s">
        <v>61</v>
      </c>
      <c r="AR1054" t="s">
        <v>61</v>
      </c>
      <c r="AS1054" t="s">
        <v>61</v>
      </c>
      <c r="AT1054" t="s">
        <v>61</v>
      </c>
      <c r="AU1054" t="s">
        <v>61</v>
      </c>
      <c r="AV1054" t="s">
        <v>61</v>
      </c>
      <c r="AW1054" t="s">
        <v>61</v>
      </c>
      <c r="AX1054" t="s">
        <v>61</v>
      </c>
      <c r="AY1054" t="s">
        <v>61</v>
      </c>
      <c r="AZ1054" t="s">
        <v>61</v>
      </c>
      <c r="BA1054" t="s">
        <v>61</v>
      </c>
      <c r="BB1054" t="s">
        <v>61</v>
      </c>
      <c r="BC1054" t="s">
        <v>61</v>
      </c>
      <c r="BD1054" t="s">
        <v>61</v>
      </c>
      <c r="BE1054" t="s">
        <v>61</v>
      </c>
      <c r="BF1054" t="s">
        <v>61</v>
      </c>
    </row>
    <row r="1055" spans="1:58">
      <c r="A1055" t="s">
        <v>58</v>
      </c>
      <c r="B1055" t="s">
        <v>8731</v>
      </c>
      <c r="C1055" t="s">
        <v>8732</v>
      </c>
      <c r="D1055" t="s">
        <v>8733</v>
      </c>
      <c r="E1055" t="s">
        <v>61</v>
      </c>
      <c r="F1055">
        <v>2001</v>
      </c>
      <c r="G1055" t="s">
        <v>280</v>
      </c>
      <c r="H1055">
        <v>56</v>
      </c>
      <c r="I1055">
        <v>6</v>
      </c>
      <c r="J1055">
        <v>540</v>
      </c>
      <c r="K1055">
        <v>544</v>
      </c>
      <c r="L1055" t="s">
        <v>8734</v>
      </c>
      <c r="M1055" t="s">
        <v>8735</v>
      </c>
      <c r="N1055" t="s">
        <v>8736</v>
      </c>
      <c r="O1055" t="s">
        <v>61</v>
      </c>
      <c r="Q1055" t="s">
        <v>61</v>
      </c>
      <c r="R1055" t="s">
        <v>61</v>
      </c>
      <c r="S1055" t="s">
        <v>61</v>
      </c>
      <c r="T1055" t="s">
        <v>61</v>
      </c>
      <c r="X1055" t="s">
        <v>61</v>
      </c>
      <c r="Y1055" t="s">
        <v>8737</v>
      </c>
      <c r="Z1055" t="s">
        <v>61</v>
      </c>
      <c r="AA1055" t="s">
        <v>8738</v>
      </c>
      <c r="AB1055">
        <v>11980287</v>
      </c>
      <c r="AC1055" t="s">
        <v>67</v>
      </c>
      <c r="AD1055" t="s">
        <v>61</v>
      </c>
      <c r="AE1055" t="s">
        <v>61</v>
      </c>
      <c r="AF1055" t="s">
        <v>61</v>
      </c>
      <c r="AG1055" t="s">
        <v>8739</v>
      </c>
      <c r="AH1055" t="s">
        <v>61</v>
      </c>
      <c r="AI1055" t="s">
        <v>61</v>
      </c>
      <c r="AJ1055" t="s">
        <v>61</v>
      </c>
      <c r="AK1055" t="s">
        <v>61</v>
      </c>
      <c r="AL1055" t="s">
        <v>61</v>
      </c>
      <c r="AM1055" t="s">
        <v>8740</v>
      </c>
      <c r="AN1055" t="s">
        <v>61</v>
      </c>
      <c r="AO1055" t="s">
        <v>61</v>
      </c>
      <c r="AP1055" t="s">
        <v>61</v>
      </c>
      <c r="AQ1055" t="s">
        <v>61</v>
      </c>
      <c r="AR1055" t="s">
        <v>61</v>
      </c>
      <c r="AS1055" t="s">
        <v>61</v>
      </c>
      <c r="AT1055" t="s">
        <v>61</v>
      </c>
      <c r="AU1055" t="s">
        <v>61</v>
      </c>
      <c r="AV1055" t="s">
        <v>61</v>
      </c>
      <c r="AW1055" t="s">
        <v>61</v>
      </c>
      <c r="AX1055" t="s">
        <v>61</v>
      </c>
      <c r="AY1055" t="s">
        <v>61</v>
      </c>
      <c r="AZ1055" t="s">
        <v>61</v>
      </c>
      <c r="BA1055" t="s">
        <v>61</v>
      </c>
      <c r="BB1055" t="s">
        <v>61</v>
      </c>
      <c r="BC1055" t="s">
        <v>61</v>
      </c>
      <c r="BD1055" t="s">
        <v>61</v>
      </c>
      <c r="BE1055" t="s">
        <v>61</v>
      </c>
      <c r="BF1055" t="s">
        <v>61</v>
      </c>
    </row>
    <row r="1056" spans="1:58">
      <c r="A1056" t="s">
        <v>58</v>
      </c>
      <c r="B1056" t="s">
        <v>8741</v>
      </c>
      <c r="C1056" t="s">
        <v>8742</v>
      </c>
      <c r="D1056" t="s">
        <v>8743</v>
      </c>
      <c r="E1056" t="s">
        <v>61</v>
      </c>
      <c r="F1056">
        <v>2009</v>
      </c>
      <c r="G1056" t="s">
        <v>8744</v>
      </c>
      <c r="H1056">
        <v>45</v>
      </c>
      <c r="I1056">
        <v>2</v>
      </c>
      <c r="J1056">
        <v>321</v>
      </c>
      <c r="K1056">
        <v>330</v>
      </c>
      <c r="L1056" t="s">
        <v>8745</v>
      </c>
      <c r="M1056" t="s">
        <v>8746</v>
      </c>
      <c r="N1056" t="s">
        <v>8747</v>
      </c>
      <c r="O1056" t="s">
        <v>61</v>
      </c>
      <c r="Q1056" t="s">
        <v>61</v>
      </c>
      <c r="R1056" t="s">
        <v>61</v>
      </c>
      <c r="S1056" t="s">
        <v>61</v>
      </c>
      <c r="T1056" t="s">
        <v>61</v>
      </c>
      <c r="X1056" t="s">
        <v>61</v>
      </c>
      <c r="Y1056" t="s">
        <v>8748</v>
      </c>
      <c r="Z1056" t="s">
        <v>61</v>
      </c>
      <c r="AA1056" t="s">
        <v>61</v>
      </c>
      <c r="AB1056" t="s">
        <v>8749</v>
      </c>
      <c r="AC1056" t="s">
        <v>67</v>
      </c>
      <c r="AD1056" t="s">
        <v>61</v>
      </c>
      <c r="AE1056" t="s">
        <v>61</v>
      </c>
      <c r="AF1056" t="s">
        <v>61</v>
      </c>
      <c r="AG1056" t="s">
        <v>61</v>
      </c>
      <c r="AH1056" t="s">
        <v>61</v>
      </c>
      <c r="AI1056" t="s">
        <v>61</v>
      </c>
      <c r="AJ1056" t="s">
        <v>61</v>
      </c>
      <c r="AK1056" t="s">
        <v>61</v>
      </c>
      <c r="AL1056" t="s">
        <v>61</v>
      </c>
      <c r="AM1056" t="s">
        <v>8742</v>
      </c>
      <c r="AN1056" t="s">
        <v>61</v>
      </c>
      <c r="AO1056" t="s">
        <v>61</v>
      </c>
      <c r="AP1056" t="s">
        <v>61</v>
      </c>
      <c r="AQ1056" t="s">
        <v>61</v>
      </c>
      <c r="AR1056" t="s">
        <v>61</v>
      </c>
      <c r="AS1056" t="s">
        <v>61</v>
      </c>
      <c r="AT1056" t="s">
        <v>61</v>
      </c>
      <c r="AU1056" t="s">
        <v>61</v>
      </c>
      <c r="AV1056" t="s">
        <v>61</v>
      </c>
      <c r="AW1056" t="s">
        <v>61</v>
      </c>
      <c r="AX1056" t="s">
        <v>61</v>
      </c>
      <c r="AY1056" t="s">
        <v>61</v>
      </c>
      <c r="AZ1056" t="s">
        <v>61</v>
      </c>
      <c r="BA1056" t="s">
        <v>61</v>
      </c>
      <c r="BB1056" t="s">
        <v>61</v>
      </c>
      <c r="BC1056" t="s">
        <v>61</v>
      </c>
      <c r="BD1056" t="s">
        <v>61</v>
      </c>
      <c r="BE1056" t="s">
        <v>61</v>
      </c>
      <c r="BF1056" t="s">
        <v>61</v>
      </c>
    </row>
    <row r="1057" spans="1:58">
      <c r="A1057" t="s">
        <v>58</v>
      </c>
      <c r="B1057" t="s">
        <v>8750</v>
      </c>
      <c r="C1057" t="s">
        <v>8751</v>
      </c>
      <c r="D1057" t="s">
        <v>8752</v>
      </c>
      <c r="E1057" t="s">
        <v>61</v>
      </c>
      <c r="F1057">
        <v>2013</v>
      </c>
      <c r="G1057" t="s">
        <v>559</v>
      </c>
      <c r="H1057">
        <v>2</v>
      </c>
      <c r="I1057">
        <v>1</v>
      </c>
      <c r="J1057">
        <v>43</v>
      </c>
      <c r="K1057">
        <v>47</v>
      </c>
      <c r="L1057" t="s">
        <v>8753</v>
      </c>
      <c r="M1057" t="s">
        <v>8754</v>
      </c>
      <c r="N1057" t="s">
        <v>8755</v>
      </c>
      <c r="O1057" t="s">
        <v>61</v>
      </c>
      <c r="Q1057" t="s">
        <v>61</v>
      </c>
      <c r="R1057" t="s">
        <v>61</v>
      </c>
      <c r="S1057" t="s">
        <v>61</v>
      </c>
      <c r="T1057" t="s">
        <v>61</v>
      </c>
      <c r="X1057" t="s">
        <v>61</v>
      </c>
      <c r="Y1057" t="s">
        <v>8756</v>
      </c>
      <c r="Z1057" t="s">
        <v>61</v>
      </c>
      <c r="AA1057" t="s">
        <v>61</v>
      </c>
      <c r="AB1057" t="s">
        <v>8757</v>
      </c>
      <c r="AC1057" t="s">
        <v>67</v>
      </c>
      <c r="AD1057" t="s">
        <v>61</v>
      </c>
      <c r="AE1057" t="s">
        <v>61</v>
      </c>
      <c r="AF1057" t="s">
        <v>61</v>
      </c>
      <c r="AG1057" t="s">
        <v>61</v>
      </c>
      <c r="AH1057" t="s">
        <v>61</v>
      </c>
      <c r="AI1057" t="s">
        <v>61</v>
      </c>
      <c r="AJ1057" t="s">
        <v>61</v>
      </c>
      <c r="AK1057" t="s">
        <v>61</v>
      </c>
      <c r="AL1057" t="s">
        <v>61</v>
      </c>
      <c r="AM1057" t="s">
        <v>8751</v>
      </c>
      <c r="AN1057" t="s">
        <v>61</v>
      </c>
      <c r="AO1057" t="s">
        <v>61</v>
      </c>
      <c r="AP1057" t="s">
        <v>61</v>
      </c>
      <c r="AQ1057" t="s">
        <v>61</v>
      </c>
      <c r="AR1057" t="s">
        <v>61</v>
      </c>
      <c r="AS1057" t="s">
        <v>61</v>
      </c>
      <c r="AT1057" t="s">
        <v>61</v>
      </c>
      <c r="AU1057" t="s">
        <v>61</v>
      </c>
      <c r="AV1057" t="s">
        <v>61</v>
      </c>
      <c r="AW1057" t="s">
        <v>61</v>
      </c>
      <c r="AX1057" t="s">
        <v>61</v>
      </c>
      <c r="AY1057" t="s">
        <v>61</v>
      </c>
      <c r="AZ1057" t="s">
        <v>61</v>
      </c>
      <c r="BA1057" t="s">
        <v>61</v>
      </c>
      <c r="BB1057" t="s">
        <v>61</v>
      </c>
      <c r="BC1057" t="s">
        <v>61</v>
      </c>
      <c r="BD1057" t="s">
        <v>61</v>
      </c>
      <c r="BE1057" t="s">
        <v>61</v>
      </c>
      <c r="BF1057" t="s">
        <v>61</v>
      </c>
    </row>
    <row r="1058" spans="1:58">
      <c r="A1058" t="s">
        <v>58</v>
      </c>
      <c r="B1058" t="s">
        <v>8758</v>
      </c>
      <c r="C1058" t="s">
        <v>8759</v>
      </c>
      <c r="D1058" t="s">
        <v>162</v>
      </c>
      <c r="E1058" t="s">
        <v>163</v>
      </c>
      <c r="F1058">
        <v>1999</v>
      </c>
      <c r="G1058" t="s">
        <v>61</v>
      </c>
      <c r="H1058">
        <v>39</v>
      </c>
      <c r="I1058">
        <v>6</v>
      </c>
      <c r="J1058">
        <v>619</v>
      </c>
      <c r="K1058">
        <v>623</v>
      </c>
      <c r="L1058" t="s">
        <v>8760</v>
      </c>
      <c r="M1058" t="s">
        <v>8761</v>
      </c>
      <c r="N1058" t="s">
        <v>8762</v>
      </c>
      <c r="O1058" t="s">
        <v>61</v>
      </c>
      <c r="Q1058" t="s">
        <v>61</v>
      </c>
      <c r="R1058" t="s">
        <v>61</v>
      </c>
      <c r="S1058" t="s">
        <v>61</v>
      </c>
      <c r="T1058" t="s">
        <v>61</v>
      </c>
      <c r="X1058" t="s">
        <v>61</v>
      </c>
      <c r="Y1058" t="s">
        <v>167</v>
      </c>
      <c r="Z1058" t="s">
        <v>61</v>
      </c>
      <c r="AA1058" t="s">
        <v>61</v>
      </c>
      <c r="AB1058">
        <v>2000289083</v>
      </c>
      <c r="AC1058" t="s">
        <v>67</v>
      </c>
      <c r="AD1058" t="s">
        <v>61</v>
      </c>
      <c r="AE1058" t="s">
        <v>61</v>
      </c>
      <c r="AF1058" t="s">
        <v>61</v>
      </c>
      <c r="AG1058" t="s">
        <v>8763</v>
      </c>
      <c r="AH1058" t="s">
        <v>61</v>
      </c>
      <c r="AI1058" t="s">
        <v>61</v>
      </c>
      <c r="AJ1058" t="s">
        <v>61</v>
      </c>
      <c r="AK1058" t="s">
        <v>61</v>
      </c>
      <c r="AL1058" t="s">
        <v>61</v>
      </c>
      <c r="AM1058" t="s">
        <v>8764</v>
      </c>
      <c r="AN1058" t="s">
        <v>61</v>
      </c>
      <c r="AO1058" t="s">
        <v>61</v>
      </c>
      <c r="AP1058" t="s">
        <v>61</v>
      </c>
      <c r="AQ1058" t="s">
        <v>61</v>
      </c>
      <c r="AR1058" t="s">
        <v>61</v>
      </c>
      <c r="AS1058" t="s">
        <v>61</v>
      </c>
      <c r="AT1058" t="s">
        <v>61</v>
      </c>
      <c r="AU1058" t="s">
        <v>61</v>
      </c>
      <c r="AV1058" t="s">
        <v>61</v>
      </c>
      <c r="AW1058" t="s">
        <v>61</v>
      </c>
      <c r="AX1058" t="s">
        <v>61</v>
      </c>
      <c r="AY1058" t="s">
        <v>61</v>
      </c>
      <c r="AZ1058" t="s">
        <v>61</v>
      </c>
      <c r="BA1058" t="s">
        <v>61</v>
      </c>
      <c r="BB1058" t="s">
        <v>61</v>
      </c>
      <c r="BC1058" t="s">
        <v>61</v>
      </c>
      <c r="BD1058" t="s">
        <v>61</v>
      </c>
      <c r="BE1058" t="s">
        <v>61</v>
      </c>
      <c r="BF1058" t="s">
        <v>61</v>
      </c>
    </row>
    <row r="1059" spans="1:58">
      <c r="A1059" t="s">
        <v>58</v>
      </c>
      <c r="B1059" t="s">
        <v>8765</v>
      </c>
      <c r="C1059" t="s">
        <v>8766</v>
      </c>
      <c r="D1059" t="s">
        <v>8767</v>
      </c>
      <c r="E1059" t="s">
        <v>8768</v>
      </c>
      <c r="F1059">
        <v>2005</v>
      </c>
      <c r="G1059" t="s">
        <v>61</v>
      </c>
      <c r="H1059">
        <v>33</v>
      </c>
      <c r="I1059">
        <v>1</v>
      </c>
      <c r="J1059">
        <v>57</v>
      </c>
      <c r="K1059" t="s">
        <v>8769</v>
      </c>
      <c r="L1059" t="s">
        <v>8770</v>
      </c>
      <c r="M1059" t="s">
        <v>8771</v>
      </c>
      <c r="N1059" t="s">
        <v>8772</v>
      </c>
      <c r="O1059" t="s">
        <v>61</v>
      </c>
      <c r="Q1059" t="s">
        <v>61</v>
      </c>
      <c r="R1059" t="s">
        <v>61</v>
      </c>
      <c r="S1059" t="s">
        <v>61</v>
      </c>
      <c r="T1059" t="s">
        <v>61</v>
      </c>
      <c r="X1059" t="s">
        <v>61</v>
      </c>
      <c r="Y1059" t="s">
        <v>8773</v>
      </c>
      <c r="Z1059" t="s">
        <v>61</v>
      </c>
      <c r="AA1059" t="s">
        <v>8774</v>
      </c>
      <c r="AB1059">
        <v>106473663</v>
      </c>
      <c r="AC1059" t="s">
        <v>67</v>
      </c>
      <c r="AD1059" t="s">
        <v>61</v>
      </c>
      <c r="AE1059" t="s">
        <v>61</v>
      </c>
      <c r="AF1059" t="s">
        <v>61</v>
      </c>
      <c r="AG1059" t="s">
        <v>8775</v>
      </c>
      <c r="AH1059" t="s">
        <v>61</v>
      </c>
      <c r="AI1059" t="s">
        <v>61</v>
      </c>
      <c r="AJ1059" t="s">
        <v>61</v>
      </c>
      <c r="AK1059" t="s">
        <v>61</v>
      </c>
      <c r="AL1059" t="s">
        <v>61</v>
      </c>
      <c r="AM1059" t="s">
        <v>8776</v>
      </c>
      <c r="AN1059" t="s">
        <v>61</v>
      </c>
      <c r="AO1059" t="s">
        <v>61</v>
      </c>
      <c r="AP1059" t="s">
        <v>61</v>
      </c>
      <c r="AQ1059" t="s">
        <v>61</v>
      </c>
      <c r="AR1059" t="s">
        <v>61</v>
      </c>
      <c r="AS1059" t="s">
        <v>61</v>
      </c>
      <c r="AT1059" t="s">
        <v>61</v>
      </c>
      <c r="AU1059" t="s">
        <v>61</v>
      </c>
      <c r="AV1059" t="s">
        <v>61</v>
      </c>
      <c r="AW1059" t="s">
        <v>61</v>
      </c>
      <c r="AX1059" t="s">
        <v>61</v>
      </c>
      <c r="AY1059" t="s">
        <v>61</v>
      </c>
      <c r="AZ1059" t="s">
        <v>61</v>
      </c>
      <c r="BA1059" t="s">
        <v>61</v>
      </c>
      <c r="BB1059" t="s">
        <v>61</v>
      </c>
      <c r="BC1059" t="s">
        <v>61</v>
      </c>
      <c r="BD1059" t="s">
        <v>61</v>
      </c>
      <c r="BE1059" t="s">
        <v>61</v>
      </c>
      <c r="BF1059" t="s">
        <v>61</v>
      </c>
    </row>
    <row r="1060" spans="1:58">
      <c r="A1060" t="s">
        <v>58</v>
      </c>
      <c r="B1060" t="s">
        <v>8777</v>
      </c>
      <c r="C1060" t="s">
        <v>8778</v>
      </c>
      <c r="D1060" t="s">
        <v>8779</v>
      </c>
      <c r="E1060" t="s">
        <v>61</v>
      </c>
      <c r="F1060">
        <v>2003</v>
      </c>
      <c r="G1060" t="s">
        <v>1152</v>
      </c>
      <c r="H1060">
        <v>33</v>
      </c>
      <c r="I1060">
        <v>3</v>
      </c>
      <c r="J1060">
        <v>176</v>
      </c>
      <c r="K1060">
        <v>182</v>
      </c>
      <c r="L1060" t="s">
        <v>8780</v>
      </c>
      <c r="M1060" t="s">
        <v>8781</v>
      </c>
      <c r="N1060" t="s">
        <v>8782</v>
      </c>
      <c r="O1060" t="s">
        <v>61</v>
      </c>
      <c r="Q1060" t="s">
        <v>61</v>
      </c>
      <c r="R1060" t="s">
        <v>61</v>
      </c>
      <c r="S1060" t="s">
        <v>61</v>
      </c>
      <c r="T1060" t="s">
        <v>61</v>
      </c>
      <c r="X1060" t="s">
        <v>61</v>
      </c>
      <c r="Y1060" t="s">
        <v>8783</v>
      </c>
      <c r="Z1060" t="s">
        <v>61</v>
      </c>
      <c r="AA1060" t="s">
        <v>61</v>
      </c>
      <c r="AB1060">
        <v>2003505597</v>
      </c>
      <c r="AC1060" t="s">
        <v>67</v>
      </c>
      <c r="AD1060" t="s">
        <v>61</v>
      </c>
      <c r="AE1060" t="s">
        <v>61</v>
      </c>
      <c r="AF1060" t="s">
        <v>61</v>
      </c>
      <c r="AG1060" t="s">
        <v>61</v>
      </c>
      <c r="AH1060" t="s">
        <v>61</v>
      </c>
      <c r="AI1060" t="s">
        <v>61</v>
      </c>
      <c r="AJ1060" t="s">
        <v>61</v>
      </c>
      <c r="AK1060" t="s">
        <v>61</v>
      </c>
      <c r="AL1060" t="s">
        <v>61</v>
      </c>
      <c r="AM1060" t="s">
        <v>8778</v>
      </c>
      <c r="AN1060" t="s">
        <v>61</v>
      </c>
      <c r="AO1060" t="s">
        <v>61</v>
      </c>
      <c r="AP1060" t="s">
        <v>61</v>
      </c>
      <c r="AQ1060" t="s">
        <v>61</v>
      </c>
      <c r="AR1060" t="s">
        <v>61</v>
      </c>
      <c r="AS1060" t="s">
        <v>61</v>
      </c>
      <c r="AT1060" t="s">
        <v>61</v>
      </c>
      <c r="AU1060" t="s">
        <v>61</v>
      </c>
      <c r="AV1060" t="s">
        <v>61</v>
      </c>
      <c r="AW1060" t="s">
        <v>61</v>
      </c>
      <c r="AX1060" t="s">
        <v>61</v>
      </c>
      <c r="AY1060" t="s">
        <v>61</v>
      </c>
      <c r="AZ1060" t="s">
        <v>61</v>
      </c>
      <c r="BA1060" t="s">
        <v>61</v>
      </c>
      <c r="BB1060" t="s">
        <v>61</v>
      </c>
      <c r="BC1060" t="s">
        <v>61</v>
      </c>
      <c r="BD1060" t="s">
        <v>61</v>
      </c>
      <c r="BE1060" t="s">
        <v>61</v>
      </c>
      <c r="BF1060" t="s">
        <v>61</v>
      </c>
    </row>
    <row r="1061" spans="1:58">
      <c r="A1061" t="s">
        <v>58</v>
      </c>
      <c r="B1061" t="s">
        <v>8784</v>
      </c>
      <c r="C1061" t="s">
        <v>8785</v>
      </c>
      <c r="D1061" t="s">
        <v>482</v>
      </c>
      <c r="E1061" t="s">
        <v>61</v>
      </c>
      <c r="F1061">
        <v>2013</v>
      </c>
      <c r="G1061" s="1">
        <v>42370</v>
      </c>
      <c r="H1061">
        <v>127</v>
      </c>
      <c r="I1061" s="1">
        <v>42372</v>
      </c>
      <c r="J1061">
        <v>163</v>
      </c>
      <c r="K1061">
        <v>169</v>
      </c>
      <c r="L1061" t="s">
        <v>8786</v>
      </c>
      <c r="M1061" t="s">
        <v>8787</v>
      </c>
      <c r="N1061" t="s">
        <v>8788</v>
      </c>
      <c r="O1061" t="s">
        <v>61</v>
      </c>
      <c r="Q1061" t="s">
        <v>61</v>
      </c>
      <c r="R1061" t="s">
        <v>61</v>
      </c>
      <c r="S1061" t="s">
        <v>61</v>
      </c>
      <c r="T1061" t="s">
        <v>61</v>
      </c>
      <c r="X1061" t="s">
        <v>61</v>
      </c>
      <c r="Y1061" t="s">
        <v>2327</v>
      </c>
      <c r="Z1061" t="s">
        <v>61</v>
      </c>
      <c r="AA1061" t="s">
        <v>8789</v>
      </c>
      <c r="AB1061">
        <v>22809895</v>
      </c>
      <c r="AC1061" t="s">
        <v>67</v>
      </c>
      <c r="AD1061" t="s">
        <v>61</v>
      </c>
      <c r="AE1061" t="s">
        <v>61</v>
      </c>
      <c r="AF1061" t="s">
        <v>61</v>
      </c>
      <c r="AG1061" t="s">
        <v>8790</v>
      </c>
      <c r="AH1061" t="s">
        <v>61</v>
      </c>
      <c r="AI1061" t="s">
        <v>8791</v>
      </c>
      <c r="AJ1061" t="s">
        <v>61</v>
      </c>
      <c r="AK1061" t="s">
        <v>61</v>
      </c>
      <c r="AL1061" t="s">
        <v>61</v>
      </c>
      <c r="AM1061" t="s">
        <v>8792</v>
      </c>
      <c r="AN1061" t="s">
        <v>61</v>
      </c>
      <c r="AO1061" t="s">
        <v>61</v>
      </c>
      <c r="AP1061" t="s">
        <v>61</v>
      </c>
      <c r="AQ1061" t="s">
        <v>61</v>
      </c>
      <c r="AR1061" t="s">
        <v>61</v>
      </c>
      <c r="AS1061" t="s">
        <v>61</v>
      </c>
      <c r="AT1061" t="s">
        <v>61</v>
      </c>
      <c r="AU1061" t="s">
        <v>61</v>
      </c>
      <c r="AV1061" t="s">
        <v>61</v>
      </c>
      <c r="AW1061" t="s">
        <v>61</v>
      </c>
      <c r="AX1061" t="s">
        <v>61</v>
      </c>
      <c r="AY1061" t="s">
        <v>61</v>
      </c>
      <c r="AZ1061" t="s">
        <v>61</v>
      </c>
      <c r="BA1061" t="s">
        <v>61</v>
      </c>
      <c r="BB1061" t="s">
        <v>61</v>
      </c>
      <c r="BC1061" t="s">
        <v>61</v>
      </c>
      <c r="BD1061" t="s">
        <v>61</v>
      </c>
      <c r="BE1061" t="s">
        <v>61</v>
      </c>
      <c r="BF1061" t="s">
        <v>61</v>
      </c>
    </row>
    <row r="1062" spans="1:58">
      <c r="A1062" t="s">
        <v>58</v>
      </c>
      <c r="B1062" t="s">
        <v>8793</v>
      </c>
      <c r="C1062" t="s">
        <v>8794</v>
      </c>
      <c r="D1062" t="s">
        <v>1000</v>
      </c>
      <c r="E1062" t="s">
        <v>1000</v>
      </c>
      <c r="F1062">
        <v>2012</v>
      </c>
      <c r="G1062" t="s">
        <v>391</v>
      </c>
      <c r="H1062">
        <v>107</v>
      </c>
      <c r="I1062">
        <v>3</v>
      </c>
      <c r="J1062">
        <v>635</v>
      </c>
      <c r="K1062">
        <v>641</v>
      </c>
      <c r="L1062" t="s">
        <v>8795</v>
      </c>
      <c r="M1062" t="s">
        <v>8796</v>
      </c>
      <c r="N1062" t="s">
        <v>8797</v>
      </c>
      <c r="O1062" t="s">
        <v>61</v>
      </c>
      <c r="Q1062" t="s">
        <v>61</v>
      </c>
      <c r="R1062" t="s">
        <v>61</v>
      </c>
      <c r="S1062" t="s">
        <v>61</v>
      </c>
      <c r="T1062" t="s">
        <v>61</v>
      </c>
      <c r="X1062" t="s">
        <v>61</v>
      </c>
      <c r="Y1062" t="s">
        <v>4508</v>
      </c>
      <c r="Z1062" t="s">
        <v>61</v>
      </c>
      <c r="AA1062" t="s">
        <v>8798</v>
      </c>
      <c r="AB1062">
        <v>21933297</v>
      </c>
      <c r="AC1062" t="s">
        <v>67</v>
      </c>
      <c r="AD1062" t="s">
        <v>61</v>
      </c>
      <c r="AE1062" t="s">
        <v>61</v>
      </c>
      <c r="AF1062" t="s">
        <v>61</v>
      </c>
      <c r="AG1062" t="s">
        <v>8799</v>
      </c>
      <c r="AH1062" t="s">
        <v>61</v>
      </c>
      <c r="AI1062" t="s">
        <v>8800</v>
      </c>
      <c r="AJ1062" t="s">
        <v>61</v>
      </c>
      <c r="AK1062" t="s">
        <v>61</v>
      </c>
      <c r="AL1062" t="s">
        <v>61</v>
      </c>
      <c r="AM1062" t="s">
        <v>8801</v>
      </c>
      <c r="AN1062" t="s">
        <v>61</v>
      </c>
      <c r="AO1062" t="s">
        <v>61</v>
      </c>
      <c r="AP1062" t="s">
        <v>61</v>
      </c>
      <c r="AQ1062" t="s">
        <v>61</v>
      </c>
      <c r="AR1062" t="s">
        <v>61</v>
      </c>
      <c r="AS1062" t="s">
        <v>61</v>
      </c>
      <c r="AT1062" t="s">
        <v>61</v>
      </c>
      <c r="AU1062" t="s">
        <v>61</v>
      </c>
      <c r="AV1062" t="s">
        <v>61</v>
      </c>
      <c r="AW1062" t="s">
        <v>61</v>
      </c>
      <c r="AX1062" t="s">
        <v>61</v>
      </c>
      <c r="AY1062" t="s">
        <v>61</v>
      </c>
      <c r="AZ1062" t="s">
        <v>61</v>
      </c>
      <c r="BA1062" t="s">
        <v>61</v>
      </c>
      <c r="BB1062" t="s">
        <v>61</v>
      </c>
      <c r="BC1062" t="s">
        <v>61</v>
      </c>
      <c r="BD1062" t="s">
        <v>61</v>
      </c>
      <c r="BE1062" t="s">
        <v>61</v>
      </c>
      <c r="BF1062" t="s">
        <v>61</v>
      </c>
    </row>
    <row r="1063" spans="1:58">
      <c r="A1063" t="s">
        <v>58</v>
      </c>
      <c r="B1063" t="s">
        <v>8802</v>
      </c>
      <c r="C1063" t="s">
        <v>8803</v>
      </c>
      <c r="D1063" t="s">
        <v>8804</v>
      </c>
      <c r="E1063" t="s">
        <v>61</v>
      </c>
      <c r="F1063">
        <v>2015</v>
      </c>
      <c r="G1063" t="s">
        <v>61</v>
      </c>
      <c r="H1063">
        <v>15</v>
      </c>
      <c r="I1063" t="s">
        <v>61</v>
      </c>
      <c r="J1063">
        <v>40</v>
      </c>
      <c r="K1063" t="s">
        <v>61</v>
      </c>
      <c r="L1063" t="s">
        <v>61</v>
      </c>
      <c r="M1063" t="s">
        <v>8805</v>
      </c>
      <c r="N1063" t="s">
        <v>8806</v>
      </c>
      <c r="O1063" t="s">
        <v>61</v>
      </c>
      <c r="Q1063" t="s">
        <v>61</v>
      </c>
      <c r="R1063" t="s">
        <v>61</v>
      </c>
      <c r="S1063" t="s">
        <v>61</v>
      </c>
      <c r="T1063" t="s">
        <v>61</v>
      </c>
      <c r="X1063" t="s">
        <v>61</v>
      </c>
      <c r="Y1063" t="s">
        <v>8807</v>
      </c>
      <c r="Z1063" t="s">
        <v>61</v>
      </c>
      <c r="AA1063" t="s">
        <v>8808</v>
      </c>
      <c r="AB1063">
        <v>25627678</v>
      </c>
      <c r="AC1063" t="s">
        <v>67</v>
      </c>
      <c r="AD1063" t="s">
        <v>61</v>
      </c>
      <c r="AE1063" t="s">
        <v>61</v>
      </c>
      <c r="AF1063" t="s">
        <v>61</v>
      </c>
      <c r="AG1063" t="s">
        <v>8809</v>
      </c>
      <c r="AH1063" t="s">
        <v>61</v>
      </c>
      <c r="AI1063" t="s">
        <v>8810</v>
      </c>
      <c r="AJ1063" t="s">
        <v>61</v>
      </c>
      <c r="AK1063" t="s">
        <v>61</v>
      </c>
      <c r="AL1063" t="s">
        <v>61</v>
      </c>
      <c r="AM1063" t="s">
        <v>8811</v>
      </c>
      <c r="AN1063" t="s">
        <v>61</v>
      </c>
      <c r="AO1063" t="s">
        <v>61</v>
      </c>
      <c r="AP1063" t="s">
        <v>61</v>
      </c>
      <c r="AQ1063" t="s">
        <v>61</v>
      </c>
      <c r="AR1063" t="s">
        <v>61</v>
      </c>
      <c r="AS1063" t="s">
        <v>61</v>
      </c>
      <c r="AT1063" t="s">
        <v>61</v>
      </c>
      <c r="AU1063" t="s">
        <v>61</v>
      </c>
      <c r="AV1063" t="s">
        <v>61</v>
      </c>
      <c r="AW1063" t="s">
        <v>61</v>
      </c>
      <c r="AX1063" t="s">
        <v>61</v>
      </c>
      <c r="AY1063" t="s">
        <v>61</v>
      </c>
      <c r="AZ1063" t="s">
        <v>61</v>
      </c>
      <c r="BA1063" t="s">
        <v>61</v>
      </c>
      <c r="BB1063" t="s">
        <v>61</v>
      </c>
      <c r="BC1063" t="s">
        <v>61</v>
      </c>
      <c r="BD1063" t="s">
        <v>61</v>
      </c>
      <c r="BE1063" t="s">
        <v>61</v>
      </c>
      <c r="BF1063" t="s">
        <v>61</v>
      </c>
    </row>
    <row r="1064" spans="1:58">
      <c r="A1064" t="s">
        <v>58</v>
      </c>
      <c r="B1064" t="s">
        <v>8812</v>
      </c>
      <c r="C1064" t="s">
        <v>8813</v>
      </c>
      <c r="D1064" t="s">
        <v>8814</v>
      </c>
      <c r="E1064" t="s">
        <v>8815</v>
      </c>
      <c r="F1064">
        <v>1989</v>
      </c>
      <c r="G1064" t="s">
        <v>237</v>
      </c>
      <c r="H1064">
        <v>86</v>
      </c>
      <c r="I1064">
        <v>1</v>
      </c>
      <c r="J1064">
        <v>247</v>
      </c>
      <c r="K1064">
        <v>250</v>
      </c>
      <c r="L1064" t="s">
        <v>8816</v>
      </c>
      <c r="M1064" t="s">
        <v>8817</v>
      </c>
      <c r="N1064" t="s">
        <v>8818</v>
      </c>
      <c r="O1064" t="s">
        <v>61</v>
      </c>
      <c r="Q1064" t="s">
        <v>61</v>
      </c>
      <c r="R1064" t="s">
        <v>61</v>
      </c>
      <c r="S1064" t="s">
        <v>61</v>
      </c>
      <c r="T1064" t="s">
        <v>61</v>
      </c>
      <c r="X1064" t="s">
        <v>61</v>
      </c>
      <c r="Y1064" t="s">
        <v>8819</v>
      </c>
      <c r="Z1064" t="s">
        <v>61</v>
      </c>
      <c r="AA1064" t="s">
        <v>8820</v>
      </c>
      <c r="AB1064">
        <v>2740274</v>
      </c>
      <c r="AC1064" t="s">
        <v>67</v>
      </c>
      <c r="AD1064" t="s">
        <v>61</v>
      </c>
      <c r="AE1064" t="s">
        <v>61</v>
      </c>
      <c r="AF1064" t="s">
        <v>61</v>
      </c>
      <c r="AG1064" t="s">
        <v>8821</v>
      </c>
      <c r="AH1064" t="s">
        <v>61</v>
      </c>
      <c r="AI1064" t="s">
        <v>61</v>
      </c>
      <c r="AJ1064" t="s">
        <v>61</v>
      </c>
      <c r="AK1064" t="s">
        <v>61</v>
      </c>
      <c r="AL1064" t="s">
        <v>61</v>
      </c>
      <c r="AM1064" t="s">
        <v>8822</v>
      </c>
      <c r="AN1064" t="s">
        <v>61</v>
      </c>
      <c r="AO1064" t="s">
        <v>61</v>
      </c>
      <c r="AP1064" t="s">
        <v>61</v>
      </c>
      <c r="AQ1064" t="s">
        <v>61</v>
      </c>
      <c r="AR1064" t="s">
        <v>61</v>
      </c>
      <c r="AS1064" t="s">
        <v>61</v>
      </c>
      <c r="AT1064" t="s">
        <v>61</v>
      </c>
      <c r="AU1064" t="s">
        <v>61</v>
      </c>
      <c r="AV1064" t="s">
        <v>61</v>
      </c>
      <c r="AW1064" t="s">
        <v>61</v>
      </c>
      <c r="AX1064" t="s">
        <v>61</v>
      </c>
      <c r="AY1064" t="s">
        <v>61</v>
      </c>
      <c r="AZ1064" t="s">
        <v>61</v>
      </c>
      <c r="BA1064" t="s">
        <v>61</v>
      </c>
      <c r="BB1064" t="s">
        <v>61</v>
      </c>
      <c r="BC1064" t="s">
        <v>61</v>
      </c>
      <c r="BD1064" t="s">
        <v>61</v>
      </c>
      <c r="BE1064" t="s">
        <v>61</v>
      </c>
      <c r="BF1064" t="s">
        <v>61</v>
      </c>
    </row>
    <row r="1065" spans="1:58">
      <c r="A1065" t="s">
        <v>58</v>
      </c>
      <c r="B1065" t="s">
        <v>8823</v>
      </c>
      <c r="C1065" t="s">
        <v>8824</v>
      </c>
      <c r="D1065" t="s">
        <v>436</v>
      </c>
      <c r="E1065" t="s">
        <v>436</v>
      </c>
      <c r="F1065">
        <v>2009</v>
      </c>
      <c r="G1065" t="s">
        <v>363</v>
      </c>
      <c r="H1065">
        <v>34</v>
      </c>
      <c r="I1065">
        <v>1</v>
      </c>
      <c r="J1065">
        <v>90</v>
      </c>
      <c r="K1065">
        <v>105</v>
      </c>
      <c r="L1065" t="s">
        <v>8825</v>
      </c>
      <c r="M1065" t="s">
        <v>8826</v>
      </c>
      <c r="N1065" t="s">
        <v>8827</v>
      </c>
      <c r="O1065" t="s">
        <v>61</v>
      </c>
      <c r="Q1065" t="s">
        <v>61</v>
      </c>
      <c r="R1065" t="s">
        <v>61</v>
      </c>
      <c r="S1065" t="s">
        <v>61</v>
      </c>
      <c r="T1065" t="s">
        <v>61</v>
      </c>
      <c r="X1065" t="s">
        <v>61</v>
      </c>
      <c r="Y1065" t="s">
        <v>440</v>
      </c>
      <c r="Z1065" t="s">
        <v>61</v>
      </c>
      <c r="AA1065" t="s">
        <v>8828</v>
      </c>
      <c r="AB1065">
        <v>18800061</v>
      </c>
      <c r="AC1065" t="s">
        <v>67</v>
      </c>
      <c r="AD1065" t="s">
        <v>61</v>
      </c>
      <c r="AE1065" t="s">
        <v>61</v>
      </c>
      <c r="AF1065" t="s">
        <v>61</v>
      </c>
      <c r="AG1065" t="s">
        <v>8829</v>
      </c>
      <c r="AH1065" t="s">
        <v>61</v>
      </c>
      <c r="AI1065" t="s">
        <v>8830</v>
      </c>
      <c r="AJ1065" t="s">
        <v>61</v>
      </c>
      <c r="AK1065" t="s">
        <v>61</v>
      </c>
      <c r="AL1065" t="s">
        <v>61</v>
      </c>
      <c r="AM1065" t="s">
        <v>8831</v>
      </c>
      <c r="AN1065" t="s">
        <v>61</v>
      </c>
      <c r="AO1065" t="s">
        <v>61</v>
      </c>
      <c r="AP1065" t="s">
        <v>61</v>
      </c>
      <c r="AQ1065" t="s">
        <v>61</v>
      </c>
      <c r="AR1065" t="s">
        <v>61</v>
      </c>
      <c r="AS1065" t="s">
        <v>61</v>
      </c>
      <c r="AT1065" t="s">
        <v>61</v>
      </c>
      <c r="AU1065" t="s">
        <v>61</v>
      </c>
      <c r="AV1065" t="s">
        <v>61</v>
      </c>
      <c r="AW1065" t="s">
        <v>61</v>
      </c>
      <c r="AX1065" t="s">
        <v>61</v>
      </c>
      <c r="AY1065" t="s">
        <v>61</v>
      </c>
      <c r="AZ1065" t="s">
        <v>61</v>
      </c>
      <c r="BA1065" t="s">
        <v>61</v>
      </c>
      <c r="BB1065" t="s">
        <v>61</v>
      </c>
      <c r="BC1065" t="s">
        <v>61</v>
      </c>
      <c r="BD1065" t="s">
        <v>61</v>
      </c>
      <c r="BE1065" t="s">
        <v>61</v>
      </c>
      <c r="BF1065" t="s">
        <v>61</v>
      </c>
    </row>
    <row r="1066" spans="1:58">
      <c r="A1066" t="s">
        <v>58</v>
      </c>
      <c r="B1066" t="s">
        <v>8832</v>
      </c>
      <c r="C1066" t="s">
        <v>8833</v>
      </c>
      <c r="D1066" t="s">
        <v>8834</v>
      </c>
      <c r="E1066" t="s">
        <v>61</v>
      </c>
      <c r="F1066">
        <v>1981</v>
      </c>
      <c r="G1066" t="s">
        <v>119</v>
      </c>
      <c r="H1066">
        <v>23</v>
      </c>
      <c r="I1066">
        <v>6</v>
      </c>
      <c r="J1066">
        <v>403</v>
      </c>
      <c r="K1066">
        <v>408</v>
      </c>
      <c r="L1066" t="s">
        <v>8835</v>
      </c>
      <c r="M1066" t="s">
        <v>8836</v>
      </c>
      <c r="N1066" t="s">
        <v>8837</v>
      </c>
      <c r="O1066" t="s">
        <v>61</v>
      </c>
      <c r="Q1066" t="s">
        <v>61</v>
      </c>
      <c r="R1066" t="s">
        <v>61</v>
      </c>
      <c r="S1066" t="s">
        <v>61</v>
      </c>
      <c r="T1066" t="s">
        <v>61</v>
      </c>
      <c r="X1066" t="s">
        <v>61</v>
      </c>
      <c r="Y1066" t="s">
        <v>8838</v>
      </c>
      <c r="Z1066" t="s">
        <v>61</v>
      </c>
      <c r="AA1066" t="s">
        <v>61</v>
      </c>
      <c r="AB1066">
        <v>7241253</v>
      </c>
      <c r="AC1066" t="s">
        <v>67</v>
      </c>
      <c r="AD1066" t="s">
        <v>61</v>
      </c>
      <c r="AE1066" t="s">
        <v>61</v>
      </c>
      <c r="AF1066" t="s">
        <v>61</v>
      </c>
      <c r="AG1066" t="s">
        <v>8839</v>
      </c>
      <c r="AH1066" t="s">
        <v>61</v>
      </c>
      <c r="AI1066" t="s">
        <v>61</v>
      </c>
      <c r="AJ1066" t="s">
        <v>61</v>
      </c>
      <c r="AK1066" t="s">
        <v>61</v>
      </c>
      <c r="AL1066" t="s">
        <v>61</v>
      </c>
      <c r="AM1066" t="s">
        <v>8840</v>
      </c>
      <c r="AN1066" t="s">
        <v>61</v>
      </c>
      <c r="AO1066" t="s">
        <v>61</v>
      </c>
      <c r="AP1066" t="s">
        <v>61</v>
      </c>
      <c r="AQ1066" t="s">
        <v>61</v>
      </c>
      <c r="AR1066" t="s">
        <v>61</v>
      </c>
      <c r="AS1066" t="s">
        <v>61</v>
      </c>
      <c r="AT1066" t="s">
        <v>61</v>
      </c>
      <c r="AU1066" t="s">
        <v>61</v>
      </c>
      <c r="AV1066" t="s">
        <v>61</v>
      </c>
      <c r="AW1066" t="s">
        <v>61</v>
      </c>
      <c r="AX1066" t="s">
        <v>61</v>
      </c>
      <c r="AY1066" t="s">
        <v>61</v>
      </c>
      <c r="AZ1066" t="s">
        <v>61</v>
      </c>
      <c r="BA1066" t="s">
        <v>61</v>
      </c>
      <c r="BB1066" t="s">
        <v>61</v>
      </c>
      <c r="BC1066" t="s">
        <v>61</v>
      </c>
      <c r="BD1066" t="s">
        <v>61</v>
      </c>
      <c r="BE1066" t="s">
        <v>61</v>
      </c>
      <c r="BF1066" t="s">
        <v>61</v>
      </c>
    </row>
    <row r="1067" spans="1:58">
      <c r="A1067" t="s">
        <v>58</v>
      </c>
      <c r="B1067" t="s">
        <v>8841</v>
      </c>
      <c r="C1067" t="s">
        <v>8842</v>
      </c>
      <c r="D1067" t="s">
        <v>8843</v>
      </c>
      <c r="E1067" t="s">
        <v>8844</v>
      </c>
      <c r="F1067">
        <v>2010</v>
      </c>
      <c r="G1067" t="s">
        <v>429</v>
      </c>
      <c r="H1067">
        <v>117</v>
      </c>
      <c r="I1067">
        <v>2</v>
      </c>
      <c r="J1067">
        <v>329</v>
      </c>
      <c r="K1067" t="s">
        <v>61</v>
      </c>
      <c r="L1067" t="s">
        <v>8845</v>
      </c>
      <c r="M1067" t="s">
        <v>8846</v>
      </c>
      <c r="N1067" t="s">
        <v>8847</v>
      </c>
      <c r="O1067" t="s">
        <v>61</v>
      </c>
      <c r="Q1067" t="s">
        <v>61</v>
      </c>
      <c r="R1067" t="s">
        <v>61</v>
      </c>
      <c r="S1067" t="s">
        <v>61</v>
      </c>
      <c r="T1067" t="s">
        <v>61</v>
      </c>
      <c r="X1067" t="s">
        <v>61</v>
      </c>
      <c r="Y1067" t="s">
        <v>8848</v>
      </c>
      <c r="Z1067" t="s">
        <v>61</v>
      </c>
      <c r="AA1067" t="s">
        <v>61</v>
      </c>
      <c r="AB1067" t="s">
        <v>61</v>
      </c>
      <c r="AC1067" t="s">
        <v>67</v>
      </c>
      <c r="AD1067" t="s">
        <v>61</v>
      </c>
      <c r="AE1067" t="s">
        <v>61</v>
      </c>
      <c r="AF1067" t="s">
        <v>61</v>
      </c>
      <c r="AG1067" t="s">
        <v>61</v>
      </c>
      <c r="AH1067" t="s">
        <v>61</v>
      </c>
      <c r="AI1067" t="s">
        <v>61</v>
      </c>
      <c r="AJ1067" t="s">
        <v>61</v>
      </c>
      <c r="AK1067" t="s">
        <v>61</v>
      </c>
      <c r="AL1067" t="s">
        <v>61</v>
      </c>
      <c r="AM1067" t="s">
        <v>8842</v>
      </c>
      <c r="AN1067" t="s">
        <v>61</v>
      </c>
      <c r="AO1067" t="s">
        <v>61</v>
      </c>
      <c r="AP1067" t="s">
        <v>61</v>
      </c>
      <c r="AQ1067" t="s">
        <v>61</v>
      </c>
      <c r="AR1067" t="s">
        <v>61</v>
      </c>
      <c r="AS1067" t="s">
        <v>61</v>
      </c>
      <c r="AT1067" t="s">
        <v>61</v>
      </c>
      <c r="AU1067" t="s">
        <v>61</v>
      </c>
      <c r="AV1067" t="s">
        <v>61</v>
      </c>
      <c r="AW1067" t="s">
        <v>61</v>
      </c>
      <c r="AX1067" t="s">
        <v>61</v>
      </c>
      <c r="AY1067" t="s">
        <v>61</v>
      </c>
      <c r="AZ1067" t="s">
        <v>61</v>
      </c>
      <c r="BA1067" t="s">
        <v>61</v>
      </c>
      <c r="BB1067" t="s">
        <v>61</v>
      </c>
      <c r="BC1067" t="s">
        <v>61</v>
      </c>
      <c r="BD1067" t="s">
        <v>61</v>
      </c>
      <c r="BE1067" t="s">
        <v>61</v>
      </c>
      <c r="BF1067" t="s">
        <v>61</v>
      </c>
    </row>
    <row r="1068" spans="1:58">
      <c r="A1068" t="s">
        <v>58</v>
      </c>
      <c r="B1068" t="s">
        <v>8849</v>
      </c>
      <c r="C1068" t="s">
        <v>8850</v>
      </c>
      <c r="D1068" t="s">
        <v>8851</v>
      </c>
      <c r="E1068" t="s">
        <v>8851</v>
      </c>
      <c r="F1068">
        <v>1990</v>
      </c>
      <c r="G1068" t="s">
        <v>273</v>
      </c>
      <c r="H1068">
        <v>97</v>
      </c>
      <c r="I1068">
        <v>2</v>
      </c>
      <c r="J1068" t="s">
        <v>8852</v>
      </c>
      <c r="K1068" t="s">
        <v>8853</v>
      </c>
      <c r="L1068" t="s">
        <v>8854</v>
      </c>
      <c r="M1068" t="s">
        <v>8855</v>
      </c>
      <c r="N1068" t="s">
        <v>8856</v>
      </c>
      <c r="O1068" t="s">
        <v>61</v>
      </c>
      <c r="Q1068" t="s">
        <v>61</v>
      </c>
      <c r="R1068" t="s">
        <v>61</v>
      </c>
      <c r="S1068" t="s">
        <v>61</v>
      </c>
      <c r="T1068" t="s">
        <v>61</v>
      </c>
      <c r="X1068" t="s">
        <v>61</v>
      </c>
      <c r="Y1068" s="2">
        <v>654852</v>
      </c>
      <c r="Z1068" t="s">
        <v>61</v>
      </c>
      <c r="AA1068" t="s">
        <v>8857</v>
      </c>
      <c r="AB1068">
        <v>2404711</v>
      </c>
      <c r="AC1068" t="s">
        <v>67</v>
      </c>
      <c r="AD1068" t="s">
        <v>61</v>
      </c>
      <c r="AE1068" t="s">
        <v>61</v>
      </c>
      <c r="AF1068" t="s">
        <v>61</v>
      </c>
      <c r="AG1068" t="s">
        <v>8858</v>
      </c>
      <c r="AH1068" t="s">
        <v>61</v>
      </c>
      <c r="AI1068" t="s">
        <v>61</v>
      </c>
      <c r="AJ1068" t="s">
        <v>61</v>
      </c>
      <c r="AK1068" t="s">
        <v>61</v>
      </c>
      <c r="AL1068" t="s">
        <v>61</v>
      </c>
      <c r="AM1068" t="s">
        <v>8859</v>
      </c>
      <c r="AN1068" t="s">
        <v>61</v>
      </c>
      <c r="AO1068" t="s">
        <v>61</v>
      </c>
      <c r="AP1068" t="s">
        <v>61</v>
      </c>
      <c r="AQ1068" t="s">
        <v>61</v>
      </c>
      <c r="AR1068" t="s">
        <v>61</v>
      </c>
      <c r="AS1068" t="s">
        <v>61</v>
      </c>
      <c r="AT1068" t="s">
        <v>61</v>
      </c>
      <c r="AU1068" t="s">
        <v>61</v>
      </c>
      <c r="AV1068" t="s">
        <v>61</v>
      </c>
      <c r="AW1068" t="s">
        <v>61</v>
      </c>
      <c r="AX1068" t="s">
        <v>61</v>
      </c>
      <c r="AY1068" t="s">
        <v>61</v>
      </c>
      <c r="AZ1068" t="s">
        <v>61</v>
      </c>
      <c r="BA1068" t="s">
        <v>61</v>
      </c>
      <c r="BB1068" t="s">
        <v>61</v>
      </c>
      <c r="BC1068" t="s">
        <v>61</v>
      </c>
      <c r="BD1068" t="s">
        <v>61</v>
      </c>
      <c r="BE1068" t="s">
        <v>61</v>
      </c>
      <c r="BF1068" t="s">
        <v>61</v>
      </c>
    </row>
    <row r="1069" spans="1:58">
      <c r="A1069" t="s">
        <v>58</v>
      </c>
      <c r="B1069" t="s">
        <v>8860</v>
      </c>
      <c r="C1069" t="s">
        <v>8861</v>
      </c>
      <c r="D1069" t="s">
        <v>876</v>
      </c>
      <c r="E1069" t="s">
        <v>877</v>
      </c>
      <c r="F1069">
        <v>2014</v>
      </c>
      <c r="G1069" s="1">
        <v>42441</v>
      </c>
      <c r="H1069">
        <v>78</v>
      </c>
      <c r="I1069">
        <v>2</v>
      </c>
      <c r="J1069">
        <v>39</v>
      </c>
      <c r="K1069" t="s">
        <v>61</v>
      </c>
      <c r="L1069" t="s">
        <v>8862</v>
      </c>
      <c r="M1069" t="s">
        <v>8863</v>
      </c>
      <c r="N1069" t="s">
        <v>8864</v>
      </c>
      <c r="O1069" t="s">
        <v>61</v>
      </c>
      <c r="Q1069" t="s">
        <v>61</v>
      </c>
      <c r="R1069" t="s">
        <v>61</v>
      </c>
      <c r="S1069" t="s">
        <v>61</v>
      </c>
      <c r="T1069" t="s">
        <v>61</v>
      </c>
      <c r="X1069" t="s">
        <v>61</v>
      </c>
      <c r="Y1069" t="s">
        <v>881</v>
      </c>
      <c r="Z1069" t="s">
        <v>61</v>
      </c>
      <c r="AA1069" t="s">
        <v>8865</v>
      </c>
      <c r="AB1069">
        <v>24672072</v>
      </c>
      <c r="AC1069" t="s">
        <v>67</v>
      </c>
      <c r="AD1069" t="s">
        <v>61</v>
      </c>
      <c r="AE1069" t="s">
        <v>61</v>
      </c>
      <c r="AF1069" t="s">
        <v>61</v>
      </c>
      <c r="AG1069" t="s">
        <v>8866</v>
      </c>
      <c r="AH1069" t="s">
        <v>61</v>
      </c>
      <c r="AI1069" t="s">
        <v>8867</v>
      </c>
      <c r="AJ1069" t="s">
        <v>61</v>
      </c>
      <c r="AK1069" t="s">
        <v>61</v>
      </c>
      <c r="AL1069" t="s">
        <v>61</v>
      </c>
      <c r="AM1069" t="s">
        <v>8868</v>
      </c>
      <c r="AN1069" t="s">
        <v>61</v>
      </c>
      <c r="AO1069" t="s">
        <v>61</v>
      </c>
      <c r="AP1069" t="s">
        <v>61</v>
      </c>
      <c r="AQ1069" t="s">
        <v>61</v>
      </c>
      <c r="AR1069" t="s">
        <v>61</v>
      </c>
      <c r="AS1069" t="s">
        <v>61</v>
      </c>
      <c r="AT1069" t="s">
        <v>61</v>
      </c>
      <c r="AU1069" t="s">
        <v>61</v>
      </c>
      <c r="AV1069" t="s">
        <v>61</v>
      </c>
      <c r="AW1069" t="s">
        <v>61</v>
      </c>
      <c r="AX1069" t="s">
        <v>61</v>
      </c>
      <c r="AY1069" t="s">
        <v>61</v>
      </c>
      <c r="AZ1069" t="s">
        <v>61</v>
      </c>
      <c r="BA1069" t="s">
        <v>61</v>
      </c>
      <c r="BB1069" t="s">
        <v>61</v>
      </c>
      <c r="BC1069" t="s">
        <v>61</v>
      </c>
      <c r="BD1069" t="s">
        <v>61</v>
      </c>
      <c r="BE1069" t="s">
        <v>61</v>
      </c>
      <c r="BF1069" t="s">
        <v>61</v>
      </c>
    </row>
    <row r="1070" spans="1:58">
      <c r="A1070" t="s">
        <v>58</v>
      </c>
      <c r="B1070" t="s">
        <v>8869</v>
      </c>
      <c r="C1070" t="s">
        <v>8870</v>
      </c>
      <c r="D1070" t="s">
        <v>3549</v>
      </c>
      <c r="E1070" t="s">
        <v>3550</v>
      </c>
      <c r="F1070">
        <v>2011</v>
      </c>
      <c r="G1070" t="s">
        <v>391</v>
      </c>
      <c r="H1070">
        <v>72</v>
      </c>
      <c r="I1070">
        <v>3</v>
      </c>
      <c r="J1070" t="s">
        <v>8871</v>
      </c>
      <c r="K1070" t="s">
        <v>61</v>
      </c>
      <c r="L1070" t="s">
        <v>8872</v>
      </c>
      <c r="M1070" t="s">
        <v>8873</v>
      </c>
      <c r="N1070" t="s">
        <v>8874</v>
      </c>
      <c r="O1070" t="s">
        <v>61</v>
      </c>
      <c r="Q1070" t="s">
        <v>61</v>
      </c>
      <c r="R1070" t="s">
        <v>61</v>
      </c>
      <c r="S1070" t="s">
        <v>61</v>
      </c>
      <c r="T1070" t="s">
        <v>61</v>
      </c>
      <c r="X1070" t="s">
        <v>61</v>
      </c>
      <c r="Y1070" t="s">
        <v>8875</v>
      </c>
      <c r="Z1070" t="s">
        <v>61</v>
      </c>
      <c r="AA1070" t="s">
        <v>8876</v>
      </c>
      <c r="AB1070">
        <v>21450148</v>
      </c>
      <c r="AC1070" t="s">
        <v>67</v>
      </c>
      <c r="AD1070" t="s">
        <v>61</v>
      </c>
      <c r="AE1070" t="s">
        <v>61</v>
      </c>
      <c r="AF1070" t="s">
        <v>61</v>
      </c>
      <c r="AG1070" t="s">
        <v>8877</v>
      </c>
      <c r="AH1070" t="s">
        <v>61</v>
      </c>
      <c r="AI1070" t="s">
        <v>8878</v>
      </c>
      <c r="AJ1070" t="s">
        <v>61</v>
      </c>
      <c r="AK1070" t="s">
        <v>61</v>
      </c>
      <c r="AL1070" t="s">
        <v>61</v>
      </c>
      <c r="AM1070" t="s">
        <v>8879</v>
      </c>
      <c r="AN1070" t="s">
        <v>61</v>
      </c>
      <c r="AO1070" t="s">
        <v>61</v>
      </c>
      <c r="AP1070" t="s">
        <v>61</v>
      </c>
      <c r="AQ1070" t="s">
        <v>61</v>
      </c>
      <c r="AR1070" t="s">
        <v>61</v>
      </c>
      <c r="AS1070" t="s">
        <v>61</v>
      </c>
      <c r="AT1070" t="s">
        <v>61</v>
      </c>
      <c r="AU1070" t="s">
        <v>61</v>
      </c>
      <c r="AV1070" t="s">
        <v>61</v>
      </c>
      <c r="AW1070" t="s">
        <v>61</v>
      </c>
      <c r="AX1070" t="s">
        <v>61</v>
      </c>
      <c r="AY1070" t="s">
        <v>61</v>
      </c>
      <c r="AZ1070" t="s">
        <v>61</v>
      </c>
      <c r="BA1070" t="s">
        <v>61</v>
      </c>
      <c r="BB1070" t="s">
        <v>61</v>
      </c>
      <c r="BC1070" t="s">
        <v>61</v>
      </c>
      <c r="BD1070" t="s">
        <v>61</v>
      </c>
      <c r="BE1070" t="s">
        <v>61</v>
      </c>
      <c r="BF1070" t="s">
        <v>61</v>
      </c>
    </row>
    <row r="1071" spans="1:58">
      <c r="A1071" t="s">
        <v>58</v>
      </c>
      <c r="B1071" t="s">
        <v>8880</v>
      </c>
      <c r="C1071" t="s">
        <v>8881</v>
      </c>
      <c r="D1071" t="s">
        <v>1476</v>
      </c>
      <c r="E1071" t="s">
        <v>61</v>
      </c>
      <c r="F1071">
        <v>2001</v>
      </c>
      <c r="G1071">
        <v>21</v>
      </c>
      <c r="H1071">
        <v>266</v>
      </c>
      <c r="I1071">
        <v>7144</v>
      </c>
      <c r="J1071">
        <v>542</v>
      </c>
      <c r="K1071">
        <v>546</v>
      </c>
      <c r="L1071" t="s">
        <v>8882</v>
      </c>
      <c r="M1071" t="s">
        <v>8883</v>
      </c>
      <c r="N1071" t="s">
        <v>8884</v>
      </c>
      <c r="O1071" t="s">
        <v>61</v>
      </c>
      <c r="Q1071" t="s">
        <v>61</v>
      </c>
      <c r="R1071" t="s">
        <v>61</v>
      </c>
      <c r="S1071" t="s">
        <v>61</v>
      </c>
      <c r="T1071" t="s">
        <v>61</v>
      </c>
      <c r="X1071" t="s">
        <v>61</v>
      </c>
      <c r="Y1071" t="s">
        <v>293</v>
      </c>
      <c r="Z1071" t="s">
        <v>61</v>
      </c>
      <c r="AA1071" t="s">
        <v>61</v>
      </c>
      <c r="AB1071">
        <v>2001171122</v>
      </c>
      <c r="AC1071" t="s">
        <v>67</v>
      </c>
      <c r="AD1071" t="s">
        <v>61</v>
      </c>
      <c r="AE1071" t="s">
        <v>61</v>
      </c>
      <c r="AF1071" t="s">
        <v>61</v>
      </c>
      <c r="AG1071" t="s">
        <v>61</v>
      </c>
      <c r="AH1071" t="s">
        <v>61</v>
      </c>
      <c r="AI1071" t="s">
        <v>61</v>
      </c>
      <c r="AJ1071" t="s">
        <v>61</v>
      </c>
      <c r="AK1071" t="s">
        <v>61</v>
      </c>
      <c r="AL1071" t="s">
        <v>61</v>
      </c>
      <c r="AM1071" t="s">
        <v>8881</v>
      </c>
      <c r="AN1071" t="s">
        <v>61</v>
      </c>
      <c r="AO1071" t="s">
        <v>61</v>
      </c>
      <c r="AP1071" t="s">
        <v>61</v>
      </c>
      <c r="AQ1071" t="s">
        <v>61</v>
      </c>
      <c r="AR1071" t="s">
        <v>61</v>
      </c>
      <c r="AS1071" t="s">
        <v>61</v>
      </c>
      <c r="AT1071" t="s">
        <v>61</v>
      </c>
      <c r="AU1071" t="s">
        <v>61</v>
      </c>
      <c r="AV1071" t="s">
        <v>61</v>
      </c>
      <c r="AW1071" t="s">
        <v>61</v>
      </c>
      <c r="AX1071" t="s">
        <v>61</v>
      </c>
      <c r="AY1071" t="s">
        <v>61</v>
      </c>
      <c r="AZ1071" t="s">
        <v>61</v>
      </c>
      <c r="BA1071" t="s">
        <v>61</v>
      </c>
      <c r="BB1071" t="s">
        <v>61</v>
      </c>
      <c r="BC1071" t="s">
        <v>61</v>
      </c>
      <c r="BD1071" t="s">
        <v>61</v>
      </c>
      <c r="BE1071" t="s">
        <v>61</v>
      </c>
      <c r="BF1071" t="s">
        <v>61</v>
      </c>
    </row>
    <row r="1072" spans="1:58">
      <c r="A1072" t="s">
        <v>58</v>
      </c>
      <c r="B1072" t="s">
        <v>8885</v>
      </c>
      <c r="C1072" t="s">
        <v>8886</v>
      </c>
      <c r="D1072" t="s">
        <v>8887</v>
      </c>
      <c r="E1072" t="s">
        <v>61</v>
      </c>
      <c r="F1072">
        <v>2013</v>
      </c>
      <c r="G1072" t="s">
        <v>61</v>
      </c>
      <c r="H1072">
        <v>38</v>
      </c>
      <c r="I1072">
        <v>10</v>
      </c>
      <c r="J1072">
        <v>21</v>
      </c>
      <c r="K1072">
        <v>26</v>
      </c>
      <c r="L1072" t="s">
        <v>8888</v>
      </c>
      <c r="M1072" t="s">
        <v>8889</v>
      </c>
      <c r="N1072" t="s">
        <v>8890</v>
      </c>
      <c r="O1072" t="s">
        <v>61</v>
      </c>
      <c r="Q1072" t="s">
        <v>61</v>
      </c>
      <c r="R1072" t="s">
        <v>61</v>
      </c>
      <c r="S1072" t="s">
        <v>61</v>
      </c>
      <c r="T1072" t="s">
        <v>61</v>
      </c>
      <c r="X1072" t="s">
        <v>61</v>
      </c>
      <c r="Y1072" t="s">
        <v>8891</v>
      </c>
      <c r="Z1072" t="s">
        <v>61</v>
      </c>
      <c r="AA1072" t="s">
        <v>61</v>
      </c>
      <c r="AB1072">
        <v>2013689062</v>
      </c>
      <c r="AC1072" t="s">
        <v>67</v>
      </c>
      <c r="AD1072" t="s">
        <v>61</v>
      </c>
      <c r="AE1072" t="s">
        <v>61</v>
      </c>
      <c r="AF1072" t="s">
        <v>61</v>
      </c>
      <c r="AG1072" t="s">
        <v>61</v>
      </c>
      <c r="AH1072" t="s">
        <v>61</v>
      </c>
      <c r="AI1072" t="s">
        <v>61</v>
      </c>
      <c r="AJ1072" t="s">
        <v>61</v>
      </c>
      <c r="AK1072" t="s">
        <v>61</v>
      </c>
      <c r="AL1072" t="s">
        <v>61</v>
      </c>
      <c r="AM1072" t="s">
        <v>8886</v>
      </c>
      <c r="AN1072" t="s">
        <v>61</v>
      </c>
      <c r="AO1072" t="s">
        <v>61</v>
      </c>
      <c r="AP1072" t="s">
        <v>61</v>
      </c>
      <c r="AQ1072" t="s">
        <v>61</v>
      </c>
      <c r="AR1072" t="s">
        <v>61</v>
      </c>
      <c r="AS1072" t="s">
        <v>61</v>
      </c>
      <c r="AT1072" t="s">
        <v>61</v>
      </c>
      <c r="AU1072" t="s">
        <v>61</v>
      </c>
      <c r="AV1072" t="s">
        <v>61</v>
      </c>
      <c r="AW1072" t="s">
        <v>61</v>
      </c>
      <c r="AX1072" t="s">
        <v>61</v>
      </c>
      <c r="AY1072" t="s">
        <v>61</v>
      </c>
      <c r="AZ1072" t="s">
        <v>61</v>
      </c>
      <c r="BA1072" t="s">
        <v>61</v>
      </c>
      <c r="BB1072" t="s">
        <v>61</v>
      </c>
      <c r="BC1072" t="s">
        <v>61</v>
      </c>
      <c r="BD1072" t="s">
        <v>61</v>
      </c>
      <c r="BE1072" t="s">
        <v>61</v>
      </c>
      <c r="BF1072" t="s">
        <v>61</v>
      </c>
    </row>
    <row r="1073" spans="1:58">
      <c r="A1073" t="s">
        <v>58</v>
      </c>
      <c r="B1073" t="s">
        <v>8892</v>
      </c>
      <c r="C1073" t="s">
        <v>8893</v>
      </c>
      <c r="D1073" t="s">
        <v>408</v>
      </c>
      <c r="E1073" t="s">
        <v>408</v>
      </c>
      <c r="F1073">
        <v>2014</v>
      </c>
      <c r="G1073" t="s">
        <v>645</v>
      </c>
      <c r="H1073">
        <v>34</v>
      </c>
      <c r="I1073">
        <v>10</v>
      </c>
      <c r="J1073" t="s">
        <v>3457</v>
      </c>
      <c r="K1073" t="s">
        <v>61</v>
      </c>
      <c r="L1073" t="s">
        <v>8894</v>
      </c>
      <c r="M1073" t="s">
        <v>8895</v>
      </c>
      <c r="N1073" t="s">
        <v>8896</v>
      </c>
      <c r="O1073" t="s">
        <v>61</v>
      </c>
      <c r="Q1073" t="s">
        <v>61</v>
      </c>
      <c r="R1073" t="s">
        <v>61</v>
      </c>
      <c r="S1073" t="s">
        <v>61</v>
      </c>
      <c r="T1073" t="s">
        <v>61</v>
      </c>
      <c r="X1073" t="s">
        <v>61</v>
      </c>
      <c r="Y1073" t="s">
        <v>414</v>
      </c>
      <c r="Z1073" t="s">
        <v>61</v>
      </c>
      <c r="AA1073" t="s">
        <v>61</v>
      </c>
      <c r="AB1073" t="s">
        <v>61</v>
      </c>
      <c r="AC1073" t="s">
        <v>67</v>
      </c>
      <c r="AD1073" t="s">
        <v>61</v>
      </c>
      <c r="AE1073" t="s">
        <v>61</v>
      </c>
      <c r="AF1073" t="s">
        <v>61</v>
      </c>
      <c r="AG1073" t="s">
        <v>61</v>
      </c>
      <c r="AH1073" t="s">
        <v>61</v>
      </c>
      <c r="AI1073" t="s">
        <v>61</v>
      </c>
      <c r="AJ1073" t="s">
        <v>61</v>
      </c>
      <c r="AK1073" t="s">
        <v>61</v>
      </c>
      <c r="AL1073" t="s">
        <v>61</v>
      </c>
      <c r="AM1073" t="s">
        <v>8893</v>
      </c>
      <c r="AN1073" t="s">
        <v>61</v>
      </c>
      <c r="AO1073" t="s">
        <v>61</v>
      </c>
      <c r="AP1073" t="s">
        <v>61</v>
      </c>
      <c r="AQ1073" t="s">
        <v>61</v>
      </c>
      <c r="AR1073" t="s">
        <v>61</v>
      </c>
      <c r="AS1073" t="s">
        <v>61</v>
      </c>
      <c r="AT1073" t="s">
        <v>61</v>
      </c>
      <c r="AU1073" t="s">
        <v>61</v>
      </c>
      <c r="AV1073" t="s">
        <v>61</v>
      </c>
      <c r="AW1073" t="s">
        <v>61</v>
      </c>
      <c r="AX1073" t="s">
        <v>61</v>
      </c>
      <c r="AY1073" t="s">
        <v>61</v>
      </c>
      <c r="AZ1073" t="s">
        <v>61</v>
      </c>
      <c r="BA1073" t="s">
        <v>61</v>
      </c>
      <c r="BB1073" t="s">
        <v>61</v>
      </c>
      <c r="BC1073" t="s">
        <v>61</v>
      </c>
      <c r="BD1073" t="s">
        <v>61</v>
      </c>
      <c r="BE1073" t="s">
        <v>61</v>
      </c>
      <c r="BF1073" t="s">
        <v>61</v>
      </c>
    </row>
    <row r="1074" spans="1:58">
      <c r="A1074" t="s">
        <v>58</v>
      </c>
      <c r="B1074" t="s">
        <v>8897</v>
      </c>
      <c r="C1074" t="s">
        <v>8898</v>
      </c>
      <c r="D1074" t="s">
        <v>8899</v>
      </c>
      <c r="E1074" t="s">
        <v>61</v>
      </c>
      <c r="F1074">
        <v>2014</v>
      </c>
      <c r="G1074" t="s">
        <v>61</v>
      </c>
      <c r="H1074">
        <v>61</v>
      </c>
      <c r="I1074">
        <v>3</v>
      </c>
      <c r="J1074">
        <v>55</v>
      </c>
      <c r="K1074" t="s">
        <v>8900</v>
      </c>
      <c r="L1074" t="s">
        <v>8901</v>
      </c>
      <c r="M1074" t="s">
        <v>61</v>
      </c>
      <c r="N1074" t="s">
        <v>8902</v>
      </c>
      <c r="O1074" t="s">
        <v>61</v>
      </c>
      <c r="Q1074" t="s">
        <v>61</v>
      </c>
      <c r="R1074" t="s">
        <v>61</v>
      </c>
      <c r="S1074" t="s">
        <v>61</v>
      </c>
      <c r="T1074" t="s">
        <v>61</v>
      </c>
      <c r="X1074" t="s">
        <v>61</v>
      </c>
      <c r="Y1074" t="s">
        <v>8903</v>
      </c>
      <c r="Z1074" t="s">
        <v>61</v>
      </c>
      <c r="AA1074" t="s">
        <v>61</v>
      </c>
      <c r="AB1074">
        <v>99148563</v>
      </c>
      <c r="AC1074" t="s">
        <v>67</v>
      </c>
      <c r="AD1074" t="s">
        <v>61</v>
      </c>
      <c r="AE1074" t="s">
        <v>61</v>
      </c>
      <c r="AF1074" t="s">
        <v>61</v>
      </c>
      <c r="AG1074" t="s">
        <v>8904</v>
      </c>
      <c r="AH1074" t="s">
        <v>61</v>
      </c>
      <c r="AI1074" t="s">
        <v>61</v>
      </c>
      <c r="AJ1074" t="s">
        <v>61</v>
      </c>
      <c r="AK1074" t="s">
        <v>61</v>
      </c>
      <c r="AL1074" t="s">
        <v>61</v>
      </c>
      <c r="AM1074" t="s">
        <v>8905</v>
      </c>
      <c r="AN1074" t="s">
        <v>61</v>
      </c>
      <c r="AO1074" t="s">
        <v>61</v>
      </c>
      <c r="AP1074" t="s">
        <v>61</v>
      </c>
      <c r="AQ1074" t="s">
        <v>61</v>
      </c>
      <c r="AR1074" t="s">
        <v>61</v>
      </c>
      <c r="AS1074" t="s">
        <v>61</v>
      </c>
      <c r="AT1074" t="s">
        <v>61</v>
      </c>
      <c r="AU1074" t="s">
        <v>61</v>
      </c>
      <c r="AV1074" t="s">
        <v>61</v>
      </c>
      <c r="AW1074" t="s">
        <v>61</v>
      </c>
      <c r="AX1074" t="s">
        <v>61</v>
      </c>
      <c r="AY1074" t="s">
        <v>61</v>
      </c>
      <c r="AZ1074" t="s">
        <v>61</v>
      </c>
      <c r="BA1074" t="s">
        <v>61</v>
      </c>
      <c r="BB1074" t="s">
        <v>61</v>
      </c>
      <c r="BC1074" t="s">
        <v>61</v>
      </c>
      <c r="BD1074" t="s">
        <v>61</v>
      </c>
      <c r="BE1074" t="s">
        <v>61</v>
      </c>
      <c r="BF1074" t="s">
        <v>61</v>
      </c>
    </row>
    <row r="1075" spans="1:58">
      <c r="A1075" t="s">
        <v>58</v>
      </c>
      <c r="B1075" t="s">
        <v>8906</v>
      </c>
      <c r="C1075" t="s">
        <v>8907</v>
      </c>
      <c r="D1075" t="s">
        <v>235</v>
      </c>
      <c r="E1075" t="s">
        <v>236</v>
      </c>
      <c r="F1075">
        <v>1985</v>
      </c>
      <c r="G1075" t="s">
        <v>61</v>
      </c>
      <c r="H1075">
        <v>25</v>
      </c>
      <c r="I1075">
        <v>6</v>
      </c>
      <c r="J1075">
        <v>40</v>
      </c>
      <c r="K1075">
        <v>44</v>
      </c>
      <c r="L1075" t="s">
        <v>8908</v>
      </c>
      <c r="M1075" t="s">
        <v>8909</v>
      </c>
      <c r="N1075" t="s">
        <v>8910</v>
      </c>
      <c r="O1075" t="s">
        <v>61</v>
      </c>
      <c r="Q1075" t="s">
        <v>61</v>
      </c>
      <c r="R1075" t="s">
        <v>61</v>
      </c>
      <c r="S1075" t="s">
        <v>61</v>
      </c>
      <c r="T1075" t="s">
        <v>61</v>
      </c>
      <c r="X1075" t="s">
        <v>61</v>
      </c>
      <c r="Y1075" t="s">
        <v>241</v>
      </c>
      <c r="Z1075" t="s">
        <v>61</v>
      </c>
      <c r="AA1075" t="s">
        <v>61</v>
      </c>
      <c r="AB1075">
        <v>1985183308</v>
      </c>
      <c r="AC1075" t="s">
        <v>67</v>
      </c>
      <c r="AD1075" t="s">
        <v>61</v>
      </c>
      <c r="AE1075" t="s">
        <v>61</v>
      </c>
      <c r="AF1075" t="s">
        <v>61</v>
      </c>
      <c r="AG1075" t="s">
        <v>8911</v>
      </c>
      <c r="AH1075" t="s">
        <v>61</v>
      </c>
      <c r="AI1075" t="s">
        <v>61</v>
      </c>
      <c r="AJ1075" t="s">
        <v>61</v>
      </c>
      <c r="AK1075" t="s">
        <v>61</v>
      </c>
      <c r="AL1075" t="s">
        <v>61</v>
      </c>
      <c r="AM1075" t="s">
        <v>8912</v>
      </c>
      <c r="AN1075" t="s">
        <v>61</v>
      </c>
      <c r="AO1075" t="s">
        <v>61</v>
      </c>
      <c r="AP1075" t="s">
        <v>61</v>
      </c>
      <c r="AQ1075" t="s">
        <v>61</v>
      </c>
      <c r="AR1075" t="s">
        <v>61</v>
      </c>
      <c r="AS1075" t="s">
        <v>61</v>
      </c>
      <c r="AT1075" t="s">
        <v>61</v>
      </c>
      <c r="AU1075" t="s">
        <v>61</v>
      </c>
      <c r="AV1075" t="s">
        <v>61</v>
      </c>
      <c r="AW1075" t="s">
        <v>61</v>
      </c>
      <c r="AX1075" t="s">
        <v>61</v>
      </c>
      <c r="AY1075" t="s">
        <v>61</v>
      </c>
      <c r="AZ1075" t="s">
        <v>61</v>
      </c>
      <c r="BA1075" t="s">
        <v>61</v>
      </c>
      <c r="BB1075" t="s">
        <v>61</v>
      </c>
      <c r="BC1075" t="s">
        <v>61</v>
      </c>
      <c r="BD1075" t="s">
        <v>61</v>
      </c>
      <c r="BE1075" t="s">
        <v>61</v>
      </c>
      <c r="BF1075" t="s">
        <v>61</v>
      </c>
    </row>
    <row r="1076" spans="1:58">
      <c r="A1076" t="s">
        <v>58</v>
      </c>
      <c r="B1076" t="s">
        <v>8913</v>
      </c>
      <c r="C1076" t="s">
        <v>8914</v>
      </c>
      <c r="D1076" t="s">
        <v>4265</v>
      </c>
      <c r="E1076" t="s">
        <v>61</v>
      </c>
      <c r="F1076">
        <v>2009</v>
      </c>
      <c r="G1076" t="s">
        <v>154</v>
      </c>
      <c r="H1076">
        <v>18</v>
      </c>
      <c r="I1076">
        <v>4</v>
      </c>
      <c r="J1076">
        <v>259</v>
      </c>
      <c r="K1076">
        <v>271</v>
      </c>
      <c r="L1076" t="s">
        <v>8915</v>
      </c>
      <c r="M1076" t="s">
        <v>8916</v>
      </c>
      <c r="N1076" t="s">
        <v>8917</v>
      </c>
      <c r="O1076" t="s">
        <v>61</v>
      </c>
      <c r="Q1076" t="s">
        <v>61</v>
      </c>
      <c r="R1076" t="s">
        <v>61</v>
      </c>
      <c r="S1076" t="s">
        <v>61</v>
      </c>
      <c r="T1076" t="s">
        <v>61</v>
      </c>
      <c r="X1076" t="s">
        <v>61</v>
      </c>
      <c r="Y1076" t="s">
        <v>8918</v>
      </c>
      <c r="Z1076" t="s">
        <v>61</v>
      </c>
      <c r="AA1076" t="s">
        <v>8919</v>
      </c>
      <c r="AB1076">
        <v>19444729</v>
      </c>
      <c r="AC1076" t="s">
        <v>67</v>
      </c>
      <c r="AD1076" t="s">
        <v>61</v>
      </c>
      <c r="AE1076" t="s">
        <v>61</v>
      </c>
      <c r="AF1076" t="s">
        <v>61</v>
      </c>
      <c r="AG1076" t="s">
        <v>8920</v>
      </c>
      <c r="AH1076" t="s">
        <v>61</v>
      </c>
      <c r="AI1076" t="s">
        <v>8921</v>
      </c>
      <c r="AJ1076" t="s">
        <v>61</v>
      </c>
      <c r="AK1076" t="s">
        <v>61</v>
      </c>
      <c r="AL1076" t="s">
        <v>61</v>
      </c>
      <c r="AM1076" t="s">
        <v>8922</v>
      </c>
      <c r="AN1076" t="s">
        <v>61</v>
      </c>
      <c r="AO1076" t="s">
        <v>61</v>
      </c>
      <c r="AP1076" t="s">
        <v>61</v>
      </c>
      <c r="AQ1076" t="s">
        <v>61</v>
      </c>
      <c r="AR1076" t="s">
        <v>61</v>
      </c>
      <c r="AS1076" t="s">
        <v>61</v>
      </c>
      <c r="AT1076" t="s">
        <v>61</v>
      </c>
      <c r="AU1076" t="s">
        <v>61</v>
      </c>
      <c r="AV1076" t="s">
        <v>61</v>
      </c>
      <c r="AW1076" t="s">
        <v>61</v>
      </c>
      <c r="AX1076" t="s">
        <v>61</v>
      </c>
      <c r="AY1076" t="s">
        <v>61</v>
      </c>
      <c r="AZ1076" t="s">
        <v>61</v>
      </c>
      <c r="BA1076" t="s">
        <v>61</v>
      </c>
      <c r="BB1076" t="s">
        <v>61</v>
      </c>
      <c r="BC1076" t="s">
        <v>61</v>
      </c>
      <c r="BD1076" t="s">
        <v>61</v>
      </c>
      <c r="BE1076" t="s">
        <v>61</v>
      </c>
      <c r="BF1076" t="s">
        <v>61</v>
      </c>
    </row>
    <row r="1077" spans="1:58">
      <c r="A1077" t="s">
        <v>58</v>
      </c>
      <c r="B1077" t="s">
        <v>8923</v>
      </c>
      <c r="C1077" t="s">
        <v>8924</v>
      </c>
      <c r="D1077" t="s">
        <v>408</v>
      </c>
      <c r="E1077" t="s">
        <v>408</v>
      </c>
      <c r="F1077">
        <v>2012</v>
      </c>
      <c r="G1077" t="s">
        <v>645</v>
      </c>
      <c r="H1077">
        <v>32</v>
      </c>
      <c r="I1077">
        <v>10</v>
      </c>
      <c r="J1077" t="s">
        <v>2537</v>
      </c>
      <c r="K1077" t="s">
        <v>61</v>
      </c>
      <c r="L1077" t="s">
        <v>8925</v>
      </c>
      <c r="M1077" t="s">
        <v>8926</v>
      </c>
      <c r="N1077" t="s">
        <v>8927</v>
      </c>
      <c r="O1077" t="s">
        <v>61</v>
      </c>
      <c r="Q1077" t="s">
        <v>61</v>
      </c>
      <c r="R1077" t="s">
        <v>61</v>
      </c>
      <c r="S1077" t="s">
        <v>61</v>
      </c>
      <c r="T1077" t="s">
        <v>61</v>
      </c>
      <c r="X1077" t="s">
        <v>61</v>
      </c>
      <c r="Y1077" t="s">
        <v>414</v>
      </c>
      <c r="Z1077" t="s">
        <v>61</v>
      </c>
      <c r="AA1077" t="s">
        <v>61</v>
      </c>
      <c r="AB1077" t="s">
        <v>61</v>
      </c>
      <c r="AC1077" t="s">
        <v>67</v>
      </c>
      <c r="AD1077" t="s">
        <v>61</v>
      </c>
      <c r="AE1077" t="s">
        <v>61</v>
      </c>
      <c r="AF1077" t="s">
        <v>61</v>
      </c>
      <c r="AG1077" t="s">
        <v>61</v>
      </c>
      <c r="AH1077" t="s">
        <v>61</v>
      </c>
      <c r="AI1077" t="s">
        <v>61</v>
      </c>
      <c r="AJ1077" t="s">
        <v>61</v>
      </c>
      <c r="AK1077" t="s">
        <v>61</v>
      </c>
      <c r="AL1077" t="s">
        <v>61</v>
      </c>
      <c r="AM1077" t="s">
        <v>8924</v>
      </c>
      <c r="AN1077" t="s">
        <v>61</v>
      </c>
      <c r="AO1077" t="s">
        <v>61</v>
      </c>
      <c r="AP1077" t="s">
        <v>61</v>
      </c>
      <c r="AQ1077" t="s">
        <v>61</v>
      </c>
      <c r="AR1077" t="s">
        <v>61</v>
      </c>
      <c r="AS1077" t="s">
        <v>61</v>
      </c>
      <c r="AT1077" t="s">
        <v>61</v>
      </c>
      <c r="AU1077" t="s">
        <v>61</v>
      </c>
      <c r="AV1077" t="s">
        <v>61</v>
      </c>
      <c r="AW1077" t="s">
        <v>61</v>
      </c>
      <c r="AX1077" t="s">
        <v>61</v>
      </c>
      <c r="AY1077" t="s">
        <v>61</v>
      </c>
      <c r="AZ1077" t="s">
        <v>61</v>
      </c>
      <c r="BA1077" t="s">
        <v>61</v>
      </c>
      <c r="BB1077" t="s">
        <v>61</v>
      </c>
      <c r="BC1077" t="s">
        <v>61</v>
      </c>
      <c r="BD1077" t="s">
        <v>61</v>
      </c>
      <c r="BE1077" t="s">
        <v>61</v>
      </c>
      <c r="BF1077" t="s">
        <v>61</v>
      </c>
    </row>
    <row r="1078" spans="1:58">
      <c r="A1078" t="s">
        <v>58</v>
      </c>
      <c r="B1078" t="s">
        <v>8928</v>
      </c>
      <c r="C1078" t="s">
        <v>8929</v>
      </c>
      <c r="D1078" t="s">
        <v>1414</v>
      </c>
      <c r="E1078" t="s">
        <v>1415</v>
      </c>
      <c r="F1078">
        <v>2011</v>
      </c>
      <c r="G1078" t="s">
        <v>273</v>
      </c>
      <c r="H1078">
        <v>17</v>
      </c>
      <c r="I1078">
        <v>1</v>
      </c>
      <c r="J1078">
        <v>97</v>
      </c>
      <c r="K1078">
        <v>103</v>
      </c>
      <c r="L1078" t="s">
        <v>8930</v>
      </c>
      <c r="M1078" t="s">
        <v>8931</v>
      </c>
      <c r="N1078" t="s">
        <v>8932</v>
      </c>
      <c r="O1078" t="s">
        <v>61</v>
      </c>
      <c r="Q1078" t="s">
        <v>61</v>
      </c>
      <c r="R1078" t="s">
        <v>61</v>
      </c>
      <c r="S1078" t="s">
        <v>61</v>
      </c>
      <c r="T1078" t="s">
        <v>61</v>
      </c>
      <c r="X1078" t="s">
        <v>61</v>
      </c>
      <c r="Y1078" t="s">
        <v>1419</v>
      </c>
      <c r="Z1078" t="s">
        <v>61</v>
      </c>
      <c r="AA1078" t="s">
        <v>8933</v>
      </c>
      <c r="AB1078">
        <v>20825538</v>
      </c>
      <c r="AC1078" t="s">
        <v>67</v>
      </c>
      <c r="AD1078" t="s">
        <v>61</v>
      </c>
      <c r="AE1078" t="s">
        <v>61</v>
      </c>
      <c r="AF1078" t="s">
        <v>61</v>
      </c>
      <c r="AG1078" t="s">
        <v>8934</v>
      </c>
      <c r="AH1078" t="s">
        <v>61</v>
      </c>
      <c r="AI1078" t="s">
        <v>8935</v>
      </c>
      <c r="AJ1078" t="s">
        <v>61</v>
      </c>
      <c r="AK1078" t="s">
        <v>61</v>
      </c>
      <c r="AL1078" t="s">
        <v>61</v>
      </c>
      <c r="AM1078" t="s">
        <v>8936</v>
      </c>
      <c r="AN1078" t="s">
        <v>61</v>
      </c>
      <c r="AO1078" t="s">
        <v>61</v>
      </c>
      <c r="AP1078" t="s">
        <v>61</v>
      </c>
      <c r="AQ1078" t="s">
        <v>61</v>
      </c>
      <c r="AR1078" t="s">
        <v>61</v>
      </c>
      <c r="AS1078" t="s">
        <v>61</v>
      </c>
      <c r="AT1078" t="s">
        <v>61</v>
      </c>
      <c r="AU1078" t="s">
        <v>61</v>
      </c>
      <c r="AV1078" t="s">
        <v>61</v>
      </c>
      <c r="AW1078" t="s">
        <v>61</v>
      </c>
      <c r="AX1078" t="s">
        <v>61</v>
      </c>
      <c r="AY1078" t="s">
        <v>61</v>
      </c>
      <c r="AZ1078" t="s">
        <v>61</v>
      </c>
      <c r="BA1078" t="s">
        <v>61</v>
      </c>
      <c r="BB1078" t="s">
        <v>61</v>
      </c>
      <c r="BC1078" t="s">
        <v>61</v>
      </c>
      <c r="BD1078" t="s">
        <v>61</v>
      </c>
      <c r="BE1078" t="s">
        <v>61</v>
      </c>
      <c r="BF1078" t="s">
        <v>61</v>
      </c>
    </row>
    <row r="1079" spans="1:58">
      <c r="A1079" t="s">
        <v>58</v>
      </c>
      <c r="B1079" t="s">
        <v>8937</v>
      </c>
      <c r="C1079" t="s">
        <v>8938</v>
      </c>
      <c r="D1079" t="s">
        <v>8939</v>
      </c>
      <c r="E1079" t="s">
        <v>61</v>
      </c>
      <c r="F1079">
        <v>2002</v>
      </c>
      <c r="G1079" t="s">
        <v>851</v>
      </c>
      <c r="H1079">
        <v>14</v>
      </c>
      <c r="I1079">
        <v>4</v>
      </c>
      <c r="J1079">
        <v>318</v>
      </c>
      <c r="K1079">
        <v>326</v>
      </c>
      <c r="L1079" t="s">
        <v>8940</v>
      </c>
      <c r="M1079" t="s">
        <v>8941</v>
      </c>
      <c r="N1079" t="s">
        <v>8942</v>
      </c>
      <c r="O1079" t="s">
        <v>61</v>
      </c>
      <c r="Q1079" t="s">
        <v>61</v>
      </c>
      <c r="R1079" t="s">
        <v>61</v>
      </c>
      <c r="S1079" t="s">
        <v>61</v>
      </c>
      <c r="T1079" t="s">
        <v>61</v>
      </c>
      <c r="X1079" t="s">
        <v>61</v>
      </c>
      <c r="Y1079" t="s">
        <v>8943</v>
      </c>
      <c r="Z1079" t="s">
        <v>61</v>
      </c>
      <c r="AA1079" t="s">
        <v>61</v>
      </c>
      <c r="AB1079" t="s">
        <v>8944</v>
      </c>
      <c r="AC1079" t="s">
        <v>67</v>
      </c>
      <c r="AD1079" t="s">
        <v>61</v>
      </c>
      <c r="AE1079" t="s">
        <v>61</v>
      </c>
      <c r="AF1079" t="s">
        <v>61</v>
      </c>
      <c r="AG1079" t="s">
        <v>61</v>
      </c>
      <c r="AH1079" t="s">
        <v>61</v>
      </c>
      <c r="AI1079" t="s">
        <v>61</v>
      </c>
      <c r="AJ1079" t="s">
        <v>61</v>
      </c>
      <c r="AK1079" t="s">
        <v>61</v>
      </c>
      <c r="AL1079" t="s">
        <v>61</v>
      </c>
      <c r="AM1079" t="s">
        <v>8938</v>
      </c>
      <c r="AN1079" t="s">
        <v>61</v>
      </c>
      <c r="AO1079" t="s">
        <v>61</v>
      </c>
      <c r="AP1079" t="s">
        <v>61</v>
      </c>
      <c r="AQ1079" t="s">
        <v>61</v>
      </c>
      <c r="AR1079" t="s">
        <v>61</v>
      </c>
      <c r="AS1079" t="s">
        <v>61</v>
      </c>
      <c r="AT1079" t="s">
        <v>61</v>
      </c>
      <c r="AU1079" t="s">
        <v>61</v>
      </c>
      <c r="AV1079" t="s">
        <v>61</v>
      </c>
      <c r="AW1079" t="s">
        <v>61</v>
      </c>
      <c r="AX1079" t="s">
        <v>61</v>
      </c>
      <c r="AY1079" t="s">
        <v>61</v>
      </c>
      <c r="AZ1079" t="s">
        <v>61</v>
      </c>
      <c r="BA1079" t="s">
        <v>61</v>
      </c>
      <c r="BB1079" t="s">
        <v>61</v>
      </c>
      <c r="BC1079" t="s">
        <v>61</v>
      </c>
      <c r="BD1079" t="s">
        <v>61</v>
      </c>
      <c r="BE1079" t="s">
        <v>61</v>
      </c>
      <c r="BF1079" t="s">
        <v>61</v>
      </c>
    </row>
    <row r="1080" spans="1:58">
      <c r="A1080" t="s">
        <v>58</v>
      </c>
      <c r="B1080" t="s">
        <v>8945</v>
      </c>
      <c r="C1080" t="s">
        <v>8946</v>
      </c>
      <c r="D1080" t="s">
        <v>8947</v>
      </c>
      <c r="E1080" t="s">
        <v>61</v>
      </c>
      <c r="F1080">
        <v>2012</v>
      </c>
      <c r="G1080" t="s">
        <v>851</v>
      </c>
      <c r="H1080" t="s">
        <v>8948</v>
      </c>
      <c r="I1080" t="s">
        <v>61</v>
      </c>
      <c r="J1080" t="s">
        <v>8949</v>
      </c>
      <c r="K1080">
        <v>6</v>
      </c>
      <c r="L1080" t="s">
        <v>8950</v>
      </c>
      <c r="M1080" t="s">
        <v>8951</v>
      </c>
      <c r="N1080" t="s">
        <v>8952</v>
      </c>
      <c r="O1080" t="s">
        <v>61</v>
      </c>
      <c r="Q1080" t="s">
        <v>61</v>
      </c>
      <c r="R1080" t="s">
        <v>61</v>
      </c>
      <c r="S1080" t="s">
        <v>61</v>
      </c>
      <c r="T1080" t="s">
        <v>61</v>
      </c>
      <c r="X1080" t="s">
        <v>61</v>
      </c>
      <c r="Y1080" t="s">
        <v>8953</v>
      </c>
      <c r="Z1080" t="s">
        <v>61</v>
      </c>
      <c r="AA1080" t="s">
        <v>8954</v>
      </c>
      <c r="AB1080">
        <v>22932721</v>
      </c>
      <c r="AC1080" t="s">
        <v>67</v>
      </c>
      <c r="AD1080" t="s">
        <v>61</v>
      </c>
      <c r="AE1080" t="s">
        <v>61</v>
      </c>
      <c r="AF1080" t="s">
        <v>61</v>
      </c>
      <c r="AG1080" t="s">
        <v>8955</v>
      </c>
      <c r="AH1080" t="s">
        <v>61</v>
      </c>
      <c r="AI1080" t="s">
        <v>8956</v>
      </c>
      <c r="AJ1080" t="s">
        <v>61</v>
      </c>
      <c r="AK1080" t="s">
        <v>61</v>
      </c>
      <c r="AL1080" t="s">
        <v>61</v>
      </c>
      <c r="AM1080" t="s">
        <v>8957</v>
      </c>
      <c r="AN1080" t="s">
        <v>61</v>
      </c>
      <c r="AO1080" t="s">
        <v>61</v>
      </c>
      <c r="AP1080" t="s">
        <v>61</v>
      </c>
      <c r="AQ1080" t="s">
        <v>61</v>
      </c>
      <c r="AR1080" t="s">
        <v>61</v>
      </c>
      <c r="AS1080" t="s">
        <v>61</v>
      </c>
      <c r="AT1080" t="s">
        <v>61</v>
      </c>
      <c r="AU1080" t="s">
        <v>61</v>
      </c>
      <c r="AV1080" t="s">
        <v>61</v>
      </c>
      <c r="AW1080" t="s">
        <v>61</v>
      </c>
      <c r="AX1080" t="s">
        <v>61</v>
      </c>
      <c r="AY1080" t="s">
        <v>61</v>
      </c>
      <c r="AZ1080" t="s">
        <v>61</v>
      </c>
      <c r="BA1080" t="s">
        <v>61</v>
      </c>
      <c r="BB1080" t="s">
        <v>61</v>
      </c>
      <c r="BC1080" t="s">
        <v>61</v>
      </c>
      <c r="BD1080" t="s">
        <v>61</v>
      </c>
      <c r="BE1080" t="s">
        <v>61</v>
      </c>
      <c r="BF1080" t="s">
        <v>61</v>
      </c>
    </row>
    <row r="1081" spans="1:58">
      <c r="A1081" t="s">
        <v>58</v>
      </c>
      <c r="B1081" t="s">
        <v>8958</v>
      </c>
      <c r="C1081" t="s">
        <v>8959</v>
      </c>
      <c r="D1081" t="s">
        <v>235</v>
      </c>
      <c r="E1081" t="s">
        <v>236</v>
      </c>
      <c r="F1081">
        <v>1985</v>
      </c>
      <c r="G1081" t="s">
        <v>119</v>
      </c>
      <c r="H1081" t="s">
        <v>8960</v>
      </c>
      <c r="I1081">
        <v>6</v>
      </c>
      <c r="J1081">
        <v>60</v>
      </c>
      <c r="K1081">
        <v>62</v>
      </c>
      <c r="L1081" t="s">
        <v>8961</v>
      </c>
      <c r="M1081" t="s">
        <v>61</v>
      </c>
      <c r="N1081" t="s">
        <v>8962</v>
      </c>
      <c r="O1081" t="s">
        <v>61</v>
      </c>
      <c r="Q1081" t="s">
        <v>61</v>
      </c>
      <c r="R1081" t="s">
        <v>61</v>
      </c>
      <c r="S1081" t="s">
        <v>61</v>
      </c>
      <c r="T1081" t="s">
        <v>61</v>
      </c>
      <c r="X1081" t="s">
        <v>61</v>
      </c>
      <c r="Y1081" t="s">
        <v>241</v>
      </c>
      <c r="Z1081" t="s">
        <v>61</v>
      </c>
      <c r="AA1081" t="s">
        <v>61</v>
      </c>
      <c r="AB1081">
        <v>4025143</v>
      </c>
      <c r="AC1081" t="s">
        <v>67</v>
      </c>
      <c r="AD1081" t="s">
        <v>61</v>
      </c>
      <c r="AE1081" t="s">
        <v>61</v>
      </c>
      <c r="AF1081" t="s">
        <v>61</v>
      </c>
      <c r="AG1081" t="s">
        <v>8963</v>
      </c>
      <c r="AH1081" t="s">
        <v>61</v>
      </c>
      <c r="AI1081" t="s">
        <v>61</v>
      </c>
      <c r="AJ1081" t="s">
        <v>61</v>
      </c>
      <c r="AK1081" t="s">
        <v>61</v>
      </c>
      <c r="AL1081" t="s">
        <v>61</v>
      </c>
      <c r="AM1081" t="s">
        <v>8964</v>
      </c>
      <c r="AN1081" t="s">
        <v>61</v>
      </c>
      <c r="AO1081" t="s">
        <v>61</v>
      </c>
      <c r="AP1081" t="s">
        <v>61</v>
      </c>
      <c r="AQ1081" t="s">
        <v>61</v>
      </c>
      <c r="AR1081" t="s">
        <v>61</v>
      </c>
      <c r="AS1081" t="s">
        <v>61</v>
      </c>
      <c r="AT1081" t="s">
        <v>61</v>
      </c>
      <c r="AU1081" t="s">
        <v>61</v>
      </c>
      <c r="AV1081" t="s">
        <v>61</v>
      </c>
      <c r="AW1081" t="s">
        <v>61</v>
      </c>
      <c r="AX1081" t="s">
        <v>61</v>
      </c>
      <c r="AY1081" t="s">
        <v>61</v>
      </c>
      <c r="AZ1081" t="s">
        <v>61</v>
      </c>
      <c r="BA1081" t="s">
        <v>61</v>
      </c>
      <c r="BB1081" t="s">
        <v>61</v>
      </c>
      <c r="BC1081" t="s">
        <v>61</v>
      </c>
      <c r="BD1081" t="s">
        <v>61</v>
      </c>
      <c r="BE1081" t="s">
        <v>61</v>
      </c>
      <c r="BF1081" t="s">
        <v>61</v>
      </c>
    </row>
    <row r="1082" spans="1:58">
      <c r="A1082" t="s">
        <v>58</v>
      </c>
      <c r="B1082" t="s">
        <v>8965</v>
      </c>
      <c r="C1082" t="s">
        <v>8966</v>
      </c>
      <c r="D1082" t="s">
        <v>235</v>
      </c>
      <c r="E1082" t="s">
        <v>236</v>
      </c>
      <c r="F1082">
        <v>1985</v>
      </c>
      <c r="G1082" t="s">
        <v>61</v>
      </c>
      <c r="H1082">
        <v>25</v>
      </c>
      <c r="I1082">
        <v>6</v>
      </c>
      <c r="J1082">
        <v>45</v>
      </c>
      <c r="K1082">
        <v>48</v>
      </c>
      <c r="L1082" t="s">
        <v>8908</v>
      </c>
      <c r="M1082" t="s">
        <v>8967</v>
      </c>
      <c r="N1082" t="s">
        <v>8968</v>
      </c>
      <c r="O1082" t="s">
        <v>61</v>
      </c>
      <c r="Q1082" t="s">
        <v>61</v>
      </c>
      <c r="R1082" t="s">
        <v>61</v>
      </c>
      <c r="S1082" t="s">
        <v>61</v>
      </c>
      <c r="T1082" t="s">
        <v>61</v>
      </c>
      <c r="X1082" t="s">
        <v>61</v>
      </c>
      <c r="Y1082" t="s">
        <v>241</v>
      </c>
      <c r="Z1082" t="s">
        <v>61</v>
      </c>
      <c r="AA1082" t="s">
        <v>61</v>
      </c>
      <c r="AB1082">
        <v>1985183309</v>
      </c>
      <c r="AC1082" t="s">
        <v>67</v>
      </c>
      <c r="AD1082" t="s">
        <v>61</v>
      </c>
      <c r="AE1082" t="s">
        <v>61</v>
      </c>
      <c r="AF1082" t="s">
        <v>61</v>
      </c>
      <c r="AG1082" t="s">
        <v>8969</v>
      </c>
      <c r="AH1082" t="s">
        <v>61</v>
      </c>
      <c r="AI1082" t="s">
        <v>61</v>
      </c>
      <c r="AJ1082" t="s">
        <v>61</v>
      </c>
      <c r="AK1082" t="s">
        <v>61</v>
      </c>
      <c r="AL1082" t="s">
        <v>61</v>
      </c>
      <c r="AM1082" t="s">
        <v>8970</v>
      </c>
      <c r="AN1082" t="s">
        <v>61</v>
      </c>
      <c r="AO1082" t="s">
        <v>61</v>
      </c>
      <c r="AP1082" t="s">
        <v>61</v>
      </c>
      <c r="AQ1082" t="s">
        <v>61</v>
      </c>
      <c r="AR1082" t="s">
        <v>61</v>
      </c>
      <c r="AS1082" t="s">
        <v>61</v>
      </c>
      <c r="AT1082" t="s">
        <v>61</v>
      </c>
      <c r="AU1082" t="s">
        <v>61</v>
      </c>
      <c r="AV1082" t="s">
        <v>61</v>
      </c>
      <c r="AW1082" t="s">
        <v>61</v>
      </c>
      <c r="AX1082" t="s">
        <v>61</v>
      </c>
      <c r="AY1082" t="s">
        <v>61</v>
      </c>
      <c r="AZ1082" t="s">
        <v>61</v>
      </c>
      <c r="BA1082" t="s">
        <v>61</v>
      </c>
      <c r="BB1082" t="s">
        <v>61</v>
      </c>
      <c r="BC1082" t="s">
        <v>61</v>
      </c>
      <c r="BD1082" t="s">
        <v>61</v>
      </c>
      <c r="BE1082" t="s">
        <v>61</v>
      </c>
      <c r="BF1082" t="s">
        <v>61</v>
      </c>
    </row>
    <row r="1083" spans="1:58">
      <c r="A1083" t="s">
        <v>58</v>
      </c>
      <c r="B1083" t="s">
        <v>8971</v>
      </c>
      <c r="C1083" t="s">
        <v>8972</v>
      </c>
      <c r="D1083" t="s">
        <v>428</v>
      </c>
      <c r="E1083" t="s">
        <v>61</v>
      </c>
      <c r="F1083">
        <v>2013</v>
      </c>
      <c r="G1083" t="s">
        <v>457</v>
      </c>
      <c r="H1083">
        <v>26</v>
      </c>
      <c r="I1083">
        <v>3</v>
      </c>
      <c r="J1083">
        <v>337</v>
      </c>
      <c r="K1083" t="s">
        <v>61</v>
      </c>
      <c r="L1083" t="s">
        <v>8973</v>
      </c>
      <c r="M1083" t="s">
        <v>8974</v>
      </c>
      <c r="N1083" t="s">
        <v>8975</v>
      </c>
      <c r="O1083" t="s">
        <v>61</v>
      </c>
      <c r="Q1083" t="s">
        <v>61</v>
      </c>
      <c r="R1083" t="s">
        <v>61</v>
      </c>
      <c r="S1083" t="s">
        <v>61</v>
      </c>
      <c r="T1083" t="s">
        <v>61</v>
      </c>
      <c r="X1083" t="s">
        <v>61</v>
      </c>
      <c r="Y1083" t="s">
        <v>433</v>
      </c>
      <c r="Z1083" t="s">
        <v>61</v>
      </c>
      <c r="AA1083" t="s">
        <v>61</v>
      </c>
      <c r="AB1083" t="s">
        <v>61</v>
      </c>
      <c r="AC1083" t="s">
        <v>67</v>
      </c>
      <c r="AD1083" t="s">
        <v>61</v>
      </c>
      <c r="AE1083" t="s">
        <v>61</v>
      </c>
      <c r="AF1083" t="s">
        <v>61</v>
      </c>
      <c r="AG1083" t="s">
        <v>61</v>
      </c>
      <c r="AH1083" t="s">
        <v>61</v>
      </c>
      <c r="AI1083" t="s">
        <v>61</v>
      </c>
      <c r="AJ1083" t="s">
        <v>61</v>
      </c>
      <c r="AK1083" t="s">
        <v>61</v>
      </c>
      <c r="AL1083" t="s">
        <v>61</v>
      </c>
      <c r="AM1083" t="s">
        <v>8972</v>
      </c>
      <c r="AN1083" t="s">
        <v>61</v>
      </c>
      <c r="AO1083" t="s">
        <v>61</v>
      </c>
      <c r="AP1083" t="s">
        <v>61</v>
      </c>
      <c r="AQ1083" t="s">
        <v>61</v>
      </c>
      <c r="AR1083" t="s">
        <v>61</v>
      </c>
      <c r="AS1083" t="s">
        <v>61</v>
      </c>
      <c r="AT1083" t="s">
        <v>61</v>
      </c>
      <c r="AU1083" t="s">
        <v>61</v>
      </c>
      <c r="AV1083" t="s">
        <v>61</v>
      </c>
      <c r="AW1083" t="s">
        <v>61</v>
      </c>
      <c r="AX1083" t="s">
        <v>61</v>
      </c>
      <c r="AY1083" t="s">
        <v>61</v>
      </c>
      <c r="AZ1083" t="s">
        <v>61</v>
      </c>
      <c r="BA1083" t="s">
        <v>61</v>
      </c>
      <c r="BB1083" t="s">
        <v>61</v>
      </c>
      <c r="BC1083" t="s">
        <v>61</v>
      </c>
      <c r="BD1083" t="s">
        <v>61</v>
      </c>
      <c r="BE1083" t="s">
        <v>61</v>
      </c>
      <c r="BF1083" t="s">
        <v>61</v>
      </c>
    </row>
    <row r="1084" spans="1:58">
      <c r="A1084" t="s">
        <v>58</v>
      </c>
      <c r="B1084" t="s">
        <v>8976</v>
      </c>
      <c r="C1084" t="s">
        <v>8977</v>
      </c>
      <c r="D1084" t="s">
        <v>428</v>
      </c>
      <c r="E1084" t="s">
        <v>61</v>
      </c>
      <c r="F1084">
        <v>2010</v>
      </c>
      <c r="G1084" t="s">
        <v>429</v>
      </c>
      <c r="H1084">
        <v>23</v>
      </c>
      <c r="I1084">
        <v>2</v>
      </c>
      <c r="J1084">
        <v>175</v>
      </c>
      <c r="K1084" t="s">
        <v>61</v>
      </c>
      <c r="L1084" t="s">
        <v>8978</v>
      </c>
      <c r="M1084" t="s">
        <v>8979</v>
      </c>
      <c r="N1084" t="s">
        <v>8980</v>
      </c>
      <c r="O1084" t="s">
        <v>61</v>
      </c>
      <c r="Q1084" t="s">
        <v>61</v>
      </c>
      <c r="R1084" t="s">
        <v>61</v>
      </c>
      <c r="S1084" t="s">
        <v>61</v>
      </c>
      <c r="T1084" t="s">
        <v>61</v>
      </c>
      <c r="X1084" t="s">
        <v>61</v>
      </c>
      <c r="Y1084" t="s">
        <v>433</v>
      </c>
      <c r="Z1084" t="s">
        <v>61</v>
      </c>
      <c r="AA1084" t="s">
        <v>61</v>
      </c>
      <c r="AB1084" t="s">
        <v>61</v>
      </c>
      <c r="AC1084" t="s">
        <v>67</v>
      </c>
      <c r="AD1084" t="s">
        <v>61</v>
      </c>
      <c r="AE1084" t="s">
        <v>61</v>
      </c>
      <c r="AF1084" t="s">
        <v>61</v>
      </c>
      <c r="AG1084" t="s">
        <v>61</v>
      </c>
      <c r="AH1084" t="s">
        <v>61</v>
      </c>
      <c r="AI1084" t="s">
        <v>61</v>
      </c>
      <c r="AJ1084" t="s">
        <v>61</v>
      </c>
      <c r="AK1084" t="s">
        <v>61</v>
      </c>
      <c r="AL1084" t="s">
        <v>61</v>
      </c>
      <c r="AM1084" t="s">
        <v>8977</v>
      </c>
      <c r="AN1084" t="s">
        <v>61</v>
      </c>
      <c r="AO1084" t="s">
        <v>61</v>
      </c>
      <c r="AP1084" t="s">
        <v>61</v>
      </c>
      <c r="AQ1084" t="s">
        <v>61</v>
      </c>
      <c r="AR1084" t="s">
        <v>61</v>
      </c>
      <c r="AS1084" t="s">
        <v>61</v>
      </c>
      <c r="AT1084" t="s">
        <v>61</v>
      </c>
      <c r="AU1084" t="s">
        <v>61</v>
      </c>
      <c r="AV1084" t="s">
        <v>61</v>
      </c>
      <c r="AW1084" t="s">
        <v>61</v>
      </c>
      <c r="AX1084" t="s">
        <v>61</v>
      </c>
      <c r="AY1084" t="s">
        <v>61</v>
      </c>
      <c r="AZ1084" t="s">
        <v>61</v>
      </c>
      <c r="BA1084" t="s">
        <v>61</v>
      </c>
      <c r="BB1084" t="s">
        <v>61</v>
      </c>
      <c r="BC1084" t="s">
        <v>61</v>
      </c>
      <c r="BD1084" t="s">
        <v>61</v>
      </c>
      <c r="BE1084" t="s">
        <v>61</v>
      </c>
      <c r="BF1084" t="s">
        <v>61</v>
      </c>
    </row>
    <row r="1085" spans="1:58">
      <c r="A1085" t="s">
        <v>58</v>
      </c>
      <c r="B1085" t="s">
        <v>8981</v>
      </c>
      <c r="C1085" t="s">
        <v>8982</v>
      </c>
      <c r="D1085" t="s">
        <v>8983</v>
      </c>
      <c r="E1085" t="s">
        <v>61</v>
      </c>
      <c r="F1085">
        <v>2006</v>
      </c>
      <c r="G1085" t="s">
        <v>391</v>
      </c>
      <c r="H1085">
        <v>11</v>
      </c>
      <c r="I1085">
        <v>2</v>
      </c>
      <c r="J1085">
        <v>75</v>
      </c>
      <c r="K1085">
        <v>81</v>
      </c>
      <c r="L1085" t="s">
        <v>61</v>
      </c>
      <c r="M1085" t="s">
        <v>8984</v>
      </c>
      <c r="N1085" t="s">
        <v>8985</v>
      </c>
      <c r="O1085" t="s">
        <v>61</v>
      </c>
      <c r="Q1085" t="s">
        <v>61</v>
      </c>
      <c r="R1085" t="s">
        <v>61</v>
      </c>
      <c r="S1085" t="s">
        <v>61</v>
      </c>
      <c r="T1085" t="s">
        <v>61</v>
      </c>
      <c r="X1085" t="s">
        <v>61</v>
      </c>
      <c r="Y1085" t="s">
        <v>8986</v>
      </c>
      <c r="Z1085" t="s">
        <v>61</v>
      </c>
      <c r="AA1085" t="s">
        <v>8987</v>
      </c>
      <c r="AB1085">
        <v>21432366</v>
      </c>
      <c r="AC1085" t="s">
        <v>67</v>
      </c>
      <c r="AD1085" t="s">
        <v>61</v>
      </c>
      <c r="AE1085" t="s">
        <v>61</v>
      </c>
      <c r="AF1085" t="s">
        <v>61</v>
      </c>
      <c r="AG1085" t="s">
        <v>8988</v>
      </c>
      <c r="AH1085" t="s">
        <v>61</v>
      </c>
      <c r="AI1085" t="s">
        <v>8989</v>
      </c>
      <c r="AJ1085" t="s">
        <v>61</v>
      </c>
      <c r="AK1085" t="s">
        <v>61</v>
      </c>
      <c r="AL1085" t="s">
        <v>61</v>
      </c>
      <c r="AM1085" t="s">
        <v>8990</v>
      </c>
      <c r="AN1085" t="s">
        <v>61</v>
      </c>
      <c r="AO1085" t="s">
        <v>61</v>
      </c>
      <c r="AP1085" t="s">
        <v>61</v>
      </c>
      <c r="AQ1085" t="s">
        <v>61</v>
      </c>
      <c r="AR1085" t="s">
        <v>61</v>
      </c>
      <c r="AS1085" t="s">
        <v>61</v>
      </c>
      <c r="AT1085" t="s">
        <v>61</v>
      </c>
      <c r="AU1085" t="s">
        <v>61</v>
      </c>
      <c r="AV1085" t="s">
        <v>61</v>
      </c>
      <c r="AW1085" t="s">
        <v>61</v>
      </c>
      <c r="AX1085" t="s">
        <v>61</v>
      </c>
      <c r="AY1085" t="s">
        <v>61</v>
      </c>
      <c r="AZ1085" t="s">
        <v>61</v>
      </c>
      <c r="BA1085" t="s">
        <v>61</v>
      </c>
      <c r="BB1085" t="s">
        <v>61</v>
      </c>
      <c r="BC1085" t="s">
        <v>61</v>
      </c>
      <c r="BD1085" t="s">
        <v>61</v>
      </c>
      <c r="BE1085" t="s">
        <v>61</v>
      </c>
      <c r="BF1085" t="s">
        <v>61</v>
      </c>
    </row>
    <row r="1086" spans="1:58">
      <c r="A1086" t="s">
        <v>58</v>
      </c>
      <c r="B1086" t="s">
        <v>8991</v>
      </c>
      <c r="C1086" t="s">
        <v>8992</v>
      </c>
      <c r="D1086" t="s">
        <v>1193</v>
      </c>
      <c r="E1086" t="s">
        <v>61</v>
      </c>
      <c r="F1086">
        <v>2007</v>
      </c>
      <c r="G1086" t="s">
        <v>61</v>
      </c>
      <c r="H1086">
        <v>6</v>
      </c>
      <c r="I1086">
        <v>3</v>
      </c>
      <c r="J1086">
        <v>91</v>
      </c>
      <c r="K1086" t="s">
        <v>8993</v>
      </c>
      <c r="L1086" t="s">
        <v>8994</v>
      </c>
      <c r="M1086" t="s">
        <v>8995</v>
      </c>
      <c r="N1086" t="s">
        <v>8996</v>
      </c>
      <c r="O1086" t="s">
        <v>61</v>
      </c>
      <c r="Q1086" t="s">
        <v>61</v>
      </c>
      <c r="R1086" t="s">
        <v>61</v>
      </c>
      <c r="S1086" t="s">
        <v>61</v>
      </c>
      <c r="T1086" t="s">
        <v>61</v>
      </c>
      <c r="X1086" t="s">
        <v>61</v>
      </c>
      <c r="Y1086" t="s">
        <v>1198</v>
      </c>
      <c r="Z1086" t="s">
        <v>61</v>
      </c>
      <c r="AA1086" t="s">
        <v>8997</v>
      </c>
      <c r="AB1086">
        <v>105940004</v>
      </c>
      <c r="AC1086" t="s">
        <v>67</v>
      </c>
      <c r="AD1086" t="s">
        <v>61</v>
      </c>
      <c r="AE1086" t="s">
        <v>61</v>
      </c>
      <c r="AF1086" t="s">
        <v>61</v>
      </c>
      <c r="AG1086" t="s">
        <v>8998</v>
      </c>
      <c r="AH1086" t="s">
        <v>61</v>
      </c>
      <c r="AI1086" t="s">
        <v>61</v>
      </c>
      <c r="AJ1086" t="s">
        <v>61</v>
      </c>
      <c r="AK1086" t="s">
        <v>61</v>
      </c>
      <c r="AL1086" t="s">
        <v>61</v>
      </c>
      <c r="AM1086" t="s">
        <v>8999</v>
      </c>
      <c r="AN1086" t="s">
        <v>61</v>
      </c>
      <c r="AO1086" t="s">
        <v>61</v>
      </c>
      <c r="AP1086" t="s">
        <v>61</v>
      </c>
      <c r="AQ1086" t="s">
        <v>61</v>
      </c>
      <c r="AR1086" t="s">
        <v>61</v>
      </c>
      <c r="AS1086" t="s">
        <v>61</v>
      </c>
      <c r="AT1086" t="s">
        <v>61</v>
      </c>
      <c r="AU1086" t="s">
        <v>61</v>
      </c>
      <c r="AV1086" t="s">
        <v>61</v>
      </c>
      <c r="AW1086" t="s">
        <v>61</v>
      </c>
      <c r="AX1086" t="s">
        <v>61</v>
      </c>
      <c r="AY1086" t="s">
        <v>61</v>
      </c>
      <c r="AZ1086" t="s">
        <v>61</v>
      </c>
      <c r="BA1086" t="s">
        <v>61</v>
      </c>
      <c r="BB1086" t="s">
        <v>61</v>
      </c>
      <c r="BC1086" t="s">
        <v>61</v>
      </c>
      <c r="BD1086" t="s">
        <v>61</v>
      </c>
      <c r="BE1086" t="s">
        <v>61</v>
      </c>
      <c r="BF1086" t="s">
        <v>61</v>
      </c>
    </row>
    <row r="1087" spans="1:58">
      <c r="A1087" t="s">
        <v>58</v>
      </c>
      <c r="B1087" t="s">
        <v>9000</v>
      </c>
      <c r="C1087" t="s">
        <v>9001</v>
      </c>
      <c r="D1087" t="s">
        <v>9002</v>
      </c>
      <c r="E1087" t="s">
        <v>61</v>
      </c>
      <c r="F1087">
        <v>2014</v>
      </c>
      <c r="G1087" t="s">
        <v>61</v>
      </c>
      <c r="H1087">
        <v>10</v>
      </c>
      <c r="I1087" t="s">
        <v>61</v>
      </c>
      <c r="J1087">
        <v>1781</v>
      </c>
      <c r="K1087">
        <v>1791</v>
      </c>
      <c r="L1087" t="s">
        <v>61</v>
      </c>
      <c r="M1087" t="s">
        <v>9003</v>
      </c>
      <c r="N1087" t="s">
        <v>9004</v>
      </c>
      <c r="O1087" t="s">
        <v>61</v>
      </c>
      <c r="Q1087" t="s">
        <v>61</v>
      </c>
      <c r="R1087" t="s">
        <v>61</v>
      </c>
      <c r="S1087" t="s">
        <v>61</v>
      </c>
      <c r="T1087" t="s">
        <v>61</v>
      </c>
      <c r="X1087" t="s">
        <v>61</v>
      </c>
      <c r="Y1087" t="s">
        <v>9005</v>
      </c>
      <c r="Z1087" t="s">
        <v>61</v>
      </c>
      <c r="AA1087" t="s">
        <v>9006</v>
      </c>
      <c r="AB1087">
        <v>25298735</v>
      </c>
      <c r="AC1087" t="s">
        <v>67</v>
      </c>
      <c r="AD1087" t="s">
        <v>61</v>
      </c>
      <c r="AE1087" t="s">
        <v>61</v>
      </c>
      <c r="AF1087" t="s">
        <v>61</v>
      </c>
      <c r="AG1087" t="s">
        <v>9007</v>
      </c>
      <c r="AH1087" t="s">
        <v>61</v>
      </c>
      <c r="AI1087" t="s">
        <v>9008</v>
      </c>
      <c r="AJ1087" t="s">
        <v>61</v>
      </c>
      <c r="AK1087" t="s">
        <v>61</v>
      </c>
      <c r="AL1087" t="s">
        <v>61</v>
      </c>
      <c r="AM1087" t="s">
        <v>9009</v>
      </c>
      <c r="AN1087" t="s">
        <v>61</v>
      </c>
      <c r="AO1087" t="s">
        <v>61</v>
      </c>
      <c r="AP1087" t="s">
        <v>61</v>
      </c>
      <c r="AQ1087" t="s">
        <v>61</v>
      </c>
      <c r="AR1087" t="s">
        <v>61</v>
      </c>
      <c r="AS1087" t="s">
        <v>61</v>
      </c>
      <c r="AT1087" t="s">
        <v>61</v>
      </c>
      <c r="AU1087" t="s">
        <v>61</v>
      </c>
      <c r="AV1087" t="s">
        <v>61</v>
      </c>
      <c r="AW1087" t="s">
        <v>61</v>
      </c>
      <c r="AX1087" t="s">
        <v>61</v>
      </c>
      <c r="AY1087" t="s">
        <v>61</v>
      </c>
      <c r="AZ1087" t="s">
        <v>61</v>
      </c>
      <c r="BA1087" t="s">
        <v>61</v>
      </c>
      <c r="BB1087" t="s">
        <v>61</v>
      </c>
      <c r="BC1087" t="s">
        <v>61</v>
      </c>
      <c r="BD1087" t="s">
        <v>61</v>
      </c>
      <c r="BE1087" t="s">
        <v>61</v>
      </c>
      <c r="BF1087" t="s">
        <v>61</v>
      </c>
    </row>
    <row r="1088" spans="1:58">
      <c r="A1088" t="s">
        <v>58</v>
      </c>
      <c r="B1088" t="s">
        <v>9010</v>
      </c>
      <c r="C1088" t="s">
        <v>9011</v>
      </c>
      <c r="D1088" t="s">
        <v>862</v>
      </c>
      <c r="E1088" t="s">
        <v>61</v>
      </c>
      <c r="F1088">
        <v>2012</v>
      </c>
      <c r="G1088" t="s">
        <v>645</v>
      </c>
      <c r="H1088">
        <v>27</v>
      </c>
      <c r="I1088">
        <v>10</v>
      </c>
      <c r="J1088">
        <v>707</v>
      </c>
      <c r="K1088" t="s">
        <v>61</v>
      </c>
      <c r="L1088" t="s">
        <v>9012</v>
      </c>
      <c r="M1088" t="s">
        <v>9013</v>
      </c>
      <c r="N1088" t="s">
        <v>9014</v>
      </c>
      <c r="O1088" t="s">
        <v>61</v>
      </c>
      <c r="Q1088" t="s">
        <v>61</v>
      </c>
      <c r="R1088" t="s">
        <v>61</v>
      </c>
      <c r="S1088" t="s">
        <v>61</v>
      </c>
      <c r="T1088" t="s">
        <v>61</v>
      </c>
      <c r="X1088" t="s">
        <v>61</v>
      </c>
      <c r="Y1088" t="s">
        <v>866</v>
      </c>
      <c r="Z1088" t="s">
        <v>61</v>
      </c>
      <c r="AA1088" t="s">
        <v>61</v>
      </c>
      <c r="AB1088" t="s">
        <v>61</v>
      </c>
      <c r="AC1088" t="s">
        <v>67</v>
      </c>
      <c r="AD1088" t="s">
        <v>61</v>
      </c>
      <c r="AE1088" t="s">
        <v>61</v>
      </c>
      <c r="AF1088" t="s">
        <v>61</v>
      </c>
      <c r="AG1088" t="s">
        <v>61</v>
      </c>
      <c r="AH1088" t="s">
        <v>61</v>
      </c>
      <c r="AI1088" t="s">
        <v>61</v>
      </c>
      <c r="AJ1088" t="s">
        <v>61</v>
      </c>
      <c r="AK1088" t="s">
        <v>61</v>
      </c>
      <c r="AL1088" t="s">
        <v>61</v>
      </c>
      <c r="AM1088" t="s">
        <v>9011</v>
      </c>
      <c r="AN1088" t="s">
        <v>61</v>
      </c>
      <c r="AO1088" t="s">
        <v>61</v>
      </c>
      <c r="AP1088" t="s">
        <v>61</v>
      </c>
      <c r="AQ1088" t="s">
        <v>61</v>
      </c>
      <c r="AR1088" t="s">
        <v>61</v>
      </c>
      <c r="AS1088" t="s">
        <v>61</v>
      </c>
      <c r="AT1088" t="s">
        <v>61</v>
      </c>
      <c r="AU1088" t="s">
        <v>61</v>
      </c>
      <c r="AV1088" t="s">
        <v>61</v>
      </c>
      <c r="AW1088" t="s">
        <v>61</v>
      </c>
      <c r="AX1088" t="s">
        <v>61</v>
      </c>
      <c r="AY1088" t="s">
        <v>61</v>
      </c>
      <c r="AZ1088" t="s">
        <v>61</v>
      </c>
      <c r="BA1088" t="s">
        <v>61</v>
      </c>
      <c r="BB1088" t="s">
        <v>61</v>
      </c>
      <c r="BC1088" t="s">
        <v>61</v>
      </c>
      <c r="BD1088" t="s">
        <v>61</v>
      </c>
      <c r="BE1088" t="s">
        <v>61</v>
      </c>
      <c r="BF1088" t="s">
        <v>61</v>
      </c>
    </row>
    <row r="1089" spans="1:58">
      <c r="A1089" t="s">
        <v>58</v>
      </c>
      <c r="B1089" t="s">
        <v>9015</v>
      </c>
      <c r="C1089" t="s">
        <v>9016</v>
      </c>
      <c r="D1089" t="s">
        <v>362</v>
      </c>
      <c r="E1089" t="s">
        <v>61</v>
      </c>
      <c r="F1089">
        <v>1992</v>
      </c>
      <c r="G1089" t="s">
        <v>273</v>
      </c>
      <c r="H1089">
        <v>16</v>
      </c>
      <c r="I1089">
        <v>1</v>
      </c>
      <c r="J1089">
        <v>93</v>
      </c>
      <c r="K1089">
        <v>97</v>
      </c>
      <c r="L1089" t="s">
        <v>9017</v>
      </c>
      <c r="M1089" t="s">
        <v>9018</v>
      </c>
      <c r="N1089" t="s">
        <v>9019</v>
      </c>
      <c r="O1089" t="s">
        <v>61</v>
      </c>
      <c r="Q1089" t="s">
        <v>61</v>
      </c>
      <c r="R1089" t="s">
        <v>61</v>
      </c>
      <c r="S1089" t="s">
        <v>61</v>
      </c>
      <c r="T1089" t="s">
        <v>61</v>
      </c>
      <c r="X1089" t="s">
        <v>61</v>
      </c>
      <c r="Y1089" t="s">
        <v>367</v>
      </c>
      <c r="Z1089" t="s">
        <v>61</v>
      </c>
      <c r="AA1089" t="s">
        <v>9020</v>
      </c>
      <c r="AB1089">
        <v>1558308</v>
      </c>
      <c r="AC1089" t="s">
        <v>67</v>
      </c>
      <c r="AD1089" t="s">
        <v>61</v>
      </c>
      <c r="AE1089" t="s">
        <v>61</v>
      </c>
      <c r="AF1089" t="s">
        <v>61</v>
      </c>
      <c r="AG1089" t="s">
        <v>9021</v>
      </c>
      <c r="AH1089" t="s">
        <v>61</v>
      </c>
      <c r="AI1089" t="s">
        <v>61</v>
      </c>
      <c r="AJ1089" t="s">
        <v>61</v>
      </c>
      <c r="AK1089" t="s">
        <v>61</v>
      </c>
      <c r="AL1089" t="s">
        <v>61</v>
      </c>
      <c r="AM1089" t="s">
        <v>9022</v>
      </c>
      <c r="AN1089" t="s">
        <v>61</v>
      </c>
      <c r="AO1089" t="s">
        <v>61</v>
      </c>
      <c r="AP1089" t="s">
        <v>61</v>
      </c>
      <c r="AQ1089" t="s">
        <v>61</v>
      </c>
      <c r="AR1089" t="s">
        <v>61</v>
      </c>
      <c r="AS1089" t="s">
        <v>61</v>
      </c>
      <c r="AT1089" t="s">
        <v>61</v>
      </c>
      <c r="AU1089" t="s">
        <v>61</v>
      </c>
      <c r="AV1089" t="s">
        <v>61</v>
      </c>
      <c r="AW1089" t="s">
        <v>61</v>
      </c>
      <c r="AX1089" t="s">
        <v>61</v>
      </c>
      <c r="AY1089" t="s">
        <v>61</v>
      </c>
      <c r="AZ1089" t="s">
        <v>61</v>
      </c>
      <c r="BA1089" t="s">
        <v>61</v>
      </c>
      <c r="BB1089" t="s">
        <v>61</v>
      </c>
      <c r="BC1089" t="s">
        <v>61</v>
      </c>
      <c r="BD1089" t="s">
        <v>61</v>
      </c>
      <c r="BE1089" t="s">
        <v>61</v>
      </c>
      <c r="BF1089" t="s">
        <v>61</v>
      </c>
    </row>
    <row r="1090" spans="1:58">
      <c r="A1090" t="s">
        <v>58</v>
      </c>
      <c r="B1090" t="s">
        <v>9023</v>
      </c>
      <c r="C1090" t="s">
        <v>9024</v>
      </c>
      <c r="D1090" t="s">
        <v>475</v>
      </c>
      <c r="E1090" t="s">
        <v>61</v>
      </c>
      <c r="F1090">
        <v>2012</v>
      </c>
      <c r="G1090" t="s">
        <v>381</v>
      </c>
      <c r="H1090">
        <v>34</v>
      </c>
      <c r="I1090">
        <v>1</v>
      </c>
      <c r="J1090">
        <v>193</v>
      </c>
      <c r="K1090" t="s">
        <v>61</v>
      </c>
      <c r="L1090" t="s">
        <v>9025</v>
      </c>
      <c r="M1090" t="s">
        <v>9026</v>
      </c>
      <c r="N1090" t="s">
        <v>9027</v>
      </c>
      <c r="O1090" t="s">
        <v>61</v>
      </c>
      <c r="Q1090" t="s">
        <v>61</v>
      </c>
      <c r="R1090" t="s">
        <v>61</v>
      </c>
      <c r="S1090" t="s">
        <v>61</v>
      </c>
      <c r="T1090" t="s">
        <v>61</v>
      </c>
      <c r="X1090" t="s">
        <v>61</v>
      </c>
      <c r="Y1090" t="s">
        <v>308</v>
      </c>
      <c r="Z1090" t="s">
        <v>61</v>
      </c>
      <c r="AA1090" t="s">
        <v>61</v>
      </c>
      <c r="AB1090" t="s">
        <v>61</v>
      </c>
      <c r="AC1090" t="s">
        <v>67</v>
      </c>
      <c r="AD1090" t="s">
        <v>61</v>
      </c>
      <c r="AE1090" t="s">
        <v>61</v>
      </c>
      <c r="AF1090" t="s">
        <v>61</v>
      </c>
      <c r="AG1090" t="s">
        <v>61</v>
      </c>
      <c r="AH1090" t="s">
        <v>61</v>
      </c>
      <c r="AI1090" t="s">
        <v>61</v>
      </c>
      <c r="AJ1090" t="s">
        <v>61</v>
      </c>
      <c r="AK1090" t="s">
        <v>61</v>
      </c>
      <c r="AL1090" t="s">
        <v>61</v>
      </c>
      <c r="AM1090" t="s">
        <v>9024</v>
      </c>
      <c r="AN1090" t="s">
        <v>61</v>
      </c>
      <c r="AO1090" t="s">
        <v>61</v>
      </c>
      <c r="AP1090" t="s">
        <v>61</v>
      </c>
      <c r="AQ1090" t="s">
        <v>61</v>
      </c>
      <c r="AR1090" t="s">
        <v>61</v>
      </c>
      <c r="AS1090" t="s">
        <v>61</v>
      </c>
      <c r="AT1090" t="s">
        <v>61</v>
      </c>
      <c r="AU1090" t="s">
        <v>61</v>
      </c>
      <c r="AV1090" t="s">
        <v>61</v>
      </c>
      <c r="AW1090" t="s">
        <v>61</v>
      </c>
      <c r="AX1090" t="s">
        <v>61</v>
      </c>
      <c r="AY1090" t="s">
        <v>61</v>
      </c>
      <c r="AZ1090" t="s">
        <v>61</v>
      </c>
      <c r="BA1090" t="s">
        <v>61</v>
      </c>
      <c r="BB1090" t="s">
        <v>61</v>
      </c>
      <c r="BC1090" t="s">
        <v>61</v>
      </c>
      <c r="BD1090" t="s">
        <v>61</v>
      </c>
      <c r="BE1090" t="s">
        <v>61</v>
      </c>
      <c r="BF1090" t="s">
        <v>61</v>
      </c>
    </row>
    <row r="1091" spans="1:58">
      <c r="A1091" t="s">
        <v>58</v>
      </c>
      <c r="B1091" t="s">
        <v>9028</v>
      </c>
      <c r="C1091" t="s">
        <v>9029</v>
      </c>
      <c r="D1091" t="s">
        <v>4199</v>
      </c>
      <c r="E1091" t="s">
        <v>61</v>
      </c>
      <c r="F1091">
        <v>2016</v>
      </c>
      <c r="G1091" t="s">
        <v>273</v>
      </c>
      <c r="H1091">
        <v>31</v>
      </c>
      <c r="I1091">
        <v>2</v>
      </c>
      <c r="J1091">
        <v>172</v>
      </c>
      <c r="K1091">
        <v>181</v>
      </c>
      <c r="L1091" t="s">
        <v>61</v>
      </c>
      <c r="M1091" t="s">
        <v>9030</v>
      </c>
      <c r="N1091" t="s">
        <v>9031</v>
      </c>
      <c r="O1091" t="s">
        <v>61</v>
      </c>
      <c r="Q1091" t="s">
        <v>61</v>
      </c>
      <c r="R1091" t="s">
        <v>61</v>
      </c>
      <c r="S1091" t="s">
        <v>61</v>
      </c>
      <c r="T1091" t="s">
        <v>61</v>
      </c>
      <c r="X1091" t="s">
        <v>61</v>
      </c>
      <c r="Y1091" t="s">
        <v>4203</v>
      </c>
      <c r="Z1091" t="s">
        <v>61</v>
      </c>
      <c r="AA1091" t="s">
        <v>9032</v>
      </c>
      <c r="AB1091">
        <v>26391030</v>
      </c>
      <c r="AC1091" t="s">
        <v>67</v>
      </c>
      <c r="AD1091" t="s">
        <v>61</v>
      </c>
      <c r="AE1091" t="s">
        <v>61</v>
      </c>
      <c r="AF1091" t="s">
        <v>61</v>
      </c>
      <c r="AG1091" t="s">
        <v>9033</v>
      </c>
      <c r="AH1091" t="s">
        <v>61</v>
      </c>
      <c r="AI1091" t="s">
        <v>9034</v>
      </c>
      <c r="AJ1091" t="s">
        <v>61</v>
      </c>
      <c r="AK1091" t="s">
        <v>61</v>
      </c>
      <c r="AL1091" t="s">
        <v>61</v>
      </c>
      <c r="AM1091" t="s">
        <v>9035</v>
      </c>
      <c r="AN1091" t="s">
        <v>61</v>
      </c>
      <c r="AO1091" t="s">
        <v>61</v>
      </c>
      <c r="AP1091" t="s">
        <v>61</v>
      </c>
      <c r="AQ1091" t="s">
        <v>61</v>
      </c>
      <c r="AR1091" t="s">
        <v>61</v>
      </c>
      <c r="AS1091" t="s">
        <v>61</v>
      </c>
      <c r="AT1091" t="s">
        <v>61</v>
      </c>
      <c r="AU1091" t="s">
        <v>61</v>
      </c>
      <c r="AV1091" t="s">
        <v>61</v>
      </c>
      <c r="AW1091" t="s">
        <v>61</v>
      </c>
      <c r="AX1091" t="s">
        <v>61</v>
      </c>
      <c r="AY1091" t="s">
        <v>61</v>
      </c>
      <c r="AZ1091" t="s">
        <v>61</v>
      </c>
      <c r="BA1091" t="s">
        <v>61</v>
      </c>
      <c r="BB1091" t="s">
        <v>61</v>
      </c>
      <c r="BC1091" t="s">
        <v>61</v>
      </c>
      <c r="BD1091" t="s">
        <v>61</v>
      </c>
      <c r="BE1091" t="s">
        <v>61</v>
      </c>
      <c r="BF1091" t="s">
        <v>61</v>
      </c>
    </row>
    <row r="1092" spans="1:58">
      <c r="A1092" t="s">
        <v>58</v>
      </c>
      <c r="B1092" t="s">
        <v>9036</v>
      </c>
      <c r="C1092" t="s">
        <v>9037</v>
      </c>
      <c r="D1092" t="s">
        <v>2979</v>
      </c>
      <c r="E1092" t="s">
        <v>61</v>
      </c>
      <c r="F1092">
        <v>2011</v>
      </c>
      <c r="G1092" t="s">
        <v>61</v>
      </c>
      <c r="H1092">
        <v>14</v>
      </c>
      <c r="I1092">
        <v>3</v>
      </c>
      <c r="J1092" t="s">
        <v>9038</v>
      </c>
      <c r="K1092" t="s">
        <v>61</v>
      </c>
      <c r="L1092" t="s">
        <v>9039</v>
      </c>
      <c r="M1092" t="s">
        <v>9040</v>
      </c>
      <c r="N1092" t="s">
        <v>9041</v>
      </c>
      <c r="O1092" t="s">
        <v>61</v>
      </c>
      <c r="Q1092" t="s">
        <v>61</v>
      </c>
      <c r="R1092" t="s">
        <v>61</v>
      </c>
      <c r="S1092" t="s">
        <v>61</v>
      </c>
      <c r="T1092" t="s">
        <v>61</v>
      </c>
      <c r="X1092" t="s">
        <v>61</v>
      </c>
      <c r="Y1092" t="s">
        <v>2985</v>
      </c>
      <c r="Z1092" t="s">
        <v>61</v>
      </c>
      <c r="AA1092" t="s">
        <v>61</v>
      </c>
      <c r="AB1092" t="s">
        <v>61</v>
      </c>
      <c r="AC1092" t="s">
        <v>67</v>
      </c>
      <c r="AD1092" t="s">
        <v>61</v>
      </c>
      <c r="AE1092" t="s">
        <v>61</v>
      </c>
      <c r="AF1092" t="s">
        <v>61</v>
      </c>
      <c r="AG1092" t="s">
        <v>61</v>
      </c>
      <c r="AH1092" t="s">
        <v>61</v>
      </c>
      <c r="AI1092" t="s">
        <v>61</v>
      </c>
      <c r="AJ1092" t="s">
        <v>61</v>
      </c>
      <c r="AK1092" t="s">
        <v>61</v>
      </c>
      <c r="AL1092" t="s">
        <v>61</v>
      </c>
      <c r="AM1092" t="s">
        <v>9037</v>
      </c>
      <c r="AN1092" t="s">
        <v>61</v>
      </c>
      <c r="AO1092" t="s">
        <v>61</v>
      </c>
      <c r="AP1092" t="s">
        <v>61</v>
      </c>
      <c r="AQ1092" t="s">
        <v>61</v>
      </c>
      <c r="AR1092" t="s">
        <v>61</v>
      </c>
      <c r="AS1092" t="s">
        <v>61</v>
      </c>
      <c r="AT1092" t="s">
        <v>61</v>
      </c>
      <c r="AU1092" t="s">
        <v>61</v>
      </c>
      <c r="AV1092" t="s">
        <v>61</v>
      </c>
      <c r="AW1092" t="s">
        <v>61</v>
      </c>
      <c r="AX1092" t="s">
        <v>61</v>
      </c>
      <c r="AY1092" t="s">
        <v>61</v>
      </c>
      <c r="AZ1092" t="s">
        <v>61</v>
      </c>
      <c r="BA1092" t="s">
        <v>61</v>
      </c>
      <c r="BB1092" t="s">
        <v>61</v>
      </c>
      <c r="BC1092" t="s">
        <v>61</v>
      </c>
      <c r="BD1092" t="s">
        <v>61</v>
      </c>
      <c r="BE1092" t="s">
        <v>61</v>
      </c>
      <c r="BF1092" t="s">
        <v>61</v>
      </c>
    </row>
    <row r="1093" spans="1:58">
      <c r="A1093" t="s">
        <v>58</v>
      </c>
      <c r="B1093" t="s">
        <v>9042</v>
      </c>
      <c r="C1093" t="s">
        <v>9043</v>
      </c>
      <c r="D1093" t="s">
        <v>9044</v>
      </c>
      <c r="E1093" t="s">
        <v>61</v>
      </c>
      <c r="F1093">
        <v>2011</v>
      </c>
      <c r="G1093" t="s">
        <v>61</v>
      </c>
      <c r="H1093">
        <v>18</v>
      </c>
      <c r="I1093">
        <v>3</v>
      </c>
      <c r="J1093" t="s">
        <v>9045</v>
      </c>
      <c r="K1093" t="s">
        <v>9046</v>
      </c>
      <c r="L1093" t="s">
        <v>9047</v>
      </c>
      <c r="M1093" t="s">
        <v>9048</v>
      </c>
      <c r="N1093" t="s">
        <v>9049</v>
      </c>
      <c r="O1093" t="s">
        <v>61</v>
      </c>
      <c r="Q1093" t="s">
        <v>61</v>
      </c>
      <c r="R1093" t="s">
        <v>61</v>
      </c>
      <c r="S1093" t="s">
        <v>61</v>
      </c>
      <c r="T1093" t="s">
        <v>61</v>
      </c>
      <c r="X1093" t="s">
        <v>61</v>
      </c>
      <c r="Y1093" t="s">
        <v>9050</v>
      </c>
      <c r="Z1093" t="s">
        <v>61</v>
      </c>
      <c r="AA1093" t="s">
        <v>61</v>
      </c>
      <c r="AB1093">
        <v>2012710441</v>
      </c>
      <c r="AC1093" t="s">
        <v>67</v>
      </c>
      <c r="AD1093" t="s">
        <v>61</v>
      </c>
      <c r="AE1093" t="s">
        <v>61</v>
      </c>
      <c r="AF1093" t="s">
        <v>61</v>
      </c>
      <c r="AG1093" t="s">
        <v>61</v>
      </c>
      <c r="AH1093" t="s">
        <v>61</v>
      </c>
      <c r="AI1093" t="s">
        <v>61</v>
      </c>
      <c r="AJ1093" t="s">
        <v>61</v>
      </c>
      <c r="AK1093" t="s">
        <v>61</v>
      </c>
      <c r="AL1093" t="s">
        <v>61</v>
      </c>
      <c r="AM1093" t="s">
        <v>9043</v>
      </c>
      <c r="AN1093" t="s">
        <v>61</v>
      </c>
      <c r="AO1093" t="s">
        <v>61</v>
      </c>
      <c r="AP1093" t="s">
        <v>61</v>
      </c>
      <c r="AQ1093" t="s">
        <v>61</v>
      </c>
      <c r="AR1093" t="s">
        <v>61</v>
      </c>
      <c r="AS1093" t="s">
        <v>61</v>
      </c>
      <c r="AT1093" t="s">
        <v>61</v>
      </c>
      <c r="AU1093" t="s">
        <v>61</v>
      </c>
      <c r="AV1093" t="s">
        <v>61</v>
      </c>
      <c r="AW1093" t="s">
        <v>61</v>
      </c>
      <c r="AX1093" t="s">
        <v>61</v>
      </c>
      <c r="AY1093" t="s">
        <v>61</v>
      </c>
      <c r="AZ1093" t="s">
        <v>61</v>
      </c>
      <c r="BA1093" t="s">
        <v>61</v>
      </c>
      <c r="BB1093" t="s">
        <v>61</v>
      </c>
      <c r="BC1093" t="s">
        <v>61</v>
      </c>
      <c r="BD1093" t="s">
        <v>61</v>
      </c>
      <c r="BE1093" t="s">
        <v>61</v>
      </c>
      <c r="BF1093" t="s">
        <v>61</v>
      </c>
    </row>
    <row r="1094" spans="1:58">
      <c r="A1094" t="s">
        <v>58</v>
      </c>
      <c r="B1094" t="s">
        <v>9051</v>
      </c>
      <c r="C1094" t="s">
        <v>9052</v>
      </c>
      <c r="D1094" t="s">
        <v>9053</v>
      </c>
      <c r="E1094" t="s">
        <v>61</v>
      </c>
      <c r="F1094">
        <v>2013</v>
      </c>
      <c r="G1094" t="s">
        <v>363</v>
      </c>
      <c r="H1094">
        <v>17</v>
      </c>
      <c r="I1094">
        <v>1</v>
      </c>
      <c r="J1094">
        <v>174</v>
      </c>
      <c r="K1094">
        <v>180</v>
      </c>
      <c r="L1094" t="s">
        <v>9054</v>
      </c>
      <c r="M1094" t="s">
        <v>9055</v>
      </c>
      <c r="N1094" t="s">
        <v>9056</v>
      </c>
      <c r="O1094" t="s">
        <v>61</v>
      </c>
      <c r="Q1094" t="s">
        <v>61</v>
      </c>
      <c r="R1094" t="s">
        <v>61</v>
      </c>
      <c r="S1094" t="s">
        <v>61</v>
      </c>
      <c r="T1094" t="s">
        <v>61</v>
      </c>
      <c r="X1094" t="s">
        <v>61</v>
      </c>
      <c r="Y1094" t="s">
        <v>9057</v>
      </c>
      <c r="Z1094" t="s">
        <v>61</v>
      </c>
      <c r="AA1094" t="s">
        <v>9058</v>
      </c>
      <c r="AB1094">
        <v>23080359</v>
      </c>
      <c r="AC1094" t="s">
        <v>67</v>
      </c>
      <c r="AD1094" t="s">
        <v>61</v>
      </c>
      <c r="AE1094" t="s">
        <v>61</v>
      </c>
      <c r="AF1094" t="s">
        <v>61</v>
      </c>
      <c r="AG1094" t="s">
        <v>9059</v>
      </c>
      <c r="AH1094" t="s">
        <v>61</v>
      </c>
      <c r="AI1094" t="s">
        <v>9060</v>
      </c>
      <c r="AJ1094" t="s">
        <v>61</v>
      </c>
      <c r="AK1094" t="s">
        <v>61</v>
      </c>
      <c r="AL1094" t="s">
        <v>61</v>
      </c>
      <c r="AM1094" t="s">
        <v>9061</v>
      </c>
      <c r="AN1094" t="s">
        <v>61</v>
      </c>
      <c r="AO1094" t="s">
        <v>61</v>
      </c>
      <c r="AP1094" t="s">
        <v>61</v>
      </c>
      <c r="AQ1094" t="s">
        <v>61</v>
      </c>
      <c r="AR1094" t="s">
        <v>61</v>
      </c>
      <c r="AS1094" t="s">
        <v>61</v>
      </c>
      <c r="AT1094" t="s">
        <v>61</v>
      </c>
      <c r="AU1094" t="s">
        <v>61</v>
      </c>
      <c r="AV1094" t="s">
        <v>61</v>
      </c>
      <c r="AW1094" t="s">
        <v>61</v>
      </c>
      <c r="AX1094" t="s">
        <v>61</v>
      </c>
      <c r="AY1094" t="s">
        <v>61</v>
      </c>
      <c r="AZ1094" t="s">
        <v>61</v>
      </c>
      <c r="BA1094" t="s">
        <v>61</v>
      </c>
      <c r="BB1094" t="s">
        <v>61</v>
      </c>
      <c r="BC1094" t="s">
        <v>61</v>
      </c>
      <c r="BD1094" t="s">
        <v>61</v>
      </c>
      <c r="BE1094" t="s">
        <v>61</v>
      </c>
      <c r="BF1094" t="s">
        <v>61</v>
      </c>
    </row>
    <row r="1095" spans="1:58">
      <c r="A1095" t="s">
        <v>58</v>
      </c>
      <c r="B1095" t="s">
        <v>9062</v>
      </c>
      <c r="C1095" t="s">
        <v>9063</v>
      </c>
      <c r="D1095" t="s">
        <v>1749</v>
      </c>
      <c r="E1095" t="s">
        <v>1750</v>
      </c>
      <c r="F1095">
        <v>1992</v>
      </c>
      <c r="G1095" t="s">
        <v>61</v>
      </c>
      <c r="H1095">
        <v>42</v>
      </c>
      <c r="I1095">
        <v>6</v>
      </c>
      <c r="J1095">
        <v>563</v>
      </c>
      <c r="K1095">
        <v>567</v>
      </c>
      <c r="L1095" t="s">
        <v>9064</v>
      </c>
      <c r="M1095" t="s">
        <v>9065</v>
      </c>
      <c r="N1095" t="s">
        <v>9066</v>
      </c>
      <c r="O1095" t="s">
        <v>61</v>
      </c>
      <c r="Q1095" t="s">
        <v>61</v>
      </c>
      <c r="R1095" t="s">
        <v>61</v>
      </c>
      <c r="S1095" t="s">
        <v>61</v>
      </c>
      <c r="T1095" t="s">
        <v>61</v>
      </c>
      <c r="X1095" t="s">
        <v>61</v>
      </c>
      <c r="Y1095" t="s">
        <v>5161</v>
      </c>
      <c r="Z1095" t="s">
        <v>61</v>
      </c>
      <c r="AA1095" t="s">
        <v>9067</v>
      </c>
      <c r="AB1095">
        <v>1623895</v>
      </c>
      <c r="AC1095" t="s">
        <v>67</v>
      </c>
      <c r="AD1095" t="s">
        <v>61</v>
      </c>
      <c r="AE1095" t="s">
        <v>61</v>
      </c>
      <c r="AF1095" t="s">
        <v>61</v>
      </c>
      <c r="AG1095" t="s">
        <v>9068</v>
      </c>
      <c r="AH1095" t="s">
        <v>61</v>
      </c>
      <c r="AI1095" t="s">
        <v>61</v>
      </c>
      <c r="AJ1095" t="s">
        <v>61</v>
      </c>
      <c r="AK1095" t="s">
        <v>61</v>
      </c>
      <c r="AL1095" t="s">
        <v>61</v>
      </c>
      <c r="AM1095" t="s">
        <v>9069</v>
      </c>
      <c r="AN1095" t="s">
        <v>61</v>
      </c>
      <c r="AO1095" t="s">
        <v>61</v>
      </c>
      <c r="AP1095" t="s">
        <v>61</v>
      </c>
      <c r="AQ1095" t="s">
        <v>61</v>
      </c>
      <c r="AR1095" t="s">
        <v>61</v>
      </c>
      <c r="AS1095" t="s">
        <v>61</v>
      </c>
      <c r="AT1095" t="s">
        <v>61</v>
      </c>
      <c r="AU1095" t="s">
        <v>61</v>
      </c>
      <c r="AV1095" t="s">
        <v>61</v>
      </c>
      <c r="AW1095" t="s">
        <v>61</v>
      </c>
      <c r="AX1095" t="s">
        <v>61</v>
      </c>
      <c r="AY1095" t="s">
        <v>61</v>
      </c>
      <c r="AZ1095" t="s">
        <v>61</v>
      </c>
      <c r="BA1095" t="s">
        <v>61</v>
      </c>
      <c r="BB1095" t="s">
        <v>61</v>
      </c>
      <c r="BC1095" t="s">
        <v>61</v>
      </c>
      <c r="BD1095" t="s">
        <v>61</v>
      </c>
      <c r="BE1095" t="s">
        <v>61</v>
      </c>
      <c r="BF1095" t="s">
        <v>61</v>
      </c>
    </row>
    <row r="1096" spans="1:58">
      <c r="A1096" t="s">
        <v>58</v>
      </c>
      <c r="B1096" t="s">
        <v>9070</v>
      </c>
      <c r="C1096" t="s">
        <v>9071</v>
      </c>
      <c r="D1096" t="s">
        <v>3742</v>
      </c>
      <c r="E1096" t="s">
        <v>61</v>
      </c>
      <c r="F1096">
        <v>2015</v>
      </c>
      <c r="G1096" t="s">
        <v>3144</v>
      </c>
      <c r="H1096">
        <v>13</v>
      </c>
      <c r="I1096">
        <v>2</v>
      </c>
      <c r="J1096">
        <v>566</v>
      </c>
      <c r="K1096" t="s">
        <v>61</v>
      </c>
      <c r="L1096" t="s">
        <v>61</v>
      </c>
      <c r="M1096" t="s">
        <v>9072</v>
      </c>
      <c r="N1096" t="s">
        <v>9073</v>
      </c>
      <c r="O1096" t="s">
        <v>61</v>
      </c>
      <c r="Q1096" t="s">
        <v>61</v>
      </c>
      <c r="R1096" t="s">
        <v>61</v>
      </c>
      <c r="S1096" t="s">
        <v>61</v>
      </c>
      <c r="T1096" t="s">
        <v>61</v>
      </c>
      <c r="X1096" t="s">
        <v>61</v>
      </c>
      <c r="Y1096" t="s">
        <v>3745</v>
      </c>
      <c r="Z1096" t="s">
        <v>61</v>
      </c>
      <c r="AA1096" t="s">
        <v>9074</v>
      </c>
      <c r="AB1096">
        <v>26131046</v>
      </c>
      <c r="AC1096" t="s">
        <v>67</v>
      </c>
      <c r="AD1096" t="s">
        <v>61</v>
      </c>
      <c r="AE1096" t="s">
        <v>61</v>
      </c>
      <c r="AF1096" t="s">
        <v>61</v>
      </c>
      <c r="AG1096" t="s">
        <v>9075</v>
      </c>
      <c r="AH1096" t="s">
        <v>61</v>
      </c>
      <c r="AI1096" t="s">
        <v>61</v>
      </c>
      <c r="AJ1096" t="s">
        <v>61</v>
      </c>
      <c r="AK1096" t="s">
        <v>61</v>
      </c>
      <c r="AL1096" t="s">
        <v>61</v>
      </c>
      <c r="AM1096" t="s">
        <v>9076</v>
      </c>
      <c r="AN1096" t="s">
        <v>61</v>
      </c>
      <c r="AO1096" t="s">
        <v>61</v>
      </c>
      <c r="AP1096" t="s">
        <v>61</v>
      </c>
      <c r="AQ1096" t="s">
        <v>61</v>
      </c>
      <c r="AR1096" t="s">
        <v>61</v>
      </c>
      <c r="AS1096" t="s">
        <v>61</v>
      </c>
      <c r="AT1096" t="s">
        <v>61</v>
      </c>
      <c r="AU1096" t="s">
        <v>61</v>
      </c>
      <c r="AV1096" t="s">
        <v>61</v>
      </c>
      <c r="AW1096" t="s">
        <v>61</v>
      </c>
      <c r="AX1096" t="s">
        <v>61</v>
      </c>
      <c r="AY1096" t="s">
        <v>61</v>
      </c>
      <c r="AZ1096" t="s">
        <v>61</v>
      </c>
      <c r="BA1096" t="s">
        <v>61</v>
      </c>
      <c r="BB1096" t="s">
        <v>61</v>
      </c>
      <c r="BC1096" t="s">
        <v>61</v>
      </c>
      <c r="BD1096" t="s">
        <v>61</v>
      </c>
      <c r="BE1096" t="s">
        <v>61</v>
      </c>
      <c r="BF1096" t="s">
        <v>61</v>
      </c>
    </row>
    <row r="1097" spans="1:58">
      <c r="A1097" t="s">
        <v>58</v>
      </c>
      <c r="B1097" t="s">
        <v>9077</v>
      </c>
      <c r="C1097" t="s">
        <v>9078</v>
      </c>
      <c r="D1097" t="s">
        <v>3742</v>
      </c>
      <c r="E1097" t="s">
        <v>61</v>
      </c>
      <c r="F1097">
        <v>2015</v>
      </c>
      <c r="G1097" t="s">
        <v>61</v>
      </c>
      <c r="H1097">
        <v>13</v>
      </c>
      <c r="I1097">
        <v>2</v>
      </c>
      <c r="J1097">
        <v>1</v>
      </c>
      <c r="K1097">
        <v>6</v>
      </c>
      <c r="L1097" t="s">
        <v>9079</v>
      </c>
      <c r="M1097" t="s">
        <v>9080</v>
      </c>
      <c r="N1097" t="s">
        <v>9081</v>
      </c>
      <c r="O1097" t="s">
        <v>61</v>
      </c>
      <c r="Q1097" t="s">
        <v>61</v>
      </c>
      <c r="R1097" t="s">
        <v>61</v>
      </c>
      <c r="S1097" t="s">
        <v>61</v>
      </c>
      <c r="T1097" t="s">
        <v>61</v>
      </c>
      <c r="X1097" t="s">
        <v>61</v>
      </c>
      <c r="Y1097" t="s">
        <v>9082</v>
      </c>
      <c r="Z1097" t="s">
        <v>61</v>
      </c>
      <c r="AA1097" t="s">
        <v>61</v>
      </c>
      <c r="AB1097">
        <v>2015148687</v>
      </c>
      <c r="AC1097" t="s">
        <v>67</v>
      </c>
      <c r="AD1097" t="s">
        <v>61</v>
      </c>
      <c r="AE1097" t="s">
        <v>61</v>
      </c>
      <c r="AF1097" t="s">
        <v>61</v>
      </c>
      <c r="AG1097" t="s">
        <v>61</v>
      </c>
      <c r="AH1097" t="s">
        <v>61</v>
      </c>
      <c r="AI1097" t="s">
        <v>61</v>
      </c>
      <c r="AJ1097" t="s">
        <v>61</v>
      </c>
      <c r="AK1097" t="s">
        <v>61</v>
      </c>
      <c r="AL1097" t="s">
        <v>61</v>
      </c>
      <c r="AM1097" t="s">
        <v>9083</v>
      </c>
      <c r="AN1097" t="s">
        <v>61</v>
      </c>
      <c r="AO1097" t="s">
        <v>61</v>
      </c>
      <c r="AP1097" t="s">
        <v>61</v>
      </c>
      <c r="AQ1097" t="s">
        <v>61</v>
      </c>
      <c r="AR1097" t="s">
        <v>61</v>
      </c>
      <c r="AS1097" t="s">
        <v>61</v>
      </c>
      <c r="AT1097" t="s">
        <v>61</v>
      </c>
      <c r="AU1097" t="s">
        <v>61</v>
      </c>
      <c r="AV1097" t="s">
        <v>61</v>
      </c>
      <c r="AW1097" t="s">
        <v>61</v>
      </c>
      <c r="AX1097" t="s">
        <v>61</v>
      </c>
      <c r="AY1097" t="s">
        <v>61</v>
      </c>
      <c r="AZ1097" t="s">
        <v>61</v>
      </c>
      <c r="BA1097" t="s">
        <v>61</v>
      </c>
      <c r="BB1097" t="s">
        <v>61</v>
      </c>
      <c r="BC1097" t="s">
        <v>61</v>
      </c>
      <c r="BD1097" t="s">
        <v>61</v>
      </c>
      <c r="BE1097" t="s">
        <v>61</v>
      </c>
      <c r="BF1097" t="s">
        <v>61</v>
      </c>
    </row>
    <row r="1098" spans="1:58">
      <c r="A1098" t="s">
        <v>58</v>
      </c>
      <c r="B1098" t="s">
        <v>9084</v>
      </c>
      <c r="C1098" t="s">
        <v>9085</v>
      </c>
      <c r="D1098" t="s">
        <v>9086</v>
      </c>
      <c r="E1098" t="s">
        <v>9087</v>
      </c>
      <c r="F1098">
        <v>1985</v>
      </c>
      <c r="G1098" t="s">
        <v>9088</v>
      </c>
      <c r="H1098">
        <v>37</v>
      </c>
      <c r="I1098" s="1">
        <v>42403</v>
      </c>
      <c r="J1098">
        <v>67</v>
      </c>
      <c r="K1098">
        <v>73</v>
      </c>
      <c r="L1098" t="s">
        <v>9089</v>
      </c>
      <c r="M1098" t="s">
        <v>9090</v>
      </c>
      <c r="N1098" t="s">
        <v>9091</v>
      </c>
      <c r="O1098" t="s">
        <v>61</v>
      </c>
      <c r="Q1098" t="s">
        <v>61</v>
      </c>
      <c r="R1098" t="s">
        <v>61</v>
      </c>
      <c r="S1098" t="s">
        <v>61</v>
      </c>
      <c r="T1098" t="s">
        <v>61</v>
      </c>
      <c r="X1098" t="s">
        <v>61</v>
      </c>
      <c r="Y1098" t="s">
        <v>9092</v>
      </c>
      <c r="Z1098" t="s">
        <v>61</v>
      </c>
      <c r="AA1098" t="s">
        <v>61</v>
      </c>
      <c r="AB1098">
        <v>3878175</v>
      </c>
      <c r="AC1098" t="s">
        <v>67</v>
      </c>
      <c r="AD1098" t="s">
        <v>61</v>
      </c>
      <c r="AE1098" t="s">
        <v>61</v>
      </c>
      <c r="AF1098" t="s">
        <v>61</v>
      </c>
      <c r="AG1098" t="s">
        <v>9093</v>
      </c>
      <c r="AH1098" t="s">
        <v>61</v>
      </c>
      <c r="AI1098" t="s">
        <v>61</v>
      </c>
      <c r="AJ1098" t="s">
        <v>61</v>
      </c>
      <c r="AK1098" t="s">
        <v>61</v>
      </c>
      <c r="AL1098" t="s">
        <v>61</v>
      </c>
      <c r="AM1098" t="s">
        <v>9094</v>
      </c>
      <c r="AN1098" t="s">
        <v>61</v>
      </c>
      <c r="AO1098" t="s">
        <v>61</v>
      </c>
      <c r="AP1098" t="s">
        <v>61</v>
      </c>
      <c r="AQ1098" t="s">
        <v>61</v>
      </c>
      <c r="AR1098" t="s">
        <v>61</v>
      </c>
      <c r="AS1098" t="s">
        <v>61</v>
      </c>
      <c r="AT1098" t="s">
        <v>61</v>
      </c>
      <c r="AU1098" t="s">
        <v>61</v>
      </c>
      <c r="AV1098" t="s">
        <v>61</v>
      </c>
      <c r="AW1098" t="s">
        <v>61</v>
      </c>
      <c r="AX1098" t="s">
        <v>61</v>
      </c>
      <c r="AY1098" t="s">
        <v>61</v>
      </c>
      <c r="AZ1098" t="s">
        <v>61</v>
      </c>
      <c r="BA1098" t="s">
        <v>61</v>
      </c>
      <c r="BB1098" t="s">
        <v>61</v>
      </c>
      <c r="BC1098" t="s">
        <v>61</v>
      </c>
      <c r="BD1098" t="s">
        <v>61</v>
      </c>
      <c r="BE1098" t="s">
        <v>61</v>
      </c>
      <c r="BF1098" t="s">
        <v>61</v>
      </c>
    </row>
    <row r="1099" spans="1:58">
      <c r="A1099" t="s">
        <v>58</v>
      </c>
      <c r="B1099" t="s">
        <v>9095</v>
      </c>
      <c r="C1099" t="s">
        <v>9096</v>
      </c>
      <c r="D1099" t="s">
        <v>9097</v>
      </c>
      <c r="E1099" t="s">
        <v>9098</v>
      </c>
      <c r="F1099">
        <v>1994</v>
      </c>
      <c r="G1099" t="s">
        <v>119</v>
      </c>
      <c r="H1099">
        <v>86</v>
      </c>
      <c r="I1099">
        <v>6</v>
      </c>
      <c r="J1099">
        <v>465</v>
      </c>
      <c r="K1099">
        <v>468</v>
      </c>
      <c r="L1099" t="s">
        <v>9099</v>
      </c>
      <c r="M1099" t="s">
        <v>9100</v>
      </c>
      <c r="N1099" t="s">
        <v>9101</v>
      </c>
      <c r="O1099" t="s">
        <v>61</v>
      </c>
      <c r="Q1099" t="s">
        <v>61</v>
      </c>
      <c r="R1099" t="s">
        <v>61</v>
      </c>
      <c r="S1099" t="s">
        <v>61</v>
      </c>
      <c r="T1099" t="s">
        <v>61</v>
      </c>
      <c r="X1099" t="s">
        <v>61</v>
      </c>
      <c r="Y1099" t="s">
        <v>9102</v>
      </c>
      <c r="Z1099" t="s">
        <v>61</v>
      </c>
      <c r="AA1099" t="s">
        <v>9103</v>
      </c>
      <c r="AB1099">
        <v>8078084</v>
      </c>
      <c r="AC1099" t="s">
        <v>67</v>
      </c>
      <c r="AD1099" t="s">
        <v>61</v>
      </c>
      <c r="AE1099" t="s">
        <v>61</v>
      </c>
      <c r="AF1099" t="s">
        <v>61</v>
      </c>
      <c r="AG1099" t="s">
        <v>9104</v>
      </c>
      <c r="AH1099" t="s">
        <v>61</v>
      </c>
      <c r="AI1099" t="s">
        <v>61</v>
      </c>
      <c r="AJ1099" t="s">
        <v>61</v>
      </c>
      <c r="AK1099" t="s">
        <v>61</v>
      </c>
      <c r="AL1099" t="s">
        <v>61</v>
      </c>
      <c r="AM1099" t="s">
        <v>9105</v>
      </c>
      <c r="AN1099" t="s">
        <v>61</v>
      </c>
      <c r="AO1099" t="s">
        <v>61</v>
      </c>
      <c r="AP1099" t="s">
        <v>61</v>
      </c>
      <c r="AQ1099" t="s">
        <v>61</v>
      </c>
      <c r="AR1099" t="s">
        <v>61</v>
      </c>
      <c r="AS1099" t="s">
        <v>61</v>
      </c>
      <c r="AT1099" t="s">
        <v>61</v>
      </c>
      <c r="AU1099" t="s">
        <v>61</v>
      </c>
      <c r="AV1099" t="s">
        <v>61</v>
      </c>
      <c r="AW1099" t="s">
        <v>61</v>
      </c>
      <c r="AX1099" t="s">
        <v>61</v>
      </c>
      <c r="AY1099" t="s">
        <v>61</v>
      </c>
      <c r="AZ1099" t="s">
        <v>61</v>
      </c>
      <c r="BA1099" t="s">
        <v>61</v>
      </c>
      <c r="BB1099" t="s">
        <v>61</v>
      </c>
      <c r="BC1099" t="s">
        <v>61</v>
      </c>
      <c r="BD1099" t="s">
        <v>61</v>
      </c>
      <c r="BE1099" t="s">
        <v>61</v>
      </c>
      <c r="BF1099" t="s">
        <v>61</v>
      </c>
    </row>
    <row r="1100" spans="1:58">
      <c r="A1100" t="s">
        <v>58</v>
      </c>
      <c r="B1100" t="s">
        <v>9106</v>
      </c>
      <c r="C1100" t="s">
        <v>9107</v>
      </c>
      <c r="D1100" t="s">
        <v>408</v>
      </c>
      <c r="E1100" t="s">
        <v>408</v>
      </c>
      <c r="F1100">
        <v>2015</v>
      </c>
      <c r="G1100" t="s">
        <v>409</v>
      </c>
      <c r="H1100">
        <v>35</v>
      </c>
      <c r="I1100">
        <v>11</v>
      </c>
      <c r="J1100" t="s">
        <v>9108</v>
      </c>
      <c r="K1100" t="s">
        <v>61</v>
      </c>
      <c r="L1100" t="s">
        <v>9109</v>
      </c>
      <c r="M1100" t="s">
        <v>9110</v>
      </c>
      <c r="N1100" t="s">
        <v>9111</v>
      </c>
      <c r="O1100" t="s">
        <v>61</v>
      </c>
      <c r="Q1100" t="s">
        <v>61</v>
      </c>
      <c r="R1100" t="s">
        <v>61</v>
      </c>
      <c r="S1100" t="s">
        <v>61</v>
      </c>
      <c r="T1100" t="s">
        <v>61</v>
      </c>
      <c r="X1100" t="s">
        <v>61</v>
      </c>
      <c r="Y1100" t="s">
        <v>414</v>
      </c>
      <c r="Z1100" t="s">
        <v>61</v>
      </c>
      <c r="AA1100" t="s">
        <v>61</v>
      </c>
      <c r="AB1100" t="s">
        <v>61</v>
      </c>
      <c r="AC1100" t="s">
        <v>67</v>
      </c>
      <c r="AD1100" t="s">
        <v>61</v>
      </c>
      <c r="AE1100" t="s">
        <v>61</v>
      </c>
      <c r="AF1100" t="s">
        <v>61</v>
      </c>
      <c r="AG1100" t="s">
        <v>61</v>
      </c>
      <c r="AH1100" t="s">
        <v>61</v>
      </c>
      <c r="AI1100" t="s">
        <v>61</v>
      </c>
      <c r="AJ1100" t="s">
        <v>61</v>
      </c>
      <c r="AK1100" t="s">
        <v>61</v>
      </c>
      <c r="AL1100" t="s">
        <v>61</v>
      </c>
      <c r="AM1100" t="s">
        <v>9107</v>
      </c>
      <c r="AN1100" t="s">
        <v>61</v>
      </c>
      <c r="AO1100" t="s">
        <v>61</v>
      </c>
      <c r="AP1100" t="s">
        <v>61</v>
      </c>
      <c r="AQ1100" t="s">
        <v>61</v>
      </c>
      <c r="AR1100" t="s">
        <v>61</v>
      </c>
      <c r="AS1100" t="s">
        <v>61</v>
      </c>
      <c r="AT1100" t="s">
        <v>61</v>
      </c>
      <c r="AU1100" t="s">
        <v>61</v>
      </c>
      <c r="AV1100" t="s">
        <v>61</v>
      </c>
      <c r="AW1100" t="s">
        <v>61</v>
      </c>
      <c r="AX1100" t="s">
        <v>61</v>
      </c>
      <c r="AY1100" t="s">
        <v>61</v>
      </c>
      <c r="AZ1100" t="s">
        <v>61</v>
      </c>
      <c r="BA1100" t="s">
        <v>61</v>
      </c>
      <c r="BB1100" t="s">
        <v>61</v>
      </c>
      <c r="BC1100" t="s">
        <v>61</v>
      </c>
      <c r="BD1100" t="s">
        <v>61</v>
      </c>
      <c r="BE1100" t="s">
        <v>61</v>
      </c>
      <c r="BF1100" t="s">
        <v>61</v>
      </c>
    </row>
    <row r="1101" spans="1:58">
      <c r="A1101" t="s">
        <v>58</v>
      </c>
      <c r="B1101" t="s">
        <v>9112</v>
      </c>
      <c r="C1101" t="s">
        <v>9113</v>
      </c>
      <c r="D1101" t="s">
        <v>9114</v>
      </c>
      <c r="E1101" t="s">
        <v>61</v>
      </c>
      <c r="F1101">
        <v>2010</v>
      </c>
      <c r="G1101" t="s">
        <v>391</v>
      </c>
      <c r="H1101">
        <v>9</v>
      </c>
      <c r="I1101">
        <v>1</v>
      </c>
      <c r="J1101">
        <v>2</v>
      </c>
      <c r="K1101">
        <v>4</v>
      </c>
      <c r="L1101" t="s">
        <v>9115</v>
      </c>
      <c r="M1101" t="s">
        <v>9116</v>
      </c>
      <c r="N1101" t="s">
        <v>9117</v>
      </c>
      <c r="O1101" t="s">
        <v>61</v>
      </c>
      <c r="Q1101" t="s">
        <v>61</v>
      </c>
      <c r="R1101" t="s">
        <v>61</v>
      </c>
      <c r="S1101" t="s">
        <v>61</v>
      </c>
      <c r="T1101" t="s">
        <v>61</v>
      </c>
      <c r="X1101" t="s">
        <v>61</v>
      </c>
      <c r="Y1101" t="s">
        <v>9118</v>
      </c>
      <c r="Z1101" t="s">
        <v>61</v>
      </c>
      <c r="AA1101" t="s">
        <v>61</v>
      </c>
      <c r="AB1101">
        <v>20232494</v>
      </c>
      <c r="AC1101" t="s">
        <v>67</v>
      </c>
      <c r="AD1101" t="s">
        <v>61</v>
      </c>
      <c r="AE1101" t="s">
        <v>61</v>
      </c>
      <c r="AF1101" t="s">
        <v>61</v>
      </c>
      <c r="AG1101" t="s">
        <v>9119</v>
      </c>
      <c r="AH1101" t="s">
        <v>61</v>
      </c>
      <c r="AI1101" t="s">
        <v>61</v>
      </c>
      <c r="AJ1101" t="s">
        <v>61</v>
      </c>
      <c r="AK1101" t="s">
        <v>61</v>
      </c>
      <c r="AL1101" t="s">
        <v>61</v>
      </c>
      <c r="AM1101" t="s">
        <v>9120</v>
      </c>
      <c r="AN1101" t="s">
        <v>61</v>
      </c>
      <c r="AO1101" t="s">
        <v>61</v>
      </c>
      <c r="AP1101" t="s">
        <v>61</v>
      </c>
      <c r="AQ1101" t="s">
        <v>61</v>
      </c>
      <c r="AR1101" t="s">
        <v>61</v>
      </c>
      <c r="AS1101" t="s">
        <v>61</v>
      </c>
      <c r="AT1101" t="s">
        <v>61</v>
      </c>
      <c r="AU1101" t="s">
        <v>61</v>
      </c>
      <c r="AV1101" t="s">
        <v>61</v>
      </c>
      <c r="AW1101" t="s">
        <v>61</v>
      </c>
      <c r="AX1101" t="s">
        <v>61</v>
      </c>
      <c r="AY1101" t="s">
        <v>61</v>
      </c>
      <c r="AZ1101" t="s">
        <v>61</v>
      </c>
      <c r="BA1101" t="s">
        <v>61</v>
      </c>
      <c r="BB1101" t="s">
        <v>61</v>
      </c>
      <c r="BC1101" t="s">
        <v>61</v>
      </c>
      <c r="BD1101" t="s">
        <v>61</v>
      </c>
      <c r="BE1101" t="s">
        <v>61</v>
      </c>
      <c r="BF1101" t="s">
        <v>61</v>
      </c>
    </row>
    <row r="1102" spans="1:58">
      <c r="A1102" t="s">
        <v>58</v>
      </c>
      <c r="B1102" t="s">
        <v>9121</v>
      </c>
      <c r="C1102" t="s">
        <v>9122</v>
      </c>
      <c r="D1102" t="s">
        <v>876</v>
      </c>
      <c r="E1102" t="s">
        <v>877</v>
      </c>
      <c r="F1102">
        <v>2012</v>
      </c>
      <c r="G1102" s="1">
        <v>42686</v>
      </c>
      <c r="H1102">
        <v>76</v>
      </c>
      <c r="I1102">
        <v>9</v>
      </c>
      <c r="J1102">
        <v>171</v>
      </c>
      <c r="K1102" t="s">
        <v>61</v>
      </c>
      <c r="L1102" t="s">
        <v>9123</v>
      </c>
      <c r="M1102" t="s">
        <v>9124</v>
      </c>
      <c r="N1102" t="s">
        <v>9125</v>
      </c>
      <c r="O1102" t="s">
        <v>61</v>
      </c>
      <c r="Q1102" t="s">
        <v>61</v>
      </c>
      <c r="R1102" t="s">
        <v>61</v>
      </c>
      <c r="S1102" t="s">
        <v>61</v>
      </c>
      <c r="T1102" t="s">
        <v>61</v>
      </c>
      <c r="X1102" t="s">
        <v>61</v>
      </c>
      <c r="Y1102" t="s">
        <v>881</v>
      </c>
      <c r="Z1102" t="s">
        <v>61</v>
      </c>
      <c r="AA1102" t="s">
        <v>9126</v>
      </c>
      <c r="AB1102">
        <v>23193335</v>
      </c>
      <c r="AC1102" t="s">
        <v>67</v>
      </c>
      <c r="AD1102" t="s">
        <v>61</v>
      </c>
      <c r="AE1102" t="s">
        <v>61</v>
      </c>
      <c r="AF1102" t="s">
        <v>61</v>
      </c>
      <c r="AG1102" t="s">
        <v>9127</v>
      </c>
      <c r="AH1102" t="s">
        <v>61</v>
      </c>
      <c r="AI1102" t="s">
        <v>9128</v>
      </c>
      <c r="AJ1102" t="s">
        <v>61</v>
      </c>
      <c r="AK1102" t="s">
        <v>61</v>
      </c>
      <c r="AL1102" t="s">
        <v>61</v>
      </c>
      <c r="AM1102" t="s">
        <v>9129</v>
      </c>
      <c r="AN1102" t="s">
        <v>61</v>
      </c>
      <c r="AO1102" t="s">
        <v>61</v>
      </c>
      <c r="AP1102" t="s">
        <v>61</v>
      </c>
      <c r="AQ1102" t="s">
        <v>61</v>
      </c>
      <c r="AR1102" t="s">
        <v>61</v>
      </c>
      <c r="AS1102" t="s">
        <v>61</v>
      </c>
      <c r="AT1102" t="s">
        <v>61</v>
      </c>
      <c r="AU1102" t="s">
        <v>61</v>
      </c>
      <c r="AV1102" t="s">
        <v>61</v>
      </c>
      <c r="AW1102" t="s">
        <v>61</v>
      </c>
      <c r="AX1102" t="s">
        <v>61</v>
      </c>
      <c r="AY1102" t="s">
        <v>61</v>
      </c>
      <c r="AZ1102" t="s">
        <v>61</v>
      </c>
      <c r="BA1102" t="s">
        <v>61</v>
      </c>
      <c r="BB1102" t="s">
        <v>61</v>
      </c>
      <c r="BC1102" t="s">
        <v>61</v>
      </c>
      <c r="BD1102" t="s">
        <v>61</v>
      </c>
      <c r="BE1102" t="s">
        <v>61</v>
      </c>
      <c r="BF1102" t="s">
        <v>61</v>
      </c>
    </row>
    <row r="1103" spans="1:58">
      <c r="A1103" t="s">
        <v>58</v>
      </c>
      <c r="B1103" t="s">
        <v>9130</v>
      </c>
      <c r="C1103" t="s">
        <v>9131</v>
      </c>
      <c r="D1103" t="s">
        <v>876</v>
      </c>
      <c r="E1103" t="s">
        <v>877</v>
      </c>
      <c r="F1103">
        <v>2014</v>
      </c>
      <c r="G1103" s="1">
        <v>42441</v>
      </c>
      <c r="H1103">
        <v>78</v>
      </c>
      <c r="I1103">
        <v>2</v>
      </c>
      <c r="J1103">
        <v>30</v>
      </c>
      <c r="K1103" t="s">
        <v>61</v>
      </c>
      <c r="L1103" t="s">
        <v>9132</v>
      </c>
      <c r="M1103" t="s">
        <v>9133</v>
      </c>
      <c r="N1103" t="s">
        <v>9134</v>
      </c>
      <c r="O1103" t="s">
        <v>61</v>
      </c>
      <c r="Q1103" t="s">
        <v>61</v>
      </c>
      <c r="R1103" t="s">
        <v>61</v>
      </c>
      <c r="S1103" t="s">
        <v>61</v>
      </c>
      <c r="T1103" t="s">
        <v>61</v>
      </c>
      <c r="X1103" t="s">
        <v>61</v>
      </c>
      <c r="Y1103" t="s">
        <v>881</v>
      </c>
      <c r="Z1103" t="s">
        <v>61</v>
      </c>
      <c r="AA1103" t="s">
        <v>9135</v>
      </c>
      <c r="AB1103">
        <v>24672063</v>
      </c>
      <c r="AC1103" t="s">
        <v>67</v>
      </c>
      <c r="AD1103" t="s">
        <v>61</v>
      </c>
      <c r="AE1103" t="s">
        <v>61</v>
      </c>
      <c r="AF1103" t="s">
        <v>61</v>
      </c>
      <c r="AG1103" t="s">
        <v>9136</v>
      </c>
      <c r="AH1103" t="s">
        <v>61</v>
      </c>
      <c r="AI1103" t="s">
        <v>9137</v>
      </c>
      <c r="AJ1103" t="s">
        <v>61</v>
      </c>
      <c r="AK1103" t="s">
        <v>61</v>
      </c>
      <c r="AL1103" t="s">
        <v>61</v>
      </c>
      <c r="AM1103" t="s">
        <v>9138</v>
      </c>
      <c r="AN1103" t="s">
        <v>61</v>
      </c>
      <c r="AO1103" t="s">
        <v>61</v>
      </c>
      <c r="AP1103" t="s">
        <v>61</v>
      </c>
      <c r="AQ1103" t="s">
        <v>61</v>
      </c>
      <c r="AR1103" t="s">
        <v>61</v>
      </c>
      <c r="AS1103" t="s">
        <v>61</v>
      </c>
      <c r="AT1103" t="s">
        <v>61</v>
      </c>
      <c r="AU1103" t="s">
        <v>61</v>
      </c>
      <c r="AV1103" t="s">
        <v>61</v>
      </c>
      <c r="AW1103" t="s">
        <v>61</v>
      </c>
      <c r="AX1103" t="s">
        <v>61</v>
      </c>
      <c r="AY1103" t="s">
        <v>61</v>
      </c>
      <c r="AZ1103" t="s">
        <v>61</v>
      </c>
      <c r="BA1103" t="s">
        <v>61</v>
      </c>
      <c r="BB1103" t="s">
        <v>61</v>
      </c>
      <c r="BC1103" t="s">
        <v>61</v>
      </c>
      <c r="BD1103" t="s">
        <v>61</v>
      </c>
      <c r="BE1103" t="s">
        <v>61</v>
      </c>
      <c r="BF1103" t="s">
        <v>61</v>
      </c>
    </row>
    <row r="1104" spans="1:58">
      <c r="A1104" t="s">
        <v>58</v>
      </c>
      <c r="B1104" t="s">
        <v>9139</v>
      </c>
      <c r="C1104" t="s">
        <v>9140</v>
      </c>
      <c r="D1104" t="s">
        <v>3824</v>
      </c>
      <c r="E1104" t="s">
        <v>3825</v>
      </c>
      <c r="F1104">
        <v>1985</v>
      </c>
      <c r="G1104" t="s">
        <v>61</v>
      </c>
      <c r="H1104">
        <v>86</v>
      </c>
      <c r="I1104" s="1">
        <v>42371</v>
      </c>
      <c r="J1104">
        <v>68</v>
      </c>
      <c r="K1104">
        <v>76</v>
      </c>
      <c r="L1104" t="s">
        <v>9141</v>
      </c>
      <c r="M1104" t="s">
        <v>9142</v>
      </c>
      <c r="N1104" t="s">
        <v>9143</v>
      </c>
      <c r="O1104" t="s">
        <v>61</v>
      </c>
      <c r="Q1104" t="s">
        <v>61</v>
      </c>
      <c r="R1104" t="s">
        <v>61</v>
      </c>
      <c r="S1104" t="s">
        <v>61</v>
      </c>
      <c r="T1104" t="s">
        <v>61</v>
      </c>
      <c r="X1104" t="s">
        <v>61</v>
      </c>
      <c r="Y1104" t="s">
        <v>3829</v>
      </c>
      <c r="Z1104" t="s">
        <v>61</v>
      </c>
      <c r="AA1104" t="s">
        <v>61</v>
      </c>
      <c r="AB1104">
        <v>3927368</v>
      </c>
      <c r="AC1104" t="s">
        <v>67</v>
      </c>
      <c r="AD1104" t="s">
        <v>61</v>
      </c>
      <c r="AE1104" t="s">
        <v>61</v>
      </c>
      <c r="AF1104" t="s">
        <v>61</v>
      </c>
      <c r="AG1104" t="s">
        <v>9144</v>
      </c>
      <c r="AH1104" t="s">
        <v>61</v>
      </c>
      <c r="AI1104" t="s">
        <v>61</v>
      </c>
      <c r="AJ1104" t="s">
        <v>61</v>
      </c>
      <c r="AK1104" t="s">
        <v>61</v>
      </c>
      <c r="AL1104" t="s">
        <v>61</v>
      </c>
      <c r="AM1104" t="s">
        <v>9145</v>
      </c>
      <c r="AN1104" t="s">
        <v>61</v>
      </c>
      <c r="AO1104" t="s">
        <v>61</v>
      </c>
      <c r="AP1104" t="s">
        <v>61</v>
      </c>
      <c r="AQ1104" t="s">
        <v>61</v>
      </c>
      <c r="AR1104" t="s">
        <v>61</v>
      </c>
      <c r="AS1104" t="s">
        <v>61</v>
      </c>
      <c r="AT1104" t="s">
        <v>61</v>
      </c>
      <c r="AU1104" t="s">
        <v>61</v>
      </c>
      <c r="AV1104" t="s">
        <v>61</v>
      </c>
      <c r="AW1104" t="s">
        <v>61</v>
      </c>
      <c r="AX1104" t="s">
        <v>61</v>
      </c>
      <c r="AY1104" t="s">
        <v>61</v>
      </c>
      <c r="AZ1104" t="s">
        <v>61</v>
      </c>
      <c r="BA1104" t="s">
        <v>61</v>
      </c>
      <c r="BB1104" t="s">
        <v>61</v>
      </c>
      <c r="BC1104" t="s">
        <v>61</v>
      </c>
      <c r="BD1104" t="s">
        <v>61</v>
      </c>
      <c r="BE1104" t="s">
        <v>61</v>
      </c>
      <c r="BF1104" t="s">
        <v>61</v>
      </c>
    </row>
    <row r="1105" spans="1:58">
      <c r="A1105" t="s">
        <v>58</v>
      </c>
      <c r="B1105" t="s">
        <v>9146</v>
      </c>
      <c r="C1105" t="s">
        <v>9147</v>
      </c>
      <c r="D1105" t="s">
        <v>9148</v>
      </c>
      <c r="E1105" t="s">
        <v>9149</v>
      </c>
      <c r="F1105">
        <v>2004</v>
      </c>
      <c r="G1105" t="s">
        <v>61</v>
      </c>
      <c r="H1105">
        <v>25</v>
      </c>
      <c r="I1105" t="s">
        <v>61</v>
      </c>
      <c r="J1105">
        <v>138</v>
      </c>
      <c r="K1105">
        <v>150</v>
      </c>
      <c r="L1105" t="s">
        <v>9150</v>
      </c>
      <c r="M1105" t="s">
        <v>9151</v>
      </c>
      <c r="N1105" t="s">
        <v>9152</v>
      </c>
      <c r="O1105" t="s">
        <v>61</v>
      </c>
      <c r="Q1105" t="s">
        <v>61</v>
      </c>
      <c r="R1105" t="s">
        <v>61</v>
      </c>
      <c r="S1105" t="s">
        <v>61</v>
      </c>
      <c r="T1105" t="s">
        <v>61</v>
      </c>
      <c r="X1105" t="s">
        <v>61</v>
      </c>
      <c r="Y1105" t="s">
        <v>9153</v>
      </c>
      <c r="Z1105" t="s">
        <v>61</v>
      </c>
      <c r="AA1105" t="s">
        <v>9154</v>
      </c>
      <c r="AB1105">
        <v>15248372</v>
      </c>
      <c r="AC1105" t="s">
        <v>67</v>
      </c>
      <c r="AD1105" t="s">
        <v>61</v>
      </c>
      <c r="AE1105" t="s">
        <v>61</v>
      </c>
      <c r="AF1105" t="s">
        <v>61</v>
      </c>
      <c r="AG1105" t="s">
        <v>9155</v>
      </c>
      <c r="AH1105" t="s">
        <v>61</v>
      </c>
      <c r="AI1105" t="s">
        <v>61</v>
      </c>
      <c r="AJ1105" t="s">
        <v>61</v>
      </c>
      <c r="AK1105" t="s">
        <v>61</v>
      </c>
      <c r="AL1105" t="s">
        <v>61</v>
      </c>
      <c r="AM1105" t="s">
        <v>9156</v>
      </c>
      <c r="AN1105" t="s">
        <v>61</v>
      </c>
      <c r="AO1105" t="s">
        <v>61</v>
      </c>
      <c r="AP1105" t="s">
        <v>61</v>
      </c>
      <c r="AQ1105" t="s">
        <v>61</v>
      </c>
      <c r="AR1105" t="s">
        <v>61</v>
      </c>
      <c r="AS1105" t="s">
        <v>61</v>
      </c>
      <c r="AT1105" t="s">
        <v>61</v>
      </c>
      <c r="AU1105" t="s">
        <v>61</v>
      </c>
      <c r="AV1105" t="s">
        <v>61</v>
      </c>
      <c r="AW1105" t="s">
        <v>61</v>
      </c>
      <c r="AX1105" t="s">
        <v>61</v>
      </c>
      <c r="AY1105" t="s">
        <v>61</v>
      </c>
      <c r="AZ1105" t="s">
        <v>61</v>
      </c>
      <c r="BA1105" t="s">
        <v>61</v>
      </c>
      <c r="BB1105" t="s">
        <v>61</v>
      </c>
      <c r="BC1105" t="s">
        <v>61</v>
      </c>
      <c r="BD1105" t="s">
        <v>61</v>
      </c>
      <c r="BE1105" t="s">
        <v>61</v>
      </c>
      <c r="BF1105" t="s">
        <v>61</v>
      </c>
    </row>
    <row r="1106" spans="1:58">
      <c r="A1106" t="s">
        <v>58</v>
      </c>
      <c r="B1106" t="s">
        <v>9157</v>
      </c>
      <c r="C1106" t="s">
        <v>9158</v>
      </c>
      <c r="D1106" t="s">
        <v>627</v>
      </c>
      <c r="E1106" t="s">
        <v>61</v>
      </c>
      <c r="F1106">
        <v>2013</v>
      </c>
      <c r="G1106" t="s">
        <v>628</v>
      </c>
      <c r="H1106">
        <v>53</v>
      </c>
      <c r="I1106">
        <v>2</v>
      </c>
      <c r="J1106" t="s">
        <v>9159</v>
      </c>
      <c r="K1106" t="s">
        <v>61</v>
      </c>
      <c r="L1106" t="s">
        <v>9160</v>
      </c>
      <c r="M1106" t="s">
        <v>9161</v>
      </c>
      <c r="N1106" t="s">
        <v>9162</v>
      </c>
      <c r="O1106" t="s">
        <v>61</v>
      </c>
      <c r="Q1106" t="s">
        <v>61</v>
      </c>
      <c r="R1106" t="s">
        <v>61</v>
      </c>
      <c r="S1106" t="s">
        <v>61</v>
      </c>
      <c r="T1106" t="s">
        <v>61</v>
      </c>
      <c r="X1106" t="s">
        <v>61</v>
      </c>
      <c r="Y1106" t="s">
        <v>632</v>
      </c>
      <c r="Z1106" t="s">
        <v>61</v>
      </c>
      <c r="AA1106" t="s">
        <v>61</v>
      </c>
      <c r="AB1106" t="s">
        <v>61</v>
      </c>
      <c r="AC1106" t="s">
        <v>67</v>
      </c>
      <c r="AD1106" t="s">
        <v>61</v>
      </c>
      <c r="AE1106" t="s">
        <v>61</v>
      </c>
      <c r="AF1106" t="s">
        <v>61</v>
      </c>
      <c r="AG1106" t="s">
        <v>61</v>
      </c>
      <c r="AH1106" t="s">
        <v>61</v>
      </c>
      <c r="AI1106" t="s">
        <v>61</v>
      </c>
      <c r="AJ1106" t="s">
        <v>61</v>
      </c>
      <c r="AK1106" t="s">
        <v>61</v>
      </c>
      <c r="AL1106" t="s">
        <v>61</v>
      </c>
      <c r="AM1106" t="s">
        <v>9158</v>
      </c>
      <c r="AN1106" t="s">
        <v>61</v>
      </c>
      <c r="AO1106" t="s">
        <v>61</v>
      </c>
      <c r="AP1106" t="s">
        <v>61</v>
      </c>
      <c r="AQ1106" t="s">
        <v>61</v>
      </c>
      <c r="AR1106" t="s">
        <v>61</v>
      </c>
      <c r="AS1106" t="s">
        <v>61</v>
      </c>
      <c r="AT1106" t="s">
        <v>61</v>
      </c>
      <c r="AU1106" t="s">
        <v>61</v>
      </c>
      <c r="AV1106" t="s">
        <v>61</v>
      </c>
      <c r="AW1106" t="s">
        <v>61</v>
      </c>
      <c r="AX1106" t="s">
        <v>61</v>
      </c>
      <c r="AY1106" t="s">
        <v>61</v>
      </c>
      <c r="AZ1106" t="s">
        <v>61</v>
      </c>
      <c r="BA1106" t="s">
        <v>61</v>
      </c>
      <c r="BB1106" t="s">
        <v>61</v>
      </c>
      <c r="BC1106" t="s">
        <v>61</v>
      </c>
      <c r="BD1106" t="s">
        <v>61</v>
      </c>
      <c r="BE1106" t="s">
        <v>61</v>
      </c>
      <c r="BF1106" t="s">
        <v>61</v>
      </c>
    </row>
    <row r="1107" spans="1:58">
      <c r="A1107" t="s">
        <v>58</v>
      </c>
      <c r="B1107" t="s">
        <v>9163</v>
      </c>
      <c r="C1107" t="s">
        <v>9164</v>
      </c>
      <c r="D1107" t="s">
        <v>627</v>
      </c>
      <c r="E1107" t="s">
        <v>61</v>
      </c>
      <c r="F1107">
        <v>2013</v>
      </c>
      <c r="G1107" t="s">
        <v>628</v>
      </c>
      <c r="H1107">
        <v>53</v>
      </c>
      <c r="I1107">
        <v>2</v>
      </c>
      <c r="J1107" t="s">
        <v>9165</v>
      </c>
      <c r="K1107" t="s">
        <v>61</v>
      </c>
      <c r="L1107" t="s">
        <v>9166</v>
      </c>
      <c r="M1107" t="s">
        <v>9167</v>
      </c>
      <c r="N1107" t="s">
        <v>9168</v>
      </c>
      <c r="O1107" t="s">
        <v>61</v>
      </c>
      <c r="Q1107" t="s">
        <v>61</v>
      </c>
      <c r="R1107" t="s">
        <v>61</v>
      </c>
      <c r="S1107" t="s">
        <v>61</v>
      </c>
      <c r="T1107" t="s">
        <v>61</v>
      </c>
      <c r="X1107" t="s">
        <v>61</v>
      </c>
      <c r="Y1107" t="s">
        <v>632</v>
      </c>
      <c r="Z1107" t="s">
        <v>61</v>
      </c>
      <c r="AA1107" t="s">
        <v>61</v>
      </c>
      <c r="AB1107" t="s">
        <v>61</v>
      </c>
      <c r="AC1107" t="s">
        <v>67</v>
      </c>
      <c r="AD1107" t="s">
        <v>61</v>
      </c>
      <c r="AE1107" t="s">
        <v>61</v>
      </c>
      <c r="AF1107" t="s">
        <v>61</v>
      </c>
      <c r="AG1107" t="s">
        <v>61</v>
      </c>
      <c r="AH1107" t="s">
        <v>61</v>
      </c>
      <c r="AI1107" t="s">
        <v>61</v>
      </c>
      <c r="AJ1107" t="s">
        <v>61</v>
      </c>
      <c r="AK1107" t="s">
        <v>61</v>
      </c>
      <c r="AL1107" t="s">
        <v>61</v>
      </c>
      <c r="AM1107" t="s">
        <v>9164</v>
      </c>
      <c r="AN1107" t="s">
        <v>61</v>
      </c>
      <c r="AO1107" t="s">
        <v>61</v>
      </c>
      <c r="AP1107" t="s">
        <v>61</v>
      </c>
      <c r="AQ1107" t="s">
        <v>61</v>
      </c>
      <c r="AR1107" t="s">
        <v>61</v>
      </c>
      <c r="AS1107" t="s">
        <v>61</v>
      </c>
      <c r="AT1107" t="s">
        <v>61</v>
      </c>
      <c r="AU1107" t="s">
        <v>61</v>
      </c>
      <c r="AV1107" t="s">
        <v>61</v>
      </c>
      <c r="AW1107" t="s">
        <v>61</v>
      </c>
      <c r="AX1107" t="s">
        <v>61</v>
      </c>
      <c r="AY1107" t="s">
        <v>61</v>
      </c>
      <c r="AZ1107" t="s">
        <v>61</v>
      </c>
      <c r="BA1107" t="s">
        <v>61</v>
      </c>
      <c r="BB1107" t="s">
        <v>61</v>
      </c>
      <c r="BC1107" t="s">
        <v>61</v>
      </c>
      <c r="BD1107" t="s">
        <v>61</v>
      </c>
      <c r="BE1107" t="s">
        <v>61</v>
      </c>
      <c r="BF1107" t="s">
        <v>61</v>
      </c>
    </row>
    <row r="1108" spans="1:58">
      <c r="A1108" t="s">
        <v>58</v>
      </c>
      <c r="B1108" t="s">
        <v>9169</v>
      </c>
      <c r="C1108" t="s">
        <v>9170</v>
      </c>
      <c r="D1108" t="s">
        <v>1637</v>
      </c>
      <c r="E1108" t="s">
        <v>1638</v>
      </c>
      <c r="F1108">
        <v>2005</v>
      </c>
      <c r="G1108" t="s">
        <v>273</v>
      </c>
      <c r="H1108">
        <v>58</v>
      </c>
      <c r="I1108">
        <v>1</v>
      </c>
      <c r="J1108">
        <v>20</v>
      </c>
      <c r="K1108">
        <v>25</v>
      </c>
      <c r="L1108" t="s">
        <v>9171</v>
      </c>
      <c r="M1108" t="s">
        <v>9172</v>
      </c>
      <c r="N1108" t="s">
        <v>9173</v>
      </c>
      <c r="O1108" t="s">
        <v>61</v>
      </c>
      <c r="Q1108" t="s">
        <v>61</v>
      </c>
      <c r="R1108" t="s">
        <v>61</v>
      </c>
      <c r="S1108" t="s">
        <v>61</v>
      </c>
      <c r="T1108" t="s">
        <v>61</v>
      </c>
      <c r="X1108" t="s">
        <v>61</v>
      </c>
      <c r="Y1108" s="2">
        <v>812148</v>
      </c>
      <c r="Z1108" t="s">
        <v>61</v>
      </c>
      <c r="AA1108" t="s">
        <v>61</v>
      </c>
      <c r="AB1108">
        <v>2005126199</v>
      </c>
      <c r="AC1108" t="s">
        <v>67</v>
      </c>
      <c r="AD1108" t="s">
        <v>61</v>
      </c>
      <c r="AE1108" t="s">
        <v>61</v>
      </c>
      <c r="AF1108" t="s">
        <v>61</v>
      </c>
      <c r="AG1108" t="s">
        <v>61</v>
      </c>
      <c r="AH1108" t="s">
        <v>61</v>
      </c>
      <c r="AI1108" t="s">
        <v>61</v>
      </c>
      <c r="AJ1108" t="s">
        <v>61</v>
      </c>
      <c r="AK1108" t="s">
        <v>61</v>
      </c>
      <c r="AL1108" t="s">
        <v>61</v>
      </c>
      <c r="AM1108" t="s">
        <v>9170</v>
      </c>
      <c r="AN1108" t="s">
        <v>61</v>
      </c>
      <c r="AO1108" t="s">
        <v>61</v>
      </c>
      <c r="AP1108" t="s">
        <v>61</v>
      </c>
      <c r="AQ1108" t="s">
        <v>61</v>
      </c>
      <c r="AR1108" t="s">
        <v>61</v>
      </c>
      <c r="AS1108" t="s">
        <v>61</v>
      </c>
      <c r="AT1108" t="s">
        <v>61</v>
      </c>
      <c r="AU1108" t="s">
        <v>61</v>
      </c>
      <c r="AV1108" t="s">
        <v>61</v>
      </c>
      <c r="AW1108" t="s">
        <v>61</v>
      </c>
      <c r="AX1108" t="s">
        <v>61</v>
      </c>
      <c r="AY1108" t="s">
        <v>61</v>
      </c>
      <c r="AZ1108" t="s">
        <v>61</v>
      </c>
      <c r="BA1108" t="s">
        <v>61</v>
      </c>
      <c r="BB1108" t="s">
        <v>61</v>
      </c>
      <c r="BC1108" t="s">
        <v>61</v>
      </c>
      <c r="BD1108" t="s">
        <v>61</v>
      </c>
      <c r="BE1108" t="s">
        <v>61</v>
      </c>
      <c r="BF1108" t="s">
        <v>61</v>
      </c>
    </row>
    <row r="1109" spans="1:58">
      <c r="A1109" t="s">
        <v>58</v>
      </c>
      <c r="B1109" t="s">
        <v>9174</v>
      </c>
      <c r="C1109" t="s">
        <v>9175</v>
      </c>
      <c r="D1109" t="s">
        <v>4422</v>
      </c>
      <c r="E1109" t="s">
        <v>61</v>
      </c>
      <c r="F1109">
        <v>2005</v>
      </c>
      <c r="G1109" t="s">
        <v>119</v>
      </c>
      <c r="H1109">
        <v>21</v>
      </c>
      <c r="I1109">
        <v>3</v>
      </c>
      <c r="J1109">
        <v>152</v>
      </c>
      <c r="K1109">
        <v>157</v>
      </c>
      <c r="L1109" t="s">
        <v>9176</v>
      </c>
      <c r="M1109" t="s">
        <v>9177</v>
      </c>
      <c r="N1109" t="s">
        <v>9178</v>
      </c>
      <c r="O1109" t="s">
        <v>61</v>
      </c>
      <c r="Q1109" t="s">
        <v>61</v>
      </c>
      <c r="R1109" t="s">
        <v>61</v>
      </c>
      <c r="S1109" t="s">
        <v>61</v>
      </c>
      <c r="T1109" t="s">
        <v>61</v>
      </c>
      <c r="X1109" t="s">
        <v>61</v>
      </c>
      <c r="Y1109" t="s">
        <v>4426</v>
      </c>
      <c r="Z1109" t="s">
        <v>61</v>
      </c>
      <c r="AA1109" t="s">
        <v>9179</v>
      </c>
      <c r="AB1109">
        <v>15898850</v>
      </c>
      <c r="AC1109" t="s">
        <v>67</v>
      </c>
      <c r="AD1109" t="s">
        <v>61</v>
      </c>
      <c r="AE1109" t="s">
        <v>61</v>
      </c>
      <c r="AF1109" t="s">
        <v>61</v>
      </c>
      <c r="AG1109" t="s">
        <v>9180</v>
      </c>
      <c r="AH1109" t="s">
        <v>61</v>
      </c>
      <c r="AI1109" t="s">
        <v>61</v>
      </c>
      <c r="AJ1109" t="s">
        <v>61</v>
      </c>
      <c r="AK1109" t="s">
        <v>61</v>
      </c>
      <c r="AL1109" t="s">
        <v>61</v>
      </c>
      <c r="AM1109" t="s">
        <v>9181</v>
      </c>
      <c r="AN1109" t="s">
        <v>61</v>
      </c>
      <c r="AO1109" t="s">
        <v>61</v>
      </c>
      <c r="AP1109" t="s">
        <v>61</v>
      </c>
      <c r="AQ1109" t="s">
        <v>61</v>
      </c>
      <c r="AR1109" t="s">
        <v>61</v>
      </c>
      <c r="AS1109" t="s">
        <v>61</v>
      </c>
      <c r="AT1109" t="s">
        <v>61</v>
      </c>
      <c r="AU1109" t="s">
        <v>61</v>
      </c>
      <c r="AV1109" t="s">
        <v>61</v>
      </c>
      <c r="AW1109" t="s">
        <v>61</v>
      </c>
      <c r="AX1109" t="s">
        <v>61</v>
      </c>
      <c r="AY1109" t="s">
        <v>61</v>
      </c>
      <c r="AZ1109" t="s">
        <v>61</v>
      </c>
      <c r="BA1109" t="s">
        <v>61</v>
      </c>
      <c r="BB1109" t="s">
        <v>61</v>
      </c>
      <c r="BC1109" t="s">
        <v>61</v>
      </c>
      <c r="BD1109" t="s">
        <v>61</v>
      </c>
      <c r="BE1109" t="s">
        <v>61</v>
      </c>
      <c r="BF1109" t="s">
        <v>61</v>
      </c>
    </row>
    <row r="1110" spans="1:58">
      <c r="A1110" t="s">
        <v>58</v>
      </c>
      <c r="B1110" t="s">
        <v>9182</v>
      </c>
      <c r="C1110" t="s">
        <v>9183</v>
      </c>
      <c r="D1110" t="s">
        <v>2369</v>
      </c>
      <c r="E1110" t="s">
        <v>61</v>
      </c>
      <c r="F1110">
        <v>2010</v>
      </c>
      <c r="G1110" t="s">
        <v>61</v>
      </c>
      <c r="H1110">
        <v>30</v>
      </c>
      <c r="I1110">
        <v>5</v>
      </c>
      <c r="J1110">
        <v>289</v>
      </c>
      <c r="K1110">
        <v>300</v>
      </c>
      <c r="L1110" t="s">
        <v>9184</v>
      </c>
      <c r="M1110" t="s">
        <v>9185</v>
      </c>
      <c r="N1110" t="s">
        <v>9186</v>
      </c>
      <c r="O1110" t="s">
        <v>61</v>
      </c>
      <c r="Q1110" t="s">
        <v>61</v>
      </c>
      <c r="R1110" t="s">
        <v>61</v>
      </c>
      <c r="S1110" t="s">
        <v>61</v>
      </c>
      <c r="T1110" t="s">
        <v>61</v>
      </c>
      <c r="X1110" t="s">
        <v>61</v>
      </c>
      <c r="Y1110" t="s">
        <v>9187</v>
      </c>
      <c r="Z1110" t="s">
        <v>61</v>
      </c>
      <c r="AA1110" t="s">
        <v>9188</v>
      </c>
      <c r="AB1110">
        <v>20384385</v>
      </c>
      <c r="AC1110" t="s">
        <v>67</v>
      </c>
      <c r="AD1110" t="s">
        <v>61</v>
      </c>
      <c r="AE1110" t="s">
        <v>61</v>
      </c>
      <c r="AF1110" t="s">
        <v>61</v>
      </c>
      <c r="AG1110" t="s">
        <v>9189</v>
      </c>
      <c r="AH1110" t="s">
        <v>61</v>
      </c>
      <c r="AI1110" t="s">
        <v>9190</v>
      </c>
      <c r="AJ1110" t="s">
        <v>61</v>
      </c>
      <c r="AK1110" t="s">
        <v>61</v>
      </c>
      <c r="AL1110" t="s">
        <v>61</v>
      </c>
      <c r="AM1110" t="s">
        <v>9191</v>
      </c>
      <c r="AN1110" t="s">
        <v>61</v>
      </c>
      <c r="AO1110" t="s">
        <v>61</v>
      </c>
      <c r="AP1110" t="s">
        <v>61</v>
      </c>
      <c r="AQ1110" t="s">
        <v>61</v>
      </c>
      <c r="AR1110" t="s">
        <v>61</v>
      </c>
      <c r="AS1110" t="s">
        <v>61</v>
      </c>
      <c r="AT1110" t="s">
        <v>61</v>
      </c>
      <c r="AU1110" t="s">
        <v>61</v>
      </c>
      <c r="AV1110" t="s">
        <v>61</v>
      </c>
      <c r="AW1110" t="s">
        <v>61</v>
      </c>
      <c r="AX1110" t="s">
        <v>61</v>
      </c>
      <c r="AY1110" t="s">
        <v>61</v>
      </c>
      <c r="AZ1110" t="s">
        <v>61</v>
      </c>
      <c r="BA1110" t="s">
        <v>61</v>
      </c>
      <c r="BB1110" t="s">
        <v>61</v>
      </c>
      <c r="BC1110" t="s">
        <v>61</v>
      </c>
      <c r="BD1110" t="s">
        <v>61</v>
      </c>
      <c r="BE1110" t="s">
        <v>61</v>
      </c>
      <c r="BF1110" t="s">
        <v>61</v>
      </c>
    </row>
    <row r="1111" spans="1:58">
      <c r="A1111" t="s">
        <v>58</v>
      </c>
      <c r="B1111" t="s">
        <v>9192</v>
      </c>
      <c r="C1111" t="s">
        <v>9193</v>
      </c>
      <c r="D1111" t="s">
        <v>9194</v>
      </c>
      <c r="E1111" t="s">
        <v>9195</v>
      </c>
      <c r="F1111">
        <v>2013</v>
      </c>
      <c r="G1111" t="s">
        <v>61</v>
      </c>
      <c r="H1111">
        <v>27</v>
      </c>
      <c r="I1111">
        <v>2</v>
      </c>
      <c r="J1111">
        <v>67</v>
      </c>
      <c r="K1111">
        <v>70</v>
      </c>
      <c r="L1111" t="s">
        <v>9196</v>
      </c>
      <c r="M1111" t="s">
        <v>61</v>
      </c>
      <c r="N1111" t="s">
        <v>9197</v>
      </c>
      <c r="O1111" t="s">
        <v>61</v>
      </c>
      <c r="Q1111" t="s">
        <v>61</v>
      </c>
      <c r="R1111" t="s">
        <v>61</v>
      </c>
      <c r="S1111" t="s">
        <v>61</v>
      </c>
      <c r="T1111" t="s">
        <v>61</v>
      </c>
      <c r="X1111" t="s">
        <v>61</v>
      </c>
      <c r="Y1111" t="s">
        <v>9198</v>
      </c>
      <c r="Z1111" t="s">
        <v>61</v>
      </c>
      <c r="AA1111" t="s">
        <v>61</v>
      </c>
      <c r="AB1111" t="s">
        <v>61</v>
      </c>
      <c r="AC1111" t="s">
        <v>67</v>
      </c>
      <c r="AD1111" t="s">
        <v>61</v>
      </c>
      <c r="AE1111" t="s">
        <v>61</v>
      </c>
      <c r="AF1111" t="s">
        <v>61</v>
      </c>
      <c r="AG1111" t="s">
        <v>9199</v>
      </c>
      <c r="AH1111" t="s">
        <v>61</v>
      </c>
      <c r="AI1111" t="s">
        <v>61</v>
      </c>
      <c r="AJ1111" t="s">
        <v>61</v>
      </c>
      <c r="AK1111" t="s">
        <v>61</v>
      </c>
      <c r="AL1111" t="s">
        <v>61</v>
      </c>
      <c r="AM1111" t="s">
        <v>9200</v>
      </c>
      <c r="AN1111" t="s">
        <v>61</v>
      </c>
      <c r="AO1111" t="s">
        <v>61</v>
      </c>
      <c r="AP1111" t="s">
        <v>61</v>
      </c>
      <c r="AQ1111" t="s">
        <v>61</v>
      </c>
      <c r="AR1111" t="s">
        <v>61</v>
      </c>
      <c r="AS1111" t="s">
        <v>61</v>
      </c>
      <c r="AT1111" t="s">
        <v>61</v>
      </c>
      <c r="AU1111" t="s">
        <v>61</v>
      </c>
      <c r="AV1111" t="s">
        <v>61</v>
      </c>
      <c r="AW1111" t="s">
        <v>61</v>
      </c>
      <c r="AX1111" t="s">
        <v>61</v>
      </c>
      <c r="AY1111" t="s">
        <v>61</v>
      </c>
      <c r="AZ1111" t="s">
        <v>61</v>
      </c>
      <c r="BA1111" t="s">
        <v>61</v>
      </c>
      <c r="BB1111" t="s">
        <v>61</v>
      </c>
      <c r="BC1111" t="s">
        <v>61</v>
      </c>
      <c r="BD1111" t="s">
        <v>61</v>
      </c>
      <c r="BE1111" t="s">
        <v>61</v>
      </c>
      <c r="BF1111" t="s">
        <v>61</v>
      </c>
    </row>
    <row r="1112" spans="1:58">
      <c r="A1112" t="s">
        <v>58</v>
      </c>
      <c r="B1112" t="s">
        <v>9201</v>
      </c>
      <c r="C1112" t="s">
        <v>9202</v>
      </c>
      <c r="D1112" t="s">
        <v>3469</v>
      </c>
      <c r="E1112" t="s">
        <v>61</v>
      </c>
      <c r="F1112">
        <v>1992</v>
      </c>
      <c r="G1112" t="s">
        <v>273</v>
      </c>
      <c r="H1112">
        <v>19</v>
      </c>
      <c r="I1112">
        <v>1</v>
      </c>
      <c r="J1112">
        <v>43</v>
      </c>
      <c r="K1112">
        <v>60</v>
      </c>
      <c r="L1112" t="s">
        <v>9203</v>
      </c>
      <c r="M1112" t="s">
        <v>9204</v>
      </c>
      <c r="N1112" t="s">
        <v>9205</v>
      </c>
      <c r="O1112" t="s">
        <v>61</v>
      </c>
      <c r="Q1112" t="s">
        <v>61</v>
      </c>
      <c r="R1112" t="s">
        <v>61</v>
      </c>
      <c r="S1112" t="s">
        <v>61</v>
      </c>
      <c r="T1112" t="s">
        <v>61</v>
      </c>
      <c r="X1112" t="s">
        <v>61</v>
      </c>
      <c r="Y1112" t="s">
        <v>9206</v>
      </c>
      <c r="Z1112" t="s">
        <v>61</v>
      </c>
      <c r="AA1112" t="s">
        <v>61</v>
      </c>
      <c r="AB1112">
        <v>1298948</v>
      </c>
      <c r="AC1112" t="s">
        <v>67</v>
      </c>
      <c r="AD1112" t="s">
        <v>61</v>
      </c>
      <c r="AE1112" t="s">
        <v>61</v>
      </c>
      <c r="AF1112" t="s">
        <v>61</v>
      </c>
      <c r="AG1112" t="s">
        <v>9207</v>
      </c>
      <c r="AH1112" t="s">
        <v>61</v>
      </c>
      <c r="AI1112" t="s">
        <v>61</v>
      </c>
      <c r="AJ1112" t="s">
        <v>61</v>
      </c>
      <c r="AK1112" t="s">
        <v>61</v>
      </c>
      <c r="AL1112" t="s">
        <v>61</v>
      </c>
      <c r="AM1112" t="s">
        <v>9208</v>
      </c>
      <c r="AN1112" t="s">
        <v>61</v>
      </c>
      <c r="AO1112" t="s">
        <v>61</v>
      </c>
      <c r="AP1112" t="s">
        <v>61</v>
      </c>
      <c r="AQ1112" t="s">
        <v>61</v>
      </c>
      <c r="AR1112" t="s">
        <v>61</v>
      </c>
      <c r="AS1112" t="s">
        <v>61</v>
      </c>
      <c r="AT1112" t="s">
        <v>61</v>
      </c>
      <c r="AU1112" t="s">
        <v>61</v>
      </c>
      <c r="AV1112" t="s">
        <v>61</v>
      </c>
      <c r="AW1112" t="s">
        <v>61</v>
      </c>
      <c r="AX1112" t="s">
        <v>61</v>
      </c>
      <c r="AY1112" t="s">
        <v>61</v>
      </c>
      <c r="AZ1112" t="s">
        <v>61</v>
      </c>
      <c r="BA1112" t="s">
        <v>61</v>
      </c>
      <c r="BB1112" t="s">
        <v>61</v>
      </c>
      <c r="BC1112" t="s">
        <v>61</v>
      </c>
      <c r="BD1112" t="s">
        <v>61</v>
      </c>
      <c r="BE1112" t="s">
        <v>61</v>
      </c>
      <c r="BF1112" t="s">
        <v>61</v>
      </c>
    </row>
    <row r="1113" spans="1:58">
      <c r="A1113" t="s">
        <v>58</v>
      </c>
      <c r="B1113" t="s">
        <v>9209</v>
      </c>
      <c r="C1113" t="s">
        <v>9210</v>
      </c>
      <c r="D1113" t="s">
        <v>9211</v>
      </c>
      <c r="E1113" t="s">
        <v>9212</v>
      </c>
      <c r="F1113">
        <v>2010</v>
      </c>
      <c r="G1113">
        <v>13</v>
      </c>
      <c r="H1113" t="s">
        <v>9213</v>
      </c>
      <c r="I1113" t="s">
        <v>61</v>
      </c>
      <c r="J1113">
        <v>199</v>
      </c>
      <c r="K1113" t="s">
        <v>61</v>
      </c>
      <c r="L1113" t="s">
        <v>9214</v>
      </c>
      <c r="M1113" t="s">
        <v>9215</v>
      </c>
      <c r="N1113" t="s">
        <v>9216</v>
      </c>
      <c r="O1113" t="s">
        <v>61</v>
      </c>
      <c r="Q1113" t="s">
        <v>61</v>
      </c>
      <c r="R1113" t="s">
        <v>61</v>
      </c>
      <c r="S1113" t="s">
        <v>61</v>
      </c>
      <c r="T1113" t="s">
        <v>61</v>
      </c>
      <c r="X1113" t="s">
        <v>61</v>
      </c>
      <c r="Y1113" t="s">
        <v>9217</v>
      </c>
      <c r="Z1113" t="s">
        <v>61</v>
      </c>
      <c r="AA1113" t="s">
        <v>61</v>
      </c>
      <c r="AB1113" t="s">
        <v>61</v>
      </c>
      <c r="AC1113" t="s">
        <v>67</v>
      </c>
      <c r="AD1113" t="s">
        <v>61</v>
      </c>
      <c r="AE1113" t="s">
        <v>61</v>
      </c>
      <c r="AF1113" t="s">
        <v>61</v>
      </c>
      <c r="AG1113" t="s">
        <v>61</v>
      </c>
      <c r="AH1113" t="s">
        <v>61</v>
      </c>
      <c r="AI1113" t="s">
        <v>61</v>
      </c>
      <c r="AJ1113" t="s">
        <v>61</v>
      </c>
      <c r="AK1113" t="s">
        <v>61</v>
      </c>
      <c r="AL1113" t="s">
        <v>61</v>
      </c>
      <c r="AM1113" t="s">
        <v>9210</v>
      </c>
      <c r="AN1113" t="s">
        <v>61</v>
      </c>
      <c r="AO1113" t="s">
        <v>61</v>
      </c>
      <c r="AP1113" t="s">
        <v>61</v>
      </c>
      <c r="AQ1113" t="s">
        <v>61</v>
      </c>
      <c r="AR1113" t="s">
        <v>61</v>
      </c>
      <c r="AS1113" t="s">
        <v>61</v>
      </c>
      <c r="AT1113" t="s">
        <v>61</v>
      </c>
      <c r="AU1113" t="s">
        <v>61</v>
      </c>
      <c r="AV1113" t="s">
        <v>61</v>
      </c>
      <c r="AW1113" t="s">
        <v>61</v>
      </c>
      <c r="AX1113" t="s">
        <v>61</v>
      </c>
      <c r="AY1113" t="s">
        <v>61</v>
      </c>
      <c r="AZ1113" t="s">
        <v>61</v>
      </c>
      <c r="BA1113" t="s">
        <v>61</v>
      </c>
      <c r="BB1113" t="s">
        <v>61</v>
      </c>
      <c r="BC1113" t="s">
        <v>61</v>
      </c>
      <c r="BD1113" t="s">
        <v>61</v>
      </c>
      <c r="BE1113" t="s">
        <v>61</v>
      </c>
      <c r="BF1113" t="s">
        <v>61</v>
      </c>
    </row>
    <row r="1114" spans="1:58">
      <c r="A1114" t="s">
        <v>58</v>
      </c>
      <c r="B1114" t="s">
        <v>9218</v>
      </c>
      <c r="C1114" t="s">
        <v>9219</v>
      </c>
      <c r="D1114" t="s">
        <v>3593</v>
      </c>
      <c r="E1114" t="s">
        <v>61</v>
      </c>
      <c r="F1114">
        <v>2011</v>
      </c>
      <c r="G1114" t="s">
        <v>457</v>
      </c>
      <c r="H1114" t="s">
        <v>3594</v>
      </c>
      <c r="I1114" t="s">
        <v>61</v>
      </c>
      <c r="J1114">
        <v>35</v>
      </c>
      <c r="K1114" t="s">
        <v>61</v>
      </c>
      <c r="L1114" t="s">
        <v>9220</v>
      </c>
      <c r="M1114" t="s">
        <v>9221</v>
      </c>
      <c r="N1114" t="s">
        <v>9222</v>
      </c>
      <c r="O1114" t="s">
        <v>61</v>
      </c>
      <c r="Q1114" t="s">
        <v>61</v>
      </c>
      <c r="R1114" t="s">
        <v>61</v>
      </c>
      <c r="S1114" t="s">
        <v>61</v>
      </c>
      <c r="T1114" t="s">
        <v>61</v>
      </c>
      <c r="X1114" t="s">
        <v>61</v>
      </c>
      <c r="Y1114" t="s">
        <v>3598</v>
      </c>
      <c r="Z1114" t="s">
        <v>61</v>
      </c>
      <c r="AA1114" t="s">
        <v>61</v>
      </c>
      <c r="AB1114" t="s">
        <v>61</v>
      </c>
      <c r="AC1114" t="s">
        <v>67</v>
      </c>
      <c r="AD1114" t="s">
        <v>61</v>
      </c>
      <c r="AE1114" t="s">
        <v>61</v>
      </c>
      <c r="AF1114" t="s">
        <v>61</v>
      </c>
      <c r="AG1114" t="s">
        <v>61</v>
      </c>
      <c r="AH1114" t="s">
        <v>61</v>
      </c>
      <c r="AI1114" t="s">
        <v>61</v>
      </c>
      <c r="AJ1114" t="s">
        <v>61</v>
      </c>
      <c r="AK1114" t="s">
        <v>61</v>
      </c>
      <c r="AL1114" t="s">
        <v>61</v>
      </c>
      <c r="AM1114" t="s">
        <v>9219</v>
      </c>
      <c r="AN1114" t="s">
        <v>61</v>
      </c>
      <c r="AO1114" t="s">
        <v>61</v>
      </c>
      <c r="AP1114" t="s">
        <v>61</v>
      </c>
      <c r="AQ1114" t="s">
        <v>61</v>
      </c>
      <c r="AR1114" t="s">
        <v>61</v>
      </c>
      <c r="AS1114" t="s">
        <v>61</v>
      </c>
      <c r="AT1114" t="s">
        <v>61</v>
      </c>
      <c r="AU1114" t="s">
        <v>61</v>
      </c>
      <c r="AV1114" t="s">
        <v>61</v>
      </c>
      <c r="AW1114" t="s">
        <v>61</v>
      </c>
      <c r="AX1114" t="s">
        <v>61</v>
      </c>
      <c r="AY1114" t="s">
        <v>61</v>
      </c>
      <c r="AZ1114" t="s">
        <v>61</v>
      </c>
      <c r="BA1114" t="s">
        <v>61</v>
      </c>
      <c r="BB1114" t="s">
        <v>61</v>
      </c>
      <c r="BC1114" t="s">
        <v>61</v>
      </c>
      <c r="BD1114" t="s">
        <v>61</v>
      </c>
      <c r="BE1114" t="s">
        <v>61</v>
      </c>
      <c r="BF1114" t="s">
        <v>61</v>
      </c>
    </row>
    <row r="1115" spans="1:58">
      <c r="A1115" t="s">
        <v>58</v>
      </c>
      <c r="B1115" t="s">
        <v>9223</v>
      </c>
      <c r="C1115" t="s">
        <v>9224</v>
      </c>
      <c r="D1115" t="s">
        <v>9225</v>
      </c>
      <c r="E1115" t="s">
        <v>9226</v>
      </c>
      <c r="F1115">
        <v>2014</v>
      </c>
      <c r="G1115" s="1">
        <v>42648</v>
      </c>
      <c r="H1115">
        <v>740</v>
      </c>
      <c r="I1115" t="s">
        <v>61</v>
      </c>
      <c r="J1115">
        <v>464</v>
      </c>
      <c r="K1115">
        <v>473</v>
      </c>
      <c r="L1115" t="s">
        <v>9227</v>
      </c>
      <c r="M1115" t="s">
        <v>9228</v>
      </c>
      <c r="N1115" t="s">
        <v>9229</v>
      </c>
      <c r="O1115" t="s">
        <v>61</v>
      </c>
      <c r="Q1115" t="s">
        <v>61</v>
      </c>
      <c r="R1115" t="s">
        <v>61</v>
      </c>
      <c r="S1115" t="s">
        <v>61</v>
      </c>
      <c r="T1115" t="s">
        <v>61</v>
      </c>
      <c r="X1115" t="s">
        <v>61</v>
      </c>
      <c r="Y1115" t="s">
        <v>9230</v>
      </c>
      <c r="Z1115" t="s">
        <v>61</v>
      </c>
      <c r="AA1115" t="s">
        <v>9231</v>
      </c>
      <c r="AB1115">
        <v>24991789</v>
      </c>
      <c r="AC1115" t="s">
        <v>67</v>
      </c>
      <c r="AD1115" t="s">
        <v>61</v>
      </c>
      <c r="AE1115" t="s">
        <v>61</v>
      </c>
      <c r="AF1115" t="s">
        <v>61</v>
      </c>
      <c r="AG1115" t="s">
        <v>9232</v>
      </c>
      <c r="AH1115" t="s">
        <v>61</v>
      </c>
      <c r="AI1115" t="s">
        <v>9233</v>
      </c>
      <c r="AJ1115" t="s">
        <v>61</v>
      </c>
      <c r="AK1115" t="s">
        <v>61</v>
      </c>
      <c r="AL1115" t="s">
        <v>61</v>
      </c>
      <c r="AM1115" t="s">
        <v>9234</v>
      </c>
      <c r="AN1115" t="s">
        <v>61</v>
      </c>
      <c r="AO1115" t="s">
        <v>61</v>
      </c>
      <c r="AP1115" t="s">
        <v>61</v>
      </c>
      <c r="AQ1115" t="s">
        <v>61</v>
      </c>
      <c r="AR1115" t="s">
        <v>61</v>
      </c>
      <c r="AS1115" t="s">
        <v>61</v>
      </c>
      <c r="AT1115" t="s">
        <v>61</v>
      </c>
      <c r="AU1115" t="s">
        <v>61</v>
      </c>
      <c r="AV1115" t="s">
        <v>61</v>
      </c>
      <c r="AW1115" t="s">
        <v>61</v>
      </c>
      <c r="AX1115" t="s">
        <v>61</v>
      </c>
      <c r="AY1115" t="s">
        <v>61</v>
      </c>
      <c r="AZ1115" t="s">
        <v>61</v>
      </c>
      <c r="BA1115" t="s">
        <v>61</v>
      </c>
      <c r="BB1115" t="s">
        <v>61</v>
      </c>
      <c r="BC1115" t="s">
        <v>61</v>
      </c>
      <c r="BD1115" t="s">
        <v>61</v>
      </c>
      <c r="BE1115" t="s">
        <v>61</v>
      </c>
      <c r="BF1115" t="s">
        <v>61</v>
      </c>
    </row>
    <row r="1116" spans="1:58">
      <c r="A1116" t="s">
        <v>58</v>
      </c>
      <c r="B1116" t="s">
        <v>9235</v>
      </c>
      <c r="C1116" t="s">
        <v>9236</v>
      </c>
      <c r="D1116" t="s">
        <v>9237</v>
      </c>
      <c r="E1116" t="s">
        <v>61</v>
      </c>
      <c r="F1116">
        <v>2010</v>
      </c>
      <c r="G1116" t="s">
        <v>1396</v>
      </c>
      <c r="H1116">
        <v>9</v>
      </c>
      <c r="I1116">
        <v>4</v>
      </c>
      <c r="J1116">
        <v>203</v>
      </c>
      <c r="K1116">
        <v>212</v>
      </c>
      <c r="L1116" t="s">
        <v>9238</v>
      </c>
      <c r="M1116" t="s">
        <v>9239</v>
      </c>
      <c r="N1116" t="s">
        <v>9240</v>
      </c>
      <c r="O1116" t="s">
        <v>61</v>
      </c>
      <c r="Q1116" t="s">
        <v>61</v>
      </c>
      <c r="R1116" t="s">
        <v>61</v>
      </c>
      <c r="S1116" t="s">
        <v>61</v>
      </c>
      <c r="T1116" t="s">
        <v>61</v>
      </c>
      <c r="X1116" t="s">
        <v>61</v>
      </c>
      <c r="Y1116" t="s">
        <v>9241</v>
      </c>
      <c r="Z1116" t="s">
        <v>61</v>
      </c>
      <c r="AA1116" t="s">
        <v>9242</v>
      </c>
      <c r="AB1116">
        <v>20935418</v>
      </c>
      <c r="AC1116" t="s">
        <v>67</v>
      </c>
      <c r="AD1116" t="s">
        <v>61</v>
      </c>
      <c r="AE1116" t="s">
        <v>61</v>
      </c>
      <c r="AF1116" t="s">
        <v>61</v>
      </c>
      <c r="AG1116" t="s">
        <v>9243</v>
      </c>
      <c r="AH1116" t="s">
        <v>61</v>
      </c>
      <c r="AI1116" t="s">
        <v>9244</v>
      </c>
      <c r="AJ1116" t="s">
        <v>61</v>
      </c>
      <c r="AK1116" t="s">
        <v>61</v>
      </c>
      <c r="AL1116" t="s">
        <v>61</v>
      </c>
      <c r="AM1116" t="s">
        <v>9245</v>
      </c>
      <c r="AN1116" t="s">
        <v>61</v>
      </c>
      <c r="AO1116" t="s">
        <v>61</v>
      </c>
      <c r="AP1116" t="s">
        <v>61</v>
      </c>
      <c r="AQ1116" t="s">
        <v>61</v>
      </c>
      <c r="AR1116" t="s">
        <v>61</v>
      </c>
      <c r="AS1116" t="s">
        <v>61</v>
      </c>
      <c r="AT1116" t="s">
        <v>61</v>
      </c>
      <c r="AU1116" t="s">
        <v>61</v>
      </c>
      <c r="AV1116" t="s">
        <v>61</v>
      </c>
      <c r="AW1116" t="s">
        <v>61</v>
      </c>
      <c r="AX1116" t="s">
        <v>61</v>
      </c>
      <c r="AY1116" t="s">
        <v>61</v>
      </c>
      <c r="AZ1116" t="s">
        <v>61</v>
      </c>
      <c r="BA1116" t="s">
        <v>61</v>
      </c>
      <c r="BB1116" t="s">
        <v>61</v>
      </c>
      <c r="BC1116" t="s">
        <v>61</v>
      </c>
      <c r="BD1116" t="s">
        <v>61</v>
      </c>
      <c r="BE1116" t="s">
        <v>61</v>
      </c>
      <c r="BF1116" t="s">
        <v>61</v>
      </c>
    </row>
    <row r="1117" spans="1:58">
      <c r="A1117" t="s">
        <v>58</v>
      </c>
      <c r="B1117" t="s">
        <v>9246</v>
      </c>
      <c r="C1117" t="s">
        <v>9247</v>
      </c>
      <c r="D1117" t="s">
        <v>937</v>
      </c>
      <c r="E1117" t="s">
        <v>61</v>
      </c>
      <c r="F1117">
        <v>2009</v>
      </c>
      <c r="G1117" t="s">
        <v>457</v>
      </c>
      <c r="H1117" t="s">
        <v>938</v>
      </c>
      <c r="I1117" t="s">
        <v>61</v>
      </c>
      <c r="J1117" t="s">
        <v>939</v>
      </c>
      <c r="K1117" t="s">
        <v>61</v>
      </c>
      <c r="L1117" t="s">
        <v>9248</v>
      </c>
      <c r="M1117" t="s">
        <v>9249</v>
      </c>
      <c r="N1117" t="s">
        <v>9250</v>
      </c>
      <c r="O1117" t="s">
        <v>61</v>
      </c>
      <c r="Q1117" t="s">
        <v>61</v>
      </c>
      <c r="R1117" t="s">
        <v>61</v>
      </c>
      <c r="S1117" t="s">
        <v>61</v>
      </c>
      <c r="T1117" t="s">
        <v>61</v>
      </c>
      <c r="X1117" t="s">
        <v>61</v>
      </c>
      <c r="Y1117" t="s">
        <v>367</v>
      </c>
      <c r="Z1117" t="s">
        <v>61</v>
      </c>
      <c r="AA1117" t="s">
        <v>61</v>
      </c>
      <c r="AB1117" t="s">
        <v>61</v>
      </c>
      <c r="AC1117" t="s">
        <v>67</v>
      </c>
      <c r="AD1117" t="s">
        <v>61</v>
      </c>
      <c r="AE1117" t="s">
        <v>61</v>
      </c>
      <c r="AF1117" t="s">
        <v>61</v>
      </c>
      <c r="AG1117" t="s">
        <v>61</v>
      </c>
      <c r="AH1117" t="s">
        <v>61</v>
      </c>
      <c r="AI1117" t="s">
        <v>61</v>
      </c>
      <c r="AJ1117" t="s">
        <v>61</v>
      </c>
      <c r="AK1117" t="s">
        <v>61</v>
      </c>
      <c r="AL1117" t="s">
        <v>61</v>
      </c>
      <c r="AM1117" t="s">
        <v>9247</v>
      </c>
      <c r="AN1117" t="s">
        <v>61</v>
      </c>
      <c r="AO1117" t="s">
        <v>61</v>
      </c>
      <c r="AP1117" t="s">
        <v>61</v>
      </c>
      <c r="AQ1117" t="s">
        <v>61</v>
      </c>
      <c r="AR1117" t="s">
        <v>61</v>
      </c>
      <c r="AS1117" t="s">
        <v>61</v>
      </c>
      <c r="AT1117" t="s">
        <v>61</v>
      </c>
      <c r="AU1117" t="s">
        <v>61</v>
      </c>
      <c r="AV1117" t="s">
        <v>61</v>
      </c>
      <c r="AW1117" t="s">
        <v>61</v>
      </c>
      <c r="AX1117" t="s">
        <v>61</v>
      </c>
      <c r="AY1117" t="s">
        <v>61</v>
      </c>
      <c r="AZ1117" t="s">
        <v>61</v>
      </c>
      <c r="BA1117" t="s">
        <v>61</v>
      </c>
      <c r="BB1117" t="s">
        <v>61</v>
      </c>
      <c r="BC1117" t="s">
        <v>61</v>
      </c>
      <c r="BD1117" t="s">
        <v>61</v>
      </c>
      <c r="BE1117" t="s">
        <v>61</v>
      </c>
      <c r="BF1117" t="s">
        <v>61</v>
      </c>
    </row>
    <row r="1118" spans="1:58">
      <c r="A1118" t="s">
        <v>58</v>
      </c>
      <c r="B1118" t="s">
        <v>9251</v>
      </c>
      <c r="C1118" t="s">
        <v>9252</v>
      </c>
      <c r="D1118" t="s">
        <v>804</v>
      </c>
      <c r="E1118" t="s">
        <v>805</v>
      </c>
      <c r="F1118">
        <v>2006</v>
      </c>
      <c r="G1118" t="s">
        <v>559</v>
      </c>
      <c r="H1118">
        <v>60</v>
      </c>
      <c r="I1118">
        <v>5</v>
      </c>
      <c r="J1118">
        <v>565</v>
      </c>
      <c r="K1118">
        <v>570</v>
      </c>
      <c r="L1118" t="s">
        <v>9253</v>
      </c>
      <c r="M1118" t="s">
        <v>9254</v>
      </c>
      <c r="N1118" t="s">
        <v>9255</v>
      </c>
      <c r="O1118" t="s">
        <v>61</v>
      </c>
      <c r="Q1118" t="s">
        <v>61</v>
      </c>
      <c r="R1118" t="s">
        <v>61</v>
      </c>
      <c r="S1118" t="s">
        <v>61</v>
      </c>
      <c r="T1118" t="s">
        <v>61</v>
      </c>
      <c r="X1118" t="s">
        <v>61</v>
      </c>
      <c r="Y1118" t="s">
        <v>9256</v>
      </c>
      <c r="Z1118" t="s">
        <v>61</v>
      </c>
      <c r="AA1118" t="s">
        <v>9257</v>
      </c>
      <c r="AB1118">
        <v>16700856</v>
      </c>
      <c r="AC1118" t="s">
        <v>67</v>
      </c>
      <c r="AD1118" t="s">
        <v>61</v>
      </c>
      <c r="AE1118" t="s">
        <v>61</v>
      </c>
      <c r="AF1118" t="s">
        <v>61</v>
      </c>
      <c r="AG1118" t="s">
        <v>9258</v>
      </c>
      <c r="AH1118" t="s">
        <v>61</v>
      </c>
      <c r="AI1118" t="s">
        <v>61</v>
      </c>
      <c r="AJ1118" t="s">
        <v>61</v>
      </c>
      <c r="AK1118" t="s">
        <v>61</v>
      </c>
      <c r="AL1118" t="s">
        <v>61</v>
      </c>
      <c r="AM1118" t="s">
        <v>9259</v>
      </c>
      <c r="AN1118" t="s">
        <v>61</v>
      </c>
      <c r="AO1118" t="s">
        <v>61</v>
      </c>
      <c r="AP1118" t="s">
        <v>61</v>
      </c>
      <c r="AQ1118" t="s">
        <v>61</v>
      </c>
      <c r="AR1118" t="s">
        <v>61</v>
      </c>
      <c r="AS1118" t="s">
        <v>61</v>
      </c>
      <c r="AT1118" t="s">
        <v>61</v>
      </c>
      <c r="AU1118" t="s">
        <v>61</v>
      </c>
      <c r="AV1118" t="s">
        <v>61</v>
      </c>
      <c r="AW1118" t="s">
        <v>61</v>
      </c>
      <c r="AX1118" t="s">
        <v>61</v>
      </c>
      <c r="AY1118" t="s">
        <v>61</v>
      </c>
      <c r="AZ1118" t="s">
        <v>61</v>
      </c>
      <c r="BA1118" t="s">
        <v>61</v>
      </c>
      <c r="BB1118" t="s">
        <v>61</v>
      </c>
      <c r="BC1118" t="s">
        <v>61</v>
      </c>
      <c r="BD1118" t="s">
        <v>61</v>
      </c>
      <c r="BE1118" t="s">
        <v>61</v>
      </c>
      <c r="BF1118" t="s">
        <v>61</v>
      </c>
    </row>
    <row r="1119" spans="1:58">
      <c r="A1119" t="s">
        <v>58</v>
      </c>
      <c r="B1119" t="s">
        <v>9260</v>
      </c>
      <c r="C1119" t="s">
        <v>9261</v>
      </c>
      <c r="D1119" t="s">
        <v>627</v>
      </c>
      <c r="E1119" t="s">
        <v>61</v>
      </c>
      <c r="F1119">
        <v>2010</v>
      </c>
      <c r="G1119" t="s">
        <v>628</v>
      </c>
      <c r="H1119">
        <v>50</v>
      </c>
      <c r="I1119">
        <v>2</v>
      </c>
      <c r="J1119">
        <v>300</v>
      </c>
      <c r="K1119" t="s">
        <v>61</v>
      </c>
      <c r="L1119" t="s">
        <v>9262</v>
      </c>
      <c r="M1119" t="s">
        <v>9263</v>
      </c>
      <c r="N1119" t="s">
        <v>9264</v>
      </c>
      <c r="O1119" t="s">
        <v>61</v>
      </c>
      <c r="Q1119" t="s">
        <v>61</v>
      </c>
      <c r="R1119" t="s">
        <v>61</v>
      </c>
      <c r="S1119" t="s">
        <v>61</v>
      </c>
      <c r="T1119" t="s">
        <v>61</v>
      </c>
      <c r="X1119" t="s">
        <v>61</v>
      </c>
      <c r="Y1119" t="s">
        <v>632</v>
      </c>
      <c r="Z1119" t="s">
        <v>61</v>
      </c>
      <c r="AA1119" t="s">
        <v>61</v>
      </c>
      <c r="AB1119" t="s">
        <v>61</v>
      </c>
      <c r="AC1119" t="s">
        <v>67</v>
      </c>
      <c r="AD1119" t="s">
        <v>61</v>
      </c>
      <c r="AE1119" t="s">
        <v>61</v>
      </c>
      <c r="AF1119" t="s">
        <v>61</v>
      </c>
      <c r="AG1119" t="s">
        <v>61</v>
      </c>
      <c r="AH1119" t="s">
        <v>61</v>
      </c>
      <c r="AI1119" t="s">
        <v>61</v>
      </c>
      <c r="AJ1119" t="s">
        <v>61</v>
      </c>
      <c r="AK1119" t="s">
        <v>61</v>
      </c>
      <c r="AL1119" t="s">
        <v>61</v>
      </c>
      <c r="AM1119" t="s">
        <v>9261</v>
      </c>
      <c r="AN1119" t="s">
        <v>61</v>
      </c>
      <c r="AO1119" t="s">
        <v>61</v>
      </c>
      <c r="AP1119" t="s">
        <v>61</v>
      </c>
      <c r="AQ1119" t="s">
        <v>61</v>
      </c>
      <c r="AR1119" t="s">
        <v>61</v>
      </c>
      <c r="AS1119" t="s">
        <v>61</v>
      </c>
      <c r="AT1119" t="s">
        <v>61</v>
      </c>
      <c r="AU1119" t="s">
        <v>61</v>
      </c>
      <c r="AV1119" t="s">
        <v>61</v>
      </c>
      <c r="AW1119" t="s">
        <v>61</v>
      </c>
      <c r="AX1119" t="s">
        <v>61</v>
      </c>
      <c r="AY1119" t="s">
        <v>61</v>
      </c>
      <c r="AZ1119" t="s">
        <v>61</v>
      </c>
      <c r="BA1119" t="s">
        <v>61</v>
      </c>
      <c r="BB1119" t="s">
        <v>61</v>
      </c>
      <c r="BC1119" t="s">
        <v>61</v>
      </c>
      <c r="BD1119" t="s">
        <v>61</v>
      </c>
      <c r="BE1119" t="s">
        <v>61</v>
      </c>
      <c r="BF1119" t="s">
        <v>61</v>
      </c>
    </row>
    <row r="1120" spans="1:58">
      <c r="A1120" t="s">
        <v>58</v>
      </c>
      <c r="B1120" t="s">
        <v>9265</v>
      </c>
      <c r="C1120" t="s">
        <v>9266</v>
      </c>
      <c r="D1120" t="s">
        <v>9267</v>
      </c>
      <c r="E1120" t="s">
        <v>61</v>
      </c>
      <c r="F1120">
        <v>2007</v>
      </c>
      <c r="G1120" t="s">
        <v>61</v>
      </c>
      <c r="H1120">
        <v>8</v>
      </c>
      <c r="I1120">
        <v>3</v>
      </c>
      <c r="J1120" t="s">
        <v>1493</v>
      </c>
      <c r="K1120" t="s">
        <v>9268</v>
      </c>
      <c r="L1120" t="s">
        <v>9269</v>
      </c>
      <c r="M1120" t="s">
        <v>9270</v>
      </c>
      <c r="N1120" t="s">
        <v>9271</v>
      </c>
      <c r="O1120" t="s">
        <v>61</v>
      </c>
      <c r="Q1120" t="s">
        <v>61</v>
      </c>
      <c r="R1120" t="s">
        <v>61</v>
      </c>
      <c r="S1120" t="s">
        <v>61</v>
      </c>
      <c r="T1120" t="s">
        <v>61</v>
      </c>
      <c r="X1120" t="s">
        <v>61</v>
      </c>
      <c r="Y1120" t="s">
        <v>9272</v>
      </c>
      <c r="Z1120" t="s">
        <v>61</v>
      </c>
      <c r="AA1120" t="s">
        <v>9273</v>
      </c>
      <c r="AB1120">
        <v>106198401</v>
      </c>
      <c r="AC1120" t="s">
        <v>67</v>
      </c>
      <c r="AD1120" t="s">
        <v>61</v>
      </c>
      <c r="AE1120" t="s">
        <v>61</v>
      </c>
      <c r="AF1120" t="s">
        <v>61</v>
      </c>
      <c r="AG1120" t="s">
        <v>9274</v>
      </c>
      <c r="AH1120" t="s">
        <v>61</v>
      </c>
      <c r="AI1120" t="s">
        <v>61</v>
      </c>
      <c r="AJ1120" t="s">
        <v>61</v>
      </c>
      <c r="AK1120" t="s">
        <v>61</v>
      </c>
      <c r="AL1120" t="s">
        <v>61</v>
      </c>
      <c r="AM1120" t="s">
        <v>9275</v>
      </c>
      <c r="AN1120" t="s">
        <v>61</v>
      </c>
      <c r="AO1120" t="s">
        <v>61</v>
      </c>
      <c r="AP1120" t="s">
        <v>61</v>
      </c>
      <c r="AQ1120" t="s">
        <v>61</v>
      </c>
      <c r="AR1120" t="s">
        <v>61</v>
      </c>
      <c r="AS1120" t="s">
        <v>61</v>
      </c>
      <c r="AT1120" t="s">
        <v>61</v>
      </c>
      <c r="AU1120" t="s">
        <v>61</v>
      </c>
      <c r="AV1120" t="s">
        <v>61</v>
      </c>
      <c r="AW1120" t="s">
        <v>61</v>
      </c>
      <c r="AX1120" t="s">
        <v>61</v>
      </c>
      <c r="AY1120" t="s">
        <v>61</v>
      </c>
      <c r="AZ1120" t="s">
        <v>61</v>
      </c>
      <c r="BA1120" t="s">
        <v>61</v>
      </c>
      <c r="BB1120" t="s">
        <v>61</v>
      </c>
      <c r="BC1120" t="s">
        <v>61</v>
      </c>
      <c r="BD1120" t="s">
        <v>61</v>
      </c>
      <c r="BE1120" t="s">
        <v>61</v>
      </c>
      <c r="BF1120" t="s">
        <v>61</v>
      </c>
    </row>
    <row r="1121" spans="1:58">
      <c r="A1121" t="s">
        <v>58</v>
      </c>
      <c r="B1121" t="s">
        <v>9276</v>
      </c>
      <c r="C1121" t="s">
        <v>9277</v>
      </c>
      <c r="D1121" t="s">
        <v>7070</v>
      </c>
      <c r="E1121" t="s">
        <v>61</v>
      </c>
      <c r="F1121">
        <v>1969</v>
      </c>
      <c r="G1121" t="s">
        <v>2798</v>
      </c>
      <c r="H1121">
        <v>10</v>
      </c>
      <c r="I1121">
        <v>1</v>
      </c>
      <c r="J1121">
        <v>1</v>
      </c>
      <c r="K1121">
        <v>4</v>
      </c>
      <c r="L1121" t="s">
        <v>9278</v>
      </c>
      <c r="M1121" t="s">
        <v>61</v>
      </c>
      <c r="N1121" t="s">
        <v>9279</v>
      </c>
      <c r="O1121" t="s">
        <v>61</v>
      </c>
      <c r="Q1121" t="s">
        <v>61</v>
      </c>
      <c r="R1121" t="s">
        <v>61</v>
      </c>
      <c r="S1121" t="s">
        <v>61</v>
      </c>
      <c r="T1121" t="s">
        <v>61</v>
      </c>
      <c r="X1121" t="s">
        <v>61</v>
      </c>
      <c r="Y1121" s="2">
        <v>2679665</v>
      </c>
      <c r="Z1121" t="s">
        <v>61</v>
      </c>
      <c r="AA1121" t="s">
        <v>61</v>
      </c>
      <c r="AB1121">
        <v>5812738</v>
      </c>
      <c r="AC1121" t="s">
        <v>67</v>
      </c>
      <c r="AD1121" t="s">
        <v>61</v>
      </c>
      <c r="AE1121" t="s">
        <v>61</v>
      </c>
      <c r="AF1121" t="s">
        <v>61</v>
      </c>
      <c r="AG1121" t="s">
        <v>9280</v>
      </c>
      <c r="AH1121" t="s">
        <v>61</v>
      </c>
      <c r="AI1121" t="s">
        <v>61</v>
      </c>
      <c r="AJ1121" t="s">
        <v>61</v>
      </c>
      <c r="AK1121" t="s">
        <v>61</v>
      </c>
      <c r="AL1121" t="s">
        <v>61</v>
      </c>
      <c r="AM1121" t="s">
        <v>9281</v>
      </c>
      <c r="AN1121" t="s">
        <v>61</v>
      </c>
      <c r="AO1121" t="s">
        <v>61</v>
      </c>
      <c r="AP1121" t="s">
        <v>61</v>
      </c>
      <c r="AQ1121" t="s">
        <v>61</v>
      </c>
      <c r="AR1121" t="s">
        <v>61</v>
      </c>
      <c r="AS1121" t="s">
        <v>61</v>
      </c>
      <c r="AT1121" t="s">
        <v>61</v>
      </c>
      <c r="AU1121" t="s">
        <v>61</v>
      </c>
      <c r="AV1121" t="s">
        <v>61</v>
      </c>
      <c r="AW1121" t="s">
        <v>61</v>
      </c>
      <c r="AX1121" t="s">
        <v>61</v>
      </c>
      <c r="AY1121" t="s">
        <v>61</v>
      </c>
      <c r="AZ1121" t="s">
        <v>61</v>
      </c>
      <c r="BA1121" t="s">
        <v>61</v>
      </c>
      <c r="BB1121" t="s">
        <v>61</v>
      </c>
      <c r="BC1121" t="s">
        <v>61</v>
      </c>
      <c r="BD1121" t="s">
        <v>61</v>
      </c>
      <c r="BE1121" t="s">
        <v>61</v>
      </c>
      <c r="BF1121" t="s">
        <v>61</v>
      </c>
    </row>
    <row r="1122" spans="1:58">
      <c r="A1122" t="s">
        <v>58</v>
      </c>
      <c r="B1122" t="s">
        <v>9282</v>
      </c>
      <c r="C1122" t="s">
        <v>9283</v>
      </c>
      <c r="D1122" t="s">
        <v>60</v>
      </c>
      <c r="E1122" t="s">
        <v>61</v>
      </c>
      <c r="F1122">
        <v>2010</v>
      </c>
      <c r="G1122" t="s">
        <v>61</v>
      </c>
      <c r="H1122">
        <v>67</v>
      </c>
      <c r="I1122">
        <v>16</v>
      </c>
      <c r="J1122">
        <v>1357</v>
      </c>
      <c r="K1122" t="s">
        <v>9284</v>
      </c>
      <c r="L1122" t="s">
        <v>9285</v>
      </c>
      <c r="M1122" t="s">
        <v>9286</v>
      </c>
      <c r="N1122" t="s">
        <v>9287</v>
      </c>
      <c r="O1122" t="s">
        <v>61</v>
      </c>
      <c r="Q1122" t="s">
        <v>61</v>
      </c>
      <c r="R1122" t="s">
        <v>61</v>
      </c>
      <c r="S1122" t="s">
        <v>61</v>
      </c>
      <c r="T1122" t="s">
        <v>61</v>
      </c>
      <c r="X1122" t="s">
        <v>61</v>
      </c>
      <c r="Y1122" t="s">
        <v>66</v>
      </c>
      <c r="Z1122" t="s">
        <v>61</v>
      </c>
      <c r="AA1122" t="s">
        <v>9288</v>
      </c>
      <c r="AB1122">
        <v>105080840</v>
      </c>
      <c r="AC1122" t="s">
        <v>67</v>
      </c>
      <c r="AD1122" t="s">
        <v>61</v>
      </c>
      <c r="AE1122" t="s">
        <v>61</v>
      </c>
      <c r="AF1122" t="s">
        <v>61</v>
      </c>
      <c r="AG1122" t="s">
        <v>9289</v>
      </c>
      <c r="AH1122" t="s">
        <v>61</v>
      </c>
      <c r="AI1122" t="s">
        <v>9290</v>
      </c>
      <c r="AJ1122" t="s">
        <v>61</v>
      </c>
      <c r="AK1122" t="s">
        <v>61</v>
      </c>
      <c r="AL1122" t="s">
        <v>61</v>
      </c>
      <c r="AM1122" t="s">
        <v>9291</v>
      </c>
      <c r="AN1122" t="s">
        <v>61</v>
      </c>
      <c r="AO1122" t="s">
        <v>61</v>
      </c>
      <c r="AP1122" t="s">
        <v>61</v>
      </c>
      <c r="AQ1122" t="s">
        <v>61</v>
      </c>
      <c r="AR1122" t="s">
        <v>61</v>
      </c>
      <c r="AS1122" t="s">
        <v>61</v>
      </c>
      <c r="AT1122" t="s">
        <v>61</v>
      </c>
      <c r="AU1122" t="s">
        <v>61</v>
      </c>
      <c r="AV1122" t="s">
        <v>61</v>
      </c>
      <c r="AW1122" t="s">
        <v>61</v>
      </c>
      <c r="AX1122" t="s">
        <v>61</v>
      </c>
      <c r="AY1122" t="s">
        <v>61</v>
      </c>
      <c r="AZ1122" t="s">
        <v>61</v>
      </c>
      <c r="BA1122" t="s">
        <v>61</v>
      </c>
      <c r="BB1122" t="s">
        <v>61</v>
      </c>
      <c r="BC1122" t="s">
        <v>61</v>
      </c>
      <c r="BD1122" t="s">
        <v>61</v>
      </c>
      <c r="BE1122" t="s">
        <v>61</v>
      </c>
      <c r="BF1122" t="s">
        <v>61</v>
      </c>
    </row>
    <row r="1123" spans="1:58">
      <c r="A1123" t="s">
        <v>58</v>
      </c>
      <c r="B1123" t="s">
        <v>9292</v>
      </c>
      <c r="C1123" t="s">
        <v>9293</v>
      </c>
      <c r="D1123" t="s">
        <v>876</v>
      </c>
      <c r="E1123" t="s">
        <v>877</v>
      </c>
      <c r="F1123">
        <v>2010</v>
      </c>
      <c r="G1123" s="1">
        <v>42536</v>
      </c>
      <c r="H1123">
        <v>74</v>
      </c>
      <c r="I1123">
        <v>5</v>
      </c>
      <c r="J1123">
        <v>15</v>
      </c>
      <c r="K1123" t="s">
        <v>61</v>
      </c>
      <c r="L1123" t="s">
        <v>9294</v>
      </c>
      <c r="M1123" t="s">
        <v>9295</v>
      </c>
      <c r="N1123" t="s">
        <v>9296</v>
      </c>
      <c r="O1123" t="s">
        <v>61</v>
      </c>
      <c r="Q1123" t="s">
        <v>61</v>
      </c>
      <c r="R1123" t="s">
        <v>61</v>
      </c>
      <c r="S1123" t="s">
        <v>61</v>
      </c>
      <c r="T1123" t="s">
        <v>61</v>
      </c>
      <c r="X1123" t="s">
        <v>61</v>
      </c>
      <c r="Y1123" t="s">
        <v>881</v>
      </c>
      <c r="Z1123" t="s">
        <v>61</v>
      </c>
      <c r="AA1123" t="s">
        <v>9297</v>
      </c>
      <c r="AB1123">
        <v>20798796</v>
      </c>
      <c r="AC1123" t="s">
        <v>67</v>
      </c>
      <c r="AD1123" t="s">
        <v>61</v>
      </c>
      <c r="AE1123" t="s">
        <v>61</v>
      </c>
      <c r="AF1123" t="s">
        <v>61</v>
      </c>
      <c r="AG1123" t="s">
        <v>9298</v>
      </c>
      <c r="AH1123" t="s">
        <v>61</v>
      </c>
      <c r="AI1123" t="s">
        <v>61</v>
      </c>
      <c r="AJ1123" t="s">
        <v>61</v>
      </c>
      <c r="AK1123" t="s">
        <v>61</v>
      </c>
      <c r="AL1123" t="s">
        <v>61</v>
      </c>
      <c r="AM1123" t="s">
        <v>9299</v>
      </c>
      <c r="AN1123" t="s">
        <v>61</v>
      </c>
      <c r="AO1123" t="s">
        <v>61</v>
      </c>
      <c r="AP1123" t="s">
        <v>61</v>
      </c>
      <c r="AQ1123" t="s">
        <v>61</v>
      </c>
      <c r="AR1123" t="s">
        <v>61</v>
      </c>
      <c r="AS1123" t="s">
        <v>61</v>
      </c>
      <c r="AT1123" t="s">
        <v>61</v>
      </c>
      <c r="AU1123" t="s">
        <v>61</v>
      </c>
      <c r="AV1123" t="s">
        <v>61</v>
      </c>
      <c r="AW1123" t="s">
        <v>61</v>
      </c>
      <c r="AX1123" t="s">
        <v>61</v>
      </c>
      <c r="AY1123" t="s">
        <v>61</v>
      </c>
      <c r="AZ1123" t="s">
        <v>61</v>
      </c>
      <c r="BA1123" t="s">
        <v>61</v>
      </c>
      <c r="BB1123" t="s">
        <v>61</v>
      </c>
      <c r="BC1123" t="s">
        <v>61</v>
      </c>
      <c r="BD1123" t="s">
        <v>61</v>
      </c>
      <c r="BE1123" t="s">
        <v>61</v>
      </c>
      <c r="BF1123" t="s">
        <v>61</v>
      </c>
    </row>
    <row r="1124" spans="1:58">
      <c r="A1124" t="s">
        <v>58</v>
      </c>
      <c r="B1124" t="s">
        <v>9300</v>
      </c>
      <c r="C1124" t="s">
        <v>9301</v>
      </c>
      <c r="D1124" t="s">
        <v>9302</v>
      </c>
      <c r="E1124" t="s">
        <v>61</v>
      </c>
      <c r="F1124">
        <v>2014</v>
      </c>
      <c r="G1124" t="s">
        <v>61</v>
      </c>
      <c r="H1124">
        <v>6</v>
      </c>
      <c r="I1124">
        <v>5</v>
      </c>
      <c r="J1124">
        <v>128</v>
      </c>
      <c r="K1124">
        <v>135</v>
      </c>
      <c r="L1124" t="s">
        <v>9303</v>
      </c>
      <c r="M1124" t="s">
        <v>9304</v>
      </c>
      <c r="N1124" t="s">
        <v>9305</v>
      </c>
      <c r="O1124" t="s">
        <v>61</v>
      </c>
      <c r="Q1124" t="s">
        <v>61</v>
      </c>
      <c r="R1124" t="s">
        <v>61</v>
      </c>
      <c r="S1124" t="s">
        <v>61</v>
      </c>
      <c r="T1124" t="s">
        <v>61</v>
      </c>
      <c r="X1124" t="s">
        <v>61</v>
      </c>
      <c r="Y1124" t="s">
        <v>9306</v>
      </c>
      <c r="Z1124" t="s">
        <v>61</v>
      </c>
      <c r="AA1124" t="s">
        <v>61</v>
      </c>
      <c r="AB1124">
        <v>2014897518</v>
      </c>
      <c r="AC1124" t="s">
        <v>67</v>
      </c>
      <c r="AD1124" t="s">
        <v>61</v>
      </c>
      <c r="AE1124" t="s">
        <v>61</v>
      </c>
      <c r="AF1124" t="s">
        <v>61</v>
      </c>
      <c r="AG1124" t="s">
        <v>61</v>
      </c>
      <c r="AH1124" t="s">
        <v>61</v>
      </c>
      <c r="AI1124" t="s">
        <v>61</v>
      </c>
      <c r="AJ1124" t="s">
        <v>61</v>
      </c>
      <c r="AK1124" t="s">
        <v>61</v>
      </c>
      <c r="AL1124" t="s">
        <v>61</v>
      </c>
      <c r="AM1124" t="s">
        <v>9301</v>
      </c>
      <c r="AN1124" t="s">
        <v>61</v>
      </c>
      <c r="AO1124" t="s">
        <v>61</v>
      </c>
      <c r="AP1124" t="s">
        <v>61</v>
      </c>
      <c r="AQ1124" t="s">
        <v>61</v>
      </c>
      <c r="AR1124" t="s">
        <v>61</v>
      </c>
      <c r="AS1124" t="s">
        <v>61</v>
      </c>
      <c r="AT1124" t="s">
        <v>61</v>
      </c>
      <c r="AU1124" t="s">
        <v>61</v>
      </c>
      <c r="AV1124" t="s">
        <v>61</v>
      </c>
      <c r="AW1124" t="s">
        <v>61</v>
      </c>
      <c r="AX1124" t="s">
        <v>61</v>
      </c>
      <c r="AY1124" t="s">
        <v>61</v>
      </c>
      <c r="AZ1124" t="s">
        <v>61</v>
      </c>
      <c r="BA1124" t="s">
        <v>61</v>
      </c>
      <c r="BB1124" t="s">
        <v>61</v>
      </c>
      <c r="BC1124" t="s">
        <v>61</v>
      </c>
      <c r="BD1124" t="s">
        <v>61</v>
      </c>
      <c r="BE1124" t="s">
        <v>61</v>
      </c>
      <c r="BF1124" t="s">
        <v>61</v>
      </c>
    </row>
    <row r="1125" spans="1:58">
      <c r="A1125" t="s">
        <v>58</v>
      </c>
      <c r="B1125" t="s">
        <v>9307</v>
      </c>
      <c r="C1125" t="s">
        <v>9308</v>
      </c>
      <c r="D1125" t="s">
        <v>9309</v>
      </c>
      <c r="E1125" t="s">
        <v>61</v>
      </c>
      <c r="F1125">
        <v>2002</v>
      </c>
      <c r="G1125" t="s">
        <v>237</v>
      </c>
      <c r="H1125">
        <v>12</v>
      </c>
      <c r="I1125">
        <v>1</v>
      </c>
      <c r="J1125">
        <v>11</v>
      </c>
      <c r="K1125">
        <v>18</v>
      </c>
      <c r="L1125" t="s">
        <v>9310</v>
      </c>
      <c r="M1125" t="s">
        <v>9311</v>
      </c>
      <c r="N1125" t="s">
        <v>9312</v>
      </c>
      <c r="O1125" t="s">
        <v>61</v>
      </c>
      <c r="Q1125" t="s">
        <v>61</v>
      </c>
      <c r="R1125" t="s">
        <v>61</v>
      </c>
      <c r="S1125" t="s">
        <v>61</v>
      </c>
      <c r="T1125" t="s">
        <v>61</v>
      </c>
      <c r="X1125" t="s">
        <v>61</v>
      </c>
      <c r="Y1125" t="s">
        <v>9313</v>
      </c>
      <c r="Z1125" t="s">
        <v>61</v>
      </c>
      <c r="AA1125" t="s">
        <v>9314</v>
      </c>
      <c r="AB1125">
        <v>12202020</v>
      </c>
      <c r="AC1125" t="s">
        <v>67</v>
      </c>
      <c r="AD1125" t="s">
        <v>61</v>
      </c>
      <c r="AE1125" t="s">
        <v>61</v>
      </c>
      <c r="AF1125" t="s">
        <v>61</v>
      </c>
      <c r="AG1125" t="s">
        <v>9315</v>
      </c>
      <c r="AH1125" t="s">
        <v>61</v>
      </c>
      <c r="AI1125" t="s">
        <v>61</v>
      </c>
      <c r="AJ1125" t="s">
        <v>61</v>
      </c>
      <c r="AK1125" t="s">
        <v>61</v>
      </c>
      <c r="AL1125" t="s">
        <v>61</v>
      </c>
      <c r="AM1125" t="s">
        <v>9316</v>
      </c>
      <c r="AN1125" t="s">
        <v>61</v>
      </c>
      <c r="AO1125" t="s">
        <v>61</v>
      </c>
      <c r="AP1125" t="s">
        <v>61</v>
      </c>
      <c r="AQ1125" t="s">
        <v>61</v>
      </c>
      <c r="AR1125" t="s">
        <v>61</v>
      </c>
      <c r="AS1125" t="s">
        <v>61</v>
      </c>
      <c r="AT1125" t="s">
        <v>61</v>
      </c>
      <c r="AU1125" t="s">
        <v>61</v>
      </c>
      <c r="AV1125" t="s">
        <v>61</v>
      </c>
      <c r="AW1125" t="s">
        <v>61</v>
      </c>
      <c r="AX1125" t="s">
        <v>61</v>
      </c>
      <c r="AY1125" t="s">
        <v>61</v>
      </c>
      <c r="AZ1125" t="s">
        <v>61</v>
      </c>
      <c r="BA1125" t="s">
        <v>61</v>
      </c>
      <c r="BB1125" t="s">
        <v>61</v>
      </c>
      <c r="BC1125" t="s">
        <v>61</v>
      </c>
      <c r="BD1125" t="s">
        <v>61</v>
      </c>
      <c r="BE1125" t="s">
        <v>61</v>
      </c>
      <c r="BF1125" t="s">
        <v>61</v>
      </c>
    </row>
    <row r="1126" spans="1:58">
      <c r="A1126" t="s">
        <v>58</v>
      </c>
      <c r="B1126" t="s">
        <v>9317</v>
      </c>
      <c r="C1126" t="s">
        <v>9318</v>
      </c>
      <c r="D1126" t="s">
        <v>428</v>
      </c>
      <c r="E1126" t="s">
        <v>61</v>
      </c>
      <c r="F1126">
        <v>2011</v>
      </c>
      <c r="G1126" t="s">
        <v>429</v>
      </c>
      <c r="H1126">
        <v>24</v>
      </c>
      <c r="I1126">
        <v>2</v>
      </c>
      <c r="J1126">
        <v>278</v>
      </c>
      <c r="K1126" t="s">
        <v>61</v>
      </c>
      <c r="L1126" t="s">
        <v>9319</v>
      </c>
      <c r="M1126" t="s">
        <v>9320</v>
      </c>
      <c r="N1126" t="s">
        <v>9321</v>
      </c>
      <c r="O1126" t="s">
        <v>61</v>
      </c>
      <c r="Q1126" t="s">
        <v>61</v>
      </c>
      <c r="R1126" t="s">
        <v>61</v>
      </c>
      <c r="S1126" t="s">
        <v>61</v>
      </c>
      <c r="T1126" t="s">
        <v>61</v>
      </c>
      <c r="X1126" t="s">
        <v>61</v>
      </c>
      <c r="Y1126" t="s">
        <v>433</v>
      </c>
      <c r="Z1126" t="s">
        <v>61</v>
      </c>
      <c r="AA1126" t="s">
        <v>61</v>
      </c>
      <c r="AB1126" t="s">
        <v>61</v>
      </c>
      <c r="AC1126" t="s">
        <v>67</v>
      </c>
      <c r="AD1126" t="s">
        <v>61</v>
      </c>
      <c r="AE1126" t="s">
        <v>61</v>
      </c>
      <c r="AF1126" t="s">
        <v>61</v>
      </c>
      <c r="AG1126" t="s">
        <v>61</v>
      </c>
      <c r="AH1126" t="s">
        <v>61</v>
      </c>
      <c r="AI1126" t="s">
        <v>61</v>
      </c>
      <c r="AJ1126" t="s">
        <v>61</v>
      </c>
      <c r="AK1126" t="s">
        <v>61</v>
      </c>
      <c r="AL1126" t="s">
        <v>61</v>
      </c>
      <c r="AM1126" t="s">
        <v>9318</v>
      </c>
      <c r="AN1126" t="s">
        <v>61</v>
      </c>
      <c r="AO1126" t="s">
        <v>61</v>
      </c>
      <c r="AP1126" t="s">
        <v>61</v>
      </c>
      <c r="AQ1126" t="s">
        <v>61</v>
      </c>
      <c r="AR1126" t="s">
        <v>61</v>
      </c>
      <c r="AS1126" t="s">
        <v>61</v>
      </c>
      <c r="AT1126" t="s">
        <v>61</v>
      </c>
      <c r="AU1126" t="s">
        <v>61</v>
      </c>
      <c r="AV1126" t="s">
        <v>61</v>
      </c>
      <c r="AW1126" t="s">
        <v>61</v>
      </c>
      <c r="AX1126" t="s">
        <v>61</v>
      </c>
      <c r="AY1126" t="s">
        <v>61</v>
      </c>
      <c r="AZ1126" t="s">
        <v>61</v>
      </c>
      <c r="BA1126" t="s">
        <v>61</v>
      </c>
      <c r="BB1126" t="s">
        <v>61</v>
      </c>
      <c r="BC1126" t="s">
        <v>61</v>
      </c>
      <c r="BD1126" t="s">
        <v>61</v>
      </c>
      <c r="BE1126" t="s">
        <v>61</v>
      </c>
      <c r="BF1126" t="s">
        <v>61</v>
      </c>
    </row>
    <row r="1127" spans="1:58">
      <c r="A1127" t="s">
        <v>58</v>
      </c>
      <c r="B1127" t="s">
        <v>9322</v>
      </c>
      <c r="C1127" t="s">
        <v>9323</v>
      </c>
      <c r="D1127" t="s">
        <v>1986</v>
      </c>
      <c r="E1127" t="s">
        <v>1987</v>
      </c>
      <c r="F1127">
        <v>2007</v>
      </c>
      <c r="G1127" t="s">
        <v>273</v>
      </c>
      <c r="H1127">
        <v>9</v>
      </c>
      <c r="I1127">
        <v>2</v>
      </c>
      <c r="J1127">
        <v>271</v>
      </c>
      <c r="K1127">
        <v>279</v>
      </c>
      <c r="L1127" t="s">
        <v>9324</v>
      </c>
      <c r="M1127" t="s">
        <v>9325</v>
      </c>
      <c r="N1127" t="s">
        <v>9326</v>
      </c>
      <c r="O1127" t="s">
        <v>61</v>
      </c>
      <c r="Q1127" t="s">
        <v>61</v>
      </c>
      <c r="R1127" t="s">
        <v>61</v>
      </c>
      <c r="S1127" t="s">
        <v>61</v>
      </c>
      <c r="T1127" t="s">
        <v>61</v>
      </c>
      <c r="X1127" t="s">
        <v>61</v>
      </c>
      <c r="Y1127" t="s">
        <v>5553</v>
      </c>
      <c r="Z1127" t="s">
        <v>61</v>
      </c>
      <c r="AA1127" t="s">
        <v>9327</v>
      </c>
      <c r="AB1127">
        <v>17365758</v>
      </c>
      <c r="AC1127" t="s">
        <v>67</v>
      </c>
      <c r="AD1127" t="s">
        <v>61</v>
      </c>
      <c r="AE1127" t="s">
        <v>61</v>
      </c>
      <c r="AF1127" t="s">
        <v>61</v>
      </c>
      <c r="AG1127" t="s">
        <v>9328</v>
      </c>
      <c r="AH1127" t="s">
        <v>61</v>
      </c>
      <c r="AI1127" t="s">
        <v>61</v>
      </c>
      <c r="AJ1127" t="s">
        <v>61</v>
      </c>
      <c r="AK1127" t="s">
        <v>61</v>
      </c>
      <c r="AL1127" t="s">
        <v>61</v>
      </c>
      <c r="AM1127" t="s">
        <v>9329</v>
      </c>
      <c r="AN1127" t="s">
        <v>61</v>
      </c>
      <c r="AO1127" t="s">
        <v>61</v>
      </c>
      <c r="AP1127" t="s">
        <v>61</v>
      </c>
      <c r="AQ1127" t="s">
        <v>61</v>
      </c>
      <c r="AR1127" t="s">
        <v>61</v>
      </c>
      <c r="AS1127" t="s">
        <v>61</v>
      </c>
      <c r="AT1127" t="s">
        <v>61</v>
      </c>
      <c r="AU1127" t="s">
        <v>61</v>
      </c>
      <c r="AV1127" t="s">
        <v>61</v>
      </c>
      <c r="AW1127" t="s">
        <v>61</v>
      </c>
      <c r="AX1127" t="s">
        <v>61</v>
      </c>
      <c r="AY1127" t="s">
        <v>61</v>
      </c>
      <c r="AZ1127" t="s">
        <v>61</v>
      </c>
      <c r="BA1127" t="s">
        <v>61</v>
      </c>
      <c r="BB1127" t="s">
        <v>61</v>
      </c>
      <c r="BC1127" t="s">
        <v>61</v>
      </c>
      <c r="BD1127" t="s">
        <v>61</v>
      </c>
      <c r="BE1127" t="s">
        <v>61</v>
      </c>
      <c r="BF1127" t="s">
        <v>61</v>
      </c>
    </row>
    <row r="1128" spans="1:58">
      <c r="A1128" t="s">
        <v>58</v>
      </c>
      <c r="B1128" t="s">
        <v>9330</v>
      </c>
      <c r="C1128" t="s">
        <v>9331</v>
      </c>
      <c r="D1128" t="s">
        <v>9332</v>
      </c>
      <c r="E1128" t="s">
        <v>61</v>
      </c>
      <c r="F1128">
        <v>2014</v>
      </c>
      <c r="G1128" t="s">
        <v>61</v>
      </c>
      <c r="H1128">
        <v>22</v>
      </c>
      <c r="I1128">
        <v>2</v>
      </c>
      <c r="J1128">
        <v>58</v>
      </c>
      <c r="K1128">
        <v>63</v>
      </c>
      <c r="L1128" t="s">
        <v>9333</v>
      </c>
      <c r="M1128" t="s">
        <v>9334</v>
      </c>
      <c r="N1128" t="s">
        <v>9335</v>
      </c>
      <c r="O1128" t="s">
        <v>61</v>
      </c>
      <c r="Q1128" t="s">
        <v>61</v>
      </c>
      <c r="R1128" t="s">
        <v>61</v>
      </c>
      <c r="S1128" t="s">
        <v>61</v>
      </c>
      <c r="T1128" t="s">
        <v>61</v>
      </c>
      <c r="X1128" t="s">
        <v>61</v>
      </c>
      <c r="Y1128" t="s">
        <v>9336</v>
      </c>
      <c r="Z1128" t="s">
        <v>61</v>
      </c>
      <c r="AA1128" t="s">
        <v>61</v>
      </c>
      <c r="AB1128" t="s">
        <v>9337</v>
      </c>
      <c r="AC1128" t="s">
        <v>67</v>
      </c>
      <c r="AD1128" t="s">
        <v>61</v>
      </c>
      <c r="AE1128" t="s">
        <v>61</v>
      </c>
      <c r="AF1128" t="s">
        <v>61</v>
      </c>
      <c r="AG1128" t="s">
        <v>61</v>
      </c>
      <c r="AH1128" t="s">
        <v>61</v>
      </c>
      <c r="AI1128" t="s">
        <v>61</v>
      </c>
      <c r="AJ1128" t="s">
        <v>61</v>
      </c>
      <c r="AK1128" t="s">
        <v>61</v>
      </c>
      <c r="AL1128" t="s">
        <v>61</v>
      </c>
      <c r="AM1128" t="s">
        <v>9331</v>
      </c>
      <c r="AN1128" t="s">
        <v>61</v>
      </c>
      <c r="AO1128" t="s">
        <v>61</v>
      </c>
      <c r="AP1128" t="s">
        <v>61</v>
      </c>
      <c r="AQ1128" t="s">
        <v>61</v>
      </c>
      <c r="AR1128" t="s">
        <v>61</v>
      </c>
      <c r="AS1128" t="s">
        <v>61</v>
      </c>
      <c r="AT1128" t="s">
        <v>61</v>
      </c>
      <c r="AU1128" t="s">
        <v>61</v>
      </c>
      <c r="AV1128" t="s">
        <v>61</v>
      </c>
      <c r="AW1128" t="s">
        <v>61</v>
      </c>
      <c r="AX1128" t="s">
        <v>61</v>
      </c>
      <c r="AY1128" t="s">
        <v>61</v>
      </c>
      <c r="AZ1128" t="s">
        <v>61</v>
      </c>
      <c r="BA1128" t="s">
        <v>61</v>
      </c>
      <c r="BB1128" t="s">
        <v>61</v>
      </c>
      <c r="BC1128" t="s">
        <v>61</v>
      </c>
      <c r="BD1128" t="s">
        <v>61</v>
      </c>
      <c r="BE1128" t="s">
        <v>61</v>
      </c>
      <c r="BF1128" t="s">
        <v>61</v>
      </c>
    </row>
    <row r="1129" spans="1:58">
      <c r="A1129" t="s">
        <v>58</v>
      </c>
      <c r="B1129" t="s">
        <v>9338</v>
      </c>
      <c r="C1129" t="s">
        <v>9339</v>
      </c>
      <c r="D1129" t="s">
        <v>9340</v>
      </c>
      <c r="E1129" t="s">
        <v>61</v>
      </c>
      <c r="F1129">
        <v>2013</v>
      </c>
      <c r="G1129" t="s">
        <v>61</v>
      </c>
      <c r="H1129">
        <v>11</v>
      </c>
      <c r="I1129">
        <v>1</v>
      </c>
      <c r="J1129">
        <v>76</v>
      </c>
      <c r="K1129">
        <v>85</v>
      </c>
      <c r="L1129" t="s">
        <v>9341</v>
      </c>
      <c r="M1129" t="s">
        <v>9342</v>
      </c>
      <c r="N1129" t="s">
        <v>9343</v>
      </c>
      <c r="O1129" t="s">
        <v>61</v>
      </c>
      <c r="Q1129" t="s">
        <v>61</v>
      </c>
      <c r="R1129" t="s">
        <v>61</v>
      </c>
      <c r="S1129" t="s">
        <v>61</v>
      </c>
      <c r="T1129" t="s">
        <v>61</v>
      </c>
      <c r="X1129" t="s">
        <v>61</v>
      </c>
      <c r="Y1129" t="s">
        <v>9344</v>
      </c>
      <c r="Z1129" t="s">
        <v>61</v>
      </c>
      <c r="AA1129" t="s">
        <v>61</v>
      </c>
      <c r="AB1129" t="s">
        <v>9345</v>
      </c>
      <c r="AC1129" t="s">
        <v>67</v>
      </c>
      <c r="AD1129" t="s">
        <v>61</v>
      </c>
      <c r="AE1129" t="s">
        <v>61</v>
      </c>
      <c r="AF1129" t="s">
        <v>61</v>
      </c>
      <c r="AG1129" t="s">
        <v>61</v>
      </c>
      <c r="AH1129" t="s">
        <v>61</v>
      </c>
      <c r="AI1129" t="s">
        <v>61</v>
      </c>
      <c r="AJ1129" t="s">
        <v>61</v>
      </c>
      <c r="AK1129" t="s">
        <v>61</v>
      </c>
      <c r="AL1129" t="s">
        <v>61</v>
      </c>
      <c r="AM1129" t="s">
        <v>9339</v>
      </c>
      <c r="AN1129" t="s">
        <v>61</v>
      </c>
      <c r="AO1129" t="s">
        <v>61</v>
      </c>
      <c r="AP1129" t="s">
        <v>61</v>
      </c>
      <c r="AQ1129" t="s">
        <v>61</v>
      </c>
      <c r="AR1129" t="s">
        <v>61</v>
      </c>
      <c r="AS1129" t="s">
        <v>61</v>
      </c>
      <c r="AT1129" t="s">
        <v>61</v>
      </c>
      <c r="AU1129" t="s">
        <v>61</v>
      </c>
      <c r="AV1129" t="s">
        <v>61</v>
      </c>
      <c r="AW1129" t="s">
        <v>61</v>
      </c>
      <c r="AX1129" t="s">
        <v>61</v>
      </c>
      <c r="AY1129" t="s">
        <v>61</v>
      </c>
      <c r="AZ1129" t="s">
        <v>61</v>
      </c>
      <c r="BA1129" t="s">
        <v>61</v>
      </c>
      <c r="BB1129" t="s">
        <v>61</v>
      </c>
      <c r="BC1129" t="s">
        <v>61</v>
      </c>
      <c r="BD1129" t="s">
        <v>61</v>
      </c>
      <c r="BE1129" t="s">
        <v>61</v>
      </c>
      <c r="BF1129" t="s">
        <v>61</v>
      </c>
    </row>
    <row r="1130" spans="1:58">
      <c r="A1130" t="s">
        <v>58</v>
      </c>
      <c r="B1130" t="s">
        <v>9346</v>
      </c>
      <c r="C1130" t="s">
        <v>9347</v>
      </c>
      <c r="D1130" t="s">
        <v>8779</v>
      </c>
      <c r="E1130" t="s">
        <v>61</v>
      </c>
      <c r="F1130">
        <v>2003</v>
      </c>
      <c r="G1130" t="s">
        <v>280</v>
      </c>
      <c r="H1130">
        <v>33</v>
      </c>
      <c r="I1130">
        <v>4</v>
      </c>
      <c r="J1130">
        <v>272</v>
      </c>
      <c r="K1130">
        <v>274</v>
      </c>
      <c r="L1130" t="s">
        <v>9348</v>
      </c>
      <c r="M1130" t="s">
        <v>9349</v>
      </c>
      <c r="N1130" t="s">
        <v>9350</v>
      </c>
      <c r="O1130" t="s">
        <v>61</v>
      </c>
      <c r="Q1130" t="s">
        <v>61</v>
      </c>
      <c r="R1130" t="s">
        <v>61</v>
      </c>
      <c r="S1130" t="s">
        <v>61</v>
      </c>
      <c r="T1130" t="s">
        <v>61</v>
      </c>
      <c r="X1130" t="s">
        <v>61</v>
      </c>
      <c r="Y1130" t="s">
        <v>8783</v>
      </c>
      <c r="Z1130" t="s">
        <v>61</v>
      </c>
      <c r="AA1130" t="s">
        <v>61</v>
      </c>
      <c r="AB1130">
        <v>2004013678</v>
      </c>
      <c r="AC1130" t="s">
        <v>67</v>
      </c>
      <c r="AD1130" t="s">
        <v>61</v>
      </c>
      <c r="AE1130" t="s">
        <v>61</v>
      </c>
      <c r="AF1130" t="s">
        <v>61</v>
      </c>
      <c r="AG1130" t="s">
        <v>61</v>
      </c>
      <c r="AH1130" t="s">
        <v>61</v>
      </c>
      <c r="AI1130" t="s">
        <v>61</v>
      </c>
      <c r="AJ1130" t="s">
        <v>61</v>
      </c>
      <c r="AK1130" t="s">
        <v>61</v>
      </c>
      <c r="AL1130" t="s">
        <v>61</v>
      </c>
      <c r="AM1130" t="s">
        <v>9347</v>
      </c>
      <c r="AN1130" t="s">
        <v>61</v>
      </c>
      <c r="AO1130" t="s">
        <v>61</v>
      </c>
      <c r="AP1130" t="s">
        <v>61</v>
      </c>
      <c r="AQ1130" t="s">
        <v>61</v>
      </c>
      <c r="AR1130" t="s">
        <v>61</v>
      </c>
      <c r="AS1130" t="s">
        <v>61</v>
      </c>
      <c r="AT1130" t="s">
        <v>61</v>
      </c>
      <c r="AU1130" t="s">
        <v>61</v>
      </c>
      <c r="AV1130" t="s">
        <v>61</v>
      </c>
      <c r="AW1130" t="s">
        <v>61</v>
      </c>
      <c r="AX1130" t="s">
        <v>61</v>
      </c>
      <c r="AY1130" t="s">
        <v>61</v>
      </c>
      <c r="AZ1130" t="s">
        <v>61</v>
      </c>
      <c r="BA1130" t="s">
        <v>61</v>
      </c>
      <c r="BB1130" t="s">
        <v>61</v>
      </c>
      <c r="BC1130" t="s">
        <v>61</v>
      </c>
      <c r="BD1130" t="s">
        <v>61</v>
      </c>
      <c r="BE1130" t="s">
        <v>61</v>
      </c>
      <c r="BF1130" t="s">
        <v>61</v>
      </c>
    </row>
    <row r="1131" spans="1:58">
      <c r="A1131" t="s">
        <v>58</v>
      </c>
      <c r="B1131" t="s">
        <v>9351</v>
      </c>
      <c r="C1131" t="s">
        <v>9352</v>
      </c>
      <c r="D1131" t="s">
        <v>9353</v>
      </c>
      <c r="E1131" t="s">
        <v>61</v>
      </c>
      <c r="F1131">
        <v>2015</v>
      </c>
      <c r="G1131" t="s">
        <v>429</v>
      </c>
      <c r="H1131" t="s">
        <v>9354</v>
      </c>
      <c r="I1131" t="s">
        <v>61</v>
      </c>
      <c r="J1131" t="s">
        <v>9355</v>
      </c>
      <c r="K1131" t="s">
        <v>9356</v>
      </c>
      <c r="L1131" t="s">
        <v>9357</v>
      </c>
      <c r="M1131" t="s">
        <v>9358</v>
      </c>
      <c r="N1131" t="s">
        <v>9359</v>
      </c>
      <c r="O1131" t="s">
        <v>61</v>
      </c>
      <c r="Q1131" t="s">
        <v>61</v>
      </c>
      <c r="R1131" t="s">
        <v>61</v>
      </c>
      <c r="S1131" t="s">
        <v>61</v>
      </c>
      <c r="T1131" t="s">
        <v>61</v>
      </c>
      <c r="X1131" t="s">
        <v>61</v>
      </c>
      <c r="Y1131" t="s">
        <v>9360</v>
      </c>
      <c r="Z1131" t="s">
        <v>61</v>
      </c>
      <c r="AA1131" t="s">
        <v>61</v>
      </c>
      <c r="AB1131" t="s">
        <v>61</v>
      </c>
      <c r="AC1131" t="s">
        <v>67</v>
      </c>
      <c r="AD1131" t="s">
        <v>61</v>
      </c>
      <c r="AE1131" t="s">
        <v>61</v>
      </c>
      <c r="AF1131" t="s">
        <v>61</v>
      </c>
      <c r="AG1131" t="s">
        <v>61</v>
      </c>
      <c r="AH1131" t="s">
        <v>61</v>
      </c>
      <c r="AI1131" t="s">
        <v>61</v>
      </c>
      <c r="AJ1131" t="s">
        <v>61</v>
      </c>
      <c r="AK1131" t="s">
        <v>61</v>
      </c>
      <c r="AL1131" t="s">
        <v>61</v>
      </c>
      <c r="AM1131" t="s">
        <v>9352</v>
      </c>
      <c r="AN1131" t="s">
        <v>61</v>
      </c>
      <c r="AO1131" t="s">
        <v>61</v>
      </c>
      <c r="AP1131" t="s">
        <v>61</v>
      </c>
      <c r="AQ1131" t="s">
        <v>61</v>
      </c>
      <c r="AR1131" t="s">
        <v>61</v>
      </c>
      <c r="AS1131" t="s">
        <v>61</v>
      </c>
      <c r="AT1131" t="s">
        <v>61</v>
      </c>
      <c r="AU1131" t="s">
        <v>61</v>
      </c>
      <c r="AV1131" t="s">
        <v>61</v>
      </c>
      <c r="AW1131" t="s">
        <v>61</v>
      </c>
      <c r="AX1131" t="s">
        <v>61</v>
      </c>
      <c r="AY1131" t="s">
        <v>61</v>
      </c>
      <c r="AZ1131" t="s">
        <v>61</v>
      </c>
      <c r="BA1131" t="s">
        <v>61</v>
      </c>
      <c r="BB1131" t="s">
        <v>61</v>
      </c>
      <c r="BC1131" t="s">
        <v>61</v>
      </c>
      <c r="BD1131" t="s">
        <v>61</v>
      </c>
      <c r="BE1131" t="s">
        <v>61</v>
      </c>
      <c r="BF1131" t="s">
        <v>61</v>
      </c>
    </row>
    <row r="1132" spans="1:58">
      <c r="A1132" t="s">
        <v>58</v>
      </c>
      <c r="B1132" t="s">
        <v>9361</v>
      </c>
      <c r="C1132" t="s">
        <v>9362</v>
      </c>
      <c r="D1132" t="s">
        <v>60</v>
      </c>
      <c r="E1132" t="s">
        <v>61</v>
      </c>
      <c r="F1132">
        <v>2008</v>
      </c>
      <c r="G1132" s="1">
        <v>42505</v>
      </c>
      <c r="H1132">
        <v>65</v>
      </c>
      <c r="I1132">
        <v>10</v>
      </c>
      <c r="J1132">
        <v>927</v>
      </c>
      <c r="K1132">
        <v>934</v>
      </c>
      <c r="L1132" t="s">
        <v>9363</v>
      </c>
      <c r="M1132" t="s">
        <v>9364</v>
      </c>
      <c r="N1132" t="s">
        <v>9365</v>
      </c>
      <c r="O1132" t="s">
        <v>61</v>
      </c>
      <c r="Q1132" t="s">
        <v>61</v>
      </c>
      <c r="R1132" t="s">
        <v>61</v>
      </c>
      <c r="S1132" t="s">
        <v>61</v>
      </c>
      <c r="T1132" t="s">
        <v>61</v>
      </c>
      <c r="X1132" t="s">
        <v>61</v>
      </c>
      <c r="Y1132" t="s">
        <v>97</v>
      </c>
      <c r="Z1132" t="s">
        <v>61</v>
      </c>
      <c r="AA1132" t="s">
        <v>9366</v>
      </c>
      <c r="AB1132">
        <v>18463341</v>
      </c>
      <c r="AC1132" t="s">
        <v>67</v>
      </c>
      <c r="AD1132" t="s">
        <v>61</v>
      </c>
      <c r="AE1132" t="s">
        <v>61</v>
      </c>
      <c r="AF1132" t="s">
        <v>61</v>
      </c>
      <c r="AG1132" t="s">
        <v>9367</v>
      </c>
      <c r="AH1132" t="s">
        <v>61</v>
      </c>
      <c r="AI1132" t="s">
        <v>9368</v>
      </c>
      <c r="AJ1132" t="s">
        <v>61</v>
      </c>
      <c r="AK1132" t="s">
        <v>61</v>
      </c>
      <c r="AL1132" t="s">
        <v>61</v>
      </c>
      <c r="AM1132" t="s">
        <v>9369</v>
      </c>
      <c r="AN1132" t="s">
        <v>61</v>
      </c>
      <c r="AO1132" t="s">
        <v>61</v>
      </c>
      <c r="AP1132" t="s">
        <v>61</v>
      </c>
      <c r="AQ1132" t="s">
        <v>61</v>
      </c>
      <c r="AR1132" t="s">
        <v>61</v>
      </c>
      <c r="AS1132" t="s">
        <v>61</v>
      </c>
      <c r="AT1132" t="s">
        <v>61</v>
      </c>
      <c r="AU1132" t="s">
        <v>61</v>
      </c>
      <c r="AV1132" t="s">
        <v>61</v>
      </c>
      <c r="AW1132" t="s">
        <v>61</v>
      </c>
      <c r="AX1132" t="s">
        <v>61</v>
      </c>
      <c r="AY1132" t="s">
        <v>61</v>
      </c>
      <c r="AZ1132" t="s">
        <v>61</v>
      </c>
      <c r="BA1132" t="s">
        <v>61</v>
      </c>
      <c r="BB1132" t="s">
        <v>61</v>
      </c>
      <c r="BC1132" t="s">
        <v>61</v>
      </c>
      <c r="BD1132" t="s">
        <v>61</v>
      </c>
      <c r="BE1132" t="s">
        <v>61</v>
      </c>
      <c r="BF1132" t="s">
        <v>61</v>
      </c>
    </row>
    <row r="1133" spans="1:58">
      <c r="A1133" t="s">
        <v>58</v>
      </c>
      <c r="B1133" t="s">
        <v>9370</v>
      </c>
      <c r="C1133" t="s">
        <v>9371</v>
      </c>
      <c r="D1133" t="s">
        <v>9372</v>
      </c>
      <c r="E1133" t="s">
        <v>61</v>
      </c>
      <c r="F1133">
        <v>1994</v>
      </c>
      <c r="G1133" t="s">
        <v>61</v>
      </c>
      <c r="H1133">
        <v>7</v>
      </c>
      <c r="I1133">
        <v>4</v>
      </c>
      <c r="J1133">
        <v>236</v>
      </c>
      <c r="K1133">
        <v>241</v>
      </c>
      <c r="L1133" t="s">
        <v>9373</v>
      </c>
      <c r="M1133" t="s">
        <v>9374</v>
      </c>
      <c r="N1133" t="s">
        <v>9375</v>
      </c>
      <c r="O1133" t="s">
        <v>61</v>
      </c>
      <c r="Q1133" t="s">
        <v>61</v>
      </c>
      <c r="R1133" t="s">
        <v>61</v>
      </c>
      <c r="S1133" t="s">
        <v>61</v>
      </c>
      <c r="T1133" t="s">
        <v>61</v>
      </c>
      <c r="X1133" t="s">
        <v>61</v>
      </c>
      <c r="Y1133" t="s">
        <v>9376</v>
      </c>
      <c r="Z1133" t="s">
        <v>61</v>
      </c>
      <c r="AA1133" t="s">
        <v>9377</v>
      </c>
      <c r="AB1133">
        <v>7605700</v>
      </c>
      <c r="AC1133" t="s">
        <v>67</v>
      </c>
      <c r="AD1133" t="s">
        <v>61</v>
      </c>
      <c r="AE1133" t="s">
        <v>61</v>
      </c>
      <c r="AF1133" t="s">
        <v>61</v>
      </c>
      <c r="AG1133" t="s">
        <v>9378</v>
      </c>
      <c r="AH1133" t="s">
        <v>61</v>
      </c>
      <c r="AI1133" t="s">
        <v>61</v>
      </c>
      <c r="AJ1133" t="s">
        <v>61</v>
      </c>
      <c r="AK1133" t="s">
        <v>61</v>
      </c>
      <c r="AL1133" t="s">
        <v>61</v>
      </c>
      <c r="AM1133" t="s">
        <v>9379</v>
      </c>
      <c r="AN1133" t="s">
        <v>61</v>
      </c>
      <c r="AO1133" t="s">
        <v>61</v>
      </c>
      <c r="AP1133" t="s">
        <v>61</v>
      </c>
      <c r="AQ1133" t="s">
        <v>61</v>
      </c>
      <c r="AR1133" t="s">
        <v>61</v>
      </c>
      <c r="AS1133" t="s">
        <v>61</v>
      </c>
      <c r="AT1133" t="s">
        <v>61</v>
      </c>
      <c r="AU1133" t="s">
        <v>61</v>
      </c>
      <c r="AV1133" t="s">
        <v>61</v>
      </c>
      <c r="AW1133" t="s">
        <v>61</v>
      </c>
      <c r="AX1133" t="s">
        <v>61</v>
      </c>
      <c r="AY1133" t="s">
        <v>61</v>
      </c>
      <c r="AZ1133" t="s">
        <v>61</v>
      </c>
      <c r="BA1133" t="s">
        <v>61</v>
      </c>
      <c r="BB1133" t="s">
        <v>61</v>
      </c>
      <c r="BC1133" t="s">
        <v>61</v>
      </c>
      <c r="BD1133" t="s">
        <v>61</v>
      </c>
      <c r="BE1133" t="s">
        <v>61</v>
      </c>
      <c r="BF1133" t="s">
        <v>61</v>
      </c>
    </row>
    <row r="1134" spans="1:58">
      <c r="A1134" t="s">
        <v>58</v>
      </c>
      <c r="B1134" t="s">
        <v>9380</v>
      </c>
      <c r="C1134" t="s">
        <v>9381</v>
      </c>
      <c r="D1134" t="s">
        <v>525</v>
      </c>
      <c r="E1134" t="s">
        <v>526</v>
      </c>
      <c r="F1134">
        <v>2015</v>
      </c>
      <c r="G1134" t="s">
        <v>61</v>
      </c>
      <c r="H1134">
        <v>18</v>
      </c>
      <c r="I1134">
        <v>5</v>
      </c>
      <c r="J1134">
        <v>429</v>
      </c>
      <c r="K1134" t="s">
        <v>9382</v>
      </c>
      <c r="L1134" t="s">
        <v>9383</v>
      </c>
      <c r="M1134" t="s">
        <v>9384</v>
      </c>
      <c r="N1134" t="s">
        <v>9385</v>
      </c>
      <c r="O1134" t="s">
        <v>61</v>
      </c>
      <c r="Q1134" t="s">
        <v>61</v>
      </c>
      <c r="R1134" t="s">
        <v>61</v>
      </c>
      <c r="S1134" t="s">
        <v>61</v>
      </c>
      <c r="T1134" t="s">
        <v>61</v>
      </c>
      <c r="X1134" t="s">
        <v>61</v>
      </c>
      <c r="Y1134" t="s">
        <v>9386</v>
      </c>
      <c r="Z1134" t="s">
        <v>61</v>
      </c>
      <c r="AA1134" t="s">
        <v>9387</v>
      </c>
      <c r="AB1134">
        <v>103794070</v>
      </c>
      <c r="AC1134" t="s">
        <v>67</v>
      </c>
      <c r="AD1134" t="s">
        <v>61</v>
      </c>
      <c r="AE1134" t="s">
        <v>61</v>
      </c>
      <c r="AF1134" t="s">
        <v>61</v>
      </c>
      <c r="AG1134" t="s">
        <v>9388</v>
      </c>
      <c r="AH1134" t="s">
        <v>61</v>
      </c>
      <c r="AI1134" t="s">
        <v>9389</v>
      </c>
      <c r="AJ1134" t="s">
        <v>61</v>
      </c>
      <c r="AK1134" t="s">
        <v>61</v>
      </c>
      <c r="AL1134" t="s">
        <v>61</v>
      </c>
      <c r="AM1134" t="s">
        <v>9390</v>
      </c>
      <c r="AN1134" t="s">
        <v>61</v>
      </c>
      <c r="AO1134" t="s">
        <v>61</v>
      </c>
      <c r="AP1134" t="s">
        <v>61</v>
      </c>
      <c r="AQ1134" t="s">
        <v>61</v>
      </c>
      <c r="AR1134" t="s">
        <v>61</v>
      </c>
      <c r="AS1134" t="s">
        <v>61</v>
      </c>
      <c r="AT1134" t="s">
        <v>61</v>
      </c>
      <c r="AU1134" t="s">
        <v>61</v>
      </c>
      <c r="AV1134" t="s">
        <v>61</v>
      </c>
      <c r="AW1134" t="s">
        <v>61</v>
      </c>
      <c r="AX1134" t="s">
        <v>61</v>
      </c>
      <c r="AY1134" t="s">
        <v>61</v>
      </c>
      <c r="AZ1134" t="s">
        <v>61</v>
      </c>
      <c r="BA1134" t="s">
        <v>61</v>
      </c>
      <c r="BB1134" t="s">
        <v>61</v>
      </c>
      <c r="BC1134" t="s">
        <v>61</v>
      </c>
      <c r="BD1134" t="s">
        <v>61</v>
      </c>
      <c r="BE1134" t="s">
        <v>61</v>
      </c>
      <c r="BF1134" t="s">
        <v>61</v>
      </c>
    </row>
    <row r="1135" spans="1:58">
      <c r="A1135" t="s">
        <v>58</v>
      </c>
      <c r="B1135" t="s">
        <v>9391</v>
      </c>
      <c r="C1135" t="s">
        <v>9392</v>
      </c>
      <c r="D1135" t="s">
        <v>9393</v>
      </c>
      <c r="E1135" t="s">
        <v>61</v>
      </c>
      <c r="F1135">
        <v>2013</v>
      </c>
      <c r="G1135" t="s">
        <v>61</v>
      </c>
      <c r="H1135">
        <v>2</v>
      </c>
      <c r="I1135">
        <v>2</v>
      </c>
      <c r="J1135">
        <v>181</v>
      </c>
      <c r="K1135" t="s">
        <v>9394</v>
      </c>
      <c r="L1135" t="s">
        <v>9395</v>
      </c>
      <c r="M1135" t="s">
        <v>61</v>
      </c>
      <c r="N1135" t="s">
        <v>9396</v>
      </c>
      <c r="O1135" t="s">
        <v>61</v>
      </c>
      <c r="Q1135" t="s">
        <v>61</v>
      </c>
      <c r="R1135" t="s">
        <v>61</v>
      </c>
      <c r="S1135" t="s">
        <v>61</v>
      </c>
      <c r="T1135" t="s">
        <v>61</v>
      </c>
      <c r="X1135" t="s">
        <v>61</v>
      </c>
      <c r="Y1135" t="s">
        <v>9397</v>
      </c>
      <c r="Z1135" t="s">
        <v>61</v>
      </c>
      <c r="AA1135" t="s">
        <v>9398</v>
      </c>
      <c r="AB1135">
        <v>104137623</v>
      </c>
      <c r="AC1135" t="s">
        <v>67</v>
      </c>
      <c r="AD1135" t="s">
        <v>61</v>
      </c>
      <c r="AE1135" t="s">
        <v>61</v>
      </c>
      <c r="AF1135" t="s">
        <v>61</v>
      </c>
      <c r="AG1135" t="s">
        <v>9399</v>
      </c>
      <c r="AH1135" t="s">
        <v>61</v>
      </c>
      <c r="AI1135" t="s">
        <v>9400</v>
      </c>
      <c r="AJ1135" t="s">
        <v>61</v>
      </c>
      <c r="AK1135" t="s">
        <v>61</v>
      </c>
      <c r="AL1135" t="s">
        <v>61</v>
      </c>
      <c r="AM1135" t="s">
        <v>9401</v>
      </c>
      <c r="AN1135" t="s">
        <v>61</v>
      </c>
      <c r="AO1135" t="s">
        <v>61</v>
      </c>
      <c r="AP1135" t="s">
        <v>61</v>
      </c>
      <c r="AQ1135" t="s">
        <v>61</v>
      </c>
      <c r="AR1135" t="s">
        <v>61</v>
      </c>
      <c r="AS1135" t="s">
        <v>61</v>
      </c>
      <c r="AT1135" t="s">
        <v>61</v>
      </c>
      <c r="AU1135" t="s">
        <v>61</v>
      </c>
      <c r="AV1135" t="s">
        <v>61</v>
      </c>
      <c r="AW1135" t="s">
        <v>61</v>
      </c>
      <c r="AX1135" t="s">
        <v>61</v>
      </c>
      <c r="AY1135" t="s">
        <v>61</v>
      </c>
      <c r="AZ1135" t="s">
        <v>61</v>
      </c>
      <c r="BA1135" t="s">
        <v>61</v>
      </c>
      <c r="BB1135" t="s">
        <v>61</v>
      </c>
      <c r="BC1135" t="s">
        <v>61</v>
      </c>
      <c r="BD1135" t="s">
        <v>61</v>
      </c>
      <c r="BE1135" t="s">
        <v>61</v>
      </c>
      <c r="BF1135" t="s">
        <v>61</v>
      </c>
    </row>
    <row r="1136" spans="1:58">
      <c r="A1136" t="s">
        <v>58</v>
      </c>
      <c r="B1136" t="s">
        <v>9402</v>
      </c>
      <c r="C1136" t="s">
        <v>9403</v>
      </c>
      <c r="D1136" t="s">
        <v>373</v>
      </c>
      <c r="E1136" t="s">
        <v>61</v>
      </c>
      <c r="F1136">
        <v>2011</v>
      </c>
      <c r="G1136" t="s">
        <v>457</v>
      </c>
      <c r="H1136">
        <v>10</v>
      </c>
      <c r="I1136">
        <v>2</v>
      </c>
      <c r="J1136">
        <v>295</v>
      </c>
      <c r="K1136">
        <v>299</v>
      </c>
      <c r="L1136" t="s">
        <v>9404</v>
      </c>
      <c r="M1136" t="s">
        <v>9405</v>
      </c>
      <c r="N1136" t="s">
        <v>9406</v>
      </c>
      <c r="O1136" t="s">
        <v>61</v>
      </c>
      <c r="Q1136" t="s">
        <v>61</v>
      </c>
      <c r="R1136" t="s">
        <v>61</v>
      </c>
      <c r="S1136" t="s">
        <v>61</v>
      </c>
      <c r="T1136" t="s">
        <v>61</v>
      </c>
      <c r="X1136" t="s">
        <v>61</v>
      </c>
      <c r="Y1136" t="s">
        <v>377</v>
      </c>
      <c r="Z1136" t="s">
        <v>61</v>
      </c>
      <c r="AA1136" t="s">
        <v>61</v>
      </c>
      <c r="AB1136">
        <v>2011343567</v>
      </c>
      <c r="AC1136" t="s">
        <v>67</v>
      </c>
      <c r="AD1136" t="s">
        <v>61</v>
      </c>
      <c r="AE1136" t="s">
        <v>61</v>
      </c>
      <c r="AF1136" t="s">
        <v>61</v>
      </c>
      <c r="AG1136" t="s">
        <v>61</v>
      </c>
      <c r="AH1136" t="s">
        <v>61</v>
      </c>
      <c r="AI1136" t="s">
        <v>61</v>
      </c>
      <c r="AJ1136" t="s">
        <v>61</v>
      </c>
      <c r="AK1136" t="s">
        <v>61</v>
      </c>
      <c r="AL1136" t="s">
        <v>61</v>
      </c>
      <c r="AM1136" t="s">
        <v>9403</v>
      </c>
      <c r="AN1136" t="s">
        <v>61</v>
      </c>
      <c r="AO1136" t="s">
        <v>61</v>
      </c>
      <c r="AP1136" t="s">
        <v>61</v>
      </c>
      <c r="AQ1136" t="s">
        <v>61</v>
      </c>
      <c r="AR1136" t="s">
        <v>61</v>
      </c>
      <c r="AS1136" t="s">
        <v>61</v>
      </c>
      <c r="AT1136" t="s">
        <v>61</v>
      </c>
      <c r="AU1136" t="s">
        <v>61</v>
      </c>
      <c r="AV1136" t="s">
        <v>61</v>
      </c>
      <c r="AW1136" t="s">
        <v>61</v>
      </c>
      <c r="AX1136" t="s">
        <v>61</v>
      </c>
      <c r="AY1136" t="s">
        <v>61</v>
      </c>
      <c r="AZ1136" t="s">
        <v>61</v>
      </c>
      <c r="BA1136" t="s">
        <v>61</v>
      </c>
      <c r="BB1136" t="s">
        <v>61</v>
      </c>
      <c r="BC1136" t="s">
        <v>61</v>
      </c>
      <c r="BD1136" t="s">
        <v>61</v>
      </c>
      <c r="BE1136" t="s">
        <v>61</v>
      </c>
      <c r="BF1136" t="s">
        <v>61</v>
      </c>
    </row>
    <row r="1137" spans="1:58">
      <c r="A1137" t="s">
        <v>58</v>
      </c>
      <c r="B1137" t="s">
        <v>9407</v>
      </c>
      <c r="C1137" t="s">
        <v>9408</v>
      </c>
      <c r="D1137" t="s">
        <v>609</v>
      </c>
      <c r="E1137" t="s">
        <v>61</v>
      </c>
      <c r="F1137">
        <v>2009</v>
      </c>
      <c r="G1137" t="s">
        <v>429</v>
      </c>
      <c r="H1137">
        <v>8</v>
      </c>
      <c r="I1137">
        <v>2</v>
      </c>
      <c r="J1137">
        <v>133</v>
      </c>
      <c r="K1137">
        <v>137</v>
      </c>
      <c r="L1137" t="s">
        <v>9409</v>
      </c>
      <c r="M1137" t="s">
        <v>9410</v>
      </c>
      <c r="N1137" t="s">
        <v>9411</v>
      </c>
      <c r="O1137" t="s">
        <v>61</v>
      </c>
      <c r="Q1137" t="s">
        <v>61</v>
      </c>
      <c r="R1137" t="s">
        <v>61</v>
      </c>
      <c r="S1137" t="s">
        <v>61</v>
      </c>
      <c r="T1137" t="s">
        <v>61</v>
      </c>
      <c r="X1137" t="s">
        <v>61</v>
      </c>
      <c r="Y1137" t="s">
        <v>613</v>
      </c>
      <c r="Z1137" t="s">
        <v>61</v>
      </c>
      <c r="AA1137" t="s">
        <v>61</v>
      </c>
      <c r="AB1137">
        <v>2009453382</v>
      </c>
      <c r="AC1137" t="s">
        <v>67</v>
      </c>
      <c r="AD1137" t="s">
        <v>61</v>
      </c>
      <c r="AE1137" t="s">
        <v>61</v>
      </c>
      <c r="AF1137" t="s">
        <v>61</v>
      </c>
      <c r="AG1137" t="s">
        <v>61</v>
      </c>
      <c r="AH1137" t="s">
        <v>61</v>
      </c>
      <c r="AI1137" t="s">
        <v>61</v>
      </c>
      <c r="AJ1137" t="s">
        <v>61</v>
      </c>
      <c r="AK1137" t="s">
        <v>61</v>
      </c>
      <c r="AL1137" t="s">
        <v>61</v>
      </c>
      <c r="AM1137" t="s">
        <v>9408</v>
      </c>
      <c r="AN1137" t="s">
        <v>61</v>
      </c>
      <c r="AO1137" t="s">
        <v>61</v>
      </c>
      <c r="AP1137" t="s">
        <v>61</v>
      </c>
      <c r="AQ1137" t="s">
        <v>61</v>
      </c>
      <c r="AR1137" t="s">
        <v>61</v>
      </c>
      <c r="AS1137" t="s">
        <v>61</v>
      </c>
      <c r="AT1137" t="s">
        <v>61</v>
      </c>
      <c r="AU1137" t="s">
        <v>61</v>
      </c>
      <c r="AV1137" t="s">
        <v>61</v>
      </c>
      <c r="AW1137" t="s">
        <v>61</v>
      </c>
      <c r="AX1137" t="s">
        <v>61</v>
      </c>
      <c r="AY1137" t="s">
        <v>61</v>
      </c>
      <c r="AZ1137" t="s">
        <v>61</v>
      </c>
      <c r="BA1137" t="s">
        <v>61</v>
      </c>
      <c r="BB1137" t="s">
        <v>61</v>
      </c>
      <c r="BC1137" t="s">
        <v>61</v>
      </c>
      <c r="BD1137" t="s">
        <v>61</v>
      </c>
      <c r="BE1137" t="s">
        <v>61</v>
      </c>
      <c r="BF1137" t="s">
        <v>61</v>
      </c>
    </row>
    <row r="1138" spans="1:58">
      <c r="A1138" t="s">
        <v>58</v>
      </c>
      <c r="B1138" t="s">
        <v>9412</v>
      </c>
      <c r="C1138" t="s">
        <v>9413</v>
      </c>
      <c r="D1138" t="s">
        <v>9414</v>
      </c>
      <c r="E1138" t="s">
        <v>9415</v>
      </c>
      <c r="F1138">
        <v>2013</v>
      </c>
      <c r="G1138" t="s">
        <v>61</v>
      </c>
      <c r="H1138">
        <v>37</v>
      </c>
      <c r="I1138">
        <v>3</v>
      </c>
      <c r="J1138">
        <v>14</v>
      </c>
      <c r="K1138" t="s">
        <v>9416</v>
      </c>
      <c r="L1138" t="s">
        <v>9417</v>
      </c>
      <c r="M1138" t="s">
        <v>61</v>
      </c>
      <c r="N1138" t="s">
        <v>9418</v>
      </c>
      <c r="O1138" t="s">
        <v>61</v>
      </c>
      <c r="Q1138" t="s">
        <v>61</v>
      </c>
      <c r="R1138" t="s">
        <v>61</v>
      </c>
      <c r="S1138" t="s">
        <v>61</v>
      </c>
      <c r="T1138" t="s">
        <v>61</v>
      </c>
      <c r="X1138" t="s">
        <v>61</v>
      </c>
      <c r="Y1138" t="s">
        <v>9419</v>
      </c>
      <c r="Z1138" t="s">
        <v>61</v>
      </c>
      <c r="AA1138" t="s">
        <v>61</v>
      </c>
      <c r="AB1138">
        <v>107956194</v>
      </c>
      <c r="AC1138" t="s">
        <v>67</v>
      </c>
      <c r="AD1138" t="s">
        <v>61</v>
      </c>
      <c r="AE1138" t="s">
        <v>61</v>
      </c>
      <c r="AF1138" t="s">
        <v>61</v>
      </c>
      <c r="AG1138" t="s">
        <v>9420</v>
      </c>
      <c r="AH1138" t="s">
        <v>61</v>
      </c>
      <c r="AI1138" t="s">
        <v>61</v>
      </c>
      <c r="AJ1138" t="s">
        <v>61</v>
      </c>
      <c r="AK1138" t="s">
        <v>61</v>
      </c>
      <c r="AL1138" t="s">
        <v>61</v>
      </c>
      <c r="AM1138" t="s">
        <v>9421</v>
      </c>
      <c r="AN1138" t="s">
        <v>61</v>
      </c>
      <c r="AO1138" t="s">
        <v>61</v>
      </c>
      <c r="AP1138" t="s">
        <v>61</v>
      </c>
      <c r="AQ1138" t="s">
        <v>61</v>
      </c>
      <c r="AR1138" t="s">
        <v>61</v>
      </c>
      <c r="AS1138" t="s">
        <v>61</v>
      </c>
      <c r="AT1138" t="s">
        <v>61</v>
      </c>
      <c r="AU1138" t="s">
        <v>61</v>
      </c>
      <c r="AV1138" t="s">
        <v>61</v>
      </c>
      <c r="AW1138" t="s">
        <v>61</v>
      </c>
      <c r="AX1138" t="s">
        <v>61</v>
      </c>
      <c r="AY1138" t="s">
        <v>61</v>
      </c>
      <c r="AZ1138" t="s">
        <v>61</v>
      </c>
      <c r="BA1138" t="s">
        <v>61</v>
      </c>
      <c r="BB1138" t="s">
        <v>61</v>
      </c>
      <c r="BC1138" t="s">
        <v>61</v>
      </c>
      <c r="BD1138" t="s">
        <v>61</v>
      </c>
      <c r="BE1138" t="s">
        <v>61</v>
      </c>
      <c r="BF1138" t="s">
        <v>61</v>
      </c>
    </row>
    <row r="1139" spans="1:58">
      <c r="A1139" t="s">
        <v>58</v>
      </c>
      <c r="B1139" t="s">
        <v>9422</v>
      </c>
      <c r="C1139" t="s">
        <v>9423</v>
      </c>
      <c r="D1139" t="s">
        <v>2704</v>
      </c>
      <c r="E1139" t="s">
        <v>61</v>
      </c>
      <c r="F1139">
        <v>2000</v>
      </c>
      <c r="G1139" t="s">
        <v>273</v>
      </c>
      <c r="H1139">
        <v>22</v>
      </c>
      <c r="I1139">
        <v>2</v>
      </c>
      <c r="J1139">
        <v>111</v>
      </c>
      <c r="K1139">
        <v>122</v>
      </c>
      <c r="L1139" t="s">
        <v>9424</v>
      </c>
      <c r="M1139" t="s">
        <v>9425</v>
      </c>
      <c r="N1139" t="s">
        <v>9426</v>
      </c>
      <c r="O1139" t="s">
        <v>61</v>
      </c>
      <c r="Q1139" t="s">
        <v>61</v>
      </c>
      <c r="R1139" t="s">
        <v>61</v>
      </c>
      <c r="S1139" t="s">
        <v>61</v>
      </c>
      <c r="T1139" t="s">
        <v>61</v>
      </c>
      <c r="X1139" t="s">
        <v>61</v>
      </c>
      <c r="Y1139" t="s">
        <v>313</v>
      </c>
      <c r="Z1139" t="s">
        <v>61</v>
      </c>
      <c r="AA1139" t="s">
        <v>9427</v>
      </c>
      <c r="AB1139">
        <v>10672894</v>
      </c>
      <c r="AC1139" t="s">
        <v>67</v>
      </c>
      <c r="AD1139" t="s">
        <v>61</v>
      </c>
      <c r="AE1139" t="s">
        <v>61</v>
      </c>
      <c r="AF1139" t="s">
        <v>61</v>
      </c>
      <c r="AG1139" t="s">
        <v>9428</v>
      </c>
      <c r="AH1139" t="s">
        <v>61</v>
      </c>
      <c r="AI1139" t="s">
        <v>61</v>
      </c>
      <c r="AJ1139" t="s">
        <v>61</v>
      </c>
      <c r="AK1139" t="s">
        <v>61</v>
      </c>
      <c r="AL1139" t="s">
        <v>61</v>
      </c>
      <c r="AM1139" t="s">
        <v>9429</v>
      </c>
      <c r="AN1139" t="s">
        <v>61</v>
      </c>
      <c r="AO1139" t="s">
        <v>61</v>
      </c>
      <c r="AP1139" t="s">
        <v>61</v>
      </c>
      <c r="AQ1139" t="s">
        <v>61</v>
      </c>
      <c r="AR1139" t="s">
        <v>61</v>
      </c>
      <c r="AS1139" t="s">
        <v>61</v>
      </c>
      <c r="AT1139" t="s">
        <v>61</v>
      </c>
      <c r="AU1139" t="s">
        <v>61</v>
      </c>
      <c r="AV1139" t="s">
        <v>61</v>
      </c>
      <c r="AW1139" t="s">
        <v>61</v>
      </c>
      <c r="AX1139" t="s">
        <v>61</v>
      </c>
      <c r="AY1139" t="s">
        <v>61</v>
      </c>
      <c r="AZ1139" t="s">
        <v>61</v>
      </c>
      <c r="BA1139" t="s">
        <v>61</v>
      </c>
      <c r="BB1139" t="s">
        <v>61</v>
      </c>
      <c r="BC1139" t="s">
        <v>61</v>
      </c>
      <c r="BD1139" t="s">
        <v>61</v>
      </c>
      <c r="BE1139" t="s">
        <v>61</v>
      </c>
      <c r="BF1139" t="s">
        <v>61</v>
      </c>
    </row>
    <row r="1140" spans="1:58">
      <c r="A1140" t="s">
        <v>58</v>
      </c>
      <c r="B1140" t="s">
        <v>9430</v>
      </c>
      <c r="C1140" t="s">
        <v>9431</v>
      </c>
      <c r="D1140" t="s">
        <v>417</v>
      </c>
      <c r="E1140" t="s">
        <v>61</v>
      </c>
      <c r="F1140">
        <v>2004</v>
      </c>
      <c r="G1140" t="s">
        <v>280</v>
      </c>
      <c r="H1140">
        <v>26</v>
      </c>
      <c r="I1140">
        <v>6</v>
      </c>
      <c r="J1140">
        <v>353</v>
      </c>
      <c r="K1140">
        <v>360</v>
      </c>
      <c r="L1140" t="s">
        <v>9432</v>
      </c>
      <c r="M1140" t="s">
        <v>9433</v>
      </c>
      <c r="N1140" t="s">
        <v>9434</v>
      </c>
      <c r="O1140" t="s">
        <v>61</v>
      </c>
      <c r="Q1140" t="s">
        <v>61</v>
      </c>
      <c r="R1140" t="s">
        <v>61</v>
      </c>
      <c r="S1140" t="s">
        <v>61</v>
      </c>
      <c r="T1140" t="s">
        <v>61</v>
      </c>
      <c r="X1140" t="s">
        <v>61</v>
      </c>
      <c r="Y1140" t="s">
        <v>422</v>
      </c>
      <c r="Z1140" t="s">
        <v>61</v>
      </c>
      <c r="AA1140" t="s">
        <v>9435</v>
      </c>
      <c r="AB1140">
        <v>15683106</v>
      </c>
      <c r="AC1140" t="s">
        <v>67</v>
      </c>
      <c r="AD1140" t="s">
        <v>61</v>
      </c>
      <c r="AE1140" t="s">
        <v>61</v>
      </c>
      <c r="AF1140" t="s">
        <v>61</v>
      </c>
      <c r="AG1140" t="s">
        <v>9436</v>
      </c>
      <c r="AH1140" t="s">
        <v>61</v>
      </c>
      <c r="AI1140" t="s">
        <v>61</v>
      </c>
      <c r="AJ1140" t="s">
        <v>61</v>
      </c>
      <c r="AK1140" t="s">
        <v>61</v>
      </c>
      <c r="AL1140" t="s">
        <v>61</v>
      </c>
      <c r="AM1140" t="s">
        <v>9437</v>
      </c>
      <c r="AN1140" t="s">
        <v>61</v>
      </c>
      <c r="AO1140" t="s">
        <v>61</v>
      </c>
      <c r="AP1140" t="s">
        <v>61</v>
      </c>
      <c r="AQ1140" t="s">
        <v>61</v>
      </c>
      <c r="AR1140" t="s">
        <v>61</v>
      </c>
      <c r="AS1140" t="s">
        <v>61</v>
      </c>
      <c r="AT1140" t="s">
        <v>61</v>
      </c>
      <c r="AU1140" t="s">
        <v>61</v>
      </c>
      <c r="AV1140" t="s">
        <v>61</v>
      </c>
      <c r="AW1140" t="s">
        <v>61</v>
      </c>
      <c r="AX1140" t="s">
        <v>61</v>
      </c>
      <c r="AY1140" t="s">
        <v>61</v>
      </c>
      <c r="AZ1140" t="s">
        <v>61</v>
      </c>
      <c r="BA1140" t="s">
        <v>61</v>
      </c>
      <c r="BB1140" t="s">
        <v>61</v>
      </c>
      <c r="BC1140" t="s">
        <v>61</v>
      </c>
      <c r="BD1140" t="s">
        <v>61</v>
      </c>
      <c r="BE1140" t="s">
        <v>61</v>
      </c>
      <c r="BF1140" t="s">
        <v>61</v>
      </c>
    </row>
    <row r="1141" spans="1:58">
      <c r="A1141" t="s">
        <v>58</v>
      </c>
      <c r="B1141" t="s">
        <v>9438</v>
      </c>
      <c r="C1141" t="s">
        <v>9439</v>
      </c>
      <c r="D1141" t="s">
        <v>1085</v>
      </c>
      <c r="E1141" t="s">
        <v>1086</v>
      </c>
      <c r="F1141">
        <v>2005</v>
      </c>
      <c r="G1141" t="s">
        <v>559</v>
      </c>
      <c r="H1141">
        <v>39</v>
      </c>
      <c r="I1141">
        <v>5</v>
      </c>
      <c r="J1141">
        <v>939</v>
      </c>
      <c r="K1141">
        <v>943</v>
      </c>
      <c r="L1141" t="s">
        <v>9440</v>
      </c>
      <c r="M1141" t="s">
        <v>9441</v>
      </c>
      <c r="N1141" t="s">
        <v>9442</v>
      </c>
      <c r="O1141" t="s">
        <v>61</v>
      </c>
      <c r="Q1141" t="s">
        <v>61</v>
      </c>
      <c r="R1141" t="s">
        <v>61</v>
      </c>
      <c r="S1141" t="s">
        <v>61</v>
      </c>
      <c r="T1141" t="s">
        <v>61</v>
      </c>
      <c r="X1141" t="s">
        <v>61</v>
      </c>
      <c r="Y1141" t="s">
        <v>3286</v>
      </c>
      <c r="Z1141" t="s">
        <v>61</v>
      </c>
      <c r="AA1141" t="s">
        <v>9443</v>
      </c>
      <c r="AB1141">
        <v>15827075</v>
      </c>
      <c r="AC1141" t="s">
        <v>67</v>
      </c>
      <c r="AD1141" t="s">
        <v>61</v>
      </c>
      <c r="AE1141" t="s">
        <v>61</v>
      </c>
      <c r="AF1141" t="s">
        <v>61</v>
      </c>
      <c r="AG1141" t="s">
        <v>9444</v>
      </c>
      <c r="AH1141" t="s">
        <v>61</v>
      </c>
      <c r="AI1141" t="s">
        <v>61</v>
      </c>
      <c r="AJ1141" t="s">
        <v>61</v>
      </c>
      <c r="AK1141" t="s">
        <v>61</v>
      </c>
      <c r="AL1141" t="s">
        <v>61</v>
      </c>
      <c r="AM1141" t="s">
        <v>9445</v>
      </c>
      <c r="AN1141" t="s">
        <v>61</v>
      </c>
      <c r="AO1141" t="s">
        <v>61</v>
      </c>
      <c r="AP1141" t="s">
        <v>61</v>
      </c>
      <c r="AQ1141" t="s">
        <v>61</v>
      </c>
      <c r="AR1141" t="s">
        <v>61</v>
      </c>
      <c r="AS1141" t="s">
        <v>61</v>
      </c>
      <c r="AT1141" t="s">
        <v>61</v>
      </c>
      <c r="AU1141" t="s">
        <v>61</v>
      </c>
      <c r="AV1141" t="s">
        <v>61</v>
      </c>
      <c r="AW1141" t="s">
        <v>61</v>
      </c>
      <c r="AX1141" t="s">
        <v>61</v>
      </c>
      <c r="AY1141" t="s">
        <v>61</v>
      </c>
      <c r="AZ1141" t="s">
        <v>61</v>
      </c>
      <c r="BA1141" t="s">
        <v>61</v>
      </c>
      <c r="BB1141" t="s">
        <v>61</v>
      </c>
      <c r="BC1141" t="s">
        <v>61</v>
      </c>
      <c r="BD1141" t="s">
        <v>61</v>
      </c>
      <c r="BE1141" t="s">
        <v>61</v>
      </c>
      <c r="BF1141" t="s">
        <v>61</v>
      </c>
    </row>
    <row r="1142" spans="1:58">
      <c r="A1142" t="s">
        <v>58</v>
      </c>
      <c r="B1142" t="s">
        <v>9446</v>
      </c>
      <c r="C1142" t="s">
        <v>9447</v>
      </c>
      <c r="D1142" t="s">
        <v>9448</v>
      </c>
      <c r="E1142" t="s">
        <v>61</v>
      </c>
      <c r="F1142">
        <v>2009</v>
      </c>
      <c r="G1142" t="s">
        <v>61</v>
      </c>
      <c r="H1142">
        <v>9</v>
      </c>
      <c r="I1142" t="s">
        <v>61</v>
      </c>
      <c r="J1142">
        <v>35</v>
      </c>
      <c r="K1142" t="s">
        <v>61</v>
      </c>
      <c r="L1142" t="s">
        <v>9449</v>
      </c>
      <c r="M1142" t="s">
        <v>9450</v>
      </c>
      <c r="N1142" t="s">
        <v>9451</v>
      </c>
      <c r="O1142" t="s">
        <v>61</v>
      </c>
      <c r="Q1142" t="s">
        <v>61</v>
      </c>
      <c r="R1142" t="s">
        <v>61</v>
      </c>
      <c r="S1142" t="s">
        <v>61</v>
      </c>
      <c r="T1142" t="s">
        <v>61</v>
      </c>
      <c r="X1142" t="s">
        <v>61</v>
      </c>
      <c r="Y1142" t="s">
        <v>9452</v>
      </c>
      <c r="Z1142" t="s">
        <v>61</v>
      </c>
      <c r="AA1142" t="s">
        <v>9453</v>
      </c>
      <c r="AB1142">
        <v>19463198</v>
      </c>
      <c r="AC1142" t="s">
        <v>67</v>
      </c>
      <c r="AD1142" t="s">
        <v>61</v>
      </c>
      <c r="AE1142" t="s">
        <v>61</v>
      </c>
      <c r="AF1142" t="s">
        <v>61</v>
      </c>
      <c r="AG1142" t="s">
        <v>9454</v>
      </c>
      <c r="AH1142" t="s">
        <v>61</v>
      </c>
      <c r="AI1142" t="s">
        <v>9455</v>
      </c>
      <c r="AJ1142" t="s">
        <v>61</v>
      </c>
      <c r="AK1142" t="s">
        <v>61</v>
      </c>
      <c r="AL1142" t="s">
        <v>61</v>
      </c>
      <c r="AM1142" t="s">
        <v>9456</v>
      </c>
      <c r="AN1142" t="s">
        <v>61</v>
      </c>
      <c r="AO1142" t="s">
        <v>61</v>
      </c>
      <c r="AP1142" t="s">
        <v>61</v>
      </c>
      <c r="AQ1142" t="s">
        <v>61</v>
      </c>
      <c r="AR1142" t="s">
        <v>61</v>
      </c>
      <c r="AS1142" t="s">
        <v>61</v>
      </c>
      <c r="AT1142" t="s">
        <v>61</v>
      </c>
      <c r="AU1142" t="s">
        <v>61</v>
      </c>
      <c r="AV1142" t="s">
        <v>61</v>
      </c>
      <c r="AW1142" t="s">
        <v>61</v>
      </c>
      <c r="AX1142" t="s">
        <v>61</v>
      </c>
      <c r="AY1142" t="s">
        <v>61</v>
      </c>
      <c r="AZ1142" t="s">
        <v>61</v>
      </c>
      <c r="BA1142" t="s">
        <v>61</v>
      </c>
      <c r="BB1142" t="s">
        <v>61</v>
      </c>
      <c r="BC1142" t="s">
        <v>61</v>
      </c>
      <c r="BD1142" t="s">
        <v>61</v>
      </c>
      <c r="BE1142" t="s">
        <v>61</v>
      </c>
      <c r="BF1142" t="s">
        <v>61</v>
      </c>
    </row>
    <row r="1143" spans="1:58">
      <c r="A1143" t="s">
        <v>58</v>
      </c>
      <c r="B1143" t="s">
        <v>9457</v>
      </c>
      <c r="C1143" t="s">
        <v>9458</v>
      </c>
      <c r="D1143" t="s">
        <v>9459</v>
      </c>
      <c r="E1143" t="s">
        <v>9460</v>
      </c>
      <c r="F1143">
        <v>2015</v>
      </c>
      <c r="G1143">
        <v>1</v>
      </c>
      <c r="H1143" t="s">
        <v>9461</v>
      </c>
      <c r="I1143">
        <v>4</v>
      </c>
      <c r="J1143">
        <v>439</v>
      </c>
      <c r="K1143">
        <v>453</v>
      </c>
      <c r="L1143" t="s">
        <v>9462</v>
      </c>
      <c r="M1143" t="s">
        <v>9463</v>
      </c>
      <c r="N1143" t="s">
        <v>9464</v>
      </c>
      <c r="O1143" t="s">
        <v>61</v>
      </c>
      <c r="Q1143" t="s">
        <v>61</v>
      </c>
      <c r="R1143" t="s">
        <v>61</v>
      </c>
      <c r="S1143" t="s">
        <v>61</v>
      </c>
      <c r="T1143" t="s">
        <v>61</v>
      </c>
      <c r="X1143" t="s">
        <v>61</v>
      </c>
      <c r="Y1143" t="s">
        <v>9465</v>
      </c>
      <c r="Z1143" t="s">
        <v>61</v>
      </c>
      <c r="AA1143" t="s">
        <v>61</v>
      </c>
      <c r="AB1143">
        <v>2014777817</v>
      </c>
      <c r="AC1143" t="s">
        <v>67</v>
      </c>
      <c r="AD1143" t="s">
        <v>61</v>
      </c>
      <c r="AE1143" t="s">
        <v>61</v>
      </c>
      <c r="AF1143" t="s">
        <v>61</v>
      </c>
      <c r="AG1143" t="s">
        <v>9466</v>
      </c>
      <c r="AH1143" t="s">
        <v>61</v>
      </c>
      <c r="AI1143" t="s">
        <v>61</v>
      </c>
      <c r="AJ1143" t="s">
        <v>61</v>
      </c>
      <c r="AK1143" t="s">
        <v>61</v>
      </c>
      <c r="AL1143" t="s">
        <v>61</v>
      </c>
      <c r="AM1143" t="s">
        <v>9467</v>
      </c>
      <c r="AN1143" t="s">
        <v>61</v>
      </c>
      <c r="AO1143" t="s">
        <v>61</v>
      </c>
      <c r="AP1143" t="s">
        <v>61</v>
      </c>
      <c r="AQ1143" t="s">
        <v>61</v>
      </c>
      <c r="AR1143" t="s">
        <v>61</v>
      </c>
      <c r="AS1143" t="s">
        <v>61</v>
      </c>
      <c r="AT1143" t="s">
        <v>61</v>
      </c>
      <c r="AU1143" t="s">
        <v>61</v>
      </c>
      <c r="AV1143" t="s">
        <v>61</v>
      </c>
      <c r="AW1143" t="s">
        <v>61</v>
      </c>
      <c r="AX1143" t="s">
        <v>61</v>
      </c>
      <c r="AY1143" t="s">
        <v>61</v>
      </c>
      <c r="AZ1143" t="s">
        <v>61</v>
      </c>
      <c r="BA1143" t="s">
        <v>61</v>
      </c>
      <c r="BB1143" t="s">
        <v>61</v>
      </c>
      <c r="BC1143" t="s">
        <v>61</v>
      </c>
      <c r="BD1143" t="s">
        <v>61</v>
      </c>
      <c r="BE1143" t="s">
        <v>61</v>
      </c>
      <c r="BF1143" t="s">
        <v>61</v>
      </c>
    </row>
    <row r="1144" spans="1:58">
      <c r="A1144" t="s">
        <v>58</v>
      </c>
      <c r="B1144" t="s">
        <v>9468</v>
      </c>
      <c r="C1144" t="s">
        <v>9469</v>
      </c>
      <c r="D1144" t="s">
        <v>162</v>
      </c>
      <c r="E1144" t="s">
        <v>163</v>
      </c>
      <c r="F1144">
        <v>2000</v>
      </c>
      <c r="G1144" t="s">
        <v>61</v>
      </c>
      <c r="H1144">
        <v>40</v>
      </c>
      <c r="I1144">
        <v>1</v>
      </c>
      <c r="J1144">
        <v>67</v>
      </c>
      <c r="K1144">
        <v>73</v>
      </c>
      <c r="L1144" t="s">
        <v>9470</v>
      </c>
      <c r="M1144" t="s">
        <v>9471</v>
      </c>
      <c r="N1144" t="s">
        <v>9472</v>
      </c>
      <c r="O1144" t="s">
        <v>61</v>
      </c>
      <c r="Q1144" t="s">
        <v>61</v>
      </c>
      <c r="R1144" t="s">
        <v>61</v>
      </c>
      <c r="S1144" t="s">
        <v>61</v>
      </c>
      <c r="T1144" t="s">
        <v>61</v>
      </c>
      <c r="X1144" t="s">
        <v>61</v>
      </c>
      <c r="Y1144" t="s">
        <v>167</v>
      </c>
      <c r="Z1144" t="s">
        <v>61</v>
      </c>
      <c r="AA1144" t="s">
        <v>61</v>
      </c>
      <c r="AB1144">
        <v>2000416870</v>
      </c>
      <c r="AC1144" t="s">
        <v>67</v>
      </c>
      <c r="AD1144" t="s">
        <v>61</v>
      </c>
      <c r="AE1144" t="s">
        <v>61</v>
      </c>
      <c r="AF1144" t="s">
        <v>61</v>
      </c>
      <c r="AG1144" t="s">
        <v>9473</v>
      </c>
      <c r="AH1144" t="s">
        <v>61</v>
      </c>
      <c r="AI1144" t="s">
        <v>61</v>
      </c>
      <c r="AJ1144" t="s">
        <v>61</v>
      </c>
      <c r="AK1144" t="s">
        <v>61</v>
      </c>
      <c r="AL1144" t="s">
        <v>61</v>
      </c>
      <c r="AM1144" t="s">
        <v>9474</v>
      </c>
      <c r="AN1144" t="s">
        <v>61</v>
      </c>
      <c r="AO1144" t="s">
        <v>61</v>
      </c>
      <c r="AP1144" t="s">
        <v>61</v>
      </c>
      <c r="AQ1144" t="s">
        <v>61</v>
      </c>
      <c r="AR1144" t="s">
        <v>61</v>
      </c>
      <c r="AS1144" t="s">
        <v>61</v>
      </c>
      <c r="AT1144" t="s">
        <v>61</v>
      </c>
      <c r="AU1144" t="s">
        <v>61</v>
      </c>
      <c r="AV1144" t="s">
        <v>61</v>
      </c>
      <c r="AW1144" t="s">
        <v>61</v>
      </c>
      <c r="AX1144" t="s">
        <v>61</v>
      </c>
      <c r="AY1144" t="s">
        <v>61</v>
      </c>
      <c r="AZ1144" t="s">
        <v>61</v>
      </c>
      <c r="BA1144" t="s">
        <v>61</v>
      </c>
      <c r="BB1144" t="s">
        <v>61</v>
      </c>
      <c r="BC1144" t="s">
        <v>61</v>
      </c>
      <c r="BD1144" t="s">
        <v>61</v>
      </c>
      <c r="BE1144" t="s">
        <v>61</v>
      </c>
      <c r="BF1144" t="s">
        <v>61</v>
      </c>
    </row>
    <row r="1145" spans="1:58">
      <c r="A1145" t="s">
        <v>58</v>
      </c>
      <c r="B1145" t="s">
        <v>9475</v>
      </c>
      <c r="C1145" t="s">
        <v>9476</v>
      </c>
      <c r="D1145" t="s">
        <v>1739</v>
      </c>
      <c r="E1145" t="s">
        <v>1740</v>
      </c>
      <c r="F1145">
        <v>1990</v>
      </c>
      <c r="G1145" t="s">
        <v>391</v>
      </c>
      <c r="H1145">
        <v>47</v>
      </c>
      <c r="I1145">
        <v>3</v>
      </c>
      <c r="J1145">
        <v>543</v>
      </c>
      <c r="K1145">
        <v>549</v>
      </c>
      <c r="L1145" t="s">
        <v>9477</v>
      </c>
      <c r="M1145" t="s">
        <v>9478</v>
      </c>
      <c r="N1145" t="s">
        <v>9479</v>
      </c>
      <c r="O1145" t="s">
        <v>61</v>
      </c>
      <c r="Q1145" t="s">
        <v>61</v>
      </c>
      <c r="R1145" t="s">
        <v>61</v>
      </c>
      <c r="S1145" t="s">
        <v>61</v>
      </c>
      <c r="T1145" t="s">
        <v>61</v>
      </c>
      <c r="X1145" t="s">
        <v>61</v>
      </c>
      <c r="Y1145" s="2">
        <v>2698811</v>
      </c>
      <c r="Z1145" t="s">
        <v>61</v>
      </c>
      <c r="AA1145" t="s">
        <v>9480</v>
      </c>
      <c r="AB1145">
        <v>2316539</v>
      </c>
      <c r="AC1145" t="s">
        <v>67</v>
      </c>
      <c r="AD1145" t="s">
        <v>61</v>
      </c>
      <c r="AE1145" t="s">
        <v>61</v>
      </c>
      <c r="AF1145" t="s">
        <v>61</v>
      </c>
      <c r="AG1145" t="s">
        <v>9481</v>
      </c>
      <c r="AH1145" t="s">
        <v>61</v>
      </c>
      <c r="AI1145" t="s">
        <v>61</v>
      </c>
      <c r="AJ1145" t="s">
        <v>61</v>
      </c>
      <c r="AK1145" t="s">
        <v>61</v>
      </c>
      <c r="AL1145" t="s">
        <v>61</v>
      </c>
      <c r="AM1145" t="s">
        <v>9482</v>
      </c>
      <c r="AN1145" t="s">
        <v>61</v>
      </c>
      <c r="AO1145" t="s">
        <v>61</v>
      </c>
      <c r="AP1145" t="s">
        <v>61</v>
      </c>
      <c r="AQ1145" t="s">
        <v>61</v>
      </c>
      <c r="AR1145" t="s">
        <v>61</v>
      </c>
      <c r="AS1145" t="s">
        <v>61</v>
      </c>
      <c r="AT1145" t="s">
        <v>61</v>
      </c>
      <c r="AU1145" t="s">
        <v>61</v>
      </c>
      <c r="AV1145" t="s">
        <v>61</v>
      </c>
      <c r="AW1145" t="s">
        <v>61</v>
      </c>
      <c r="AX1145" t="s">
        <v>61</v>
      </c>
      <c r="AY1145" t="s">
        <v>61</v>
      </c>
      <c r="AZ1145" t="s">
        <v>61</v>
      </c>
      <c r="BA1145" t="s">
        <v>61</v>
      </c>
      <c r="BB1145" t="s">
        <v>61</v>
      </c>
      <c r="BC1145" t="s">
        <v>61</v>
      </c>
      <c r="BD1145" t="s">
        <v>61</v>
      </c>
      <c r="BE1145" t="s">
        <v>61</v>
      </c>
      <c r="BF1145" t="s">
        <v>61</v>
      </c>
    </row>
    <row r="1146" spans="1:58">
      <c r="A1146" t="s">
        <v>58</v>
      </c>
      <c r="B1146" t="s">
        <v>9483</v>
      </c>
      <c r="C1146" t="s">
        <v>9484</v>
      </c>
      <c r="D1146" t="s">
        <v>9485</v>
      </c>
      <c r="E1146" t="s">
        <v>61</v>
      </c>
      <c r="F1146">
        <v>2011</v>
      </c>
      <c r="G1146" t="s">
        <v>61</v>
      </c>
      <c r="H1146">
        <v>14</v>
      </c>
      <c r="I1146">
        <v>1</v>
      </c>
      <c r="J1146">
        <v>124</v>
      </c>
      <c r="K1146">
        <v>129</v>
      </c>
      <c r="L1146" t="s">
        <v>9486</v>
      </c>
      <c r="M1146" t="s">
        <v>9487</v>
      </c>
      <c r="N1146" t="s">
        <v>9488</v>
      </c>
      <c r="O1146" t="s">
        <v>61</v>
      </c>
      <c r="Q1146" t="s">
        <v>61</v>
      </c>
      <c r="R1146" t="s">
        <v>61</v>
      </c>
      <c r="S1146" t="s">
        <v>61</v>
      </c>
      <c r="T1146" t="s">
        <v>61</v>
      </c>
      <c r="X1146" t="s">
        <v>61</v>
      </c>
      <c r="Y1146" t="s">
        <v>9489</v>
      </c>
      <c r="Z1146" t="s">
        <v>61</v>
      </c>
      <c r="AA1146" t="s">
        <v>9490</v>
      </c>
      <c r="AB1146">
        <v>21241162</v>
      </c>
      <c r="AC1146" t="s">
        <v>67</v>
      </c>
      <c r="AD1146" t="s">
        <v>61</v>
      </c>
      <c r="AE1146" t="s">
        <v>61</v>
      </c>
      <c r="AF1146" t="s">
        <v>61</v>
      </c>
      <c r="AG1146" t="s">
        <v>9491</v>
      </c>
      <c r="AH1146" t="s">
        <v>61</v>
      </c>
      <c r="AI1146" t="s">
        <v>9492</v>
      </c>
      <c r="AJ1146" t="s">
        <v>61</v>
      </c>
      <c r="AK1146" t="s">
        <v>61</v>
      </c>
      <c r="AL1146" t="s">
        <v>61</v>
      </c>
      <c r="AM1146" t="s">
        <v>9493</v>
      </c>
      <c r="AN1146" t="s">
        <v>61</v>
      </c>
      <c r="AO1146" t="s">
        <v>61</v>
      </c>
      <c r="AP1146" t="s">
        <v>61</v>
      </c>
      <c r="AQ1146" t="s">
        <v>61</v>
      </c>
      <c r="AR1146" t="s">
        <v>61</v>
      </c>
      <c r="AS1146" t="s">
        <v>61</v>
      </c>
      <c r="AT1146" t="s">
        <v>61</v>
      </c>
      <c r="AU1146" t="s">
        <v>61</v>
      </c>
      <c r="AV1146" t="s">
        <v>61</v>
      </c>
      <c r="AW1146" t="s">
        <v>61</v>
      </c>
      <c r="AX1146" t="s">
        <v>61</v>
      </c>
      <c r="AY1146" t="s">
        <v>61</v>
      </c>
      <c r="AZ1146" t="s">
        <v>61</v>
      </c>
      <c r="BA1146" t="s">
        <v>61</v>
      </c>
      <c r="BB1146" t="s">
        <v>61</v>
      </c>
      <c r="BC1146" t="s">
        <v>61</v>
      </c>
      <c r="BD1146" t="s">
        <v>61</v>
      </c>
      <c r="BE1146" t="s">
        <v>61</v>
      </c>
      <c r="BF1146" t="s">
        <v>61</v>
      </c>
    </row>
    <row r="1147" spans="1:58">
      <c r="A1147" t="s">
        <v>58</v>
      </c>
      <c r="B1147" t="s">
        <v>9494</v>
      </c>
      <c r="C1147" t="s">
        <v>9495</v>
      </c>
      <c r="D1147" t="s">
        <v>9496</v>
      </c>
      <c r="E1147" t="s">
        <v>61</v>
      </c>
      <c r="F1147">
        <v>2011</v>
      </c>
      <c r="G1147" t="s">
        <v>61</v>
      </c>
      <c r="H1147">
        <v>7</v>
      </c>
      <c r="I1147">
        <v>3</v>
      </c>
      <c r="J1147">
        <v>173</v>
      </c>
      <c r="K1147" t="s">
        <v>9497</v>
      </c>
      <c r="L1147" t="s">
        <v>9498</v>
      </c>
      <c r="M1147" t="s">
        <v>61</v>
      </c>
      <c r="N1147" t="s">
        <v>9499</v>
      </c>
      <c r="O1147" t="s">
        <v>61</v>
      </c>
      <c r="Q1147" t="s">
        <v>61</v>
      </c>
      <c r="R1147" t="s">
        <v>61</v>
      </c>
      <c r="S1147" t="s">
        <v>61</v>
      </c>
      <c r="T1147" t="s">
        <v>61</v>
      </c>
      <c r="X1147" t="s">
        <v>61</v>
      </c>
      <c r="Y1147" t="s">
        <v>9500</v>
      </c>
      <c r="Z1147" t="s">
        <v>61</v>
      </c>
      <c r="AA1147" t="s">
        <v>61</v>
      </c>
      <c r="AB1147">
        <v>108249204</v>
      </c>
      <c r="AC1147" t="s">
        <v>67</v>
      </c>
      <c r="AD1147" t="s">
        <v>61</v>
      </c>
      <c r="AE1147" t="s">
        <v>61</v>
      </c>
      <c r="AF1147" t="s">
        <v>61</v>
      </c>
      <c r="AG1147" t="s">
        <v>9501</v>
      </c>
      <c r="AH1147" t="s">
        <v>61</v>
      </c>
      <c r="AI1147" t="s">
        <v>9502</v>
      </c>
      <c r="AJ1147" t="s">
        <v>61</v>
      </c>
      <c r="AK1147" t="s">
        <v>61</v>
      </c>
      <c r="AL1147" t="s">
        <v>61</v>
      </c>
      <c r="AM1147" t="s">
        <v>9503</v>
      </c>
      <c r="AN1147" t="s">
        <v>61</v>
      </c>
      <c r="AO1147" t="s">
        <v>61</v>
      </c>
      <c r="AP1147" t="s">
        <v>61</v>
      </c>
      <c r="AQ1147" t="s">
        <v>61</v>
      </c>
      <c r="AR1147" t="s">
        <v>61</v>
      </c>
      <c r="AS1147" t="s">
        <v>61</v>
      </c>
      <c r="AT1147" t="s">
        <v>61</v>
      </c>
      <c r="AU1147" t="s">
        <v>61</v>
      </c>
      <c r="AV1147" t="s">
        <v>61</v>
      </c>
      <c r="AW1147" t="s">
        <v>61</v>
      </c>
      <c r="AX1147" t="s">
        <v>61</v>
      </c>
      <c r="AY1147" t="s">
        <v>61</v>
      </c>
      <c r="AZ1147" t="s">
        <v>61</v>
      </c>
      <c r="BA1147" t="s">
        <v>61</v>
      </c>
      <c r="BB1147" t="s">
        <v>61</v>
      </c>
      <c r="BC1147" t="s">
        <v>61</v>
      </c>
      <c r="BD1147" t="s">
        <v>61</v>
      </c>
      <c r="BE1147" t="s">
        <v>61</v>
      </c>
      <c r="BF1147" t="s">
        <v>61</v>
      </c>
    </row>
    <row r="1148" spans="1:58">
      <c r="A1148" t="s">
        <v>58</v>
      </c>
      <c r="B1148" t="s">
        <v>9504</v>
      </c>
      <c r="C1148" t="s">
        <v>9505</v>
      </c>
      <c r="D1148" t="s">
        <v>4285</v>
      </c>
      <c r="E1148" t="s">
        <v>61</v>
      </c>
      <c r="F1148">
        <v>2010</v>
      </c>
      <c r="G1148" t="s">
        <v>381</v>
      </c>
      <c r="H1148">
        <v>11</v>
      </c>
      <c r="I1148">
        <v>2</v>
      </c>
      <c r="J1148">
        <v>330</v>
      </c>
      <c r="K1148" t="s">
        <v>61</v>
      </c>
      <c r="L1148" t="s">
        <v>9506</v>
      </c>
      <c r="M1148" t="s">
        <v>9507</v>
      </c>
      <c r="N1148" t="s">
        <v>9508</v>
      </c>
      <c r="O1148" t="s">
        <v>61</v>
      </c>
      <c r="Q1148" t="s">
        <v>61</v>
      </c>
      <c r="R1148" t="s">
        <v>61</v>
      </c>
      <c r="S1148" t="s">
        <v>61</v>
      </c>
      <c r="T1148" t="s">
        <v>61</v>
      </c>
      <c r="X1148" t="s">
        <v>61</v>
      </c>
      <c r="Y1148" t="s">
        <v>4288</v>
      </c>
      <c r="Z1148" t="s">
        <v>61</v>
      </c>
      <c r="AA1148" t="s">
        <v>61</v>
      </c>
      <c r="AB1148" t="s">
        <v>61</v>
      </c>
      <c r="AC1148" t="s">
        <v>67</v>
      </c>
      <c r="AD1148" t="s">
        <v>61</v>
      </c>
      <c r="AE1148" t="s">
        <v>61</v>
      </c>
      <c r="AF1148" t="s">
        <v>61</v>
      </c>
      <c r="AG1148" t="s">
        <v>61</v>
      </c>
      <c r="AH1148" t="s">
        <v>61</v>
      </c>
      <c r="AI1148" t="s">
        <v>61</v>
      </c>
      <c r="AJ1148" t="s">
        <v>61</v>
      </c>
      <c r="AK1148" t="s">
        <v>61</v>
      </c>
      <c r="AL1148" t="s">
        <v>61</v>
      </c>
      <c r="AM1148" t="s">
        <v>9505</v>
      </c>
      <c r="AN1148" t="s">
        <v>61</v>
      </c>
      <c r="AO1148" t="s">
        <v>61</v>
      </c>
      <c r="AP1148" t="s">
        <v>61</v>
      </c>
      <c r="AQ1148" t="s">
        <v>61</v>
      </c>
      <c r="AR1148" t="s">
        <v>61</v>
      </c>
      <c r="AS1148" t="s">
        <v>61</v>
      </c>
      <c r="AT1148" t="s">
        <v>61</v>
      </c>
      <c r="AU1148" t="s">
        <v>61</v>
      </c>
      <c r="AV1148" t="s">
        <v>61</v>
      </c>
      <c r="AW1148" t="s">
        <v>61</v>
      </c>
      <c r="AX1148" t="s">
        <v>61</v>
      </c>
      <c r="AY1148" t="s">
        <v>61</v>
      </c>
      <c r="AZ1148" t="s">
        <v>61</v>
      </c>
      <c r="BA1148" t="s">
        <v>61</v>
      </c>
      <c r="BB1148" t="s">
        <v>61</v>
      </c>
      <c r="BC1148" t="s">
        <v>61</v>
      </c>
      <c r="BD1148" t="s">
        <v>61</v>
      </c>
      <c r="BE1148" t="s">
        <v>61</v>
      </c>
      <c r="BF1148" t="s">
        <v>61</v>
      </c>
    </row>
    <row r="1149" spans="1:58">
      <c r="A1149" t="s">
        <v>58</v>
      </c>
      <c r="B1149" t="s">
        <v>9509</v>
      </c>
      <c r="C1149" t="s">
        <v>9510</v>
      </c>
      <c r="D1149" t="s">
        <v>436</v>
      </c>
      <c r="E1149" t="s">
        <v>436</v>
      </c>
      <c r="F1149">
        <v>2014</v>
      </c>
      <c r="G1149" t="s">
        <v>4981</v>
      </c>
      <c r="H1149">
        <v>39</v>
      </c>
      <c r="I1149">
        <v>1</v>
      </c>
      <c r="J1149">
        <v>156</v>
      </c>
      <c r="K1149">
        <v>168</v>
      </c>
      <c r="L1149" t="s">
        <v>9511</v>
      </c>
      <c r="M1149" t="s">
        <v>9512</v>
      </c>
      <c r="N1149" t="s">
        <v>9513</v>
      </c>
      <c r="O1149" t="s">
        <v>61</v>
      </c>
      <c r="Q1149" t="s">
        <v>61</v>
      </c>
      <c r="R1149" t="s">
        <v>61</v>
      </c>
      <c r="S1149" t="s">
        <v>61</v>
      </c>
      <c r="T1149" t="s">
        <v>61</v>
      </c>
      <c r="X1149" t="s">
        <v>61</v>
      </c>
      <c r="Y1149" t="s">
        <v>9514</v>
      </c>
      <c r="Z1149" t="s">
        <v>61</v>
      </c>
      <c r="AA1149" t="s">
        <v>61</v>
      </c>
      <c r="AB1149">
        <v>2013800228</v>
      </c>
      <c r="AC1149" t="s">
        <v>67</v>
      </c>
      <c r="AD1149" t="s">
        <v>61</v>
      </c>
      <c r="AE1149" t="s">
        <v>61</v>
      </c>
      <c r="AF1149" t="s">
        <v>61</v>
      </c>
      <c r="AG1149" t="s">
        <v>9515</v>
      </c>
      <c r="AH1149" t="s">
        <v>61</v>
      </c>
      <c r="AI1149" t="s">
        <v>61</v>
      </c>
      <c r="AJ1149" t="s">
        <v>61</v>
      </c>
      <c r="AK1149" t="s">
        <v>61</v>
      </c>
      <c r="AL1149" t="s">
        <v>61</v>
      </c>
      <c r="AM1149" t="s">
        <v>9516</v>
      </c>
      <c r="AN1149" t="s">
        <v>61</v>
      </c>
      <c r="AO1149" t="s">
        <v>61</v>
      </c>
      <c r="AP1149" t="s">
        <v>61</v>
      </c>
      <c r="AQ1149" t="s">
        <v>61</v>
      </c>
      <c r="AR1149" t="s">
        <v>61</v>
      </c>
      <c r="AS1149" t="s">
        <v>61</v>
      </c>
      <c r="AT1149" t="s">
        <v>61</v>
      </c>
      <c r="AU1149" t="s">
        <v>61</v>
      </c>
      <c r="AV1149" t="s">
        <v>61</v>
      </c>
      <c r="AW1149" t="s">
        <v>61</v>
      </c>
      <c r="AX1149" t="s">
        <v>61</v>
      </c>
      <c r="AY1149" t="s">
        <v>61</v>
      </c>
      <c r="AZ1149" t="s">
        <v>61</v>
      </c>
      <c r="BA1149" t="s">
        <v>61</v>
      </c>
      <c r="BB1149" t="s">
        <v>61</v>
      </c>
      <c r="BC1149" t="s">
        <v>61</v>
      </c>
      <c r="BD1149" t="s">
        <v>61</v>
      </c>
      <c r="BE1149" t="s">
        <v>61</v>
      </c>
      <c r="BF1149" t="s">
        <v>61</v>
      </c>
    </row>
    <row r="1150" spans="1:58">
      <c r="A1150" t="s">
        <v>58</v>
      </c>
      <c r="B1150" t="s">
        <v>9517</v>
      </c>
      <c r="C1150" t="s">
        <v>9518</v>
      </c>
      <c r="D1150" t="s">
        <v>428</v>
      </c>
      <c r="E1150" t="s">
        <v>61</v>
      </c>
      <c r="F1150">
        <v>2012</v>
      </c>
      <c r="G1150" t="s">
        <v>429</v>
      </c>
      <c r="H1150">
        <v>25</v>
      </c>
      <c r="I1150">
        <v>2</v>
      </c>
      <c r="J1150">
        <v>299</v>
      </c>
      <c r="K1150" t="s">
        <v>61</v>
      </c>
      <c r="L1150" t="s">
        <v>9519</v>
      </c>
      <c r="M1150" t="s">
        <v>9520</v>
      </c>
      <c r="N1150" t="s">
        <v>9521</v>
      </c>
      <c r="O1150" t="s">
        <v>61</v>
      </c>
      <c r="Q1150" t="s">
        <v>61</v>
      </c>
      <c r="R1150" t="s">
        <v>61</v>
      </c>
      <c r="S1150" t="s">
        <v>61</v>
      </c>
      <c r="T1150" t="s">
        <v>61</v>
      </c>
      <c r="X1150" t="s">
        <v>61</v>
      </c>
      <c r="Y1150" t="s">
        <v>433</v>
      </c>
      <c r="Z1150" t="s">
        <v>61</v>
      </c>
      <c r="AA1150" t="s">
        <v>61</v>
      </c>
      <c r="AB1150" t="s">
        <v>61</v>
      </c>
      <c r="AC1150" t="s">
        <v>67</v>
      </c>
      <c r="AD1150" t="s">
        <v>61</v>
      </c>
      <c r="AE1150" t="s">
        <v>61</v>
      </c>
      <c r="AF1150" t="s">
        <v>61</v>
      </c>
      <c r="AG1150" t="s">
        <v>61</v>
      </c>
      <c r="AH1150" t="s">
        <v>61</v>
      </c>
      <c r="AI1150" t="s">
        <v>61</v>
      </c>
      <c r="AJ1150" t="s">
        <v>61</v>
      </c>
      <c r="AK1150" t="s">
        <v>61</v>
      </c>
      <c r="AL1150" t="s">
        <v>61</v>
      </c>
      <c r="AM1150" t="s">
        <v>9518</v>
      </c>
      <c r="AN1150" t="s">
        <v>61</v>
      </c>
      <c r="AO1150" t="s">
        <v>61</v>
      </c>
      <c r="AP1150" t="s">
        <v>61</v>
      </c>
      <c r="AQ1150" t="s">
        <v>61</v>
      </c>
      <c r="AR1150" t="s">
        <v>61</v>
      </c>
      <c r="AS1150" t="s">
        <v>61</v>
      </c>
      <c r="AT1150" t="s">
        <v>61</v>
      </c>
      <c r="AU1150" t="s">
        <v>61</v>
      </c>
      <c r="AV1150" t="s">
        <v>61</v>
      </c>
      <c r="AW1150" t="s">
        <v>61</v>
      </c>
      <c r="AX1150" t="s">
        <v>61</v>
      </c>
      <c r="AY1150" t="s">
        <v>61</v>
      </c>
      <c r="AZ1150" t="s">
        <v>61</v>
      </c>
      <c r="BA1150" t="s">
        <v>61</v>
      </c>
      <c r="BB1150" t="s">
        <v>61</v>
      </c>
      <c r="BC1150" t="s">
        <v>61</v>
      </c>
      <c r="BD1150" t="s">
        <v>61</v>
      </c>
      <c r="BE1150" t="s">
        <v>61</v>
      </c>
      <c r="BF1150" t="s">
        <v>61</v>
      </c>
    </row>
    <row r="1151" spans="1:58">
      <c r="A1151" t="s">
        <v>58</v>
      </c>
      <c r="B1151" t="s">
        <v>9522</v>
      </c>
      <c r="C1151" t="s">
        <v>9523</v>
      </c>
      <c r="D1151" t="s">
        <v>408</v>
      </c>
      <c r="E1151" t="s">
        <v>408</v>
      </c>
      <c r="F1151">
        <v>2014</v>
      </c>
      <c r="G1151" t="s">
        <v>645</v>
      </c>
      <c r="H1151">
        <v>34</v>
      </c>
      <c r="I1151">
        <v>10</v>
      </c>
      <c r="J1151" t="s">
        <v>4560</v>
      </c>
      <c r="K1151" t="s">
        <v>61</v>
      </c>
      <c r="L1151" t="s">
        <v>9524</v>
      </c>
      <c r="M1151" t="s">
        <v>9525</v>
      </c>
      <c r="N1151" t="s">
        <v>9526</v>
      </c>
      <c r="O1151" t="s">
        <v>61</v>
      </c>
      <c r="Q1151" t="s">
        <v>61</v>
      </c>
      <c r="R1151" t="s">
        <v>61</v>
      </c>
      <c r="S1151" t="s">
        <v>61</v>
      </c>
      <c r="T1151" t="s">
        <v>61</v>
      </c>
      <c r="X1151" t="s">
        <v>61</v>
      </c>
      <c r="Y1151" t="s">
        <v>414</v>
      </c>
      <c r="Z1151" t="s">
        <v>61</v>
      </c>
      <c r="AA1151" t="s">
        <v>61</v>
      </c>
      <c r="AB1151" t="s">
        <v>61</v>
      </c>
      <c r="AC1151" t="s">
        <v>67</v>
      </c>
      <c r="AD1151" t="s">
        <v>61</v>
      </c>
      <c r="AE1151" t="s">
        <v>61</v>
      </c>
      <c r="AF1151" t="s">
        <v>61</v>
      </c>
      <c r="AG1151" t="s">
        <v>61</v>
      </c>
      <c r="AH1151" t="s">
        <v>61</v>
      </c>
      <c r="AI1151" t="s">
        <v>61</v>
      </c>
      <c r="AJ1151" t="s">
        <v>61</v>
      </c>
      <c r="AK1151" t="s">
        <v>61</v>
      </c>
      <c r="AL1151" t="s">
        <v>61</v>
      </c>
      <c r="AM1151" t="s">
        <v>9523</v>
      </c>
      <c r="AN1151" t="s">
        <v>61</v>
      </c>
      <c r="AO1151" t="s">
        <v>61</v>
      </c>
      <c r="AP1151" t="s">
        <v>61</v>
      </c>
      <c r="AQ1151" t="s">
        <v>61</v>
      </c>
      <c r="AR1151" t="s">
        <v>61</v>
      </c>
      <c r="AS1151" t="s">
        <v>61</v>
      </c>
      <c r="AT1151" t="s">
        <v>61</v>
      </c>
      <c r="AU1151" t="s">
        <v>61</v>
      </c>
      <c r="AV1151" t="s">
        <v>61</v>
      </c>
      <c r="AW1151" t="s">
        <v>61</v>
      </c>
      <c r="AX1151" t="s">
        <v>61</v>
      </c>
      <c r="AY1151" t="s">
        <v>61</v>
      </c>
      <c r="AZ1151" t="s">
        <v>61</v>
      </c>
      <c r="BA1151" t="s">
        <v>61</v>
      </c>
      <c r="BB1151" t="s">
        <v>61</v>
      </c>
      <c r="BC1151" t="s">
        <v>61</v>
      </c>
      <c r="BD1151" t="s">
        <v>61</v>
      </c>
      <c r="BE1151" t="s">
        <v>61</v>
      </c>
      <c r="BF1151" t="s">
        <v>61</v>
      </c>
    </row>
    <row r="1152" spans="1:58">
      <c r="A1152" t="s">
        <v>58</v>
      </c>
      <c r="B1152" t="s">
        <v>9527</v>
      </c>
      <c r="C1152" t="s">
        <v>9528</v>
      </c>
      <c r="D1152" t="s">
        <v>588</v>
      </c>
      <c r="E1152" t="s">
        <v>589</v>
      </c>
      <c r="F1152">
        <v>2007</v>
      </c>
      <c r="G1152" t="s">
        <v>1152</v>
      </c>
      <c r="H1152">
        <v>39</v>
      </c>
      <c r="I1152">
        <v>3</v>
      </c>
      <c r="J1152">
        <v>277</v>
      </c>
      <c r="K1152">
        <v>282</v>
      </c>
      <c r="L1152" t="s">
        <v>9529</v>
      </c>
      <c r="M1152" t="s">
        <v>9530</v>
      </c>
      <c r="N1152" t="s">
        <v>9531</v>
      </c>
      <c r="O1152" t="s">
        <v>61</v>
      </c>
      <c r="Q1152" t="s">
        <v>61</v>
      </c>
      <c r="R1152" t="s">
        <v>61</v>
      </c>
      <c r="S1152" t="s">
        <v>61</v>
      </c>
      <c r="T1152" t="s">
        <v>61</v>
      </c>
      <c r="X1152" t="s">
        <v>61</v>
      </c>
      <c r="Y1152" t="s">
        <v>593</v>
      </c>
      <c r="Z1152" t="s">
        <v>61</v>
      </c>
      <c r="AA1152" t="s">
        <v>9532</v>
      </c>
      <c r="AB1152">
        <v>18159781</v>
      </c>
      <c r="AC1152" t="s">
        <v>67</v>
      </c>
      <c r="AD1152" t="s">
        <v>61</v>
      </c>
      <c r="AE1152" t="s">
        <v>61</v>
      </c>
      <c r="AF1152" t="s">
        <v>61</v>
      </c>
      <c r="AG1152" t="s">
        <v>9533</v>
      </c>
      <c r="AH1152" t="s">
        <v>61</v>
      </c>
      <c r="AI1152" t="s">
        <v>61</v>
      </c>
      <c r="AJ1152" t="s">
        <v>61</v>
      </c>
      <c r="AK1152" t="s">
        <v>61</v>
      </c>
      <c r="AL1152" t="s">
        <v>61</v>
      </c>
      <c r="AM1152" t="s">
        <v>9534</v>
      </c>
      <c r="AN1152" t="s">
        <v>61</v>
      </c>
      <c r="AO1152" t="s">
        <v>61</v>
      </c>
      <c r="AP1152" t="s">
        <v>61</v>
      </c>
      <c r="AQ1152" t="s">
        <v>61</v>
      </c>
      <c r="AR1152" t="s">
        <v>61</v>
      </c>
      <c r="AS1152" t="s">
        <v>61</v>
      </c>
      <c r="AT1152" t="s">
        <v>61</v>
      </c>
      <c r="AU1152" t="s">
        <v>61</v>
      </c>
      <c r="AV1152" t="s">
        <v>61</v>
      </c>
      <c r="AW1152" t="s">
        <v>61</v>
      </c>
      <c r="AX1152" t="s">
        <v>61</v>
      </c>
      <c r="AY1152" t="s">
        <v>61</v>
      </c>
      <c r="AZ1152" t="s">
        <v>61</v>
      </c>
      <c r="BA1152" t="s">
        <v>61</v>
      </c>
      <c r="BB1152" t="s">
        <v>61</v>
      </c>
      <c r="BC1152" t="s">
        <v>61</v>
      </c>
      <c r="BD1152" t="s">
        <v>61</v>
      </c>
      <c r="BE1152" t="s">
        <v>61</v>
      </c>
      <c r="BF1152" t="s">
        <v>61</v>
      </c>
    </row>
    <row r="1153" spans="1:58">
      <c r="A1153" t="s">
        <v>58</v>
      </c>
      <c r="B1153" t="s">
        <v>9535</v>
      </c>
      <c r="C1153" t="s">
        <v>9536</v>
      </c>
      <c r="D1153" t="s">
        <v>1454</v>
      </c>
      <c r="E1153" t="s">
        <v>1455</v>
      </c>
      <c r="F1153">
        <v>2007</v>
      </c>
      <c r="G1153" t="s">
        <v>61</v>
      </c>
      <c r="H1153">
        <v>37</v>
      </c>
      <c r="I1153">
        <v>4</v>
      </c>
      <c r="J1153">
        <v>417</v>
      </c>
      <c r="K1153">
        <v>428</v>
      </c>
      <c r="L1153" t="s">
        <v>9537</v>
      </c>
      <c r="M1153" t="s">
        <v>9538</v>
      </c>
      <c r="N1153" t="s">
        <v>9539</v>
      </c>
      <c r="O1153" t="s">
        <v>61</v>
      </c>
      <c r="Q1153" t="s">
        <v>61</v>
      </c>
      <c r="R1153" t="s">
        <v>61</v>
      </c>
      <c r="S1153" t="s">
        <v>61</v>
      </c>
      <c r="T1153" t="s">
        <v>61</v>
      </c>
      <c r="X1153" t="s">
        <v>61</v>
      </c>
      <c r="Y1153" t="s">
        <v>1459</v>
      </c>
      <c r="Z1153" t="s">
        <v>61</v>
      </c>
      <c r="AA1153" t="s">
        <v>9540</v>
      </c>
      <c r="AB1153">
        <v>18351180</v>
      </c>
      <c r="AC1153" t="s">
        <v>67</v>
      </c>
      <c r="AD1153" t="s">
        <v>61</v>
      </c>
      <c r="AE1153" t="s">
        <v>61</v>
      </c>
      <c r="AF1153" t="s">
        <v>61</v>
      </c>
      <c r="AG1153" t="s">
        <v>9541</v>
      </c>
      <c r="AH1153" t="s">
        <v>61</v>
      </c>
      <c r="AI1153" t="s">
        <v>61</v>
      </c>
      <c r="AJ1153" t="s">
        <v>61</v>
      </c>
      <c r="AK1153" t="s">
        <v>61</v>
      </c>
      <c r="AL1153" t="s">
        <v>61</v>
      </c>
      <c r="AM1153" t="s">
        <v>9542</v>
      </c>
      <c r="AN1153" t="s">
        <v>61</v>
      </c>
      <c r="AO1153" t="s">
        <v>61</v>
      </c>
      <c r="AP1153" t="s">
        <v>61</v>
      </c>
      <c r="AQ1153" t="s">
        <v>61</v>
      </c>
      <c r="AR1153" t="s">
        <v>61</v>
      </c>
      <c r="AS1153" t="s">
        <v>61</v>
      </c>
      <c r="AT1153" t="s">
        <v>61</v>
      </c>
      <c r="AU1153" t="s">
        <v>61</v>
      </c>
      <c r="AV1153" t="s">
        <v>61</v>
      </c>
      <c r="AW1153" t="s">
        <v>61</v>
      </c>
      <c r="AX1153" t="s">
        <v>61</v>
      </c>
      <c r="AY1153" t="s">
        <v>61</v>
      </c>
      <c r="AZ1153" t="s">
        <v>61</v>
      </c>
      <c r="BA1153" t="s">
        <v>61</v>
      </c>
      <c r="BB1153" t="s">
        <v>61</v>
      </c>
      <c r="BC1153" t="s">
        <v>61</v>
      </c>
      <c r="BD1153" t="s">
        <v>61</v>
      </c>
      <c r="BE1153" t="s">
        <v>61</v>
      </c>
      <c r="BF1153" t="s">
        <v>61</v>
      </c>
    </row>
    <row r="1154" spans="1:58">
      <c r="A1154" t="s">
        <v>58</v>
      </c>
      <c r="B1154" t="s">
        <v>9543</v>
      </c>
      <c r="C1154" t="s">
        <v>9544</v>
      </c>
      <c r="D1154" t="s">
        <v>2582</v>
      </c>
      <c r="E1154" t="s">
        <v>61</v>
      </c>
      <c r="F1154">
        <v>2004</v>
      </c>
      <c r="G1154" t="s">
        <v>273</v>
      </c>
      <c r="H1154">
        <v>29</v>
      </c>
      <c r="I1154">
        <v>1</v>
      </c>
      <c r="J1154">
        <v>23</v>
      </c>
      <c r="K1154">
        <v>30</v>
      </c>
      <c r="L1154" t="s">
        <v>9545</v>
      </c>
      <c r="M1154" t="s">
        <v>9546</v>
      </c>
      <c r="N1154" t="s">
        <v>9547</v>
      </c>
      <c r="O1154" t="s">
        <v>61</v>
      </c>
      <c r="Q1154" t="s">
        <v>61</v>
      </c>
      <c r="R1154" t="s">
        <v>61</v>
      </c>
      <c r="S1154" t="s">
        <v>61</v>
      </c>
      <c r="T1154" t="s">
        <v>61</v>
      </c>
      <c r="X1154" t="s">
        <v>61</v>
      </c>
      <c r="Y1154" t="s">
        <v>2587</v>
      </c>
      <c r="Z1154" t="s">
        <v>61</v>
      </c>
      <c r="AA1154" t="s">
        <v>9548</v>
      </c>
      <c r="AB1154">
        <v>14748894</v>
      </c>
      <c r="AC1154" t="s">
        <v>67</v>
      </c>
      <c r="AD1154" t="s">
        <v>61</v>
      </c>
      <c r="AE1154" t="s">
        <v>61</v>
      </c>
      <c r="AF1154" t="s">
        <v>61</v>
      </c>
      <c r="AG1154" t="s">
        <v>9549</v>
      </c>
      <c r="AH1154" t="s">
        <v>61</v>
      </c>
      <c r="AI1154" t="s">
        <v>61</v>
      </c>
      <c r="AJ1154" t="s">
        <v>61</v>
      </c>
      <c r="AK1154" t="s">
        <v>61</v>
      </c>
      <c r="AL1154" t="s">
        <v>61</v>
      </c>
      <c r="AM1154" t="s">
        <v>9550</v>
      </c>
      <c r="AN1154" t="s">
        <v>61</v>
      </c>
      <c r="AO1154" t="s">
        <v>61</v>
      </c>
      <c r="AP1154" t="s">
        <v>61</v>
      </c>
      <c r="AQ1154" t="s">
        <v>61</v>
      </c>
      <c r="AR1154" t="s">
        <v>61</v>
      </c>
      <c r="AS1154" t="s">
        <v>61</v>
      </c>
      <c r="AT1154" t="s">
        <v>61</v>
      </c>
      <c r="AU1154" t="s">
        <v>61</v>
      </c>
      <c r="AV1154" t="s">
        <v>61</v>
      </c>
      <c r="AW1154" t="s">
        <v>61</v>
      </c>
      <c r="AX1154" t="s">
        <v>61</v>
      </c>
      <c r="AY1154" t="s">
        <v>61</v>
      </c>
      <c r="AZ1154" t="s">
        <v>61</v>
      </c>
      <c r="BA1154" t="s">
        <v>61</v>
      </c>
      <c r="BB1154" t="s">
        <v>61</v>
      </c>
      <c r="BC1154" t="s">
        <v>61</v>
      </c>
      <c r="BD1154" t="s">
        <v>61</v>
      </c>
      <c r="BE1154" t="s">
        <v>61</v>
      </c>
      <c r="BF1154" t="s">
        <v>61</v>
      </c>
    </row>
    <row r="1155" spans="1:58">
      <c r="A1155" t="s">
        <v>58</v>
      </c>
      <c r="B1155" t="s">
        <v>9551</v>
      </c>
      <c r="C1155" t="s">
        <v>9552</v>
      </c>
      <c r="D1155" t="s">
        <v>428</v>
      </c>
      <c r="E1155" t="s">
        <v>61</v>
      </c>
      <c r="F1155">
        <v>2011</v>
      </c>
      <c r="G1155" t="s">
        <v>429</v>
      </c>
      <c r="H1155">
        <v>24</v>
      </c>
      <c r="I1155">
        <v>2</v>
      </c>
      <c r="J1155">
        <v>279</v>
      </c>
      <c r="K1155" t="s">
        <v>61</v>
      </c>
      <c r="L1155" t="s">
        <v>9553</v>
      </c>
      <c r="M1155" t="s">
        <v>9554</v>
      </c>
      <c r="N1155" t="s">
        <v>9555</v>
      </c>
      <c r="O1155" t="s">
        <v>61</v>
      </c>
      <c r="Q1155" t="s">
        <v>61</v>
      </c>
      <c r="R1155" t="s">
        <v>61</v>
      </c>
      <c r="S1155" t="s">
        <v>61</v>
      </c>
      <c r="T1155" t="s">
        <v>61</v>
      </c>
      <c r="X1155" t="s">
        <v>61</v>
      </c>
      <c r="Y1155" t="s">
        <v>433</v>
      </c>
      <c r="Z1155" t="s">
        <v>61</v>
      </c>
      <c r="AA1155" t="s">
        <v>61</v>
      </c>
      <c r="AB1155" t="s">
        <v>61</v>
      </c>
      <c r="AC1155" t="s">
        <v>67</v>
      </c>
      <c r="AD1155" t="s">
        <v>61</v>
      </c>
      <c r="AE1155" t="s">
        <v>61</v>
      </c>
      <c r="AF1155" t="s">
        <v>61</v>
      </c>
      <c r="AG1155" t="s">
        <v>61</v>
      </c>
      <c r="AH1155" t="s">
        <v>61</v>
      </c>
      <c r="AI1155" t="s">
        <v>61</v>
      </c>
      <c r="AJ1155" t="s">
        <v>61</v>
      </c>
      <c r="AK1155" t="s">
        <v>61</v>
      </c>
      <c r="AL1155" t="s">
        <v>61</v>
      </c>
      <c r="AM1155" t="s">
        <v>9552</v>
      </c>
      <c r="AN1155" t="s">
        <v>61</v>
      </c>
      <c r="AO1155" t="s">
        <v>61</v>
      </c>
      <c r="AP1155" t="s">
        <v>61</v>
      </c>
      <c r="AQ1155" t="s">
        <v>61</v>
      </c>
      <c r="AR1155" t="s">
        <v>61</v>
      </c>
      <c r="AS1155" t="s">
        <v>61</v>
      </c>
      <c r="AT1155" t="s">
        <v>61</v>
      </c>
      <c r="AU1155" t="s">
        <v>61</v>
      </c>
      <c r="AV1155" t="s">
        <v>61</v>
      </c>
      <c r="AW1155" t="s">
        <v>61</v>
      </c>
      <c r="AX1155" t="s">
        <v>61</v>
      </c>
      <c r="AY1155" t="s">
        <v>61</v>
      </c>
      <c r="AZ1155" t="s">
        <v>61</v>
      </c>
      <c r="BA1155" t="s">
        <v>61</v>
      </c>
      <c r="BB1155" t="s">
        <v>61</v>
      </c>
      <c r="BC1155" t="s">
        <v>61</v>
      </c>
      <c r="BD1155" t="s">
        <v>61</v>
      </c>
      <c r="BE1155" t="s">
        <v>61</v>
      </c>
      <c r="BF1155" t="s">
        <v>61</v>
      </c>
    </row>
    <row r="1156" spans="1:58">
      <c r="A1156" t="s">
        <v>58</v>
      </c>
      <c r="B1156" t="s">
        <v>9556</v>
      </c>
      <c r="C1156" t="s">
        <v>9557</v>
      </c>
      <c r="D1156" t="s">
        <v>9558</v>
      </c>
      <c r="E1156" t="s">
        <v>61</v>
      </c>
      <c r="F1156">
        <v>1991</v>
      </c>
      <c r="G1156" t="s">
        <v>2798</v>
      </c>
      <c r="H1156">
        <v>13</v>
      </c>
      <c r="I1156">
        <v>1</v>
      </c>
      <c r="J1156">
        <v>43</v>
      </c>
      <c r="K1156">
        <v>50</v>
      </c>
      <c r="L1156" t="s">
        <v>9559</v>
      </c>
      <c r="M1156" t="s">
        <v>9560</v>
      </c>
      <c r="N1156" t="s">
        <v>9561</v>
      </c>
      <c r="O1156" t="s">
        <v>61</v>
      </c>
      <c r="Q1156" t="s">
        <v>61</v>
      </c>
      <c r="R1156" t="s">
        <v>61</v>
      </c>
      <c r="S1156" t="s">
        <v>61</v>
      </c>
      <c r="T1156" t="s">
        <v>61</v>
      </c>
      <c r="X1156" t="s">
        <v>61</v>
      </c>
      <c r="Y1156" t="s">
        <v>9562</v>
      </c>
      <c r="Z1156" t="s">
        <v>61</v>
      </c>
      <c r="AA1156" t="s">
        <v>9563</v>
      </c>
      <c r="AB1156">
        <v>1870356</v>
      </c>
      <c r="AC1156" t="s">
        <v>67</v>
      </c>
      <c r="AD1156" t="s">
        <v>61</v>
      </c>
      <c r="AE1156" t="s">
        <v>61</v>
      </c>
      <c r="AF1156" t="s">
        <v>61</v>
      </c>
      <c r="AG1156" t="s">
        <v>9564</v>
      </c>
      <c r="AH1156" t="s">
        <v>61</v>
      </c>
      <c r="AI1156" t="s">
        <v>61</v>
      </c>
      <c r="AJ1156" t="s">
        <v>61</v>
      </c>
      <c r="AK1156" t="s">
        <v>61</v>
      </c>
      <c r="AL1156" t="s">
        <v>61</v>
      </c>
      <c r="AM1156" t="s">
        <v>9565</v>
      </c>
      <c r="AN1156" t="s">
        <v>61</v>
      </c>
      <c r="AO1156" t="s">
        <v>61</v>
      </c>
      <c r="AP1156" t="s">
        <v>61</v>
      </c>
      <c r="AQ1156" t="s">
        <v>61</v>
      </c>
      <c r="AR1156" t="s">
        <v>61</v>
      </c>
      <c r="AS1156" t="s">
        <v>61</v>
      </c>
      <c r="AT1156" t="s">
        <v>61</v>
      </c>
      <c r="AU1156" t="s">
        <v>61</v>
      </c>
      <c r="AV1156" t="s">
        <v>61</v>
      </c>
      <c r="AW1156" t="s">
        <v>61</v>
      </c>
      <c r="AX1156" t="s">
        <v>61</v>
      </c>
      <c r="AY1156" t="s">
        <v>61</v>
      </c>
      <c r="AZ1156" t="s">
        <v>61</v>
      </c>
      <c r="BA1156" t="s">
        <v>61</v>
      </c>
      <c r="BB1156" t="s">
        <v>61</v>
      </c>
      <c r="BC1156" t="s">
        <v>61</v>
      </c>
      <c r="BD1156" t="s">
        <v>61</v>
      </c>
      <c r="BE1156" t="s">
        <v>61</v>
      </c>
      <c r="BF1156" t="s">
        <v>61</v>
      </c>
    </row>
    <row r="1157" spans="1:58">
      <c r="A1157" t="s">
        <v>58</v>
      </c>
      <c r="B1157" t="s">
        <v>9566</v>
      </c>
      <c r="C1157" t="s">
        <v>9567</v>
      </c>
      <c r="D1157" t="s">
        <v>876</v>
      </c>
      <c r="E1157" t="s">
        <v>877</v>
      </c>
      <c r="F1157">
        <v>2011</v>
      </c>
      <c r="G1157" s="1">
        <v>42592</v>
      </c>
      <c r="H1157">
        <v>75</v>
      </c>
      <c r="I1157">
        <v>6</v>
      </c>
      <c r="J1157">
        <v>121</v>
      </c>
      <c r="K1157" t="s">
        <v>61</v>
      </c>
      <c r="L1157" t="s">
        <v>9568</v>
      </c>
      <c r="M1157" t="s">
        <v>9569</v>
      </c>
      <c r="N1157" t="s">
        <v>9570</v>
      </c>
      <c r="O1157" t="s">
        <v>61</v>
      </c>
      <c r="Q1157" t="s">
        <v>61</v>
      </c>
      <c r="R1157" t="s">
        <v>61</v>
      </c>
      <c r="S1157" t="s">
        <v>61</v>
      </c>
      <c r="T1157" t="s">
        <v>61</v>
      </c>
      <c r="X1157" t="s">
        <v>61</v>
      </c>
      <c r="Y1157" t="s">
        <v>881</v>
      </c>
      <c r="Z1157" t="s">
        <v>61</v>
      </c>
      <c r="AA1157" t="s">
        <v>9571</v>
      </c>
      <c r="AB1157">
        <v>21931459</v>
      </c>
      <c r="AC1157" t="s">
        <v>67</v>
      </c>
      <c r="AD1157" t="s">
        <v>61</v>
      </c>
      <c r="AE1157" t="s">
        <v>61</v>
      </c>
      <c r="AF1157" t="s">
        <v>61</v>
      </c>
      <c r="AG1157" t="s">
        <v>9572</v>
      </c>
      <c r="AH1157" t="s">
        <v>61</v>
      </c>
      <c r="AI1157" t="s">
        <v>9573</v>
      </c>
      <c r="AJ1157" t="s">
        <v>61</v>
      </c>
      <c r="AK1157" t="s">
        <v>61</v>
      </c>
      <c r="AL1157" t="s">
        <v>61</v>
      </c>
      <c r="AM1157" t="s">
        <v>9574</v>
      </c>
      <c r="AN1157" t="s">
        <v>61</v>
      </c>
      <c r="AO1157" t="s">
        <v>61</v>
      </c>
      <c r="AP1157" t="s">
        <v>61</v>
      </c>
      <c r="AQ1157" t="s">
        <v>61</v>
      </c>
      <c r="AR1157" t="s">
        <v>61</v>
      </c>
      <c r="AS1157" t="s">
        <v>61</v>
      </c>
      <c r="AT1157" t="s">
        <v>61</v>
      </c>
      <c r="AU1157" t="s">
        <v>61</v>
      </c>
      <c r="AV1157" t="s">
        <v>61</v>
      </c>
      <c r="AW1157" t="s">
        <v>61</v>
      </c>
      <c r="AX1157" t="s">
        <v>61</v>
      </c>
      <c r="AY1157" t="s">
        <v>61</v>
      </c>
      <c r="AZ1157" t="s">
        <v>61</v>
      </c>
      <c r="BA1157" t="s">
        <v>61</v>
      </c>
      <c r="BB1157" t="s">
        <v>61</v>
      </c>
      <c r="BC1157" t="s">
        <v>61</v>
      </c>
      <c r="BD1157" t="s">
        <v>61</v>
      </c>
      <c r="BE1157" t="s">
        <v>61</v>
      </c>
      <c r="BF1157" t="s">
        <v>61</v>
      </c>
    </row>
    <row r="1158" spans="1:58">
      <c r="A1158" t="s">
        <v>58</v>
      </c>
      <c r="B1158" t="s">
        <v>9575</v>
      </c>
      <c r="C1158" t="s">
        <v>9576</v>
      </c>
      <c r="D1158" t="s">
        <v>2601</v>
      </c>
      <c r="E1158" t="s">
        <v>2602</v>
      </c>
      <c r="F1158">
        <v>2016</v>
      </c>
      <c r="G1158" t="s">
        <v>391</v>
      </c>
      <c r="H1158">
        <v>33</v>
      </c>
      <c r="I1158">
        <v>3</v>
      </c>
      <c r="J1158">
        <v>179</v>
      </c>
      <c r="K1158">
        <v>188</v>
      </c>
      <c r="L1158" t="s">
        <v>61</v>
      </c>
      <c r="M1158" t="s">
        <v>9577</v>
      </c>
      <c r="N1158" t="s">
        <v>9578</v>
      </c>
      <c r="O1158" t="s">
        <v>61</v>
      </c>
      <c r="Q1158" t="s">
        <v>61</v>
      </c>
      <c r="R1158" t="s">
        <v>61</v>
      </c>
      <c r="S1158" t="s">
        <v>61</v>
      </c>
      <c r="T1158" t="s">
        <v>61</v>
      </c>
      <c r="X1158" t="s">
        <v>61</v>
      </c>
      <c r="Y1158" t="s">
        <v>2605</v>
      </c>
      <c r="Z1158" t="s">
        <v>61</v>
      </c>
      <c r="AA1158" t="s">
        <v>9579</v>
      </c>
      <c r="AB1158">
        <v>26884392</v>
      </c>
      <c r="AC1158" t="s">
        <v>67</v>
      </c>
      <c r="AD1158" t="s">
        <v>61</v>
      </c>
      <c r="AE1158" t="s">
        <v>61</v>
      </c>
      <c r="AF1158" t="s">
        <v>61</v>
      </c>
      <c r="AG1158" t="s">
        <v>9580</v>
      </c>
      <c r="AH1158" t="s">
        <v>61</v>
      </c>
      <c r="AI1158" t="s">
        <v>9581</v>
      </c>
      <c r="AJ1158" t="s">
        <v>61</v>
      </c>
      <c r="AK1158" t="s">
        <v>61</v>
      </c>
      <c r="AL1158" t="s">
        <v>61</v>
      </c>
      <c r="AM1158" t="s">
        <v>9582</v>
      </c>
      <c r="AN1158" t="s">
        <v>61</v>
      </c>
      <c r="AO1158" t="s">
        <v>61</v>
      </c>
      <c r="AP1158" t="s">
        <v>61</v>
      </c>
      <c r="AQ1158" t="s">
        <v>61</v>
      </c>
      <c r="AR1158" t="s">
        <v>61</v>
      </c>
      <c r="AS1158" t="s">
        <v>61</v>
      </c>
      <c r="AT1158" t="s">
        <v>61</v>
      </c>
      <c r="AU1158" t="s">
        <v>61</v>
      </c>
      <c r="AV1158" t="s">
        <v>61</v>
      </c>
      <c r="AW1158" t="s">
        <v>61</v>
      </c>
      <c r="AX1158" t="s">
        <v>61</v>
      </c>
      <c r="AY1158" t="s">
        <v>61</v>
      </c>
      <c r="AZ1158" t="s">
        <v>61</v>
      </c>
      <c r="BA1158" t="s">
        <v>61</v>
      </c>
      <c r="BB1158" t="s">
        <v>61</v>
      </c>
      <c r="BC1158" t="s">
        <v>61</v>
      </c>
      <c r="BD1158" t="s">
        <v>61</v>
      </c>
      <c r="BE1158" t="s">
        <v>61</v>
      </c>
      <c r="BF1158" t="s">
        <v>61</v>
      </c>
    </row>
    <row r="1159" spans="1:58">
      <c r="A1159" t="s">
        <v>58</v>
      </c>
      <c r="B1159" t="s">
        <v>9583</v>
      </c>
      <c r="C1159" t="s">
        <v>9584</v>
      </c>
      <c r="D1159" t="s">
        <v>9585</v>
      </c>
      <c r="E1159" t="s">
        <v>61</v>
      </c>
      <c r="F1159">
        <v>2001</v>
      </c>
      <c r="G1159" t="s">
        <v>61</v>
      </c>
      <c r="H1159" t="s">
        <v>61</v>
      </c>
      <c r="I1159" t="s">
        <v>61</v>
      </c>
      <c r="J1159">
        <v>78</v>
      </c>
      <c r="K1159" t="s">
        <v>9586</v>
      </c>
      <c r="L1159" t="s">
        <v>9587</v>
      </c>
      <c r="M1159" t="s">
        <v>9588</v>
      </c>
      <c r="N1159" t="s">
        <v>9589</v>
      </c>
      <c r="O1159" t="s">
        <v>61</v>
      </c>
      <c r="Q1159" t="s">
        <v>61</v>
      </c>
      <c r="R1159" t="s">
        <v>61</v>
      </c>
      <c r="S1159" t="s">
        <v>61</v>
      </c>
      <c r="T1159" t="s">
        <v>61</v>
      </c>
      <c r="X1159" t="s">
        <v>61</v>
      </c>
      <c r="Y1159" t="s">
        <v>9590</v>
      </c>
      <c r="Z1159" t="s">
        <v>61</v>
      </c>
      <c r="AA1159" t="s">
        <v>9591</v>
      </c>
      <c r="AB1159">
        <v>106793769</v>
      </c>
      <c r="AC1159" t="s">
        <v>67</v>
      </c>
      <c r="AD1159" t="s">
        <v>61</v>
      </c>
      <c r="AE1159" t="s">
        <v>61</v>
      </c>
      <c r="AF1159" t="s">
        <v>61</v>
      </c>
      <c r="AG1159" t="s">
        <v>9592</v>
      </c>
      <c r="AH1159" t="s">
        <v>61</v>
      </c>
      <c r="AI1159" t="s">
        <v>61</v>
      </c>
      <c r="AJ1159" t="s">
        <v>61</v>
      </c>
      <c r="AK1159" t="s">
        <v>61</v>
      </c>
      <c r="AL1159" t="s">
        <v>61</v>
      </c>
      <c r="AM1159" t="s">
        <v>9593</v>
      </c>
      <c r="AN1159" t="s">
        <v>61</v>
      </c>
      <c r="AO1159" t="s">
        <v>61</v>
      </c>
      <c r="AP1159" t="s">
        <v>61</v>
      </c>
      <c r="AQ1159" t="s">
        <v>61</v>
      </c>
      <c r="AR1159" t="s">
        <v>61</v>
      </c>
      <c r="AS1159" t="s">
        <v>61</v>
      </c>
      <c r="AT1159" t="s">
        <v>61</v>
      </c>
      <c r="AU1159" t="s">
        <v>61</v>
      </c>
      <c r="AV1159" t="s">
        <v>61</v>
      </c>
      <c r="AW1159" t="s">
        <v>61</v>
      </c>
      <c r="AX1159" t="s">
        <v>61</v>
      </c>
      <c r="AY1159" t="s">
        <v>61</v>
      </c>
      <c r="AZ1159" t="s">
        <v>61</v>
      </c>
      <c r="BA1159" t="s">
        <v>61</v>
      </c>
      <c r="BB1159" t="s">
        <v>61</v>
      </c>
      <c r="BC1159" t="s">
        <v>61</v>
      </c>
      <c r="BD1159" t="s">
        <v>61</v>
      </c>
      <c r="BE1159" t="s">
        <v>61</v>
      </c>
      <c r="BF1159" t="s">
        <v>61</v>
      </c>
    </row>
    <row r="1160" spans="1:58">
      <c r="A1160" t="s">
        <v>58</v>
      </c>
      <c r="B1160" t="s">
        <v>9594</v>
      </c>
      <c r="C1160" t="s">
        <v>9595</v>
      </c>
      <c r="D1160" t="s">
        <v>428</v>
      </c>
      <c r="E1160" t="s">
        <v>61</v>
      </c>
      <c r="F1160">
        <v>2010</v>
      </c>
      <c r="G1160" t="s">
        <v>429</v>
      </c>
      <c r="H1160">
        <v>23</v>
      </c>
      <c r="I1160">
        <v>2</v>
      </c>
      <c r="J1160">
        <v>172</v>
      </c>
      <c r="K1160" t="s">
        <v>61</v>
      </c>
      <c r="L1160" t="s">
        <v>9596</v>
      </c>
      <c r="M1160" t="s">
        <v>9597</v>
      </c>
      <c r="N1160" t="s">
        <v>9598</v>
      </c>
      <c r="O1160" t="s">
        <v>61</v>
      </c>
      <c r="Q1160" t="s">
        <v>61</v>
      </c>
      <c r="R1160" t="s">
        <v>61</v>
      </c>
      <c r="S1160" t="s">
        <v>61</v>
      </c>
      <c r="T1160" t="s">
        <v>61</v>
      </c>
      <c r="X1160" t="s">
        <v>61</v>
      </c>
      <c r="Y1160" t="s">
        <v>433</v>
      </c>
      <c r="Z1160" t="s">
        <v>61</v>
      </c>
      <c r="AA1160" t="s">
        <v>61</v>
      </c>
      <c r="AB1160" t="s">
        <v>61</v>
      </c>
      <c r="AC1160" t="s">
        <v>67</v>
      </c>
      <c r="AD1160" t="s">
        <v>61</v>
      </c>
      <c r="AE1160" t="s">
        <v>61</v>
      </c>
      <c r="AF1160" t="s">
        <v>61</v>
      </c>
      <c r="AG1160" t="s">
        <v>61</v>
      </c>
      <c r="AH1160" t="s">
        <v>61</v>
      </c>
      <c r="AI1160" t="s">
        <v>61</v>
      </c>
      <c r="AJ1160" t="s">
        <v>61</v>
      </c>
      <c r="AK1160" t="s">
        <v>61</v>
      </c>
      <c r="AL1160" t="s">
        <v>61</v>
      </c>
      <c r="AM1160" t="s">
        <v>9595</v>
      </c>
      <c r="AN1160" t="s">
        <v>61</v>
      </c>
      <c r="AO1160" t="s">
        <v>61</v>
      </c>
      <c r="AP1160" t="s">
        <v>61</v>
      </c>
      <c r="AQ1160" t="s">
        <v>61</v>
      </c>
      <c r="AR1160" t="s">
        <v>61</v>
      </c>
      <c r="AS1160" t="s">
        <v>61</v>
      </c>
      <c r="AT1160" t="s">
        <v>61</v>
      </c>
      <c r="AU1160" t="s">
        <v>61</v>
      </c>
      <c r="AV1160" t="s">
        <v>61</v>
      </c>
      <c r="AW1160" t="s">
        <v>61</v>
      </c>
      <c r="AX1160" t="s">
        <v>61</v>
      </c>
      <c r="AY1160" t="s">
        <v>61</v>
      </c>
      <c r="AZ1160" t="s">
        <v>61</v>
      </c>
      <c r="BA1160" t="s">
        <v>61</v>
      </c>
      <c r="BB1160" t="s">
        <v>61</v>
      </c>
      <c r="BC1160" t="s">
        <v>61</v>
      </c>
      <c r="BD1160" t="s">
        <v>61</v>
      </c>
      <c r="BE1160" t="s">
        <v>61</v>
      </c>
      <c r="BF1160" t="s">
        <v>61</v>
      </c>
    </row>
    <row r="1161" spans="1:58">
      <c r="A1161" t="s">
        <v>58</v>
      </c>
      <c r="B1161" t="s">
        <v>9599</v>
      </c>
      <c r="C1161" t="s">
        <v>9600</v>
      </c>
      <c r="D1161" t="s">
        <v>428</v>
      </c>
      <c r="E1161" t="s">
        <v>61</v>
      </c>
      <c r="F1161">
        <v>2011</v>
      </c>
      <c r="G1161" t="s">
        <v>429</v>
      </c>
      <c r="H1161">
        <v>24</v>
      </c>
      <c r="I1161">
        <v>2</v>
      </c>
      <c r="J1161">
        <v>255</v>
      </c>
      <c r="K1161" t="s">
        <v>61</v>
      </c>
      <c r="L1161" t="s">
        <v>9601</v>
      </c>
      <c r="M1161" t="s">
        <v>9602</v>
      </c>
      <c r="N1161" t="s">
        <v>9603</v>
      </c>
      <c r="O1161" t="s">
        <v>61</v>
      </c>
      <c r="Q1161" t="s">
        <v>61</v>
      </c>
      <c r="R1161" t="s">
        <v>61</v>
      </c>
      <c r="S1161" t="s">
        <v>61</v>
      </c>
      <c r="T1161" t="s">
        <v>61</v>
      </c>
      <c r="X1161" t="s">
        <v>61</v>
      </c>
      <c r="Y1161" t="s">
        <v>433</v>
      </c>
      <c r="Z1161" t="s">
        <v>61</v>
      </c>
      <c r="AA1161" t="s">
        <v>61</v>
      </c>
      <c r="AB1161" t="s">
        <v>61</v>
      </c>
      <c r="AC1161" t="s">
        <v>67</v>
      </c>
      <c r="AD1161" t="s">
        <v>61</v>
      </c>
      <c r="AE1161" t="s">
        <v>61</v>
      </c>
      <c r="AF1161" t="s">
        <v>61</v>
      </c>
      <c r="AG1161" t="s">
        <v>61</v>
      </c>
      <c r="AH1161" t="s">
        <v>61</v>
      </c>
      <c r="AI1161" t="s">
        <v>61</v>
      </c>
      <c r="AJ1161" t="s">
        <v>61</v>
      </c>
      <c r="AK1161" t="s">
        <v>61</v>
      </c>
      <c r="AL1161" t="s">
        <v>61</v>
      </c>
      <c r="AM1161" t="s">
        <v>9600</v>
      </c>
      <c r="AN1161" t="s">
        <v>61</v>
      </c>
      <c r="AO1161" t="s">
        <v>61</v>
      </c>
      <c r="AP1161" t="s">
        <v>61</v>
      </c>
      <c r="AQ1161" t="s">
        <v>61</v>
      </c>
      <c r="AR1161" t="s">
        <v>61</v>
      </c>
      <c r="AS1161" t="s">
        <v>61</v>
      </c>
      <c r="AT1161" t="s">
        <v>61</v>
      </c>
      <c r="AU1161" t="s">
        <v>61</v>
      </c>
      <c r="AV1161" t="s">
        <v>61</v>
      </c>
      <c r="AW1161" t="s">
        <v>61</v>
      </c>
      <c r="AX1161" t="s">
        <v>61</v>
      </c>
      <c r="AY1161" t="s">
        <v>61</v>
      </c>
      <c r="AZ1161" t="s">
        <v>61</v>
      </c>
      <c r="BA1161" t="s">
        <v>61</v>
      </c>
      <c r="BB1161" t="s">
        <v>61</v>
      </c>
      <c r="BC1161" t="s">
        <v>61</v>
      </c>
      <c r="BD1161" t="s">
        <v>61</v>
      </c>
      <c r="BE1161" t="s">
        <v>61</v>
      </c>
      <c r="BF1161" t="s">
        <v>61</v>
      </c>
    </row>
    <row r="1162" spans="1:58">
      <c r="A1162" t="s">
        <v>58</v>
      </c>
      <c r="B1162" t="s">
        <v>9604</v>
      </c>
      <c r="C1162" t="s">
        <v>9605</v>
      </c>
      <c r="D1162" t="s">
        <v>428</v>
      </c>
      <c r="E1162" t="s">
        <v>61</v>
      </c>
      <c r="F1162">
        <v>2013</v>
      </c>
      <c r="G1162" t="s">
        <v>457</v>
      </c>
      <c r="H1162">
        <v>26</v>
      </c>
      <c r="I1162">
        <v>3</v>
      </c>
      <c r="J1162">
        <v>343</v>
      </c>
      <c r="K1162">
        <v>344</v>
      </c>
      <c r="L1162" t="s">
        <v>9606</v>
      </c>
      <c r="M1162" t="s">
        <v>9607</v>
      </c>
      <c r="N1162" t="s">
        <v>9608</v>
      </c>
      <c r="O1162" t="s">
        <v>61</v>
      </c>
      <c r="Q1162" t="s">
        <v>61</v>
      </c>
      <c r="R1162" t="s">
        <v>61</v>
      </c>
      <c r="S1162" t="s">
        <v>61</v>
      </c>
      <c r="T1162" t="s">
        <v>61</v>
      </c>
      <c r="X1162" t="s">
        <v>61</v>
      </c>
      <c r="Y1162" t="s">
        <v>433</v>
      </c>
      <c r="Z1162" t="s">
        <v>61</v>
      </c>
      <c r="AA1162" t="s">
        <v>61</v>
      </c>
      <c r="AB1162" t="s">
        <v>61</v>
      </c>
      <c r="AC1162" t="s">
        <v>67</v>
      </c>
      <c r="AD1162" t="s">
        <v>61</v>
      </c>
      <c r="AE1162" t="s">
        <v>61</v>
      </c>
      <c r="AF1162" t="s">
        <v>61</v>
      </c>
      <c r="AG1162" t="s">
        <v>61</v>
      </c>
      <c r="AH1162" t="s">
        <v>61</v>
      </c>
      <c r="AI1162" t="s">
        <v>61</v>
      </c>
      <c r="AJ1162" t="s">
        <v>61</v>
      </c>
      <c r="AK1162" t="s">
        <v>61</v>
      </c>
      <c r="AL1162" t="s">
        <v>61</v>
      </c>
      <c r="AM1162" t="s">
        <v>9605</v>
      </c>
      <c r="AN1162" t="s">
        <v>61</v>
      </c>
      <c r="AO1162" t="s">
        <v>61</v>
      </c>
      <c r="AP1162" t="s">
        <v>61</v>
      </c>
      <c r="AQ1162" t="s">
        <v>61</v>
      </c>
      <c r="AR1162" t="s">
        <v>61</v>
      </c>
      <c r="AS1162" t="s">
        <v>61</v>
      </c>
      <c r="AT1162" t="s">
        <v>61</v>
      </c>
      <c r="AU1162" t="s">
        <v>61</v>
      </c>
      <c r="AV1162" t="s">
        <v>61</v>
      </c>
      <c r="AW1162" t="s">
        <v>61</v>
      </c>
      <c r="AX1162" t="s">
        <v>61</v>
      </c>
      <c r="AY1162" t="s">
        <v>61</v>
      </c>
      <c r="AZ1162" t="s">
        <v>61</v>
      </c>
      <c r="BA1162" t="s">
        <v>61</v>
      </c>
      <c r="BB1162" t="s">
        <v>61</v>
      </c>
      <c r="BC1162" t="s">
        <v>61</v>
      </c>
      <c r="BD1162" t="s">
        <v>61</v>
      </c>
      <c r="BE1162" t="s">
        <v>61</v>
      </c>
      <c r="BF1162" t="s">
        <v>61</v>
      </c>
    </row>
    <row r="1163" spans="1:58">
      <c r="A1163" t="s">
        <v>58</v>
      </c>
      <c r="B1163" t="s">
        <v>9609</v>
      </c>
      <c r="C1163" t="s">
        <v>9610</v>
      </c>
      <c r="D1163" t="s">
        <v>408</v>
      </c>
      <c r="E1163" t="s">
        <v>408</v>
      </c>
      <c r="F1163">
        <v>2015</v>
      </c>
      <c r="G1163" t="s">
        <v>409</v>
      </c>
      <c r="H1163">
        <v>35</v>
      </c>
      <c r="I1163">
        <v>11</v>
      </c>
      <c r="J1163" t="s">
        <v>9611</v>
      </c>
      <c r="K1163" t="s">
        <v>61</v>
      </c>
      <c r="L1163" t="s">
        <v>9612</v>
      </c>
      <c r="M1163" t="s">
        <v>9613</v>
      </c>
      <c r="N1163" t="s">
        <v>9614</v>
      </c>
      <c r="O1163" t="s">
        <v>61</v>
      </c>
      <c r="Q1163" t="s">
        <v>61</v>
      </c>
      <c r="R1163" t="s">
        <v>61</v>
      </c>
      <c r="S1163" t="s">
        <v>61</v>
      </c>
      <c r="T1163" t="s">
        <v>61</v>
      </c>
      <c r="X1163" t="s">
        <v>61</v>
      </c>
      <c r="Y1163" t="s">
        <v>414</v>
      </c>
      <c r="Z1163" t="s">
        <v>61</v>
      </c>
      <c r="AA1163" t="s">
        <v>61</v>
      </c>
      <c r="AB1163" t="s">
        <v>61</v>
      </c>
      <c r="AC1163" t="s">
        <v>67</v>
      </c>
      <c r="AD1163" t="s">
        <v>61</v>
      </c>
      <c r="AE1163" t="s">
        <v>61</v>
      </c>
      <c r="AF1163" t="s">
        <v>61</v>
      </c>
      <c r="AG1163" t="s">
        <v>61</v>
      </c>
      <c r="AH1163" t="s">
        <v>61</v>
      </c>
      <c r="AI1163" t="s">
        <v>61</v>
      </c>
      <c r="AJ1163" t="s">
        <v>61</v>
      </c>
      <c r="AK1163" t="s">
        <v>61</v>
      </c>
      <c r="AL1163" t="s">
        <v>61</v>
      </c>
      <c r="AM1163" t="s">
        <v>9610</v>
      </c>
      <c r="AN1163" t="s">
        <v>61</v>
      </c>
      <c r="AO1163" t="s">
        <v>61</v>
      </c>
      <c r="AP1163" t="s">
        <v>61</v>
      </c>
      <c r="AQ1163" t="s">
        <v>61</v>
      </c>
      <c r="AR1163" t="s">
        <v>61</v>
      </c>
      <c r="AS1163" t="s">
        <v>61</v>
      </c>
      <c r="AT1163" t="s">
        <v>61</v>
      </c>
      <c r="AU1163" t="s">
        <v>61</v>
      </c>
      <c r="AV1163" t="s">
        <v>61</v>
      </c>
      <c r="AW1163" t="s">
        <v>61</v>
      </c>
      <c r="AX1163" t="s">
        <v>61</v>
      </c>
      <c r="AY1163" t="s">
        <v>61</v>
      </c>
      <c r="AZ1163" t="s">
        <v>61</v>
      </c>
      <c r="BA1163" t="s">
        <v>61</v>
      </c>
      <c r="BB1163" t="s">
        <v>61</v>
      </c>
      <c r="BC1163" t="s">
        <v>61</v>
      </c>
      <c r="BD1163" t="s">
        <v>61</v>
      </c>
      <c r="BE1163" t="s">
        <v>61</v>
      </c>
      <c r="BF1163" t="s">
        <v>61</v>
      </c>
    </row>
    <row r="1164" spans="1:58">
      <c r="A1164" t="s">
        <v>58</v>
      </c>
      <c r="B1164" t="s">
        <v>9615</v>
      </c>
      <c r="C1164" t="s">
        <v>9616</v>
      </c>
      <c r="D1164" t="s">
        <v>9617</v>
      </c>
      <c r="E1164" t="s">
        <v>61</v>
      </c>
      <c r="F1164">
        <v>2011</v>
      </c>
      <c r="G1164" t="s">
        <v>61</v>
      </c>
      <c r="H1164">
        <v>5</v>
      </c>
      <c r="I1164" t="s">
        <v>61</v>
      </c>
      <c r="J1164">
        <v>60</v>
      </c>
      <c r="K1164" t="s">
        <v>61</v>
      </c>
      <c r="L1164" t="s">
        <v>61</v>
      </c>
      <c r="M1164" t="s">
        <v>9618</v>
      </c>
      <c r="N1164" t="s">
        <v>9619</v>
      </c>
      <c r="O1164" t="s">
        <v>61</v>
      </c>
      <c r="Q1164" t="s">
        <v>61</v>
      </c>
      <c r="R1164" t="s">
        <v>61</v>
      </c>
      <c r="S1164" t="s">
        <v>61</v>
      </c>
      <c r="T1164" t="s">
        <v>61</v>
      </c>
      <c r="X1164" t="s">
        <v>61</v>
      </c>
      <c r="Y1164" t="s">
        <v>9620</v>
      </c>
      <c r="Z1164" t="s">
        <v>61</v>
      </c>
      <c r="AA1164" t="s">
        <v>9621</v>
      </c>
      <c r="AB1164">
        <v>21960960</v>
      </c>
      <c r="AC1164" t="s">
        <v>67</v>
      </c>
      <c r="AD1164" t="s">
        <v>61</v>
      </c>
      <c r="AE1164" t="s">
        <v>61</v>
      </c>
      <c r="AF1164" t="s">
        <v>61</v>
      </c>
      <c r="AG1164" t="s">
        <v>9622</v>
      </c>
      <c r="AH1164" t="s">
        <v>61</v>
      </c>
      <c r="AI1164" t="s">
        <v>9623</v>
      </c>
      <c r="AJ1164" t="s">
        <v>61</v>
      </c>
      <c r="AK1164" t="s">
        <v>61</v>
      </c>
      <c r="AL1164" t="s">
        <v>61</v>
      </c>
      <c r="AM1164" t="s">
        <v>9624</v>
      </c>
      <c r="AN1164" t="s">
        <v>61</v>
      </c>
      <c r="AO1164" t="s">
        <v>61</v>
      </c>
      <c r="AP1164" t="s">
        <v>61</v>
      </c>
      <c r="AQ1164" t="s">
        <v>61</v>
      </c>
      <c r="AR1164" t="s">
        <v>61</v>
      </c>
      <c r="AS1164" t="s">
        <v>61</v>
      </c>
      <c r="AT1164" t="s">
        <v>61</v>
      </c>
      <c r="AU1164" t="s">
        <v>61</v>
      </c>
      <c r="AV1164" t="s">
        <v>61</v>
      </c>
      <c r="AW1164" t="s">
        <v>61</v>
      </c>
      <c r="AX1164" t="s">
        <v>61</v>
      </c>
      <c r="AY1164" t="s">
        <v>61</v>
      </c>
      <c r="AZ1164" t="s">
        <v>61</v>
      </c>
      <c r="BA1164" t="s">
        <v>61</v>
      </c>
      <c r="BB1164" t="s">
        <v>61</v>
      </c>
      <c r="BC1164" t="s">
        <v>61</v>
      </c>
      <c r="BD1164" t="s">
        <v>61</v>
      </c>
      <c r="BE1164" t="s">
        <v>61</v>
      </c>
      <c r="BF1164" t="s">
        <v>61</v>
      </c>
    </row>
    <row r="1165" spans="1:58">
      <c r="A1165" t="s">
        <v>58</v>
      </c>
      <c r="B1165" t="s">
        <v>9625</v>
      </c>
      <c r="C1165" t="s">
        <v>9626</v>
      </c>
      <c r="D1165" t="s">
        <v>9627</v>
      </c>
      <c r="E1165" t="s">
        <v>61</v>
      </c>
      <c r="F1165">
        <v>1997</v>
      </c>
      <c r="G1165" t="s">
        <v>61</v>
      </c>
      <c r="H1165">
        <v>121</v>
      </c>
      <c r="I1165">
        <v>4</v>
      </c>
      <c r="J1165">
        <v>392</v>
      </c>
      <c r="K1165">
        <v>394</v>
      </c>
      <c r="L1165" t="s">
        <v>9628</v>
      </c>
      <c r="M1165" t="s">
        <v>9629</v>
      </c>
      <c r="N1165" t="s">
        <v>9630</v>
      </c>
      <c r="O1165" t="s">
        <v>61</v>
      </c>
      <c r="Q1165" t="s">
        <v>61</v>
      </c>
      <c r="R1165" t="s">
        <v>61</v>
      </c>
      <c r="S1165" t="s">
        <v>61</v>
      </c>
      <c r="T1165" t="s">
        <v>61</v>
      </c>
      <c r="X1165" t="s">
        <v>61</v>
      </c>
      <c r="Y1165" s="2">
        <v>2953047</v>
      </c>
      <c r="Z1165" t="s">
        <v>61</v>
      </c>
      <c r="AA1165" t="s">
        <v>61</v>
      </c>
      <c r="AB1165">
        <v>1997130349</v>
      </c>
      <c r="AC1165" t="s">
        <v>67</v>
      </c>
      <c r="AD1165" t="s">
        <v>61</v>
      </c>
      <c r="AE1165" t="s">
        <v>61</v>
      </c>
      <c r="AF1165" t="s">
        <v>61</v>
      </c>
      <c r="AG1165" t="s">
        <v>9631</v>
      </c>
      <c r="AH1165" t="s">
        <v>61</v>
      </c>
      <c r="AI1165" t="s">
        <v>61</v>
      </c>
      <c r="AJ1165" t="s">
        <v>61</v>
      </c>
      <c r="AK1165" t="s">
        <v>61</v>
      </c>
      <c r="AL1165" t="s">
        <v>61</v>
      </c>
      <c r="AM1165" t="s">
        <v>9632</v>
      </c>
      <c r="AN1165" t="s">
        <v>61</v>
      </c>
      <c r="AO1165" t="s">
        <v>61</v>
      </c>
      <c r="AP1165" t="s">
        <v>61</v>
      </c>
      <c r="AQ1165" t="s">
        <v>61</v>
      </c>
      <c r="AR1165" t="s">
        <v>61</v>
      </c>
      <c r="AS1165" t="s">
        <v>61</v>
      </c>
      <c r="AT1165" t="s">
        <v>61</v>
      </c>
      <c r="AU1165" t="s">
        <v>61</v>
      </c>
      <c r="AV1165" t="s">
        <v>61</v>
      </c>
      <c r="AW1165" t="s">
        <v>61</v>
      </c>
      <c r="AX1165" t="s">
        <v>61</v>
      </c>
      <c r="AY1165" t="s">
        <v>61</v>
      </c>
      <c r="AZ1165" t="s">
        <v>61</v>
      </c>
      <c r="BA1165" t="s">
        <v>61</v>
      </c>
      <c r="BB1165" t="s">
        <v>61</v>
      </c>
      <c r="BC1165" t="s">
        <v>61</v>
      </c>
      <c r="BD1165" t="s">
        <v>61</v>
      </c>
      <c r="BE1165" t="s">
        <v>61</v>
      </c>
      <c r="BF1165" t="s">
        <v>61</v>
      </c>
    </row>
    <row r="1166" spans="1:58">
      <c r="A1166" t="s">
        <v>58</v>
      </c>
      <c r="B1166" t="s">
        <v>9633</v>
      </c>
      <c r="C1166" t="s">
        <v>9634</v>
      </c>
      <c r="D1166" t="s">
        <v>6584</v>
      </c>
      <c r="E1166" t="s">
        <v>6585</v>
      </c>
      <c r="F1166">
        <v>2002</v>
      </c>
      <c r="G1166" t="s">
        <v>61</v>
      </c>
      <c r="H1166">
        <v>27</v>
      </c>
      <c r="I1166">
        <v>4</v>
      </c>
      <c r="J1166">
        <v>269</v>
      </c>
      <c r="K1166" t="s">
        <v>9635</v>
      </c>
      <c r="L1166" t="s">
        <v>9636</v>
      </c>
      <c r="M1166" t="s">
        <v>9637</v>
      </c>
      <c r="N1166" t="s">
        <v>9638</v>
      </c>
      <c r="O1166" t="s">
        <v>61</v>
      </c>
      <c r="Q1166" t="s">
        <v>61</v>
      </c>
      <c r="R1166" t="s">
        <v>61</v>
      </c>
      <c r="S1166" t="s">
        <v>61</v>
      </c>
      <c r="T1166" t="s">
        <v>61</v>
      </c>
      <c r="X1166" t="s">
        <v>61</v>
      </c>
      <c r="Y1166" t="s">
        <v>6589</v>
      </c>
      <c r="Z1166" t="s">
        <v>61</v>
      </c>
      <c r="AA1166" t="s">
        <v>9639</v>
      </c>
      <c r="AB1166">
        <v>106883221</v>
      </c>
      <c r="AC1166" t="s">
        <v>67</v>
      </c>
      <c r="AD1166" t="s">
        <v>61</v>
      </c>
      <c r="AE1166" t="s">
        <v>61</v>
      </c>
      <c r="AF1166" t="s">
        <v>61</v>
      </c>
      <c r="AG1166" t="s">
        <v>9640</v>
      </c>
      <c r="AH1166" t="s">
        <v>61</v>
      </c>
      <c r="AI1166" t="s">
        <v>61</v>
      </c>
      <c r="AJ1166" t="s">
        <v>61</v>
      </c>
      <c r="AK1166" t="s">
        <v>61</v>
      </c>
      <c r="AL1166" t="s">
        <v>61</v>
      </c>
      <c r="AM1166" t="s">
        <v>9641</v>
      </c>
      <c r="AN1166" t="s">
        <v>61</v>
      </c>
      <c r="AO1166" t="s">
        <v>61</v>
      </c>
      <c r="AP1166" t="s">
        <v>61</v>
      </c>
      <c r="AQ1166" t="s">
        <v>61</v>
      </c>
      <c r="AR1166" t="s">
        <v>61</v>
      </c>
      <c r="AS1166" t="s">
        <v>61</v>
      </c>
      <c r="AT1166" t="s">
        <v>61</v>
      </c>
      <c r="AU1166" t="s">
        <v>61</v>
      </c>
      <c r="AV1166" t="s">
        <v>61</v>
      </c>
      <c r="AW1166" t="s">
        <v>61</v>
      </c>
      <c r="AX1166" t="s">
        <v>61</v>
      </c>
      <c r="AY1166" t="s">
        <v>61</v>
      </c>
      <c r="AZ1166" t="s">
        <v>61</v>
      </c>
      <c r="BA1166" t="s">
        <v>61</v>
      </c>
      <c r="BB1166" t="s">
        <v>61</v>
      </c>
      <c r="BC1166" t="s">
        <v>61</v>
      </c>
      <c r="BD1166" t="s">
        <v>61</v>
      </c>
      <c r="BE1166" t="s">
        <v>61</v>
      </c>
      <c r="BF1166" t="s">
        <v>61</v>
      </c>
    </row>
    <row r="1167" spans="1:58">
      <c r="A1167" t="s">
        <v>58</v>
      </c>
      <c r="B1167" t="s">
        <v>9642</v>
      </c>
      <c r="C1167" t="s">
        <v>9643</v>
      </c>
      <c r="D1167" t="s">
        <v>9644</v>
      </c>
      <c r="E1167" t="s">
        <v>61</v>
      </c>
      <c r="F1167">
        <v>2009</v>
      </c>
      <c r="G1167" t="s">
        <v>61</v>
      </c>
      <c r="H1167">
        <v>15</v>
      </c>
      <c r="I1167">
        <v>2</v>
      </c>
      <c r="J1167">
        <v>152</v>
      </c>
      <c r="K1167">
        <v>158</v>
      </c>
      <c r="L1167" t="s">
        <v>9645</v>
      </c>
      <c r="M1167" t="s">
        <v>9646</v>
      </c>
      <c r="N1167" t="s">
        <v>9647</v>
      </c>
      <c r="O1167" t="s">
        <v>61</v>
      </c>
      <c r="Q1167" t="s">
        <v>61</v>
      </c>
      <c r="R1167" t="s">
        <v>61</v>
      </c>
      <c r="S1167" t="s">
        <v>61</v>
      </c>
      <c r="T1167" t="s">
        <v>61</v>
      </c>
      <c r="X1167" t="s">
        <v>61</v>
      </c>
      <c r="Y1167" t="s">
        <v>9648</v>
      </c>
      <c r="Z1167" t="s">
        <v>61</v>
      </c>
      <c r="AA1167" t="s">
        <v>61</v>
      </c>
      <c r="AB1167" t="s">
        <v>9649</v>
      </c>
      <c r="AC1167" t="s">
        <v>67</v>
      </c>
      <c r="AD1167" t="s">
        <v>61</v>
      </c>
      <c r="AE1167" t="s">
        <v>61</v>
      </c>
      <c r="AF1167" t="s">
        <v>61</v>
      </c>
      <c r="AG1167" t="s">
        <v>61</v>
      </c>
      <c r="AH1167" t="s">
        <v>61</v>
      </c>
      <c r="AI1167" t="s">
        <v>61</v>
      </c>
      <c r="AJ1167" t="s">
        <v>61</v>
      </c>
      <c r="AK1167" t="s">
        <v>61</v>
      </c>
      <c r="AL1167" t="s">
        <v>61</v>
      </c>
      <c r="AM1167" t="s">
        <v>9643</v>
      </c>
      <c r="AN1167" t="s">
        <v>61</v>
      </c>
      <c r="AO1167" t="s">
        <v>61</v>
      </c>
      <c r="AP1167" t="s">
        <v>61</v>
      </c>
      <c r="AQ1167" t="s">
        <v>61</v>
      </c>
      <c r="AR1167" t="s">
        <v>61</v>
      </c>
      <c r="AS1167" t="s">
        <v>61</v>
      </c>
      <c r="AT1167" t="s">
        <v>61</v>
      </c>
      <c r="AU1167" t="s">
        <v>61</v>
      </c>
      <c r="AV1167" t="s">
        <v>61</v>
      </c>
      <c r="AW1167" t="s">
        <v>61</v>
      </c>
      <c r="AX1167" t="s">
        <v>61</v>
      </c>
      <c r="AY1167" t="s">
        <v>61</v>
      </c>
      <c r="AZ1167" t="s">
        <v>61</v>
      </c>
      <c r="BA1167" t="s">
        <v>61</v>
      </c>
      <c r="BB1167" t="s">
        <v>61</v>
      </c>
      <c r="BC1167" t="s">
        <v>61</v>
      </c>
      <c r="BD1167" t="s">
        <v>61</v>
      </c>
      <c r="BE1167" t="s">
        <v>61</v>
      </c>
      <c r="BF1167" t="s">
        <v>61</v>
      </c>
    </row>
    <row r="1168" spans="1:58">
      <c r="A1168" t="s">
        <v>58</v>
      </c>
      <c r="B1168" t="s">
        <v>9650</v>
      </c>
      <c r="C1168" t="s">
        <v>9651</v>
      </c>
      <c r="D1168" t="s">
        <v>627</v>
      </c>
      <c r="E1168" t="s">
        <v>61</v>
      </c>
      <c r="F1168">
        <v>2014</v>
      </c>
      <c r="G1168" t="s">
        <v>628</v>
      </c>
      <c r="H1168">
        <v>54</v>
      </c>
      <c r="I1168">
        <v>2</v>
      </c>
      <c r="J1168" t="s">
        <v>9652</v>
      </c>
      <c r="K1168" t="s">
        <v>61</v>
      </c>
      <c r="L1168" t="s">
        <v>9653</v>
      </c>
      <c r="M1168" t="s">
        <v>9654</v>
      </c>
      <c r="N1168" t="s">
        <v>9655</v>
      </c>
      <c r="O1168" t="s">
        <v>61</v>
      </c>
      <c r="Q1168" t="s">
        <v>61</v>
      </c>
      <c r="R1168" t="s">
        <v>61</v>
      </c>
      <c r="S1168" t="s">
        <v>61</v>
      </c>
      <c r="T1168" t="s">
        <v>61</v>
      </c>
      <c r="X1168" t="s">
        <v>61</v>
      </c>
      <c r="Y1168" t="s">
        <v>632</v>
      </c>
      <c r="Z1168" t="s">
        <v>61</v>
      </c>
      <c r="AA1168" t="s">
        <v>61</v>
      </c>
      <c r="AB1168" t="s">
        <v>61</v>
      </c>
      <c r="AC1168" t="s">
        <v>67</v>
      </c>
      <c r="AD1168" t="s">
        <v>61</v>
      </c>
      <c r="AE1168" t="s">
        <v>61</v>
      </c>
      <c r="AF1168" t="s">
        <v>61</v>
      </c>
      <c r="AG1168" t="s">
        <v>61</v>
      </c>
      <c r="AH1168" t="s">
        <v>61</v>
      </c>
      <c r="AI1168" t="s">
        <v>61</v>
      </c>
      <c r="AJ1168" t="s">
        <v>61</v>
      </c>
      <c r="AK1168" t="s">
        <v>61</v>
      </c>
      <c r="AL1168" t="s">
        <v>61</v>
      </c>
      <c r="AM1168" t="s">
        <v>9651</v>
      </c>
      <c r="AN1168" t="s">
        <v>61</v>
      </c>
      <c r="AO1168" t="s">
        <v>61</v>
      </c>
      <c r="AP1168" t="s">
        <v>61</v>
      </c>
      <c r="AQ1168" t="s">
        <v>61</v>
      </c>
      <c r="AR1168" t="s">
        <v>61</v>
      </c>
      <c r="AS1168" t="s">
        <v>61</v>
      </c>
      <c r="AT1168" t="s">
        <v>61</v>
      </c>
      <c r="AU1168" t="s">
        <v>61</v>
      </c>
      <c r="AV1168" t="s">
        <v>61</v>
      </c>
      <c r="AW1168" t="s">
        <v>61</v>
      </c>
      <c r="AX1168" t="s">
        <v>61</v>
      </c>
      <c r="AY1168" t="s">
        <v>61</v>
      </c>
      <c r="AZ1168" t="s">
        <v>61</v>
      </c>
      <c r="BA1168" t="s">
        <v>61</v>
      </c>
      <c r="BB1168" t="s">
        <v>61</v>
      </c>
      <c r="BC1168" t="s">
        <v>61</v>
      </c>
      <c r="BD1168" t="s">
        <v>61</v>
      </c>
      <c r="BE1168" t="s">
        <v>61</v>
      </c>
      <c r="BF1168" t="s">
        <v>61</v>
      </c>
    </row>
    <row r="1169" spans="1:58">
      <c r="A1169" t="s">
        <v>58</v>
      </c>
      <c r="B1169" t="s">
        <v>9656</v>
      </c>
      <c r="C1169" t="s">
        <v>9657</v>
      </c>
      <c r="D1169" t="s">
        <v>5668</v>
      </c>
      <c r="E1169" t="s">
        <v>61</v>
      </c>
      <c r="F1169">
        <v>2014</v>
      </c>
      <c r="G1169" t="s">
        <v>61</v>
      </c>
      <c r="H1169" t="s">
        <v>9658</v>
      </c>
      <c r="I1169" t="s">
        <v>61</v>
      </c>
      <c r="J1169" t="s">
        <v>61</v>
      </c>
      <c r="K1169" t="s">
        <v>61</v>
      </c>
      <c r="L1169" t="s">
        <v>9659</v>
      </c>
      <c r="M1169" t="s">
        <v>9660</v>
      </c>
      <c r="N1169" t="s">
        <v>9661</v>
      </c>
      <c r="O1169" t="s">
        <v>61</v>
      </c>
      <c r="Q1169" t="s">
        <v>61</v>
      </c>
      <c r="R1169" t="s">
        <v>61</v>
      </c>
      <c r="S1169" t="s">
        <v>61</v>
      </c>
      <c r="T1169" t="s">
        <v>61</v>
      </c>
      <c r="X1169" t="s">
        <v>61</v>
      </c>
      <c r="Y1169" t="s">
        <v>5673</v>
      </c>
      <c r="Z1169" t="s">
        <v>61</v>
      </c>
      <c r="AA1169" t="s">
        <v>61</v>
      </c>
      <c r="AB1169">
        <v>2014518276</v>
      </c>
      <c r="AC1169" t="s">
        <v>67</v>
      </c>
      <c r="AD1169" t="s">
        <v>61</v>
      </c>
      <c r="AE1169" t="s">
        <v>61</v>
      </c>
      <c r="AF1169" t="s">
        <v>61</v>
      </c>
      <c r="AG1169" t="s">
        <v>61</v>
      </c>
      <c r="AH1169" t="s">
        <v>61</v>
      </c>
      <c r="AI1169" t="s">
        <v>61</v>
      </c>
      <c r="AJ1169" t="s">
        <v>61</v>
      </c>
      <c r="AK1169" t="s">
        <v>61</v>
      </c>
      <c r="AL1169" t="s">
        <v>61</v>
      </c>
      <c r="AM1169" t="s">
        <v>9657</v>
      </c>
      <c r="AN1169" t="s">
        <v>61</v>
      </c>
      <c r="AO1169" t="s">
        <v>61</v>
      </c>
      <c r="AP1169" t="s">
        <v>61</v>
      </c>
      <c r="AQ1169" t="s">
        <v>61</v>
      </c>
      <c r="AR1169" t="s">
        <v>61</v>
      </c>
      <c r="AS1169" t="s">
        <v>61</v>
      </c>
      <c r="AT1169" t="s">
        <v>61</v>
      </c>
      <c r="AU1169" t="s">
        <v>61</v>
      </c>
      <c r="AV1169" t="s">
        <v>61</v>
      </c>
      <c r="AW1169" t="s">
        <v>61</v>
      </c>
      <c r="AX1169" t="s">
        <v>61</v>
      </c>
      <c r="AY1169" t="s">
        <v>61</v>
      </c>
      <c r="AZ1169" t="s">
        <v>61</v>
      </c>
      <c r="BA1169" t="s">
        <v>61</v>
      </c>
      <c r="BB1169" t="s">
        <v>61</v>
      </c>
      <c r="BC1169" t="s">
        <v>61</v>
      </c>
      <c r="BD1169" t="s">
        <v>61</v>
      </c>
      <c r="BE1169" t="s">
        <v>61</v>
      </c>
      <c r="BF1169" t="s">
        <v>61</v>
      </c>
    </row>
    <row r="1170" spans="1:58">
      <c r="A1170" t="s">
        <v>58</v>
      </c>
      <c r="B1170" t="s">
        <v>9662</v>
      </c>
      <c r="C1170" t="s">
        <v>9663</v>
      </c>
      <c r="D1170" t="s">
        <v>9664</v>
      </c>
      <c r="E1170" t="s">
        <v>9665</v>
      </c>
      <c r="F1170">
        <v>1995</v>
      </c>
      <c r="G1170" t="s">
        <v>1332</v>
      </c>
      <c r="H1170">
        <v>29</v>
      </c>
      <c r="I1170">
        <v>6</v>
      </c>
      <c r="J1170">
        <v>530</v>
      </c>
      <c r="K1170">
        <v>534</v>
      </c>
      <c r="L1170" t="s">
        <v>9666</v>
      </c>
      <c r="M1170" t="s">
        <v>9667</v>
      </c>
      <c r="N1170" t="s">
        <v>9668</v>
      </c>
      <c r="O1170" t="s">
        <v>61</v>
      </c>
      <c r="Q1170" t="s">
        <v>61</v>
      </c>
      <c r="R1170" t="s">
        <v>61</v>
      </c>
      <c r="S1170" t="s">
        <v>61</v>
      </c>
      <c r="T1170" t="s">
        <v>61</v>
      </c>
      <c r="X1170" t="s">
        <v>61</v>
      </c>
      <c r="Y1170" t="s">
        <v>9669</v>
      </c>
      <c r="Z1170" t="s">
        <v>61</v>
      </c>
      <c r="AA1170" t="s">
        <v>9670</v>
      </c>
      <c r="AB1170">
        <v>8748111</v>
      </c>
      <c r="AC1170" t="s">
        <v>67</v>
      </c>
      <c r="AD1170" t="s">
        <v>61</v>
      </c>
      <c r="AE1170" t="s">
        <v>61</v>
      </c>
      <c r="AF1170" t="s">
        <v>61</v>
      </c>
      <c r="AG1170" t="s">
        <v>9671</v>
      </c>
      <c r="AH1170" t="s">
        <v>61</v>
      </c>
      <c r="AI1170" t="s">
        <v>61</v>
      </c>
      <c r="AJ1170" t="s">
        <v>61</v>
      </c>
      <c r="AK1170" t="s">
        <v>61</v>
      </c>
      <c r="AL1170" t="s">
        <v>61</v>
      </c>
      <c r="AM1170" t="s">
        <v>9672</v>
      </c>
      <c r="AN1170" t="s">
        <v>61</v>
      </c>
      <c r="AO1170" t="s">
        <v>61</v>
      </c>
      <c r="AP1170" t="s">
        <v>61</v>
      </c>
      <c r="AQ1170" t="s">
        <v>61</v>
      </c>
      <c r="AR1170" t="s">
        <v>61</v>
      </c>
      <c r="AS1170" t="s">
        <v>61</v>
      </c>
      <c r="AT1170" t="s">
        <v>61</v>
      </c>
      <c r="AU1170" t="s">
        <v>61</v>
      </c>
      <c r="AV1170" t="s">
        <v>61</v>
      </c>
      <c r="AW1170" t="s">
        <v>61</v>
      </c>
      <c r="AX1170" t="s">
        <v>61</v>
      </c>
      <c r="AY1170" t="s">
        <v>61</v>
      </c>
      <c r="AZ1170" t="s">
        <v>61</v>
      </c>
      <c r="BA1170" t="s">
        <v>61</v>
      </c>
      <c r="BB1170" t="s">
        <v>61</v>
      </c>
      <c r="BC1170" t="s">
        <v>61</v>
      </c>
      <c r="BD1170" t="s">
        <v>61</v>
      </c>
      <c r="BE1170" t="s">
        <v>61</v>
      </c>
      <c r="BF1170" t="s">
        <v>61</v>
      </c>
    </row>
    <row r="1171" spans="1:58">
      <c r="A1171" t="s">
        <v>58</v>
      </c>
      <c r="B1171" t="s">
        <v>9673</v>
      </c>
      <c r="C1171" t="s">
        <v>9674</v>
      </c>
      <c r="D1171" t="s">
        <v>9675</v>
      </c>
      <c r="E1171" t="s">
        <v>61</v>
      </c>
      <c r="F1171">
        <v>1999</v>
      </c>
      <c r="G1171" t="s">
        <v>85</v>
      </c>
      <c r="H1171">
        <v>44</v>
      </c>
      <c r="I1171">
        <v>4</v>
      </c>
      <c r="J1171">
        <v>713</v>
      </c>
      <c r="K1171">
        <v>724</v>
      </c>
      <c r="L1171" t="s">
        <v>9676</v>
      </c>
      <c r="M1171" t="s">
        <v>9677</v>
      </c>
      <c r="N1171" t="s">
        <v>9678</v>
      </c>
      <c r="O1171" t="s">
        <v>61</v>
      </c>
      <c r="Q1171" t="s">
        <v>61</v>
      </c>
      <c r="R1171" t="s">
        <v>61</v>
      </c>
      <c r="S1171" t="s">
        <v>61</v>
      </c>
      <c r="T1171" t="s">
        <v>61</v>
      </c>
      <c r="X1171" t="s">
        <v>61</v>
      </c>
      <c r="Y1171" t="s">
        <v>9679</v>
      </c>
      <c r="Z1171" t="s">
        <v>61</v>
      </c>
      <c r="AA1171" t="s">
        <v>9680</v>
      </c>
      <c r="AB1171">
        <v>10219827</v>
      </c>
      <c r="AC1171" t="s">
        <v>67</v>
      </c>
      <c r="AD1171" t="s">
        <v>61</v>
      </c>
      <c r="AE1171" t="s">
        <v>61</v>
      </c>
      <c r="AF1171" t="s">
        <v>61</v>
      </c>
      <c r="AG1171" t="s">
        <v>9681</v>
      </c>
      <c r="AH1171" t="s">
        <v>61</v>
      </c>
      <c r="AI1171" t="s">
        <v>61</v>
      </c>
      <c r="AJ1171" t="s">
        <v>61</v>
      </c>
      <c r="AK1171" t="s">
        <v>61</v>
      </c>
      <c r="AL1171" t="s">
        <v>61</v>
      </c>
      <c r="AM1171" t="s">
        <v>9682</v>
      </c>
      <c r="AN1171" t="s">
        <v>61</v>
      </c>
      <c r="AO1171" t="s">
        <v>61</v>
      </c>
      <c r="AP1171" t="s">
        <v>61</v>
      </c>
      <c r="AQ1171" t="s">
        <v>61</v>
      </c>
      <c r="AR1171" t="s">
        <v>61</v>
      </c>
      <c r="AS1171" t="s">
        <v>61</v>
      </c>
      <c r="AT1171" t="s">
        <v>61</v>
      </c>
      <c r="AU1171" t="s">
        <v>61</v>
      </c>
      <c r="AV1171" t="s">
        <v>61</v>
      </c>
      <c r="AW1171" t="s">
        <v>61</v>
      </c>
      <c r="AX1171" t="s">
        <v>61</v>
      </c>
      <c r="AY1171" t="s">
        <v>61</v>
      </c>
      <c r="AZ1171" t="s">
        <v>61</v>
      </c>
      <c r="BA1171" t="s">
        <v>61</v>
      </c>
      <c r="BB1171" t="s">
        <v>61</v>
      </c>
      <c r="BC1171" t="s">
        <v>61</v>
      </c>
      <c r="BD1171" t="s">
        <v>61</v>
      </c>
      <c r="BE1171" t="s">
        <v>61</v>
      </c>
      <c r="BF1171" t="s">
        <v>61</v>
      </c>
    </row>
    <row r="1172" spans="1:58">
      <c r="A1172" t="s">
        <v>58</v>
      </c>
      <c r="B1172" t="s">
        <v>9683</v>
      </c>
      <c r="C1172" t="s">
        <v>9684</v>
      </c>
      <c r="D1172" t="s">
        <v>8650</v>
      </c>
      <c r="E1172" t="s">
        <v>61</v>
      </c>
      <c r="F1172">
        <v>2010</v>
      </c>
      <c r="G1172" t="s">
        <v>1775</v>
      </c>
      <c r="H1172">
        <v>32</v>
      </c>
      <c r="I1172">
        <v>5</v>
      </c>
      <c r="J1172">
        <v>429</v>
      </c>
      <c r="K1172">
        <v>430</v>
      </c>
      <c r="L1172" t="s">
        <v>9685</v>
      </c>
      <c r="M1172" t="s">
        <v>9686</v>
      </c>
      <c r="N1172" t="s">
        <v>9687</v>
      </c>
      <c r="O1172" t="s">
        <v>61</v>
      </c>
      <c r="Q1172" t="s">
        <v>61</v>
      </c>
      <c r="R1172" t="s">
        <v>61</v>
      </c>
      <c r="S1172" t="s">
        <v>61</v>
      </c>
      <c r="T1172" t="s">
        <v>61</v>
      </c>
      <c r="X1172" t="s">
        <v>61</v>
      </c>
      <c r="Y1172" t="s">
        <v>8654</v>
      </c>
      <c r="Z1172" t="s">
        <v>61</v>
      </c>
      <c r="AA1172" t="s">
        <v>61</v>
      </c>
      <c r="AB1172" t="s">
        <v>61</v>
      </c>
      <c r="AC1172" t="s">
        <v>67</v>
      </c>
      <c r="AD1172" t="s">
        <v>61</v>
      </c>
      <c r="AE1172" t="s">
        <v>61</v>
      </c>
      <c r="AF1172" t="s">
        <v>61</v>
      </c>
      <c r="AG1172" t="s">
        <v>61</v>
      </c>
      <c r="AH1172" t="s">
        <v>61</v>
      </c>
      <c r="AI1172" t="s">
        <v>61</v>
      </c>
      <c r="AJ1172" t="s">
        <v>61</v>
      </c>
      <c r="AK1172" t="s">
        <v>61</v>
      </c>
      <c r="AL1172" t="s">
        <v>61</v>
      </c>
      <c r="AM1172" t="s">
        <v>9684</v>
      </c>
      <c r="AN1172" t="s">
        <v>61</v>
      </c>
      <c r="AO1172" t="s">
        <v>61</v>
      </c>
      <c r="AP1172" t="s">
        <v>61</v>
      </c>
      <c r="AQ1172" t="s">
        <v>61</v>
      </c>
      <c r="AR1172" t="s">
        <v>61</v>
      </c>
      <c r="AS1172" t="s">
        <v>61</v>
      </c>
      <c r="AT1172" t="s">
        <v>61</v>
      </c>
      <c r="AU1172" t="s">
        <v>61</v>
      </c>
      <c r="AV1172" t="s">
        <v>61</v>
      </c>
      <c r="AW1172" t="s">
        <v>61</v>
      </c>
      <c r="AX1172" t="s">
        <v>61</v>
      </c>
      <c r="AY1172" t="s">
        <v>61</v>
      </c>
      <c r="AZ1172" t="s">
        <v>61</v>
      </c>
      <c r="BA1172" t="s">
        <v>61</v>
      </c>
      <c r="BB1172" t="s">
        <v>61</v>
      </c>
      <c r="BC1172" t="s">
        <v>61</v>
      </c>
      <c r="BD1172" t="s">
        <v>61</v>
      </c>
      <c r="BE1172" t="s">
        <v>61</v>
      </c>
      <c r="BF1172" t="s">
        <v>61</v>
      </c>
    </row>
    <row r="1173" spans="1:58">
      <c r="A1173" t="s">
        <v>58</v>
      </c>
      <c r="B1173" t="s">
        <v>9688</v>
      </c>
      <c r="C1173" t="s">
        <v>9689</v>
      </c>
      <c r="D1173" t="s">
        <v>9690</v>
      </c>
      <c r="E1173" t="s">
        <v>9691</v>
      </c>
      <c r="F1173">
        <v>2014</v>
      </c>
      <c r="G1173" s="1">
        <v>42386</v>
      </c>
      <c r="H1173">
        <v>123</v>
      </c>
      <c r="I1173" t="s">
        <v>61</v>
      </c>
      <c r="J1173">
        <v>174</v>
      </c>
      <c r="K1173">
        <v>179</v>
      </c>
      <c r="L1173" t="s">
        <v>9692</v>
      </c>
      <c r="M1173" t="s">
        <v>9693</v>
      </c>
      <c r="N1173" t="s">
        <v>9694</v>
      </c>
      <c r="O1173" t="s">
        <v>61</v>
      </c>
      <c r="Q1173" t="s">
        <v>61</v>
      </c>
      <c r="R1173" t="s">
        <v>61</v>
      </c>
      <c r="S1173" t="s">
        <v>61</v>
      </c>
      <c r="T1173" t="s">
        <v>61</v>
      </c>
      <c r="X1173" t="s">
        <v>61</v>
      </c>
      <c r="Y1173" t="s">
        <v>9695</v>
      </c>
      <c r="Z1173" t="s">
        <v>61</v>
      </c>
      <c r="AA1173" t="s">
        <v>9696</v>
      </c>
      <c r="AB1173">
        <v>24184510</v>
      </c>
      <c r="AC1173" t="s">
        <v>67</v>
      </c>
      <c r="AD1173" t="s">
        <v>61</v>
      </c>
      <c r="AE1173" t="s">
        <v>61</v>
      </c>
      <c r="AF1173" t="s">
        <v>61</v>
      </c>
      <c r="AG1173" t="s">
        <v>9697</v>
      </c>
      <c r="AH1173" t="s">
        <v>61</v>
      </c>
      <c r="AI1173" t="s">
        <v>9698</v>
      </c>
      <c r="AJ1173" t="s">
        <v>61</v>
      </c>
      <c r="AK1173" t="s">
        <v>61</v>
      </c>
      <c r="AL1173" t="s">
        <v>61</v>
      </c>
      <c r="AM1173" t="s">
        <v>9699</v>
      </c>
      <c r="AN1173" t="s">
        <v>61</v>
      </c>
      <c r="AO1173" t="s">
        <v>61</v>
      </c>
      <c r="AP1173" t="s">
        <v>61</v>
      </c>
      <c r="AQ1173" t="s">
        <v>61</v>
      </c>
      <c r="AR1173" t="s">
        <v>61</v>
      </c>
      <c r="AS1173" t="s">
        <v>61</v>
      </c>
      <c r="AT1173" t="s">
        <v>61</v>
      </c>
      <c r="AU1173" t="s">
        <v>61</v>
      </c>
      <c r="AV1173" t="s">
        <v>61</v>
      </c>
      <c r="AW1173" t="s">
        <v>61</v>
      </c>
      <c r="AX1173" t="s">
        <v>61</v>
      </c>
      <c r="AY1173" t="s">
        <v>61</v>
      </c>
      <c r="AZ1173" t="s">
        <v>61</v>
      </c>
      <c r="BA1173" t="s">
        <v>61</v>
      </c>
      <c r="BB1173" t="s">
        <v>61</v>
      </c>
      <c r="BC1173" t="s">
        <v>61</v>
      </c>
      <c r="BD1173" t="s">
        <v>61</v>
      </c>
      <c r="BE1173" t="s">
        <v>61</v>
      </c>
      <c r="BF1173" t="s">
        <v>61</v>
      </c>
    </row>
    <row r="1174" spans="1:58">
      <c r="A1174" t="s">
        <v>58</v>
      </c>
      <c r="B1174" t="s">
        <v>9700</v>
      </c>
      <c r="C1174" t="s">
        <v>9701</v>
      </c>
      <c r="D1174" t="s">
        <v>627</v>
      </c>
      <c r="E1174" t="s">
        <v>61</v>
      </c>
      <c r="F1174">
        <v>2011</v>
      </c>
      <c r="G1174" t="s">
        <v>8384</v>
      </c>
      <c r="H1174">
        <v>51</v>
      </c>
      <c r="I1174">
        <v>5</v>
      </c>
      <c r="J1174">
        <v>647</v>
      </c>
      <c r="K1174" t="s">
        <v>61</v>
      </c>
      <c r="L1174" t="s">
        <v>9702</v>
      </c>
      <c r="M1174" t="s">
        <v>9703</v>
      </c>
      <c r="N1174" t="s">
        <v>9704</v>
      </c>
      <c r="O1174" t="s">
        <v>61</v>
      </c>
      <c r="Q1174" t="s">
        <v>61</v>
      </c>
      <c r="R1174" t="s">
        <v>61</v>
      </c>
      <c r="S1174" t="s">
        <v>61</v>
      </c>
      <c r="T1174" t="s">
        <v>61</v>
      </c>
      <c r="X1174" t="s">
        <v>61</v>
      </c>
      <c r="Y1174" t="s">
        <v>632</v>
      </c>
      <c r="Z1174" t="s">
        <v>61</v>
      </c>
      <c r="AA1174" t="s">
        <v>61</v>
      </c>
      <c r="AB1174" t="s">
        <v>61</v>
      </c>
      <c r="AC1174" t="s">
        <v>67</v>
      </c>
      <c r="AD1174" t="s">
        <v>61</v>
      </c>
      <c r="AE1174" t="s">
        <v>61</v>
      </c>
      <c r="AF1174" t="s">
        <v>61</v>
      </c>
      <c r="AG1174" t="s">
        <v>61</v>
      </c>
      <c r="AH1174" t="s">
        <v>61</v>
      </c>
      <c r="AI1174" t="s">
        <v>61</v>
      </c>
      <c r="AJ1174" t="s">
        <v>61</v>
      </c>
      <c r="AK1174" t="s">
        <v>61</v>
      </c>
      <c r="AL1174" t="s">
        <v>61</v>
      </c>
      <c r="AM1174" t="s">
        <v>9701</v>
      </c>
      <c r="AN1174" t="s">
        <v>61</v>
      </c>
      <c r="AO1174" t="s">
        <v>61</v>
      </c>
      <c r="AP1174" t="s">
        <v>61</v>
      </c>
      <c r="AQ1174" t="s">
        <v>61</v>
      </c>
      <c r="AR1174" t="s">
        <v>61</v>
      </c>
      <c r="AS1174" t="s">
        <v>61</v>
      </c>
      <c r="AT1174" t="s">
        <v>61</v>
      </c>
      <c r="AU1174" t="s">
        <v>61</v>
      </c>
      <c r="AV1174" t="s">
        <v>61</v>
      </c>
      <c r="AW1174" t="s">
        <v>61</v>
      </c>
      <c r="AX1174" t="s">
        <v>61</v>
      </c>
      <c r="AY1174" t="s">
        <v>61</v>
      </c>
      <c r="AZ1174" t="s">
        <v>61</v>
      </c>
      <c r="BA1174" t="s">
        <v>61</v>
      </c>
      <c r="BB1174" t="s">
        <v>61</v>
      </c>
      <c r="BC1174" t="s">
        <v>61</v>
      </c>
      <c r="BD1174" t="s">
        <v>61</v>
      </c>
      <c r="BE1174" t="s">
        <v>61</v>
      </c>
      <c r="BF1174" t="s">
        <v>61</v>
      </c>
    </row>
    <row r="1175" spans="1:58">
      <c r="A1175" t="s">
        <v>58</v>
      </c>
      <c r="B1175" t="s">
        <v>9705</v>
      </c>
      <c r="C1175" t="s">
        <v>9706</v>
      </c>
      <c r="D1175" t="s">
        <v>9707</v>
      </c>
      <c r="E1175" t="s">
        <v>61</v>
      </c>
      <c r="F1175">
        <v>2008</v>
      </c>
      <c r="G1175" t="s">
        <v>9708</v>
      </c>
      <c r="H1175">
        <v>141</v>
      </c>
      <c r="I1175">
        <v>4</v>
      </c>
      <c r="J1175">
        <v>241</v>
      </c>
      <c r="K1175">
        <v>247</v>
      </c>
      <c r="L1175" t="s">
        <v>9709</v>
      </c>
      <c r="M1175" t="s">
        <v>9710</v>
      </c>
      <c r="N1175" t="s">
        <v>9711</v>
      </c>
      <c r="O1175" t="s">
        <v>61</v>
      </c>
      <c r="Q1175" t="s">
        <v>61</v>
      </c>
      <c r="R1175" t="s">
        <v>61</v>
      </c>
      <c r="S1175" t="s">
        <v>61</v>
      </c>
      <c r="T1175" t="s">
        <v>61</v>
      </c>
      <c r="X1175" t="s">
        <v>61</v>
      </c>
      <c r="Y1175" t="s">
        <v>111</v>
      </c>
      <c r="Z1175" t="s">
        <v>61</v>
      </c>
      <c r="AA1175" t="s">
        <v>61</v>
      </c>
      <c r="AB1175" t="s">
        <v>9712</v>
      </c>
      <c r="AC1175" t="s">
        <v>67</v>
      </c>
      <c r="AD1175" t="s">
        <v>61</v>
      </c>
      <c r="AE1175" t="s">
        <v>61</v>
      </c>
      <c r="AF1175" t="s">
        <v>61</v>
      </c>
      <c r="AG1175" t="s">
        <v>61</v>
      </c>
      <c r="AH1175" t="s">
        <v>61</v>
      </c>
      <c r="AI1175" t="s">
        <v>61</v>
      </c>
      <c r="AJ1175" t="s">
        <v>61</v>
      </c>
      <c r="AK1175" t="s">
        <v>61</v>
      </c>
      <c r="AL1175" t="s">
        <v>61</v>
      </c>
      <c r="AM1175" t="s">
        <v>9706</v>
      </c>
      <c r="AN1175" t="s">
        <v>61</v>
      </c>
      <c r="AO1175" t="s">
        <v>61</v>
      </c>
      <c r="AP1175" t="s">
        <v>61</v>
      </c>
      <c r="AQ1175" t="s">
        <v>61</v>
      </c>
      <c r="AR1175" t="s">
        <v>61</v>
      </c>
      <c r="AS1175" t="s">
        <v>61</v>
      </c>
      <c r="AT1175" t="s">
        <v>61</v>
      </c>
      <c r="AU1175" t="s">
        <v>61</v>
      </c>
      <c r="AV1175" t="s">
        <v>61</v>
      </c>
      <c r="AW1175" t="s">
        <v>61</v>
      </c>
      <c r="AX1175" t="s">
        <v>61</v>
      </c>
      <c r="AY1175" t="s">
        <v>61</v>
      </c>
      <c r="AZ1175" t="s">
        <v>61</v>
      </c>
      <c r="BA1175" t="s">
        <v>61</v>
      </c>
      <c r="BB1175" t="s">
        <v>61</v>
      </c>
      <c r="BC1175" t="s">
        <v>61</v>
      </c>
      <c r="BD1175" t="s">
        <v>61</v>
      </c>
      <c r="BE1175" t="s">
        <v>61</v>
      </c>
      <c r="BF1175" t="s">
        <v>61</v>
      </c>
    </row>
    <row r="1176" spans="1:58">
      <c r="A1176" t="s">
        <v>58</v>
      </c>
      <c r="B1176" t="s">
        <v>9713</v>
      </c>
      <c r="C1176" t="s">
        <v>9714</v>
      </c>
      <c r="D1176" t="s">
        <v>9715</v>
      </c>
      <c r="E1176" t="s">
        <v>61</v>
      </c>
      <c r="F1176">
        <v>2015</v>
      </c>
      <c r="G1176" t="s">
        <v>61</v>
      </c>
      <c r="H1176">
        <v>14</v>
      </c>
      <c r="I1176">
        <v>1</v>
      </c>
      <c r="J1176" t="s">
        <v>9716</v>
      </c>
      <c r="K1176">
        <v>45</v>
      </c>
      <c r="L1176" t="s">
        <v>61</v>
      </c>
      <c r="M1176" t="s">
        <v>9717</v>
      </c>
      <c r="N1176" t="s">
        <v>9718</v>
      </c>
      <c r="O1176" t="s">
        <v>61</v>
      </c>
      <c r="Q1176" t="s">
        <v>61</v>
      </c>
      <c r="R1176" t="s">
        <v>61</v>
      </c>
      <c r="S1176" t="s">
        <v>61</v>
      </c>
      <c r="T1176" t="s">
        <v>61</v>
      </c>
      <c r="X1176" t="s">
        <v>61</v>
      </c>
      <c r="Y1176" t="s">
        <v>9719</v>
      </c>
      <c r="Z1176" t="s">
        <v>61</v>
      </c>
      <c r="AA1176" t="s">
        <v>9720</v>
      </c>
      <c r="AB1176">
        <v>26557794</v>
      </c>
      <c r="AC1176" t="s">
        <v>67</v>
      </c>
      <c r="AD1176" t="s">
        <v>61</v>
      </c>
      <c r="AE1176" t="s">
        <v>61</v>
      </c>
      <c r="AF1176" t="s">
        <v>61</v>
      </c>
      <c r="AG1176" t="s">
        <v>9721</v>
      </c>
      <c r="AH1176" t="s">
        <v>61</v>
      </c>
      <c r="AI1176" t="s">
        <v>61</v>
      </c>
      <c r="AJ1176" t="s">
        <v>61</v>
      </c>
      <c r="AK1176" t="s">
        <v>61</v>
      </c>
      <c r="AL1176" t="s">
        <v>61</v>
      </c>
      <c r="AM1176" t="s">
        <v>9722</v>
      </c>
      <c r="AN1176" t="s">
        <v>61</v>
      </c>
      <c r="AO1176" t="s">
        <v>61</v>
      </c>
      <c r="AP1176" t="s">
        <v>61</v>
      </c>
      <c r="AQ1176" t="s">
        <v>61</v>
      </c>
      <c r="AR1176" t="s">
        <v>61</v>
      </c>
      <c r="AS1176" t="s">
        <v>61</v>
      </c>
      <c r="AT1176" t="s">
        <v>61</v>
      </c>
      <c r="AU1176" t="s">
        <v>61</v>
      </c>
      <c r="AV1176" t="s">
        <v>61</v>
      </c>
      <c r="AW1176" t="s">
        <v>61</v>
      </c>
      <c r="AX1176" t="s">
        <v>61</v>
      </c>
      <c r="AY1176" t="s">
        <v>61</v>
      </c>
      <c r="AZ1176" t="s">
        <v>61</v>
      </c>
      <c r="BA1176" t="s">
        <v>61</v>
      </c>
      <c r="BB1176" t="s">
        <v>61</v>
      </c>
      <c r="BC1176" t="s">
        <v>61</v>
      </c>
      <c r="BD1176" t="s">
        <v>61</v>
      </c>
      <c r="BE1176" t="s">
        <v>61</v>
      </c>
      <c r="BF1176" t="s">
        <v>61</v>
      </c>
    </row>
    <row r="1177" spans="1:58">
      <c r="A1177" t="s">
        <v>58</v>
      </c>
      <c r="B1177" t="s">
        <v>9723</v>
      </c>
      <c r="C1177" t="s">
        <v>9724</v>
      </c>
      <c r="D1177" t="s">
        <v>271</v>
      </c>
      <c r="E1177" t="s">
        <v>272</v>
      </c>
      <c r="F1177">
        <v>1999</v>
      </c>
      <c r="G1177" t="s">
        <v>739</v>
      </c>
      <c r="H1177">
        <v>39</v>
      </c>
      <c r="I1177">
        <v>5</v>
      </c>
      <c r="J1177">
        <v>598</v>
      </c>
      <c r="K1177">
        <v>599</v>
      </c>
      <c r="L1177" t="s">
        <v>9725</v>
      </c>
      <c r="M1177" t="s">
        <v>61</v>
      </c>
      <c r="N1177" t="s">
        <v>9726</v>
      </c>
      <c r="O1177" t="s">
        <v>61</v>
      </c>
      <c r="Q1177" t="s">
        <v>61</v>
      </c>
      <c r="R1177" t="s">
        <v>61</v>
      </c>
      <c r="S1177" t="s">
        <v>61</v>
      </c>
      <c r="T1177" t="s">
        <v>61</v>
      </c>
      <c r="X1177" t="s">
        <v>61</v>
      </c>
      <c r="Y1177" t="s">
        <v>1661</v>
      </c>
      <c r="Z1177" t="s">
        <v>61</v>
      </c>
      <c r="AA1177" t="s">
        <v>61</v>
      </c>
      <c r="AB1177">
        <v>10533337</v>
      </c>
      <c r="AC1177" t="s">
        <v>67</v>
      </c>
      <c r="AD1177" t="s">
        <v>61</v>
      </c>
      <c r="AE1177" t="s">
        <v>61</v>
      </c>
      <c r="AF1177" t="s">
        <v>61</v>
      </c>
      <c r="AG1177" t="s">
        <v>9727</v>
      </c>
      <c r="AH1177" t="s">
        <v>61</v>
      </c>
      <c r="AI1177" t="s">
        <v>61</v>
      </c>
      <c r="AJ1177" t="s">
        <v>61</v>
      </c>
      <c r="AK1177" t="s">
        <v>61</v>
      </c>
      <c r="AL1177" t="s">
        <v>61</v>
      </c>
      <c r="AM1177" t="s">
        <v>9728</v>
      </c>
      <c r="AN1177" t="s">
        <v>61</v>
      </c>
      <c r="AO1177" t="s">
        <v>61</v>
      </c>
      <c r="AP1177" t="s">
        <v>61</v>
      </c>
      <c r="AQ1177" t="s">
        <v>61</v>
      </c>
      <c r="AR1177" t="s">
        <v>61</v>
      </c>
      <c r="AS1177" t="s">
        <v>61</v>
      </c>
      <c r="AT1177" t="s">
        <v>61</v>
      </c>
      <c r="AU1177" t="s">
        <v>61</v>
      </c>
      <c r="AV1177" t="s">
        <v>61</v>
      </c>
      <c r="AW1177" t="s">
        <v>61</v>
      </c>
      <c r="AX1177" t="s">
        <v>61</v>
      </c>
      <c r="AY1177" t="s">
        <v>61</v>
      </c>
      <c r="AZ1177" t="s">
        <v>61</v>
      </c>
      <c r="BA1177" t="s">
        <v>61</v>
      </c>
      <c r="BB1177" t="s">
        <v>61</v>
      </c>
      <c r="BC1177" t="s">
        <v>61</v>
      </c>
      <c r="BD1177" t="s">
        <v>61</v>
      </c>
      <c r="BE1177" t="s">
        <v>61</v>
      </c>
      <c r="BF1177" t="s">
        <v>61</v>
      </c>
    </row>
    <row r="1178" spans="1:58">
      <c r="A1178" t="s">
        <v>58</v>
      </c>
      <c r="B1178" t="s">
        <v>9729</v>
      </c>
      <c r="C1178" t="s">
        <v>9730</v>
      </c>
      <c r="D1178" t="s">
        <v>3116</v>
      </c>
      <c r="E1178" t="s">
        <v>61</v>
      </c>
      <c r="F1178">
        <v>2015</v>
      </c>
      <c r="G1178" t="s">
        <v>2305</v>
      </c>
      <c r="H1178">
        <v>81</v>
      </c>
      <c r="I1178">
        <v>1</v>
      </c>
      <c r="J1178">
        <v>48</v>
      </c>
      <c r="K1178">
        <v>49</v>
      </c>
      <c r="L1178" t="s">
        <v>9731</v>
      </c>
      <c r="M1178" t="s">
        <v>9732</v>
      </c>
      <c r="N1178" t="s">
        <v>9733</v>
      </c>
      <c r="O1178" t="s">
        <v>61</v>
      </c>
      <c r="Q1178" t="s">
        <v>61</v>
      </c>
      <c r="R1178" t="s">
        <v>61</v>
      </c>
      <c r="S1178" t="s">
        <v>61</v>
      </c>
      <c r="T1178" t="s">
        <v>61</v>
      </c>
      <c r="X1178" t="s">
        <v>61</v>
      </c>
      <c r="Y1178" t="s">
        <v>3120</v>
      </c>
      <c r="Z1178" t="s">
        <v>61</v>
      </c>
      <c r="AA1178" t="s">
        <v>61</v>
      </c>
      <c r="AB1178" t="s">
        <v>61</v>
      </c>
      <c r="AC1178" t="s">
        <v>67</v>
      </c>
      <c r="AD1178" t="s">
        <v>61</v>
      </c>
      <c r="AE1178" t="s">
        <v>61</v>
      </c>
      <c r="AF1178" t="s">
        <v>61</v>
      </c>
      <c r="AG1178" t="s">
        <v>61</v>
      </c>
      <c r="AH1178" t="s">
        <v>61</v>
      </c>
      <c r="AI1178" t="s">
        <v>61</v>
      </c>
      <c r="AJ1178" t="s">
        <v>61</v>
      </c>
      <c r="AK1178" t="s">
        <v>61</v>
      </c>
      <c r="AL1178" t="s">
        <v>61</v>
      </c>
      <c r="AM1178" t="s">
        <v>9730</v>
      </c>
      <c r="AN1178" t="s">
        <v>61</v>
      </c>
      <c r="AO1178" t="s">
        <v>61</v>
      </c>
      <c r="AP1178" t="s">
        <v>61</v>
      </c>
      <c r="AQ1178" t="s">
        <v>61</v>
      </c>
      <c r="AR1178" t="s">
        <v>61</v>
      </c>
      <c r="AS1178" t="s">
        <v>61</v>
      </c>
      <c r="AT1178" t="s">
        <v>61</v>
      </c>
      <c r="AU1178" t="s">
        <v>61</v>
      </c>
      <c r="AV1178" t="s">
        <v>61</v>
      </c>
      <c r="AW1178" t="s">
        <v>61</v>
      </c>
      <c r="AX1178" t="s">
        <v>61</v>
      </c>
      <c r="AY1178" t="s">
        <v>61</v>
      </c>
      <c r="AZ1178" t="s">
        <v>61</v>
      </c>
      <c r="BA1178" t="s">
        <v>61</v>
      </c>
      <c r="BB1178" t="s">
        <v>61</v>
      </c>
      <c r="BC1178" t="s">
        <v>61</v>
      </c>
      <c r="BD1178" t="s">
        <v>61</v>
      </c>
      <c r="BE1178" t="s">
        <v>61</v>
      </c>
      <c r="BF1178" t="s">
        <v>61</v>
      </c>
    </row>
    <row r="1179" spans="1:58">
      <c r="A1179" t="s">
        <v>58</v>
      </c>
      <c r="B1179" t="s">
        <v>9734</v>
      </c>
      <c r="C1179" t="s">
        <v>9735</v>
      </c>
      <c r="D1179" t="s">
        <v>162</v>
      </c>
      <c r="E1179" t="s">
        <v>163</v>
      </c>
      <c r="F1179">
        <v>2004</v>
      </c>
      <c r="G1179" t="s">
        <v>273</v>
      </c>
      <c r="H1179">
        <v>44</v>
      </c>
      <c r="I1179">
        <v>2</v>
      </c>
      <c r="J1179">
        <v>141</v>
      </c>
      <c r="K1179">
        <v>149</v>
      </c>
      <c r="L1179" t="s">
        <v>9736</v>
      </c>
      <c r="M1179" t="s">
        <v>9737</v>
      </c>
      <c r="N1179" t="s">
        <v>9738</v>
      </c>
      <c r="O1179" t="s">
        <v>61</v>
      </c>
      <c r="Q1179" t="s">
        <v>61</v>
      </c>
      <c r="R1179" t="s">
        <v>61</v>
      </c>
      <c r="S1179" t="s">
        <v>61</v>
      </c>
      <c r="T1179" t="s">
        <v>61</v>
      </c>
      <c r="X1179" t="s">
        <v>61</v>
      </c>
      <c r="Y1179" t="s">
        <v>167</v>
      </c>
      <c r="Z1179" t="s">
        <v>61</v>
      </c>
      <c r="AA1179" t="s">
        <v>9739</v>
      </c>
      <c r="AB1179">
        <v>14747422</v>
      </c>
      <c r="AC1179" t="s">
        <v>67</v>
      </c>
      <c r="AD1179" t="s">
        <v>61</v>
      </c>
      <c r="AE1179" t="s">
        <v>61</v>
      </c>
      <c r="AF1179" t="s">
        <v>61</v>
      </c>
      <c r="AG1179" t="s">
        <v>9740</v>
      </c>
      <c r="AH1179" t="s">
        <v>61</v>
      </c>
      <c r="AI1179" t="s">
        <v>61</v>
      </c>
      <c r="AJ1179" t="s">
        <v>61</v>
      </c>
      <c r="AK1179" t="s">
        <v>61</v>
      </c>
      <c r="AL1179" t="s">
        <v>61</v>
      </c>
      <c r="AM1179" t="s">
        <v>9741</v>
      </c>
      <c r="AN1179" t="s">
        <v>61</v>
      </c>
      <c r="AO1179" t="s">
        <v>61</v>
      </c>
      <c r="AP1179" t="s">
        <v>61</v>
      </c>
      <c r="AQ1179" t="s">
        <v>61</v>
      </c>
      <c r="AR1179" t="s">
        <v>61</v>
      </c>
      <c r="AS1179" t="s">
        <v>61</v>
      </c>
      <c r="AT1179" t="s">
        <v>61</v>
      </c>
      <c r="AU1179" t="s">
        <v>61</v>
      </c>
      <c r="AV1179" t="s">
        <v>61</v>
      </c>
      <c r="AW1179" t="s">
        <v>61</v>
      </c>
      <c r="AX1179" t="s">
        <v>61</v>
      </c>
      <c r="AY1179" t="s">
        <v>61</v>
      </c>
      <c r="AZ1179" t="s">
        <v>61</v>
      </c>
      <c r="BA1179" t="s">
        <v>61</v>
      </c>
      <c r="BB1179" t="s">
        <v>61</v>
      </c>
      <c r="BC1179" t="s">
        <v>61</v>
      </c>
      <c r="BD1179" t="s">
        <v>61</v>
      </c>
      <c r="BE1179" t="s">
        <v>61</v>
      </c>
      <c r="BF1179" t="s">
        <v>61</v>
      </c>
    </row>
    <row r="1180" spans="1:58">
      <c r="A1180" t="s">
        <v>58</v>
      </c>
      <c r="B1180" t="s">
        <v>9742</v>
      </c>
      <c r="C1180" t="s">
        <v>9743</v>
      </c>
      <c r="D1180" t="s">
        <v>153</v>
      </c>
      <c r="E1180" t="s">
        <v>61</v>
      </c>
      <c r="F1180">
        <v>2015</v>
      </c>
      <c r="G1180" t="s">
        <v>2798</v>
      </c>
      <c r="H1180">
        <v>55</v>
      </c>
      <c r="I1180">
        <v>1</v>
      </c>
      <c r="J1180">
        <v>31</v>
      </c>
      <c r="K1180">
        <v>40</v>
      </c>
      <c r="L1180" t="s">
        <v>9744</v>
      </c>
      <c r="M1180" t="s">
        <v>9745</v>
      </c>
      <c r="N1180" t="s">
        <v>9746</v>
      </c>
      <c r="O1180" t="s">
        <v>61</v>
      </c>
      <c r="Q1180" t="s">
        <v>61</v>
      </c>
      <c r="R1180" t="s">
        <v>61</v>
      </c>
      <c r="S1180" t="s">
        <v>61</v>
      </c>
      <c r="T1180" t="s">
        <v>61</v>
      </c>
      <c r="X1180" t="s">
        <v>61</v>
      </c>
      <c r="Y1180" t="s">
        <v>157</v>
      </c>
      <c r="Z1180" t="s">
        <v>61</v>
      </c>
      <c r="AA1180" t="s">
        <v>61</v>
      </c>
      <c r="AB1180">
        <v>25575149</v>
      </c>
      <c r="AC1180" t="s">
        <v>67</v>
      </c>
      <c r="AD1180" t="s">
        <v>61</v>
      </c>
      <c r="AE1180" t="s">
        <v>61</v>
      </c>
      <c r="AF1180" t="s">
        <v>61</v>
      </c>
      <c r="AG1180" t="s">
        <v>9747</v>
      </c>
      <c r="AH1180" t="s">
        <v>61</v>
      </c>
      <c r="AI1180" t="s">
        <v>9748</v>
      </c>
      <c r="AJ1180" t="s">
        <v>61</v>
      </c>
      <c r="AK1180" t="s">
        <v>61</v>
      </c>
      <c r="AL1180" t="s">
        <v>61</v>
      </c>
      <c r="AM1180" t="s">
        <v>9749</v>
      </c>
      <c r="AN1180" t="s">
        <v>61</v>
      </c>
      <c r="AO1180" t="s">
        <v>61</v>
      </c>
      <c r="AP1180" t="s">
        <v>61</v>
      </c>
      <c r="AQ1180" t="s">
        <v>61</v>
      </c>
      <c r="AR1180" t="s">
        <v>61</v>
      </c>
      <c r="AS1180" t="s">
        <v>61</v>
      </c>
      <c r="AT1180" t="s">
        <v>61</v>
      </c>
      <c r="AU1180" t="s">
        <v>61</v>
      </c>
      <c r="AV1180" t="s">
        <v>61</v>
      </c>
      <c r="AW1180" t="s">
        <v>61</v>
      </c>
      <c r="AX1180" t="s">
        <v>61</v>
      </c>
      <c r="AY1180" t="s">
        <v>61</v>
      </c>
      <c r="AZ1180" t="s">
        <v>61</v>
      </c>
      <c r="BA1180" t="s">
        <v>61</v>
      </c>
      <c r="BB1180" t="s">
        <v>61</v>
      </c>
      <c r="BC1180" t="s">
        <v>61</v>
      </c>
      <c r="BD1180" t="s">
        <v>61</v>
      </c>
      <c r="BE1180" t="s">
        <v>61</v>
      </c>
      <c r="BF1180" t="s">
        <v>61</v>
      </c>
    </row>
    <row r="1181" spans="1:58">
      <c r="A1181" t="s">
        <v>58</v>
      </c>
      <c r="B1181" t="s">
        <v>9750</v>
      </c>
      <c r="C1181" t="s">
        <v>9751</v>
      </c>
      <c r="D1181" t="s">
        <v>4658</v>
      </c>
      <c r="E1181" t="s">
        <v>4659</v>
      </c>
      <c r="F1181">
        <v>1976</v>
      </c>
      <c r="G1181" t="s">
        <v>61</v>
      </c>
      <c r="H1181">
        <v>1</v>
      </c>
      <c r="I1181">
        <v>6</v>
      </c>
      <c r="J1181">
        <v>445</v>
      </c>
      <c r="K1181">
        <v>447</v>
      </c>
      <c r="L1181" t="s">
        <v>9752</v>
      </c>
      <c r="M1181" t="s">
        <v>9753</v>
      </c>
      <c r="N1181" t="s">
        <v>9754</v>
      </c>
      <c r="O1181" t="s">
        <v>61</v>
      </c>
      <c r="Q1181" t="s">
        <v>61</v>
      </c>
      <c r="R1181" t="s">
        <v>61</v>
      </c>
      <c r="S1181" t="s">
        <v>61</v>
      </c>
      <c r="T1181" t="s">
        <v>61</v>
      </c>
      <c r="X1181" t="s">
        <v>61</v>
      </c>
      <c r="Y1181" t="s">
        <v>486</v>
      </c>
      <c r="Z1181" t="s">
        <v>61</v>
      </c>
      <c r="AA1181" t="s">
        <v>61</v>
      </c>
      <c r="AB1181">
        <v>1977195159</v>
      </c>
      <c r="AC1181" t="s">
        <v>67</v>
      </c>
      <c r="AD1181" t="s">
        <v>61</v>
      </c>
      <c r="AE1181" t="s">
        <v>61</v>
      </c>
      <c r="AF1181" t="s">
        <v>61</v>
      </c>
      <c r="AG1181" t="s">
        <v>9755</v>
      </c>
      <c r="AH1181" t="s">
        <v>61</v>
      </c>
      <c r="AI1181" t="s">
        <v>61</v>
      </c>
      <c r="AJ1181" t="s">
        <v>61</v>
      </c>
      <c r="AK1181" t="s">
        <v>61</v>
      </c>
      <c r="AL1181" t="s">
        <v>61</v>
      </c>
      <c r="AM1181" t="s">
        <v>9756</v>
      </c>
      <c r="AN1181" t="s">
        <v>61</v>
      </c>
      <c r="AO1181" t="s">
        <v>61</v>
      </c>
      <c r="AP1181" t="s">
        <v>61</v>
      </c>
      <c r="AQ1181" t="s">
        <v>61</v>
      </c>
      <c r="AR1181" t="s">
        <v>61</v>
      </c>
      <c r="AS1181" t="s">
        <v>61</v>
      </c>
      <c r="AT1181" t="s">
        <v>61</v>
      </c>
      <c r="AU1181" t="s">
        <v>61</v>
      </c>
      <c r="AV1181" t="s">
        <v>61</v>
      </c>
      <c r="AW1181" t="s">
        <v>61</v>
      </c>
      <c r="AX1181" t="s">
        <v>61</v>
      </c>
      <c r="AY1181" t="s">
        <v>61</v>
      </c>
      <c r="AZ1181" t="s">
        <v>61</v>
      </c>
      <c r="BA1181" t="s">
        <v>61</v>
      </c>
      <c r="BB1181" t="s">
        <v>61</v>
      </c>
      <c r="BC1181" t="s">
        <v>61</v>
      </c>
      <c r="BD1181" t="s">
        <v>61</v>
      </c>
      <c r="BE1181" t="s">
        <v>61</v>
      </c>
      <c r="BF1181" t="s">
        <v>61</v>
      </c>
    </row>
    <row r="1182" spans="1:58">
      <c r="A1182" t="s">
        <v>58</v>
      </c>
      <c r="B1182" t="s">
        <v>9757</v>
      </c>
      <c r="C1182" t="s">
        <v>9758</v>
      </c>
      <c r="D1182" t="s">
        <v>9759</v>
      </c>
      <c r="E1182" t="s">
        <v>9760</v>
      </c>
      <c r="F1182">
        <v>2012</v>
      </c>
      <c r="G1182" t="s">
        <v>344</v>
      </c>
      <c r="H1182">
        <v>262</v>
      </c>
      <c r="I1182">
        <v>6</v>
      </c>
      <c r="J1182">
        <v>469</v>
      </c>
      <c r="K1182">
        <v>485</v>
      </c>
      <c r="L1182" t="s">
        <v>9761</v>
      </c>
      <c r="M1182" t="s">
        <v>9762</v>
      </c>
      <c r="N1182" t="s">
        <v>9763</v>
      </c>
      <c r="O1182" t="s">
        <v>61</v>
      </c>
      <c r="Q1182" t="s">
        <v>61</v>
      </c>
      <c r="R1182" t="s">
        <v>61</v>
      </c>
      <c r="S1182" t="s">
        <v>61</v>
      </c>
      <c r="T1182" t="s">
        <v>61</v>
      </c>
      <c r="X1182" t="s">
        <v>61</v>
      </c>
      <c r="Y1182" t="s">
        <v>9764</v>
      </c>
      <c r="Z1182" t="s">
        <v>61</v>
      </c>
      <c r="AA1182" t="s">
        <v>61</v>
      </c>
      <c r="AB1182">
        <v>2012577536</v>
      </c>
      <c r="AC1182" t="s">
        <v>67</v>
      </c>
      <c r="AD1182" t="s">
        <v>61</v>
      </c>
      <c r="AE1182" t="s">
        <v>61</v>
      </c>
      <c r="AF1182" t="s">
        <v>61</v>
      </c>
      <c r="AG1182" t="s">
        <v>9765</v>
      </c>
      <c r="AH1182" t="s">
        <v>61</v>
      </c>
      <c r="AI1182" t="s">
        <v>61</v>
      </c>
      <c r="AJ1182" t="s">
        <v>61</v>
      </c>
      <c r="AK1182" t="s">
        <v>61</v>
      </c>
      <c r="AL1182" t="s">
        <v>61</v>
      </c>
      <c r="AM1182" t="s">
        <v>9766</v>
      </c>
      <c r="AN1182" t="s">
        <v>61</v>
      </c>
      <c r="AO1182" t="s">
        <v>61</v>
      </c>
      <c r="AP1182" t="s">
        <v>61</v>
      </c>
      <c r="AQ1182" t="s">
        <v>61</v>
      </c>
      <c r="AR1182" t="s">
        <v>61</v>
      </c>
      <c r="AS1182" t="s">
        <v>61</v>
      </c>
      <c r="AT1182" t="s">
        <v>61</v>
      </c>
      <c r="AU1182" t="s">
        <v>61</v>
      </c>
      <c r="AV1182" t="s">
        <v>61</v>
      </c>
      <c r="AW1182" t="s">
        <v>61</v>
      </c>
      <c r="AX1182" t="s">
        <v>61</v>
      </c>
      <c r="AY1182" t="s">
        <v>61</v>
      </c>
      <c r="AZ1182" t="s">
        <v>61</v>
      </c>
      <c r="BA1182" t="s">
        <v>61</v>
      </c>
      <c r="BB1182" t="s">
        <v>61</v>
      </c>
      <c r="BC1182" t="s">
        <v>61</v>
      </c>
      <c r="BD1182" t="s">
        <v>61</v>
      </c>
      <c r="BE1182" t="s">
        <v>61</v>
      </c>
      <c r="BF1182" t="s">
        <v>61</v>
      </c>
    </row>
    <row r="1183" spans="1:58">
      <c r="A1183" t="s">
        <v>58</v>
      </c>
      <c r="B1183" t="s">
        <v>9767</v>
      </c>
      <c r="C1183" t="s">
        <v>9768</v>
      </c>
      <c r="D1183" t="s">
        <v>188</v>
      </c>
      <c r="E1183" t="s">
        <v>61</v>
      </c>
      <c r="F1183">
        <v>1997</v>
      </c>
      <c r="G1183" t="s">
        <v>363</v>
      </c>
      <c r="H1183">
        <v>13</v>
      </c>
      <c r="I1183">
        <v>1</v>
      </c>
      <c r="J1183">
        <v>27</v>
      </c>
      <c r="K1183">
        <v>31</v>
      </c>
      <c r="L1183" t="s">
        <v>9769</v>
      </c>
      <c r="M1183" t="s">
        <v>9770</v>
      </c>
      <c r="N1183" t="s">
        <v>9771</v>
      </c>
      <c r="O1183" t="s">
        <v>61</v>
      </c>
      <c r="Q1183" t="s">
        <v>61</v>
      </c>
      <c r="R1183" t="s">
        <v>61</v>
      </c>
      <c r="S1183" t="s">
        <v>61</v>
      </c>
      <c r="T1183" t="s">
        <v>61</v>
      </c>
      <c r="X1183" t="s">
        <v>61</v>
      </c>
      <c r="Y1183" t="s">
        <v>192</v>
      </c>
      <c r="Z1183" t="s">
        <v>61</v>
      </c>
      <c r="AA1183" t="s">
        <v>61</v>
      </c>
      <c r="AB1183">
        <v>1997080323</v>
      </c>
      <c r="AC1183" t="s">
        <v>67</v>
      </c>
      <c r="AD1183" t="s">
        <v>61</v>
      </c>
      <c r="AE1183" t="s">
        <v>61</v>
      </c>
      <c r="AF1183" t="s">
        <v>61</v>
      </c>
      <c r="AG1183" t="s">
        <v>61</v>
      </c>
      <c r="AH1183" t="s">
        <v>61</v>
      </c>
      <c r="AI1183" t="s">
        <v>61</v>
      </c>
      <c r="AJ1183" t="s">
        <v>61</v>
      </c>
      <c r="AK1183" t="s">
        <v>61</v>
      </c>
      <c r="AL1183" t="s">
        <v>61</v>
      </c>
      <c r="AM1183" t="s">
        <v>9768</v>
      </c>
      <c r="AN1183" t="s">
        <v>61</v>
      </c>
      <c r="AO1183" t="s">
        <v>61</v>
      </c>
      <c r="AP1183" t="s">
        <v>61</v>
      </c>
      <c r="AQ1183" t="s">
        <v>61</v>
      </c>
      <c r="AR1183" t="s">
        <v>61</v>
      </c>
      <c r="AS1183" t="s">
        <v>61</v>
      </c>
      <c r="AT1183" t="s">
        <v>61</v>
      </c>
      <c r="AU1183" t="s">
        <v>61</v>
      </c>
      <c r="AV1183" t="s">
        <v>61</v>
      </c>
      <c r="AW1183" t="s">
        <v>61</v>
      </c>
      <c r="AX1183" t="s">
        <v>61</v>
      </c>
      <c r="AY1183" t="s">
        <v>61</v>
      </c>
      <c r="AZ1183" t="s">
        <v>61</v>
      </c>
      <c r="BA1183" t="s">
        <v>61</v>
      </c>
      <c r="BB1183" t="s">
        <v>61</v>
      </c>
      <c r="BC1183" t="s">
        <v>61</v>
      </c>
      <c r="BD1183" t="s">
        <v>61</v>
      </c>
      <c r="BE1183" t="s">
        <v>61</v>
      </c>
      <c r="BF1183" t="s">
        <v>61</v>
      </c>
    </row>
    <row r="1184" spans="1:58">
      <c r="A1184" t="s">
        <v>58</v>
      </c>
      <c r="B1184" t="s">
        <v>9772</v>
      </c>
      <c r="C1184" t="s">
        <v>9773</v>
      </c>
      <c r="D1184" t="s">
        <v>1739</v>
      </c>
      <c r="E1184" t="s">
        <v>1740</v>
      </c>
      <c r="F1184">
        <v>1982</v>
      </c>
      <c r="G1184" t="s">
        <v>61</v>
      </c>
      <c r="H1184">
        <v>39</v>
      </c>
      <c r="I1184">
        <v>5</v>
      </c>
      <c r="J1184">
        <v>851</v>
      </c>
      <c r="K1184">
        <v>852</v>
      </c>
      <c r="L1184" t="s">
        <v>9774</v>
      </c>
      <c r="M1184" t="s">
        <v>9775</v>
      </c>
      <c r="N1184" t="s">
        <v>9776</v>
      </c>
      <c r="O1184" t="s">
        <v>61</v>
      </c>
      <c r="Q1184" t="s">
        <v>61</v>
      </c>
      <c r="R1184" t="s">
        <v>61</v>
      </c>
      <c r="S1184" t="s">
        <v>61</v>
      </c>
      <c r="T1184" t="s">
        <v>61</v>
      </c>
      <c r="X1184" t="s">
        <v>61</v>
      </c>
      <c r="Y1184" s="2">
        <v>2698811</v>
      </c>
      <c r="Z1184" t="s">
        <v>61</v>
      </c>
      <c r="AA1184" t="s">
        <v>61</v>
      </c>
      <c r="AB1184">
        <v>1982220113</v>
      </c>
      <c r="AC1184" t="s">
        <v>67</v>
      </c>
      <c r="AD1184" t="s">
        <v>61</v>
      </c>
      <c r="AE1184" t="s">
        <v>61</v>
      </c>
      <c r="AF1184" t="s">
        <v>61</v>
      </c>
      <c r="AG1184" t="s">
        <v>9777</v>
      </c>
      <c r="AH1184" t="s">
        <v>61</v>
      </c>
      <c r="AI1184" t="s">
        <v>61</v>
      </c>
      <c r="AJ1184" t="s">
        <v>61</v>
      </c>
      <c r="AK1184" t="s">
        <v>61</v>
      </c>
      <c r="AL1184" t="s">
        <v>61</v>
      </c>
      <c r="AM1184" t="s">
        <v>9778</v>
      </c>
      <c r="AN1184" t="s">
        <v>61</v>
      </c>
      <c r="AO1184" t="s">
        <v>61</v>
      </c>
      <c r="AP1184" t="s">
        <v>61</v>
      </c>
      <c r="AQ1184" t="s">
        <v>61</v>
      </c>
      <c r="AR1184" t="s">
        <v>61</v>
      </c>
      <c r="AS1184" t="s">
        <v>61</v>
      </c>
      <c r="AT1184" t="s">
        <v>61</v>
      </c>
      <c r="AU1184" t="s">
        <v>61</v>
      </c>
      <c r="AV1184" t="s">
        <v>61</v>
      </c>
      <c r="AW1184" t="s">
        <v>61</v>
      </c>
      <c r="AX1184" t="s">
        <v>61</v>
      </c>
      <c r="AY1184" t="s">
        <v>61</v>
      </c>
      <c r="AZ1184" t="s">
        <v>61</v>
      </c>
      <c r="BA1184" t="s">
        <v>61</v>
      </c>
      <c r="BB1184" t="s">
        <v>61</v>
      </c>
      <c r="BC1184" t="s">
        <v>61</v>
      </c>
      <c r="BD1184" t="s">
        <v>61</v>
      </c>
      <c r="BE1184" t="s">
        <v>61</v>
      </c>
      <c r="BF1184" t="s">
        <v>61</v>
      </c>
    </row>
    <row r="1185" spans="1:58">
      <c r="A1185" t="s">
        <v>58</v>
      </c>
      <c r="B1185" t="s">
        <v>9779</v>
      </c>
      <c r="C1185" t="s">
        <v>9780</v>
      </c>
      <c r="D1185" t="s">
        <v>5500</v>
      </c>
      <c r="E1185" t="s">
        <v>61</v>
      </c>
      <c r="F1185">
        <v>2015</v>
      </c>
      <c r="G1185" t="s">
        <v>61</v>
      </c>
      <c r="H1185">
        <v>10</v>
      </c>
      <c r="I1185">
        <v>4</v>
      </c>
      <c r="J1185" t="s">
        <v>9781</v>
      </c>
      <c r="K1185" t="s">
        <v>61</v>
      </c>
      <c r="L1185" t="s">
        <v>9782</v>
      </c>
      <c r="M1185" t="s">
        <v>9783</v>
      </c>
      <c r="N1185" t="s">
        <v>9784</v>
      </c>
      <c r="O1185" t="s">
        <v>61</v>
      </c>
      <c r="Q1185" t="s">
        <v>61</v>
      </c>
      <c r="R1185" t="s">
        <v>61</v>
      </c>
      <c r="S1185" t="s">
        <v>61</v>
      </c>
      <c r="T1185" t="s">
        <v>61</v>
      </c>
      <c r="X1185" t="s">
        <v>61</v>
      </c>
      <c r="Y1185" t="s">
        <v>5505</v>
      </c>
      <c r="Z1185" t="s">
        <v>61</v>
      </c>
      <c r="AA1185" t="s">
        <v>9785</v>
      </c>
      <c r="AB1185">
        <v>25893240</v>
      </c>
      <c r="AC1185" t="s">
        <v>67</v>
      </c>
      <c r="AD1185" t="s">
        <v>61</v>
      </c>
      <c r="AE1185" t="s">
        <v>61</v>
      </c>
      <c r="AF1185" t="s">
        <v>61</v>
      </c>
      <c r="AG1185" t="s">
        <v>9786</v>
      </c>
      <c r="AH1185" t="s">
        <v>61</v>
      </c>
      <c r="AI1185" t="s">
        <v>9787</v>
      </c>
      <c r="AJ1185" t="s">
        <v>61</v>
      </c>
      <c r="AK1185" t="s">
        <v>61</v>
      </c>
      <c r="AL1185" t="s">
        <v>61</v>
      </c>
      <c r="AM1185" t="s">
        <v>9788</v>
      </c>
      <c r="AN1185" t="s">
        <v>61</v>
      </c>
      <c r="AO1185" t="s">
        <v>61</v>
      </c>
      <c r="AP1185" t="s">
        <v>61</v>
      </c>
      <c r="AQ1185" t="s">
        <v>61</v>
      </c>
      <c r="AR1185" t="s">
        <v>61</v>
      </c>
      <c r="AS1185" t="s">
        <v>61</v>
      </c>
      <c r="AT1185" t="s">
        <v>61</v>
      </c>
      <c r="AU1185" t="s">
        <v>61</v>
      </c>
      <c r="AV1185" t="s">
        <v>61</v>
      </c>
      <c r="AW1185" t="s">
        <v>61</v>
      </c>
      <c r="AX1185" t="s">
        <v>61</v>
      </c>
      <c r="AY1185" t="s">
        <v>61</v>
      </c>
      <c r="AZ1185" t="s">
        <v>61</v>
      </c>
      <c r="BA1185" t="s">
        <v>61</v>
      </c>
      <c r="BB1185" t="s">
        <v>61</v>
      </c>
      <c r="BC1185" t="s">
        <v>61</v>
      </c>
      <c r="BD1185" t="s">
        <v>61</v>
      </c>
      <c r="BE1185" t="s">
        <v>61</v>
      </c>
      <c r="BF1185" t="s">
        <v>61</v>
      </c>
    </row>
    <row r="1186" spans="1:58">
      <c r="A1186" t="s">
        <v>58</v>
      </c>
      <c r="B1186" t="s">
        <v>9789</v>
      </c>
      <c r="C1186" t="s">
        <v>9790</v>
      </c>
      <c r="D1186" t="s">
        <v>428</v>
      </c>
      <c r="E1186" t="s">
        <v>61</v>
      </c>
      <c r="F1186">
        <v>2013</v>
      </c>
      <c r="G1186" t="s">
        <v>457</v>
      </c>
      <c r="H1186">
        <v>26</v>
      </c>
      <c r="I1186">
        <v>3</v>
      </c>
      <c r="J1186">
        <v>321</v>
      </c>
      <c r="K1186" t="s">
        <v>61</v>
      </c>
      <c r="L1186" t="s">
        <v>9791</v>
      </c>
      <c r="M1186" t="s">
        <v>9792</v>
      </c>
      <c r="N1186" t="s">
        <v>9793</v>
      </c>
      <c r="O1186" t="s">
        <v>61</v>
      </c>
      <c r="Q1186" t="s">
        <v>61</v>
      </c>
      <c r="R1186" t="s">
        <v>61</v>
      </c>
      <c r="S1186" t="s">
        <v>61</v>
      </c>
      <c r="T1186" t="s">
        <v>61</v>
      </c>
      <c r="X1186" t="s">
        <v>61</v>
      </c>
      <c r="Y1186" t="s">
        <v>433</v>
      </c>
      <c r="Z1186" t="s">
        <v>61</v>
      </c>
      <c r="AA1186" t="s">
        <v>61</v>
      </c>
      <c r="AB1186" t="s">
        <v>61</v>
      </c>
      <c r="AC1186" t="s">
        <v>67</v>
      </c>
      <c r="AD1186" t="s">
        <v>61</v>
      </c>
      <c r="AE1186" t="s">
        <v>61</v>
      </c>
      <c r="AF1186" t="s">
        <v>61</v>
      </c>
      <c r="AG1186" t="s">
        <v>61</v>
      </c>
      <c r="AH1186" t="s">
        <v>61</v>
      </c>
      <c r="AI1186" t="s">
        <v>61</v>
      </c>
      <c r="AJ1186" t="s">
        <v>61</v>
      </c>
      <c r="AK1186" t="s">
        <v>61</v>
      </c>
      <c r="AL1186" t="s">
        <v>61</v>
      </c>
      <c r="AM1186" t="s">
        <v>9790</v>
      </c>
      <c r="AN1186" t="s">
        <v>61</v>
      </c>
      <c r="AO1186" t="s">
        <v>61</v>
      </c>
      <c r="AP1186" t="s">
        <v>61</v>
      </c>
      <c r="AQ1186" t="s">
        <v>61</v>
      </c>
      <c r="AR1186" t="s">
        <v>61</v>
      </c>
      <c r="AS1186" t="s">
        <v>61</v>
      </c>
      <c r="AT1186" t="s">
        <v>61</v>
      </c>
      <c r="AU1186" t="s">
        <v>61</v>
      </c>
      <c r="AV1186" t="s">
        <v>61</v>
      </c>
      <c r="AW1186" t="s">
        <v>61</v>
      </c>
      <c r="AX1186" t="s">
        <v>61</v>
      </c>
      <c r="AY1186" t="s">
        <v>61</v>
      </c>
      <c r="AZ1186" t="s">
        <v>61</v>
      </c>
      <c r="BA1186" t="s">
        <v>61</v>
      </c>
      <c r="BB1186" t="s">
        <v>61</v>
      </c>
      <c r="BC1186" t="s">
        <v>61</v>
      </c>
      <c r="BD1186" t="s">
        <v>61</v>
      </c>
      <c r="BE1186" t="s">
        <v>61</v>
      </c>
      <c r="BF1186" t="s">
        <v>61</v>
      </c>
    </row>
    <row r="1187" spans="1:58">
      <c r="A1187" t="s">
        <v>58</v>
      </c>
      <c r="B1187" t="s">
        <v>9794</v>
      </c>
      <c r="C1187" t="s">
        <v>9795</v>
      </c>
      <c r="D1187" t="s">
        <v>60</v>
      </c>
      <c r="E1187" t="s">
        <v>61</v>
      </c>
      <c r="F1187">
        <v>1995</v>
      </c>
      <c r="G1187" s="1">
        <v>42401</v>
      </c>
      <c r="H1187">
        <v>52</v>
      </c>
      <c r="I1187">
        <v>3</v>
      </c>
      <c r="J1187">
        <v>302</v>
      </c>
      <c r="K1187">
        <v>309</v>
      </c>
      <c r="L1187" t="s">
        <v>9796</v>
      </c>
      <c r="M1187" t="s">
        <v>9797</v>
      </c>
      <c r="N1187" t="s">
        <v>9798</v>
      </c>
      <c r="O1187" t="s">
        <v>61</v>
      </c>
      <c r="Q1187" t="s">
        <v>61</v>
      </c>
      <c r="R1187" t="s">
        <v>61</v>
      </c>
      <c r="S1187" t="s">
        <v>61</v>
      </c>
      <c r="T1187" t="s">
        <v>61</v>
      </c>
      <c r="X1187" t="s">
        <v>61</v>
      </c>
      <c r="Y1187" t="s">
        <v>66</v>
      </c>
      <c r="Z1187" t="s">
        <v>61</v>
      </c>
      <c r="AA1187" t="s">
        <v>9799</v>
      </c>
      <c r="AB1187">
        <v>7749959</v>
      </c>
      <c r="AC1187" t="s">
        <v>67</v>
      </c>
      <c r="AD1187" t="s">
        <v>61</v>
      </c>
      <c r="AE1187" t="s">
        <v>61</v>
      </c>
      <c r="AF1187" t="s">
        <v>61</v>
      </c>
      <c r="AG1187" t="s">
        <v>9800</v>
      </c>
      <c r="AH1187" t="s">
        <v>61</v>
      </c>
      <c r="AI1187" t="s">
        <v>61</v>
      </c>
      <c r="AJ1187" t="s">
        <v>61</v>
      </c>
      <c r="AK1187" t="s">
        <v>61</v>
      </c>
      <c r="AL1187" t="s">
        <v>61</v>
      </c>
      <c r="AM1187" t="s">
        <v>9801</v>
      </c>
      <c r="AN1187" t="s">
        <v>61</v>
      </c>
      <c r="AO1187" t="s">
        <v>61</v>
      </c>
      <c r="AP1187" t="s">
        <v>61</v>
      </c>
      <c r="AQ1187" t="s">
        <v>61</v>
      </c>
      <c r="AR1187" t="s">
        <v>61</v>
      </c>
      <c r="AS1187" t="s">
        <v>61</v>
      </c>
      <c r="AT1187" t="s">
        <v>61</v>
      </c>
      <c r="AU1187" t="s">
        <v>61</v>
      </c>
      <c r="AV1187" t="s">
        <v>61</v>
      </c>
      <c r="AW1187" t="s">
        <v>61</v>
      </c>
      <c r="AX1187" t="s">
        <v>61</v>
      </c>
      <c r="AY1187" t="s">
        <v>61</v>
      </c>
      <c r="AZ1187" t="s">
        <v>61</v>
      </c>
      <c r="BA1187" t="s">
        <v>61</v>
      </c>
      <c r="BB1187" t="s">
        <v>61</v>
      </c>
      <c r="BC1187" t="s">
        <v>61</v>
      </c>
      <c r="BD1187" t="s">
        <v>61</v>
      </c>
      <c r="BE1187" t="s">
        <v>61</v>
      </c>
      <c r="BF1187" t="s">
        <v>61</v>
      </c>
    </row>
    <row r="1188" spans="1:58">
      <c r="A1188" t="s">
        <v>58</v>
      </c>
      <c r="B1188" t="s">
        <v>9802</v>
      </c>
      <c r="C1188" t="s">
        <v>9803</v>
      </c>
      <c r="D1188" t="s">
        <v>428</v>
      </c>
      <c r="E1188" t="s">
        <v>61</v>
      </c>
      <c r="F1188">
        <v>2010</v>
      </c>
      <c r="G1188" t="s">
        <v>429</v>
      </c>
      <c r="H1188">
        <v>23</v>
      </c>
      <c r="I1188">
        <v>2</v>
      </c>
      <c r="J1188">
        <v>186</v>
      </c>
      <c r="K1188" t="s">
        <v>61</v>
      </c>
      <c r="L1188" t="s">
        <v>9804</v>
      </c>
      <c r="M1188" t="s">
        <v>9805</v>
      </c>
      <c r="N1188" t="s">
        <v>9806</v>
      </c>
      <c r="O1188" t="s">
        <v>61</v>
      </c>
      <c r="Q1188" t="s">
        <v>61</v>
      </c>
      <c r="R1188" t="s">
        <v>61</v>
      </c>
      <c r="S1188" t="s">
        <v>61</v>
      </c>
      <c r="T1188" t="s">
        <v>61</v>
      </c>
      <c r="X1188" t="s">
        <v>61</v>
      </c>
      <c r="Y1188" t="s">
        <v>433</v>
      </c>
      <c r="Z1188" t="s">
        <v>61</v>
      </c>
      <c r="AA1188" t="s">
        <v>61</v>
      </c>
      <c r="AB1188" t="s">
        <v>61</v>
      </c>
      <c r="AC1188" t="s">
        <v>67</v>
      </c>
      <c r="AD1188" t="s">
        <v>61</v>
      </c>
      <c r="AE1188" t="s">
        <v>61</v>
      </c>
      <c r="AF1188" t="s">
        <v>61</v>
      </c>
      <c r="AG1188" t="s">
        <v>61</v>
      </c>
      <c r="AH1188" t="s">
        <v>61</v>
      </c>
      <c r="AI1188" t="s">
        <v>61</v>
      </c>
      <c r="AJ1188" t="s">
        <v>61</v>
      </c>
      <c r="AK1188" t="s">
        <v>61</v>
      </c>
      <c r="AL1188" t="s">
        <v>61</v>
      </c>
      <c r="AM1188" t="s">
        <v>9803</v>
      </c>
      <c r="AN1188" t="s">
        <v>61</v>
      </c>
      <c r="AO1188" t="s">
        <v>61</v>
      </c>
      <c r="AP1188" t="s">
        <v>61</v>
      </c>
      <c r="AQ1188" t="s">
        <v>61</v>
      </c>
      <c r="AR1188" t="s">
        <v>61</v>
      </c>
      <c r="AS1188" t="s">
        <v>61</v>
      </c>
      <c r="AT1188" t="s">
        <v>61</v>
      </c>
      <c r="AU1188" t="s">
        <v>61</v>
      </c>
      <c r="AV1188" t="s">
        <v>61</v>
      </c>
      <c r="AW1188" t="s">
        <v>61</v>
      </c>
      <c r="AX1188" t="s">
        <v>61</v>
      </c>
      <c r="AY1188" t="s">
        <v>61</v>
      </c>
      <c r="AZ1188" t="s">
        <v>61</v>
      </c>
      <c r="BA1188" t="s">
        <v>61</v>
      </c>
      <c r="BB1188" t="s">
        <v>61</v>
      </c>
      <c r="BC1188" t="s">
        <v>61</v>
      </c>
      <c r="BD1188" t="s">
        <v>61</v>
      </c>
      <c r="BE1188" t="s">
        <v>61</v>
      </c>
      <c r="BF1188" t="s">
        <v>61</v>
      </c>
    </row>
    <row r="1189" spans="1:58">
      <c r="A1189" t="s">
        <v>58</v>
      </c>
      <c r="B1189" t="s">
        <v>9807</v>
      </c>
      <c r="C1189" t="s">
        <v>9808</v>
      </c>
      <c r="D1189" t="s">
        <v>428</v>
      </c>
      <c r="E1189" t="s">
        <v>61</v>
      </c>
      <c r="F1189">
        <v>2011</v>
      </c>
      <c r="G1189" t="s">
        <v>429</v>
      </c>
      <c r="H1189">
        <v>24</v>
      </c>
      <c r="I1189">
        <v>2</v>
      </c>
      <c r="J1189">
        <v>282</v>
      </c>
      <c r="K1189" t="s">
        <v>61</v>
      </c>
      <c r="L1189" t="s">
        <v>9809</v>
      </c>
      <c r="M1189" t="s">
        <v>9810</v>
      </c>
      <c r="N1189" t="s">
        <v>9811</v>
      </c>
      <c r="O1189" t="s">
        <v>61</v>
      </c>
      <c r="Q1189" t="s">
        <v>61</v>
      </c>
      <c r="R1189" t="s">
        <v>61</v>
      </c>
      <c r="S1189" t="s">
        <v>61</v>
      </c>
      <c r="T1189" t="s">
        <v>61</v>
      </c>
      <c r="X1189" t="s">
        <v>61</v>
      </c>
      <c r="Y1189" t="s">
        <v>433</v>
      </c>
      <c r="Z1189" t="s">
        <v>61</v>
      </c>
      <c r="AA1189" t="s">
        <v>61</v>
      </c>
      <c r="AB1189" t="s">
        <v>61</v>
      </c>
      <c r="AC1189" t="s">
        <v>67</v>
      </c>
      <c r="AD1189" t="s">
        <v>61</v>
      </c>
      <c r="AE1189" t="s">
        <v>61</v>
      </c>
      <c r="AF1189" t="s">
        <v>61</v>
      </c>
      <c r="AG1189" t="s">
        <v>61</v>
      </c>
      <c r="AH1189" t="s">
        <v>61</v>
      </c>
      <c r="AI1189" t="s">
        <v>61</v>
      </c>
      <c r="AJ1189" t="s">
        <v>61</v>
      </c>
      <c r="AK1189" t="s">
        <v>61</v>
      </c>
      <c r="AL1189" t="s">
        <v>61</v>
      </c>
      <c r="AM1189" t="s">
        <v>9808</v>
      </c>
      <c r="AN1189" t="s">
        <v>61</v>
      </c>
      <c r="AO1189" t="s">
        <v>61</v>
      </c>
      <c r="AP1189" t="s">
        <v>61</v>
      </c>
      <c r="AQ1189" t="s">
        <v>61</v>
      </c>
      <c r="AR1189" t="s">
        <v>61</v>
      </c>
      <c r="AS1189" t="s">
        <v>61</v>
      </c>
      <c r="AT1189" t="s">
        <v>61</v>
      </c>
      <c r="AU1189" t="s">
        <v>61</v>
      </c>
      <c r="AV1189" t="s">
        <v>61</v>
      </c>
      <c r="AW1189" t="s">
        <v>61</v>
      </c>
      <c r="AX1189" t="s">
        <v>61</v>
      </c>
      <c r="AY1189" t="s">
        <v>61</v>
      </c>
      <c r="AZ1189" t="s">
        <v>61</v>
      </c>
      <c r="BA1189" t="s">
        <v>61</v>
      </c>
      <c r="BB1189" t="s">
        <v>61</v>
      </c>
      <c r="BC1189" t="s">
        <v>61</v>
      </c>
      <c r="BD1189" t="s">
        <v>61</v>
      </c>
      <c r="BE1189" t="s">
        <v>61</v>
      </c>
      <c r="BF1189" t="s">
        <v>61</v>
      </c>
    </row>
    <row r="1190" spans="1:58">
      <c r="A1190" t="s">
        <v>58</v>
      </c>
      <c r="B1190" t="s">
        <v>9812</v>
      </c>
      <c r="C1190" t="s">
        <v>9813</v>
      </c>
      <c r="D1190" t="s">
        <v>627</v>
      </c>
      <c r="E1190" t="s">
        <v>61</v>
      </c>
      <c r="F1190">
        <v>2012</v>
      </c>
      <c r="G1190" t="s">
        <v>628</v>
      </c>
      <c r="H1190">
        <v>52</v>
      </c>
      <c r="I1190">
        <v>2</v>
      </c>
      <c r="J1190">
        <v>236</v>
      </c>
      <c r="K1190" t="s">
        <v>61</v>
      </c>
      <c r="L1190" t="s">
        <v>9814</v>
      </c>
      <c r="M1190" t="s">
        <v>9815</v>
      </c>
      <c r="N1190" t="s">
        <v>9816</v>
      </c>
      <c r="O1190" t="s">
        <v>61</v>
      </c>
      <c r="Q1190" t="s">
        <v>61</v>
      </c>
      <c r="R1190" t="s">
        <v>61</v>
      </c>
      <c r="S1190" t="s">
        <v>61</v>
      </c>
      <c r="T1190" t="s">
        <v>61</v>
      </c>
      <c r="X1190" t="s">
        <v>61</v>
      </c>
      <c r="Y1190" t="s">
        <v>632</v>
      </c>
      <c r="Z1190" t="s">
        <v>61</v>
      </c>
      <c r="AA1190" t="s">
        <v>61</v>
      </c>
      <c r="AB1190" t="s">
        <v>61</v>
      </c>
      <c r="AC1190" t="s">
        <v>67</v>
      </c>
      <c r="AD1190" t="s">
        <v>61</v>
      </c>
      <c r="AE1190" t="s">
        <v>61</v>
      </c>
      <c r="AF1190" t="s">
        <v>61</v>
      </c>
      <c r="AG1190" t="s">
        <v>61</v>
      </c>
      <c r="AH1190" t="s">
        <v>61</v>
      </c>
      <c r="AI1190" t="s">
        <v>61</v>
      </c>
      <c r="AJ1190" t="s">
        <v>61</v>
      </c>
      <c r="AK1190" t="s">
        <v>61</v>
      </c>
      <c r="AL1190" t="s">
        <v>61</v>
      </c>
      <c r="AM1190" t="s">
        <v>9813</v>
      </c>
      <c r="AN1190" t="s">
        <v>61</v>
      </c>
      <c r="AO1190" t="s">
        <v>61</v>
      </c>
      <c r="AP1190" t="s">
        <v>61</v>
      </c>
      <c r="AQ1190" t="s">
        <v>61</v>
      </c>
      <c r="AR1190" t="s">
        <v>61</v>
      </c>
      <c r="AS1190" t="s">
        <v>61</v>
      </c>
      <c r="AT1190" t="s">
        <v>61</v>
      </c>
      <c r="AU1190" t="s">
        <v>61</v>
      </c>
      <c r="AV1190" t="s">
        <v>61</v>
      </c>
      <c r="AW1190" t="s">
        <v>61</v>
      </c>
      <c r="AX1190" t="s">
        <v>61</v>
      </c>
      <c r="AY1190" t="s">
        <v>61</v>
      </c>
      <c r="AZ1190" t="s">
        <v>61</v>
      </c>
      <c r="BA1190" t="s">
        <v>61</v>
      </c>
      <c r="BB1190" t="s">
        <v>61</v>
      </c>
      <c r="BC1190" t="s">
        <v>61</v>
      </c>
      <c r="BD1190" t="s">
        <v>61</v>
      </c>
      <c r="BE1190" t="s">
        <v>61</v>
      </c>
      <c r="BF1190" t="s">
        <v>61</v>
      </c>
    </row>
    <row r="1191" spans="1:58">
      <c r="A1191" t="s">
        <v>58</v>
      </c>
      <c r="B1191" t="s">
        <v>9817</v>
      </c>
      <c r="C1191" t="s">
        <v>9818</v>
      </c>
      <c r="D1191" t="s">
        <v>9819</v>
      </c>
      <c r="E1191" t="s">
        <v>61</v>
      </c>
      <c r="F1191">
        <v>2014</v>
      </c>
      <c r="G1191" t="s">
        <v>61</v>
      </c>
      <c r="H1191">
        <v>87</v>
      </c>
      <c r="I1191">
        <v>2</v>
      </c>
      <c r="J1191">
        <v>119</v>
      </c>
      <c r="K1191">
        <v>129</v>
      </c>
      <c r="L1191" t="s">
        <v>61</v>
      </c>
      <c r="M1191" t="s">
        <v>9820</v>
      </c>
      <c r="N1191" t="s">
        <v>9821</v>
      </c>
      <c r="O1191" t="s">
        <v>61</v>
      </c>
      <c r="Q1191" t="s">
        <v>61</v>
      </c>
      <c r="R1191" t="s">
        <v>61</v>
      </c>
      <c r="S1191" t="s">
        <v>61</v>
      </c>
      <c r="T1191" t="s">
        <v>61</v>
      </c>
      <c r="X1191" t="s">
        <v>61</v>
      </c>
      <c r="Y1191" t="s">
        <v>9822</v>
      </c>
      <c r="Z1191" t="s">
        <v>61</v>
      </c>
      <c r="AA1191" t="s">
        <v>9823</v>
      </c>
      <c r="AB1191">
        <v>26528011</v>
      </c>
      <c r="AC1191" t="s">
        <v>67</v>
      </c>
      <c r="AD1191" t="s">
        <v>61</v>
      </c>
      <c r="AE1191" t="s">
        <v>61</v>
      </c>
      <c r="AF1191" t="s">
        <v>61</v>
      </c>
      <c r="AG1191" t="s">
        <v>9824</v>
      </c>
      <c r="AH1191" t="s">
        <v>61</v>
      </c>
      <c r="AI1191" t="s">
        <v>9825</v>
      </c>
      <c r="AJ1191" t="s">
        <v>61</v>
      </c>
      <c r="AK1191" t="s">
        <v>61</v>
      </c>
      <c r="AL1191" t="s">
        <v>61</v>
      </c>
      <c r="AM1191" t="s">
        <v>9826</v>
      </c>
      <c r="AN1191" t="s">
        <v>61</v>
      </c>
      <c r="AO1191" t="s">
        <v>61</v>
      </c>
      <c r="AP1191" t="s">
        <v>61</v>
      </c>
      <c r="AQ1191" t="s">
        <v>61</v>
      </c>
      <c r="AR1191" t="s">
        <v>61</v>
      </c>
      <c r="AS1191" t="s">
        <v>61</v>
      </c>
      <c r="AT1191" t="s">
        <v>61</v>
      </c>
      <c r="AU1191" t="s">
        <v>61</v>
      </c>
      <c r="AV1191" t="s">
        <v>61</v>
      </c>
      <c r="AW1191" t="s">
        <v>61</v>
      </c>
      <c r="AX1191" t="s">
        <v>61</v>
      </c>
      <c r="AY1191" t="s">
        <v>61</v>
      </c>
      <c r="AZ1191" t="s">
        <v>61</v>
      </c>
      <c r="BA1191" t="s">
        <v>61</v>
      </c>
      <c r="BB1191" t="s">
        <v>61</v>
      </c>
      <c r="BC1191" t="s">
        <v>61</v>
      </c>
      <c r="BD1191" t="s">
        <v>61</v>
      </c>
      <c r="BE1191" t="s">
        <v>61</v>
      </c>
      <c r="BF1191" t="s">
        <v>61</v>
      </c>
    </row>
    <row r="1192" spans="1:58">
      <c r="A1192" t="s">
        <v>58</v>
      </c>
      <c r="B1192" t="s">
        <v>9827</v>
      </c>
      <c r="C1192" t="s">
        <v>9828</v>
      </c>
      <c r="D1192" t="s">
        <v>1845</v>
      </c>
      <c r="E1192" t="s">
        <v>61</v>
      </c>
      <c r="F1192">
        <v>2008</v>
      </c>
      <c r="G1192" t="s">
        <v>1152</v>
      </c>
      <c r="H1192">
        <v>14</v>
      </c>
      <c r="I1192">
        <v>3</v>
      </c>
      <c r="J1192">
        <v>147</v>
      </c>
      <c r="K1192">
        <v>152</v>
      </c>
      <c r="L1192" t="s">
        <v>9829</v>
      </c>
      <c r="M1192" t="s">
        <v>9830</v>
      </c>
      <c r="N1192" t="s">
        <v>9831</v>
      </c>
      <c r="O1192" t="s">
        <v>61</v>
      </c>
      <c r="Q1192" t="s">
        <v>61</v>
      </c>
      <c r="R1192" t="s">
        <v>61</v>
      </c>
      <c r="S1192" t="s">
        <v>61</v>
      </c>
      <c r="T1192" t="s">
        <v>61</v>
      </c>
      <c r="X1192" t="s">
        <v>61</v>
      </c>
      <c r="Y1192" t="s">
        <v>1849</v>
      </c>
      <c r="Z1192" t="s">
        <v>61</v>
      </c>
      <c r="AA1192" t="s">
        <v>9832</v>
      </c>
      <c r="AB1192">
        <v>18719069</v>
      </c>
      <c r="AC1192" t="s">
        <v>67</v>
      </c>
      <c r="AD1192" t="s">
        <v>61</v>
      </c>
      <c r="AE1192" t="s">
        <v>61</v>
      </c>
      <c r="AF1192" t="s">
        <v>61</v>
      </c>
      <c r="AG1192" t="s">
        <v>9833</v>
      </c>
      <c r="AH1192" t="s">
        <v>61</v>
      </c>
      <c r="AI1192" t="s">
        <v>9834</v>
      </c>
      <c r="AJ1192" t="s">
        <v>61</v>
      </c>
      <c r="AK1192" t="s">
        <v>61</v>
      </c>
      <c r="AL1192" t="s">
        <v>61</v>
      </c>
      <c r="AM1192" t="s">
        <v>9835</v>
      </c>
      <c r="AN1192" t="s">
        <v>61</v>
      </c>
      <c r="AO1192" t="s">
        <v>61</v>
      </c>
      <c r="AP1192" t="s">
        <v>61</v>
      </c>
      <c r="AQ1192" t="s">
        <v>61</v>
      </c>
      <c r="AR1192" t="s">
        <v>61</v>
      </c>
      <c r="AS1192" t="s">
        <v>61</v>
      </c>
      <c r="AT1192" t="s">
        <v>61</v>
      </c>
      <c r="AU1192" t="s">
        <v>61</v>
      </c>
      <c r="AV1192" t="s">
        <v>61</v>
      </c>
      <c r="AW1192" t="s">
        <v>61</v>
      </c>
      <c r="AX1192" t="s">
        <v>61</v>
      </c>
      <c r="AY1192" t="s">
        <v>61</v>
      </c>
      <c r="AZ1192" t="s">
        <v>61</v>
      </c>
      <c r="BA1192" t="s">
        <v>61</v>
      </c>
      <c r="BB1192" t="s">
        <v>61</v>
      </c>
      <c r="BC1192" t="s">
        <v>61</v>
      </c>
      <c r="BD1192" t="s">
        <v>61</v>
      </c>
      <c r="BE1192" t="s">
        <v>61</v>
      </c>
      <c r="BF1192" t="s">
        <v>61</v>
      </c>
    </row>
    <row r="1193" spans="1:58">
      <c r="A1193" t="s">
        <v>58</v>
      </c>
      <c r="B1193" t="s">
        <v>9836</v>
      </c>
      <c r="C1193" t="s">
        <v>9837</v>
      </c>
      <c r="D1193" t="s">
        <v>9838</v>
      </c>
      <c r="E1193" t="s">
        <v>9839</v>
      </c>
      <c r="F1193">
        <v>2011</v>
      </c>
      <c r="G1193" t="s">
        <v>457</v>
      </c>
      <c r="H1193" t="s">
        <v>9840</v>
      </c>
      <c r="I1193" t="s">
        <v>61</v>
      </c>
      <c r="J1193">
        <v>199</v>
      </c>
      <c r="K1193" t="s">
        <v>61</v>
      </c>
      <c r="L1193" t="s">
        <v>9841</v>
      </c>
      <c r="M1193" t="s">
        <v>9842</v>
      </c>
      <c r="N1193" t="s">
        <v>9843</v>
      </c>
      <c r="O1193" t="s">
        <v>61</v>
      </c>
      <c r="Q1193" t="s">
        <v>61</v>
      </c>
      <c r="R1193" t="s">
        <v>61</v>
      </c>
      <c r="S1193" t="s">
        <v>61</v>
      </c>
      <c r="T1193" t="s">
        <v>61</v>
      </c>
      <c r="X1193" t="s">
        <v>61</v>
      </c>
      <c r="Y1193" t="s">
        <v>9844</v>
      </c>
      <c r="Z1193" t="s">
        <v>61</v>
      </c>
      <c r="AA1193" t="s">
        <v>61</v>
      </c>
      <c r="AB1193" t="s">
        <v>61</v>
      </c>
      <c r="AC1193" t="s">
        <v>67</v>
      </c>
      <c r="AD1193" t="s">
        <v>61</v>
      </c>
      <c r="AE1193" t="s">
        <v>61</v>
      </c>
      <c r="AF1193" t="s">
        <v>61</v>
      </c>
      <c r="AG1193" t="s">
        <v>61</v>
      </c>
      <c r="AH1193" t="s">
        <v>61</v>
      </c>
      <c r="AI1193" t="s">
        <v>61</v>
      </c>
      <c r="AJ1193" t="s">
        <v>61</v>
      </c>
      <c r="AK1193" t="s">
        <v>61</v>
      </c>
      <c r="AL1193" t="s">
        <v>61</v>
      </c>
      <c r="AM1193" t="s">
        <v>9837</v>
      </c>
      <c r="AN1193" t="s">
        <v>61</v>
      </c>
      <c r="AO1193" t="s">
        <v>61</v>
      </c>
      <c r="AP1193" t="s">
        <v>61</v>
      </c>
      <c r="AQ1193" t="s">
        <v>61</v>
      </c>
      <c r="AR1193" t="s">
        <v>61</v>
      </c>
      <c r="AS1193" t="s">
        <v>61</v>
      </c>
      <c r="AT1193" t="s">
        <v>61</v>
      </c>
      <c r="AU1193" t="s">
        <v>61</v>
      </c>
      <c r="AV1193" t="s">
        <v>61</v>
      </c>
      <c r="AW1193" t="s">
        <v>61</v>
      </c>
      <c r="AX1193" t="s">
        <v>61</v>
      </c>
      <c r="AY1193" t="s">
        <v>61</v>
      </c>
      <c r="AZ1193" t="s">
        <v>61</v>
      </c>
      <c r="BA1193" t="s">
        <v>61</v>
      </c>
      <c r="BB1193" t="s">
        <v>61</v>
      </c>
      <c r="BC1193" t="s">
        <v>61</v>
      </c>
      <c r="BD1193" t="s">
        <v>61</v>
      </c>
      <c r="BE1193" t="s">
        <v>61</v>
      </c>
      <c r="BF1193" t="s">
        <v>61</v>
      </c>
    </row>
    <row r="1194" spans="1:58">
      <c r="A1194" t="s">
        <v>58</v>
      </c>
      <c r="B1194" t="s">
        <v>9845</v>
      </c>
      <c r="C1194" t="s">
        <v>9846</v>
      </c>
      <c r="D1194" t="s">
        <v>1476</v>
      </c>
      <c r="E1194" t="s">
        <v>61</v>
      </c>
      <c r="F1194">
        <v>2012</v>
      </c>
      <c r="G1194">
        <v>14</v>
      </c>
      <c r="H1194">
        <v>289</v>
      </c>
      <c r="I1194">
        <v>7714</v>
      </c>
      <c r="J1194">
        <v>64</v>
      </c>
      <c r="K1194" t="s">
        <v>61</v>
      </c>
      <c r="L1194" t="s">
        <v>9847</v>
      </c>
      <c r="M1194" t="s">
        <v>61</v>
      </c>
      <c r="N1194" t="s">
        <v>9848</v>
      </c>
      <c r="O1194" t="s">
        <v>61</v>
      </c>
      <c r="Q1194" t="s">
        <v>61</v>
      </c>
      <c r="R1194" t="s">
        <v>61</v>
      </c>
      <c r="S1194" t="s">
        <v>61</v>
      </c>
      <c r="T1194" t="s">
        <v>61</v>
      </c>
      <c r="X1194" t="s">
        <v>61</v>
      </c>
      <c r="Y1194" t="s">
        <v>293</v>
      </c>
      <c r="Z1194" t="s">
        <v>61</v>
      </c>
      <c r="AA1194" t="s">
        <v>61</v>
      </c>
      <c r="AB1194">
        <v>2012456647</v>
      </c>
      <c r="AC1194" t="s">
        <v>67</v>
      </c>
      <c r="AD1194" t="s">
        <v>61</v>
      </c>
      <c r="AE1194" t="s">
        <v>61</v>
      </c>
      <c r="AF1194" t="s">
        <v>61</v>
      </c>
      <c r="AG1194" t="s">
        <v>61</v>
      </c>
      <c r="AH1194" t="s">
        <v>61</v>
      </c>
      <c r="AI1194" t="s">
        <v>61</v>
      </c>
      <c r="AJ1194" t="s">
        <v>61</v>
      </c>
      <c r="AK1194" t="s">
        <v>61</v>
      </c>
      <c r="AL1194" t="s">
        <v>61</v>
      </c>
      <c r="AM1194" t="s">
        <v>9846</v>
      </c>
      <c r="AN1194" t="s">
        <v>61</v>
      </c>
      <c r="AO1194" t="s">
        <v>61</v>
      </c>
      <c r="AP1194" t="s">
        <v>61</v>
      </c>
      <c r="AQ1194" t="s">
        <v>61</v>
      </c>
      <c r="AR1194" t="s">
        <v>61</v>
      </c>
      <c r="AS1194" t="s">
        <v>61</v>
      </c>
      <c r="AT1194" t="s">
        <v>61</v>
      </c>
      <c r="AU1194" t="s">
        <v>61</v>
      </c>
      <c r="AV1194" t="s">
        <v>61</v>
      </c>
      <c r="AW1194" t="s">
        <v>61</v>
      </c>
      <c r="AX1194" t="s">
        <v>61</v>
      </c>
      <c r="AY1194" t="s">
        <v>61</v>
      </c>
      <c r="AZ1194" t="s">
        <v>61</v>
      </c>
      <c r="BA1194" t="s">
        <v>61</v>
      </c>
      <c r="BB1194" t="s">
        <v>61</v>
      </c>
      <c r="BC1194" t="s">
        <v>61</v>
      </c>
      <c r="BD1194" t="s">
        <v>61</v>
      </c>
      <c r="BE1194" t="s">
        <v>61</v>
      </c>
      <c r="BF1194" t="s">
        <v>61</v>
      </c>
    </row>
    <row r="1195" spans="1:58">
      <c r="A1195" t="s">
        <v>58</v>
      </c>
      <c r="B1195" t="s">
        <v>9849</v>
      </c>
      <c r="C1195" t="s">
        <v>9850</v>
      </c>
      <c r="D1195" t="s">
        <v>475</v>
      </c>
      <c r="E1195" t="s">
        <v>61</v>
      </c>
      <c r="F1195">
        <v>2011</v>
      </c>
      <c r="G1195" t="s">
        <v>429</v>
      </c>
      <c r="H1195">
        <v>33</v>
      </c>
      <c r="I1195">
        <v>2</v>
      </c>
      <c r="J1195">
        <v>314</v>
      </c>
      <c r="K1195" t="s">
        <v>61</v>
      </c>
      <c r="L1195" t="s">
        <v>9851</v>
      </c>
      <c r="M1195" t="s">
        <v>9852</v>
      </c>
      <c r="N1195" t="s">
        <v>9853</v>
      </c>
      <c r="O1195" t="s">
        <v>61</v>
      </c>
      <c r="Q1195" t="s">
        <v>61</v>
      </c>
      <c r="R1195" t="s">
        <v>61</v>
      </c>
      <c r="S1195" t="s">
        <v>61</v>
      </c>
      <c r="T1195" t="s">
        <v>61</v>
      </c>
      <c r="X1195" t="s">
        <v>61</v>
      </c>
      <c r="Y1195" t="s">
        <v>308</v>
      </c>
      <c r="Z1195" t="s">
        <v>61</v>
      </c>
      <c r="AA1195" t="s">
        <v>61</v>
      </c>
      <c r="AB1195" t="s">
        <v>61</v>
      </c>
      <c r="AC1195" t="s">
        <v>67</v>
      </c>
      <c r="AD1195" t="s">
        <v>61</v>
      </c>
      <c r="AE1195" t="s">
        <v>61</v>
      </c>
      <c r="AF1195" t="s">
        <v>61</v>
      </c>
      <c r="AG1195" t="s">
        <v>61</v>
      </c>
      <c r="AH1195" t="s">
        <v>61</v>
      </c>
      <c r="AI1195" t="s">
        <v>61</v>
      </c>
      <c r="AJ1195" t="s">
        <v>61</v>
      </c>
      <c r="AK1195" t="s">
        <v>61</v>
      </c>
      <c r="AL1195" t="s">
        <v>61</v>
      </c>
      <c r="AM1195" t="s">
        <v>9850</v>
      </c>
      <c r="AN1195" t="s">
        <v>61</v>
      </c>
      <c r="AO1195" t="s">
        <v>61</v>
      </c>
      <c r="AP1195" t="s">
        <v>61</v>
      </c>
      <c r="AQ1195" t="s">
        <v>61</v>
      </c>
      <c r="AR1195" t="s">
        <v>61</v>
      </c>
      <c r="AS1195" t="s">
        <v>61</v>
      </c>
      <c r="AT1195" t="s">
        <v>61</v>
      </c>
      <c r="AU1195" t="s">
        <v>61</v>
      </c>
      <c r="AV1195" t="s">
        <v>61</v>
      </c>
      <c r="AW1195" t="s">
        <v>61</v>
      </c>
      <c r="AX1195" t="s">
        <v>61</v>
      </c>
      <c r="AY1195" t="s">
        <v>61</v>
      </c>
      <c r="AZ1195" t="s">
        <v>61</v>
      </c>
      <c r="BA1195" t="s">
        <v>61</v>
      </c>
      <c r="BB1195" t="s">
        <v>61</v>
      </c>
      <c r="BC1195" t="s">
        <v>61</v>
      </c>
      <c r="BD1195" t="s">
        <v>61</v>
      </c>
      <c r="BE1195" t="s">
        <v>61</v>
      </c>
      <c r="BF1195" t="s">
        <v>61</v>
      </c>
    </row>
    <row r="1196" spans="1:58">
      <c r="A1196" t="s">
        <v>58</v>
      </c>
      <c r="B1196" t="s">
        <v>9854</v>
      </c>
      <c r="C1196" t="s">
        <v>9855</v>
      </c>
      <c r="D1196" t="s">
        <v>627</v>
      </c>
      <c r="E1196" t="s">
        <v>61</v>
      </c>
      <c r="F1196">
        <v>2013</v>
      </c>
      <c r="G1196" t="s">
        <v>628</v>
      </c>
      <c r="H1196">
        <v>53</v>
      </c>
      <c r="I1196">
        <v>2</v>
      </c>
      <c r="J1196" t="s">
        <v>9856</v>
      </c>
      <c r="K1196" t="s">
        <v>61</v>
      </c>
      <c r="L1196" t="s">
        <v>9857</v>
      </c>
      <c r="M1196" t="s">
        <v>9858</v>
      </c>
      <c r="N1196" t="s">
        <v>9859</v>
      </c>
      <c r="O1196" t="s">
        <v>61</v>
      </c>
      <c r="Q1196" t="s">
        <v>61</v>
      </c>
      <c r="R1196" t="s">
        <v>61</v>
      </c>
      <c r="S1196" t="s">
        <v>61</v>
      </c>
      <c r="T1196" t="s">
        <v>61</v>
      </c>
      <c r="X1196" t="s">
        <v>61</v>
      </c>
      <c r="Y1196" t="s">
        <v>632</v>
      </c>
      <c r="Z1196" t="s">
        <v>61</v>
      </c>
      <c r="AA1196" t="s">
        <v>61</v>
      </c>
      <c r="AB1196" t="s">
        <v>61</v>
      </c>
      <c r="AC1196" t="s">
        <v>67</v>
      </c>
      <c r="AD1196" t="s">
        <v>61</v>
      </c>
      <c r="AE1196" t="s">
        <v>61</v>
      </c>
      <c r="AF1196" t="s">
        <v>61</v>
      </c>
      <c r="AG1196" t="s">
        <v>61</v>
      </c>
      <c r="AH1196" t="s">
        <v>61</v>
      </c>
      <c r="AI1196" t="s">
        <v>61</v>
      </c>
      <c r="AJ1196" t="s">
        <v>61</v>
      </c>
      <c r="AK1196" t="s">
        <v>61</v>
      </c>
      <c r="AL1196" t="s">
        <v>61</v>
      </c>
      <c r="AM1196" t="s">
        <v>9855</v>
      </c>
      <c r="AN1196" t="s">
        <v>61</v>
      </c>
      <c r="AO1196" t="s">
        <v>61</v>
      </c>
      <c r="AP1196" t="s">
        <v>61</v>
      </c>
      <c r="AQ1196" t="s">
        <v>61</v>
      </c>
      <c r="AR1196" t="s">
        <v>61</v>
      </c>
      <c r="AS1196" t="s">
        <v>61</v>
      </c>
      <c r="AT1196" t="s">
        <v>61</v>
      </c>
      <c r="AU1196" t="s">
        <v>61</v>
      </c>
      <c r="AV1196" t="s">
        <v>61</v>
      </c>
      <c r="AW1196" t="s">
        <v>61</v>
      </c>
      <c r="AX1196" t="s">
        <v>61</v>
      </c>
      <c r="AY1196" t="s">
        <v>61</v>
      </c>
      <c r="AZ1196" t="s">
        <v>61</v>
      </c>
      <c r="BA1196" t="s">
        <v>61</v>
      </c>
      <c r="BB1196" t="s">
        <v>61</v>
      </c>
      <c r="BC1196" t="s">
        <v>61</v>
      </c>
      <c r="BD1196" t="s">
        <v>61</v>
      </c>
      <c r="BE1196" t="s">
        <v>61</v>
      </c>
      <c r="BF1196" t="s">
        <v>61</v>
      </c>
    </row>
    <row r="1197" spans="1:58">
      <c r="A1197" t="s">
        <v>58</v>
      </c>
      <c r="B1197" t="s">
        <v>9860</v>
      </c>
      <c r="C1197" t="s">
        <v>9861</v>
      </c>
      <c r="D1197" t="s">
        <v>475</v>
      </c>
      <c r="E1197" t="s">
        <v>61</v>
      </c>
      <c r="F1197">
        <v>2012</v>
      </c>
      <c r="G1197" t="s">
        <v>381</v>
      </c>
      <c r="H1197">
        <v>34</v>
      </c>
      <c r="I1197">
        <v>1</v>
      </c>
      <c r="J1197">
        <v>201</v>
      </c>
      <c r="K1197" t="s">
        <v>61</v>
      </c>
      <c r="L1197" t="s">
        <v>9862</v>
      </c>
      <c r="M1197" t="s">
        <v>9863</v>
      </c>
      <c r="N1197" t="s">
        <v>9864</v>
      </c>
      <c r="O1197" t="s">
        <v>61</v>
      </c>
      <c r="Q1197" t="s">
        <v>61</v>
      </c>
      <c r="R1197" t="s">
        <v>61</v>
      </c>
      <c r="S1197" t="s">
        <v>61</v>
      </c>
      <c r="T1197" t="s">
        <v>61</v>
      </c>
      <c r="X1197" t="s">
        <v>61</v>
      </c>
      <c r="Y1197" t="s">
        <v>308</v>
      </c>
      <c r="Z1197" t="s">
        <v>61</v>
      </c>
      <c r="AA1197" t="s">
        <v>61</v>
      </c>
      <c r="AB1197" t="s">
        <v>61</v>
      </c>
      <c r="AC1197" t="s">
        <v>67</v>
      </c>
      <c r="AD1197" t="s">
        <v>61</v>
      </c>
      <c r="AE1197" t="s">
        <v>61</v>
      </c>
      <c r="AF1197" t="s">
        <v>61</v>
      </c>
      <c r="AG1197" t="s">
        <v>61</v>
      </c>
      <c r="AH1197" t="s">
        <v>61</v>
      </c>
      <c r="AI1197" t="s">
        <v>61</v>
      </c>
      <c r="AJ1197" t="s">
        <v>61</v>
      </c>
      <c r="AK1197" t="s">
        <v>61</v>
      </c>
      <c r="AL1197" t="s">
        <v>61</v>
      </c>
      <c r="AM1197" t="s">
        <v>9861</v>
      </c>
      <c r="AN1197" t="s">
        <v>61</v>
      </c>
      <c r="AO1197" t="s">
        <v>61</v>
      </c>
      <c r="AP1197" t="s">
        <v>61</v>
      </c>
      <c r="AQ1197" t="s">
        <v>61</v>
      </c>
      <c r="AR1197" t="s">
        <v>61</v>
      </c>
      <c r="AS1197" t="s">
        <v>61</v>
      </c>
      <c r="AT1197" t="s">
        <v>61</v>
      </c>
      <c r="AU1197" t="s">
        <v>61</v>
      </c>
      <c r="AV1197" t="s">
        <v>61</v>
      </c>
      <c r="AW1197" t="s">
        <v>61</v>
      </c>
      <c r="AX1197" t="s">
        <v>61</v>
      </c>
      <c r="AY1197" t="s">
        <v>61</v>
      </c>
      <c r="AZ1197" t="s">
        <v>61</v>
      </c>
      <c r="BA1197" t="s">
        <v>61</v>
      </c>
      <c r="BB1197" t="s">
        <v>61</v>
      </c>
      <c r="BC1197" t="s">
        <v>61</v>
      </c>
      <c r="BD1197" t="s">
        <v>61</v>
      </c>
      <c r="BE1197" t="s">
        <v>61</v>
      </c>
      <c r="BF1197" t="s">
        <v>61</v>
      </c>
    </row>
    <row r="1198" spans="1:58">
      <c r="A1198" t="s">
        <v>58</v>
      </c>
      <c r="B1198" t="s">
        <v>9865</v>
      </c>
      <c r="C1198" t="s">
        <v>9866</v>
      </c>
      <c r="D1198" t="s">
        <v>162</v>
      </c>
      <c r="E1198" t="s">
        <v>163</v>
      </c>
      <c r="F1198">
        <v>2008</v>
      </c>
      <c r="G1198" t="s">
        <v>429</v>
      </c>
      <c r="H1198">
        <v>48</v>
      </c>
      <c r="I1198">
        <v>4</v>
      </c>
      <c r="J1198">
        <v>445</v>
      </c>
      <c r="K1198">
        <v>454</v>
      </c>
      <c r="L1198" t="s">
        <v>9867</v>
      </c>
      <c r="M1198" t="s">
        <v>9868</v>
      </c>
      <c r="N1198" t="s">
        <v>9869</v>
      </c>
      <c r="O1198" t="s">
        <v>61</v>
      </c>
      <c r="Q1198" t="s">
        <v>61</v>
      </c>
      <c r="R1198" t="s">
        <v>61</v>
      </c>
      <c r="S1198" t="s">
        <v>61</v>
      </c>
      <c r="T1198" t="s">
        <v>61</v>
      </c>
      <c r="X1198" t="s">
        <v>61</v>
      </c>
      <c r="Y1198" t="s">
        <v>902</v>
      </c>
      <c r="Z1198" t="s">
        <v>61</v>
      </c>
      <c r="AA1198" t="s">
        <v>61</v>
      </c>
      <c r="AB1198">
        <v>2008131647</v>
      </c>
      <c r="AC1198" t="s">
        <v>67</v>
      </c>
      <c r="AD1198" t="s">
        <v>61</v>
      </c>
      <c r="AE1198" t="s">
        <v>61</v>
      </c>
      <c r="AF1198" t="s">
        <v>61</v>
      </c>
      <c r="AG1198" t="s">
        <v>9870</v>
      </c>
      <c r="AH1198" t="s">
        <v>61</v>
      </c>
      <c r="AI1198" t="s">
        <v>61</v>
      </c>
      <c r="AJ1198" t="s">
        <v>61</v>
      </c>
      <c r="AK1198" t="s">
        <v>61</v>
      </c>
      <c r="AL1198" t="s">
        <v>61</v>
      </c>
      <c r="AM1198" t="s">
        <v>9871</v>
      </c>
      <c r="AN1198" t="s">
        <v>61</v>
      </c>
      <c r="AO1198" t="s">
        <v>61</v>
      </c>
      <c r="AP1198" t="s">
        <v>61</v>
      </c>
      <c r="AQ1198" t="s">
        <v>61</v>
      </c>
      <c r="AR1198" t="s">
        <v>61</v>
      </c>
      <c r="AS1198" t="s">
        <v>61</v>
      </c>
      <c r="AT1198" t="s">
        <v>61</v>
      </c>
      <c r="AU1198" t="s">
        <v>61</v>
      </c>
      <c r="AV1198" t="s">
        <v>61</v>
      </c>
      <c r="AW1198" t="s">
        <v>61</v>
      </c>
      <c r="AX1198" t="s">
        <v>61</v>
      </c>
      <c r="AY1198" t="s">
        <v>61</v>
      </c>
      <c r="AZ1198" t="s">
        <v>61</v>
      </c>
      <c r="BA1198" t="s">
        <v>61</v>
      </c>
      <c r="BB1198" t="s">
        <v>61</v>
      </c>
      <c r="BC1198" t="s">
        <v>61</v>
      </c>
      <c r="BD1198" t="s">
        <v>61</v>
      </c>
      <c r="BE1198" t="s">
        <v>61</v>
      </c>
      <c r="BF1198" t="s">
        <v>61</v>
      </c>
    </row>
    <row r="1199" spans="1:58">
      <c r="A1199" t="s">
        <v>58</v>
      </c>
      <c r="B1199" t="s">
        <v>9872</v>
      </c>
      <c r="C1199" t="s">
        <v>9873</v>
      </c>
      <c r="D1199" t="s">
        <v>2386</v>
      </c>
      <c r="E1199" t="s">
        <v>61</v>
      </c>
      <c r="F1199">
        <v>2009</v>
      </c>
      <c r="G1199" t="s">
        <v>154</v>
      </c>
      <c r="H1199">
        <v>58</v>
      </c>
      <c r="I1199">
        <v>1</v>
      </c>
      <c r="J1199">
        <v>64</v>
      </c>
      <c r="K1199">
        <v>70</v>
      </c>
      <c r="L1199" t="s">
        <v>9874</v>
      </c>
      <c r="M1199" t="s">
        <v>9875</v>
      </c>
      <c r="N1199" t="s">
        <v>9876</v>
      </c>
      <c r="O1199" t="s">
        <v>61</v>
      </c>
      <c r="Q1199" t="s">
        <v>61</v>
      </c>
      <c r="R1199" t="s">
        <v>61</v>
      </c>
      <c r="S1199" t="s">
        <v>61</v>
      </c>
      <c r="T1199" t="s">
        <v>61</v>
      </c>
      <c r="X1199" t="s">
        <v>61</v>
      </c>
      <c r="Y1199" t="s">
        <v>3271</v>
      </c>
      <c r="Z1199" t="s">
        <v>61</v>
      </c>
      <c r="AA1199" t="s">
        <v>9877</v>
      </c>
      <c r="AB1199">
        <v>19592355</v>
      </c>
      <c r="AC1199" t="s">
        <v>67</v>
      </c>
      <c r="AD1199" t="s">
        <v>61</v>
      </c>
      <c r="AE1199" t="s">
        <v>61</v>
      </c>
      <c r="AF1199" t="s">
        <v>61</v>
      </c>
      <c r="AG1199" t="s">
        <v>9878</v>
      </c>
      <c r="AH1199" t="s">
        <v>61</v>
      </c>
      <c r="AI1199" t="s">
        <v>9879</v>
      </c>
      <c r="AJ1199" t="s">
        <v>61</v>
      </c>
      <c r="AK1199" t="s">
        <v>61</v>
      </c>
      <c r="AL1199" t="s">
        <v>61</v>
      </c>
      <c r="AM1199" t="s">
        <v>9880</v>
      </c>
      <c r="AN1199" t="s">
        <v>61</v>
      </c>
      <c r="AO1199" t="s">
        <v>61</v>
      </c>
      <c r="AP1199" t="s">
        <v>61</v>
      </c>
      <c r="AQ1199" t="s">
        <v>61</v>
      </c>
      <c r="AR1199" t="s">
        <v>61</v>
      </c>
      <c r="AS1199" t="s">
        <v>61</v>
      </c>
      <c r="AT1199" t="s">
        <v>61</v>
      </c>
      <c r="AU1199" t="s">
        <v>61</v>
      </c>
      <c r="AV1199" t="s">
        <v>61</v>
      </c>
      <c r="AW1199" t="s">
        <v>61</v>
      </c>
      <c r="AX1199" t="s">
        <v>61</v>
      </c>
      <c r="AY1199" t="s">
        <v>61</v>
      </c>
      <c r="AZ1199" t="s">
        <v>61</v>
      </c>
      <c r="BA1199" t="s">
        <v>61</v>
      </c>
      <c r="BB1199" t="s">
        <v>61</v>
      </c>
      <c r="BC1199" t="s">
        <v>61</v>
      </c>
      <c r="BD1199" t="s">
        <v>61</v>
      </c>
      <c r="BE1199" t="s">
        <v>61</v>
      </c>
      <c r="BF1199" t="s">
        <v>61</v>
      </c>
    </row>
    <row r="1200" spans="1:58">
      <c r="A1200" t="s">
        <v>58</v>
      </c>
      <c r="B1200" t="s">
        <v>9881</v>
      </c>
      <c r="C1200" t="s">
        <v>9882</v>
      </c>
      <c r="D1200" t="s">
        <v>5418</v>
      </c>
      <c r="E1200" t="s">
        <v>5419</v>
      </c>
      <c r="F1200">
        <v>2006</v>
      </c>
      <c r="G1200" t="s">
        <v>1179</v>
      </c>
      <c r="H1200">
        <v>36</v>
      </c>
      <c r="I1200">
        <v>4</v>
      </c>
      <c r="J1200">
        <v>903</v>
      </c>
      <c r="K1200">
        <v>932</v>
      </c>
      <c r="L1200" t="s">
        <v>9883</v>
      </c>
      <c r="M1200" t="s">
        <v>9884</v>
      </c>
      <c r="N1200" t="s">
        <v>9885</v>
      </c>
      <c r="O1200" t="s">
        <v>61</v>
      </c>
      <c r="Q1200" t="s">
        <v>61</v>
      </c>
      <c r="R1200" t="s">
        <v>61</v>
      </c>
      <c r="S1200" t="s">
        <v>61</v>
      </c>
      <c r="T1200" t="s">
        <v>61</v>
      </c>
      <c r="X1200" t="s">
        <v>61</v>
      </c>
      <c r="Y1200" t="s">
        <v>5423</v>
      </c>
      <c r="Z1200" t="s">
        <v>61</v>
      </c>
      <c r="AA1200" t="s">
        <v>61</v>
      </c>
      <c r="AB1200">
        <v>2007034858</v>
      </c>
      <c r="AC1200" t="s">
        <v>67</v>
      </c>
      <c r="AD1200" t="s">
        <v>61</v>
      </c>
      <c r="AE1200" t="s">
        <v>61</v>
      </c>
      <c r="AF1200" t="s">
        <v>61</v>
      </c>
      <c r="AG1200" t="s">
        <v>61</v>
      </c>
      <c r="AH1200" t="s">
        <v>61</v>
      </c>
      <c r="AI1200" t="s">
        <v>61</v>
      </c>
      <c r="AJ1200" t="s">
        <v>61</v>
      </c>
      <c r="AK1200" t="s">
        <v>61</v>
      </c>
      <c r="AL1200" t="s">
        <v>61</v>
      </c>
      <c r="AM1200" t="s">
        <v>9882</v>
      </c>
      <c r="AN1200" t="s">
        <v>61</v>
      </c>
      <c r="AO1200" t="s">
        <v>61</v>
      </c>
      <c r="AP1200" t="s">
        <v>61</v>
      </c>
      <c r="AQ1200" t="s">
        <v>61</v>
      </c>
      <c r="AR1200" t="s">
        <v>61</v>
      </c>
      <c r="AS1200" t="s">
        <v>61</v>
      </c>
      <c r="AT1200" t="s">
        <v>61</v>
      </c>
      <c r="AU1200" t="s">
        <v>61</v>
      </c>
      <c r="AV1200" t="s">
        <v>61</v>
      </c>
      <c r="AW1200" t="s">
        <v>61</v>
      </c>
      <c r="AX1200" t="s">
        <v>61</v>
      </c>
      <c r="AY1200" t="s">
        <v>61</v>
      </c>
      <c r="AZ1200" t="s">
        <v>61</v>
      </c>
      <c r="BA1200" t="s">
        <v>61</v>
      </c>
      <c r="BB1200" t="s">
        <v>61</v>
      </c>
      <c r="BC1200" t="s">
        <v>61</v>
      </c>
      <c r="BD1200" t="s">
        <v>61</v>
      </c>
      <c r="BE1200" t="s">
        <v>61</v>
      </c>
      <c r="BF1200" t="s">
        <v>61</v>
      </c>
    </row>
    <row r="1201" spans="1:58">
      <c r="A1201" t="s">
        <v>58</v>
      </c>
      <c r="B1201" t="s">
        <v>9886</v>
      </c>
      <c r="C1201" t="s">
        <v>9887</v>
      </c>
      <c r="D1201" t="s">
        <v>9888</v>
      </c>
      <c r="E1201" t="s">
        <v>61</v>
      </c>
      <c r="F1201">
        <v>2015</v>
      </c>
      <c r="G1201" t="s">
        <v>61</v>
      </c>
      <c r="H1201">
        <v>34</v>
      </c>
      <c r="I1201">
        <v>5</v>
      </c>
      <c r="J1201">
        <v>901</v>
      </c>
      <c r="K1201">
        <v>906</v>
      </c>
      <c r="L1201" t="s">
        <v>9889</v>
      </c>
      <c r="M1201" t="s">
        <v>9890</v>
      </c>
      <c r="N1201" t="s">
        <v>9891</v>
      </c>
      <c r="O1201" t="s">
        <v>61</v>
      </c>
      <c r="Q1201" t="s">
        <v>61</v>
      </c>
      <c r="R1201" t="s">
        <v>61</v>
      </c>
      <c r="S1201" t="s">
        <v>61</v>
      </c>
      <c r="T1201" t="s">
        <v>61</v>
      </c>
      <c r="X1201" t="s">
        <v>61</v>
      </c>
      <c r="Y1201" t="s">
        <v>9892</v>
      </c>
      <c r="Z1201" t="s">
        <v>61</v>
      </c>
      <c r="AA1201" t="s">
        <v>61</v>
      </c>
      <c r="AB1201">
        <v>2015065332</v>
      </c>
      <c r="AC1201" t="s">
        <v>67</v>
      </c>
      <c r="AD1201" t="s">
        <v>61</v>
      </c>
      <c r="AE1201" t="s">
        <v>61</v>
      </c>
      <c r="AF1201" t="s">
        <v>61</v>
      </c>
      <c r="AG1201" t="s">
        <v>61</v>
      </c>
      <c r="AH1201" t="s">
        <v>61</v>
      </c>
      <c r="AI1201" t="s">
        <v>61</v>
      </c>
      <c r="AJ1201" t="s">
        <v>61</v>
      </c>
      <c r="AK1201" t="s">
        <v>61</v>
      </c>
      <c r="AL1201" t="s">
        <v>61</v>
      </c>
      <c r="AM1201" t="s">
        <v>9887</v>
      </c>
      <c r="AN1201" t="s">
        <v>61</v>
      </c>
      <c r="AO1201" t="s">
        <v>61</v>
      </c>
      <c r="AP1201" t="s">
        <v>61</v>
      </c>
      <c r="AQ1201" t="s">
        <v>61</v>
      </c>
      <c r="AR1201" t="s">
        <v>61</v>
      </c>
      <c r="AS1201" t="s">
        <v>61</v>
      </c>
      <c r="AT1201" t="s">
        <v>61</v>
      </c>
      <c r="AU1201" t="s">
        <v>61</v>
      </c>
      <c r="AV1201" t="s">
        <v>61</v>
      </c>
      <c r="AW1201" t="s">
        <v>61</v>
      </c>
      <c r="AX1201" t="s">
        <v>61</v>
      </c>
      <c r="AY1201" t="s">
        <v>61</v>
      </c>
      <c r="AZ1201" t="s">
        <v>61</v>
      </c>
      <c r="BA1201" t="s">
        <v>61</v>
      </c>
      <c r="BB1201" t="s">
        <v>61</v>
      </c>
      <c r="BC1201" t="s">
        <v>61</v>
      </c>
      <c r="BD1201" t="s">
        <v>61</v>
      </c>
      <c r="BE1201" t="s">
        <v>61</v>
      </c>
      <c r="BF1201" t="s">
        <v>61</v>
      </c>
    </row>
    <row r="1202" spans="1:58">
      <c r="A1202" t="s">
        <v>58</v>
      </c>
      <c r="B1202" t="s">
        <v>9893</v>
      </c>
      <c r="C1202" t="s">
        <v>9894</v>
      </c>
      <c r="D1202" t="s">
        <v>9895</v>
      </c>
      <c r="E1202" t="s">
        <v>9895</v>
      </c>
      <c r="F1202">
        <v>1981</v>
      </c>
      <c r="G1202" t="s">
        <v>61</v>
      </c>
      <c r="H1202">
        <v>21</v>
      </c>
      <c r="I1202">
        <v>2</v>
      </c>
      <c r="J1202">
        <v>146</v>
      </c>
      <c r="K1202">
        <v>150</v>
      </c>
      <c r="L1202" t="s">
        <v>9896</v>
      </c>
      <c r="M1202" t="s">
        <v>9897</v>
      </c>
      <c r="N1202" t="s">
        <v>9898</v>
      </c>
      <c r="O1202" t="s">
        <v>61</v>
      </c>
      <c r="Q1202" t="s">
        <v>61</v>
      </c>
      <c r="R1202" t="s">
        <v>61</v>
      </c>
      <c r="S1202" t="s">
        <v>61</v>
      </c>
      <c r="T1202" t="s">
        <v>61</v>
      </c>
      <c r="X1202" t="s">
        <v>61</v>
      </c>
      <c r="Y1202" t="s">
        <v>9899</v>
      </c>
      <c r="Z1202" t="s">
        <v>61</v>
      </c>
      <c r="AA1202" t="s">
        <v>61</v>
      </c>
      <c r="AB1202">
        <v>1981233062</v>
      </c>
      <c r="AC1202" t="s">
        <v>67</v>
      </c>
      <c r="AD1202" t="s">
        <v>61</v>
      </c>
      <c r="AE1202" t="s">
        <v>61</v>
      </c>
      <c r="AF1202" t="s">
        <v>61</v>
      </c>
      <c r="AG1202" t="s">
        <v>9900</v>
      </c>
      <c r="AH1202" t="s">
        <v>61</v>
      </c>
      <c r="AI1202" t="s">
        <v>61</v>
      </c>
      <c r="AJ1202" t="s">
        <v>61</v>
      </c>
      <c r="AK1202" t="s">
        <v>61</v>
      </c>
      <c r="AL1202" t="s">
        <v>61</v>
      </c>
      <c r="AM1202" t="s">
        <v>9901</v>
      </c>
      <c r="AN1202" t="s">
        <v>61</v>
      </c>
      <c r="AO1202" t="s">
        <v>61</v>
      </c>
      <c r="AP1202" t="s">
        <v>61</v>
      </c>
      <c r="AQ1202" t="s">
        <v>61</v>
      </c>
      <c r="AR1202" t="s">
        <v>61</v>
      </c>
      <c r="AS1202" t="s">
        <v>61</v>
      </c>
      <c r="AT1202" t="s">
        <v>61</v>
      </c>
      <c r="AU1202" t="s">
        <v>61</v>
      </c>
      <c r="AV1202" t="s">
        <v>61</v>
      </c>
      <c r="AW1202" t="s">
        <v>61</v>
      </c>
      <c r="AX1202" t="s">
        <v>61</v>
      </c>
      <c r="AY1202" t="s">
        <v>61</v>
      </c>
      <c r="AZ1202" t="s">
        <v>61</v>
      </c>
      <c r="BA1202" t="s">
        <v>61</v>
      </c>
      <c r="BB1202" t="s">
        <v>61</v>
      </c>
      <c r="BC1202" t="s">
        <v>61</v>
      </c>
      <c r="BD1202" t="s">
        <v>61</v>
      </c>
      <c r="BE1202" t="s">
        <v>61</v>
      </c>
      <c r="BF1202" t="s">
        <v>61</v>
      </c>
    </row>
    <row r="1203" spans="1:58">
      <c r="A1203" t="s">
        <v>58</v>
      </c>
      <c r="B1203" t="s">
        <v>9902</v>
      </c>
      <c r="C1203" t="s">
        <v>9903</v>
      </c>
      <c r="D1203" t="s">
        <v>4658</v>
      </c>
      <c r="E1203" t="s">
        <v>4659</v>
      </c>
      <c r="F1203">
        <v>2015</v>
      </c>
      <c r="G1203">
        <v>1</v>
      </c>
      <c r="H1203">
        <v>146</v>
      </c>
      <c r="I1203" t="s">
        <v>61</v>
      </c>
      <c r="J1203" t="s">
        <v>9904</v>
      </c>
      <c r="K1203" t="s">
        <v>61</v>
      </c>
      <c r="L1203" t="s">
        <v>9905</v>
      </c>
      <c r="M1203" t="s">
        <v>9906</v>
      </c>
      <c r="N1203" t="s">
        <v>9907</v>
      </c>
      <c r="O1203" t="s">
        <v>61</v>
      </c>
      <c r="Q1203" t="s">
        <v>61</v>
      </c>
      <c r="R1203" t="s">
        <v>61</v>
      </c>
      <c r="S1203" t="s">
        <v>61</v>
      </c>
      <c r="T1203" t="s">
        <v>61</v>
      </c>
      <c r="X1203" t="s">
        <v>61</v>
      </c>
      <c r="Y1203" t="s">
        <v>486</v>
      </c>
      <c r="Z1203" t="s">
        <v>61</v>
      </c>
      <c r="AA1203" t="s">
        <v>61</v>
      </c>
      <c r="AB1203" t="s">
        <v>61</v>
      </c>
      <c r="AC1203" t="s">
        <v>67</v>
      </c>
      <c r="AD1203" t="s">
        <v>61</v>
      </c>
      <c r="AE1203" t="s">
        <v>61</v>
      </c>
      <c r="AF1203" t="s">
        <v>61</v>
      </c>
      <c r="AG1203" t="s">
        <v>61</v>
      </c>
      <c r="AH1203" t="s">
        <v>61</v>
      </c>
      <c r="AI1203" t="s">
        <v>61</v>
      </c>
      <c r="AJ1203" t="s">
        <v>61</v>
      </c>
      <c r="AK1203" t="s">
        <v>61</v>
      </c>
      <c r="AL1203" t="s">
        <v>61</v>
      </c>
      <c r="AM1203" t="s">
        <v>9903</v>
      </c>
      <c r="AN1203" t="s">
        <v>61</v>
      </c>
      <c r="AO1203" t="s">
        <v>61</v>
      </c>
      <c r="AP1203" t="s">
        <v>61</v>
      </c>
      <c r="AQ1203" t="s">
        <v>61</v>
      </c>
      <c r="AR1203" t="s">
        <v>61</v>
      </c>
      <c r="AS1203" t="s">
        <v>61</v>
      </c>
      <c r="AT1203" t="s">
        <v>61</v>
      </c>
      <c r="AU1203" t="s">
        <v>61</v>
      </c>
      <c r="AV1203" t="s">
        <v>61</v>
      </c>
      <c r="AW1203" t="s">
        <v>61</v>
      </c>
      <c r="AX1203" t="s">
        <v>61</v>
      </c>
      <c r="AY1203" t="s">
        <v>61</v>
      </c>
      <c r="AZ1203" t="s">
        <v>61</v>
      </c>
      <c r="BA1203" t="s">
        <v>61</v>
      </c>
      <c r="BB1203" t="s">
        <v>61</v>
      </c>
      <c r="BC1203" t="s">
        <v>61</v>
      </c>
      <c r="BD1203" t="s">
        <v>61</v>
      </c>
      <c r="BE1203" t="s">
        <v>61</v>
      </c>
      <c r="BF1203" t="s">
        <v>61</v>
      </c>
    </row>
    <row r="1204" spans="1:58">
      <c r="A1204" t="s">
        <v>58</v>
      </c>
      <c r="B1204" t="s">
        <v>9908</v>
      </c>
      <c r="C1204" t="s">
        <v>9909</v>
      </c>
      <c r="D1204" t="s">
        <v>475</v>
      </c>
      <c r="E1204" t="s">
        <v>61</v>
      </c>
      <c r="F1204">
        <v>2012</v>
      </c>
      <c r="G1204" t="s">
        <v>381</v>
      </c>
      <c r="H1204">
        <v>34</v>
      </c>
      <c r="I1204">
        <v>1</v>
      </c>
      <c r="J1204">
        <v>194</v>
      </c>
      <c r="K1204" t="s">
        <v>61</v>
      </c>
      <c r="L1204" t="s">
        <v>9910</v>
      </c>
      <c r="M1204" t="s">
        <v>9911</v>
      </c>
      <c r="N1204" t="s">
        <v>9912</v>
      </c>
      <c r="O1204" t="s">
        <v>61</v>
      </c>
      <c r="Q1204" t="s">
        <v>61</v>
      </c>
      <c r="R1204" t="s">
        <v>61</v>
      </c>
      <c r="S1204" t="s">
        <v>61</v>
      </c>
      <c r="T1204" t="s">
        <v>61</v>
      </c>
      <c r="X1204" t="s">
        <v>61</v>
      </c>
      <c r="Y1204" t="s">
        <v>308</v>
      </c>
      <c r="Z1204" t="s">
        <v>61</v>
      </c>
      <c r="AA1204" t="s">
        <v>61</v>
      </c>
      <c r="AB1204" t="s">
        <v>61</v>
      </c>
      <c r="AC1204" t="s">
        <v>67</v>
      </c>
      <c r="AD1204" t="s">
        <v>61</v>
      </c>
      <c r="AE1204" t="s">
        <v>61</v>
      </c>
      <c r="AF1204" t="s">
        <v>61</v>
      </c>
      <c r="AG1204" t="s">
        <v>61</v>
      </c>
      <c r="AH1204" t="s">
        <v>61</v>
      </c>
      <c r="AI1204" t="s">
        <v>61</v>
      </c>
      <c r="AJ1204" t="s">
        <v>61</v>
      </c>
      <c r="AK1204" t="s">
        <v>61</v>
      </c>
      <c r="AL1204" t="s">
        <v>61</v>
      </c>
      <c r="AM1204" t="s">
        <v>9909</v>
      </c>
      <c r="AN1204" t="s">
        <v>61</v>
      </c>
      <c r="AO1204" t="s">
        <v>61</v>
      </c>
      <c r="AP1204" t="s">
        <v>61</v>
      </c>
      <c r="AQ1204" t="s">
        <v>61</v>
      </c>
      <c r="AR1204" t="s">
        <v>61</v>
      </c>
      <c r="AS1204" t="s">
        <v>61</v>
      </c>
      <c r="AT1204" t="s">
        <v>61</v>
      </c>
      <c r="AU1204" t="s">
        <v>61</v>
      </c>
      <c r="AV1204" t="s">
        <v>61</v>
      </c>
      <c r="AW1204" t="s">
        <v>61</v>
      </c>
      <c r="AX1204" t="s">
        <v>61</v>
      </c>
      <c r="AY1204" t="s">
        <v>61</v>
      </c>
      <c r="AZ1204" t="s">
        <v>61</v>
      </c>
      <c r="BA1204" t="s">
        <v>61</v>
      </c>
      <c r="BB1204" t="s">
        <v>61</v>
      </c>
      <c r="BC1204" t="s">
        <v>61</v>
      </c>
      <c r="BD1204" t="s">
        <v>61</v>
      </c>
      <c r="BE1204" t="s">
        <v>61</v>
      </c>
      <c r="BF1204" t="s">
        <v>61</v>
      </c>
    </row>
    <row r="1205" spans="1:58">
      <c r="A1205" t="s">
        <v>58</v>
      </c>
      <c r="B1205" t="s">
        <v>9913</v>
      </c>
      <c r="C1205" t="s">
        <v>9914</v>
      </c>
      <c r="D1205" t="s">
        <v>475</v>
      </c>
      <c r="E1205" t="s">
        <v>61</v>
      </c>
      <c r="F1205">
        <v>2013</v>
      </c>
      <c r="G1205" t="s">
        <v>129</v>
      </c>
      <c r="H1205">
        <v>35</v>
      </c>
      <c r="I1205">
        <v>5</v>
      </c>
      <c r="J1205">
        <v>847</v>
      </c>
      <c r="K1205">
        <v>853</v>
      </c>
      <c r="L1205" t="s">
        <v>9915</v>
      </c>
      <c r="M1205" t="s">
        <v>9916</v>
      </c>
      <c r="N1205" t="s">
        <v>9917</v>
      </c>
      <c r="O1205" t="s">
        <v>61</v>
      </c>
      <c r="Q1205" t="s">
        <v>61</v>
      </c>
      <c r="R1205" t="s">
        <v>61</v>
      </c>
      <c r="S1205" t="s">
        <v>61</v>
      </c>
      <c r="T1205" t="s">
        <v>61</v>
      </c>
      <c r="X1205" t="s">
        <v>61</v>
      </c>
      <c r="Y1205" t="s">
        <v>3663</v>
      </c>
      <c r="Z1205" t="s">
        <v>61</v>
      </c>
      <c r="AA1205" t="s">
        <v>9918</v>
      </c>
      <c r="AB1205">
        <v>23857430</v>
      </c>
      <c r="AC1205" t="s">
        <v>67</v>
      </c>
      <c r="AD1205" t="s">
        <v>61</v>
      </c>
      <c r="AE1205" t="s">
        <v>61</v>
      </c>
      <c r="AF1205" t="s">
        <v>61</v>
      </c>
      <c r="AG1205" t="s">
        <v>9919</v>
      </c>
      <c r="AH1205" t="s">
        <v>61</v>
      </c>
      <c r="AI1205" t="s">
        <v>9920</v>
      </c>
      <c r="AJ1205" t="s">
        <v>61</v>
      </c>
      <c r="AK1205" t="s">
        <v>61</v>
      </c>
      <c r="AL1205" t="s">
        <v>61</v>
      </c>
      <c r="AM1205" t="s">
        <v>9921</v>
      </c>
      <c r="AN1205" t="s">
        <v>61</v>
      </c>
      <c r="AO1205" t="s">
        <v>61</v>
      </c>
      <c r="AP1205" t="s">
        <v>61</v>
      </c>
      <c r="AQ1205" t="s">
        <v>61</v>
      </c>
      <c r="AR1205" t="s">
        <v>61</v>
      </c>
      <c r="AS1205" t="s">
        <v>61</v>
      </c>
      <c r="AT1205" t="s">
        <v>61</v>
      </c>
      <c r="AU1205" t="s">
        <v>61</v>
      </c>
      <c r="AV1205" t="s">
        <v>61</v>
      </c>
      <c r="AW1205" t="s">
        <v>61</v>
      </c>
      <c r="AX1205" t="s">
        <v>61</v>
      </c>
      <c r="AY1205" t="s">
        <v>61</v>
      </c>
      <c r="AZ1205" t="s">
        <v>61</v>
      </c>
      <c r="BA1205" t="s">
        <v>61</v>
      </c>
      <c r="BB1205" t="s">
        <v>61</v>
      </c>
      <c r="BC1205" t="s">
        <v>61</v>
      </c>
      <c r="BD1205" t="s">
        <v>61</v>
      </c>
      <c r="BE1205" t="s">
        <v>61</v>
      </c>
      <c r="BF1205" t="s">
        <v>61</v>
      </c>
    </row>
    <row r="1206" spans="1:58">
      <c r="A1206" t="s">
        <v>58</v>
      </c>
      <c r="B1206" t="s">
        <v>9922</v>
      </c>
      <c r="C1206" t="s">
        <v>9923</v>
      </c>
      <c r="D1206" t="s">
        <v>9924</v>
      </c>
      <c r="E1206" t="s">
        <v>9925</v>
      </c>
      <c r="F1206">
        <v>2010</v>
      </c>
      <c r="G1206" t="s">
        <v>273</v>
      </c>
      <c r="H1206">
        <v>60</v>
      </c>
      <c r="I1206">
        <v>1</v>
      </c>
      <c r="J1206">
        <v>3</v>
      </c>
      <c r="K1206">
        <v>6</v>
      </c>
      <c r="L1206" t="s">
        <v>9926</v>
      </c>
      <c r="M1206" t="s">
        <v>9927</v>
      </c>
      <c r="N1206" t="s">
        <v>9928</v>
      </c>
      <c r="O1206" t="s">
        <v>61</v>
      </c>
      <c r="Q1206" t="s">
        <v>61</v>
      </c>
      <c r="R1206" t="s">
        <v>61</v>
      </c>
      <c r="S1206" t="s">
        <v>61</v>
      </c>
      <c r="T1206" t="s">
        <v>61</v>
      </c>
      <c r="X1206" t="s">
        <v>61</v>
      </c>
      <c r="Y1206" t="s">
        <v>9929</v>
      </c>
      <c r="Z1206" t="s">
        <v>61</v>
      </c>
      <c r="AA1206" t="s">
        <v>9930</v>
      </c>
      <c r="AB1206">
        <v>20361571</v>
      </c>
      <c r="AC1206" t="s">
        <v>67</v>
      </c>
      <c r="AD1206" t="s">
        <v>61</v>
      </c>
      <c r="AE1206" t="s">
        <v>61</v>
      </c>
      <c r="AF1206" t="s">
        <v>61</v>
      </c>
      <c r="AG1206" t="s">
        <v>9931</v>
      </c>
      <c r="AH1206" t="s">
        <v>61</v>
      </c>
      <c r="AI1206" t="s">
        <v>61</v>
      </c>
      <c r="AJ1206" t="s">
        <v>61</v>
      </c>
      <c r="AK1206" t="s">
        <v>61</v>
      </c>
      <c r="AL1206" t="s">
        <v>61</v>
      </c>
      <c r="AM1206" t="s">
        <v>9932</v>
      </c>
      <c r="AN1206" t="s">
        <v>61</v>
      </c>
      <c r="AO1206" t="s">
        <v>61</v>
      </c>
      <c r="AP1206" t="s">
        <v>61</v>
      </c>
      <c r="AQ1206" t="s">
        <v>61</v>
      </c>
      <c r="AR1206" t="s">
        <v>61</v>
      </c>
      <c r="AS1206" t="s">
        <v>61</v>
      </c>
      <c r="AT1206" t="s">
        <v>61</v>
      </c>
      <c r="AU1206" t="s">
        <v>61</v>
      </c>
      <c r="AV1206" t="s">
        <v>61</v>
      </c>
      <c r="AW1206" t="s">
        <v>61</v>
      </c>
      <c r="AX1206" t="s">
        <v>61</v>
      </c>
      <c r="AY1206" t="s">
        <v>61</v>
      </c>
      <c r="AZ1206" t="s">
        <v>61</v>
      </c>
      <c r="BA1206" t="s">
        <v>61</v>
      </c>
      <c r="BB1206" t="s">
        <v>61</v>
      </c>
      <c r="BC1206" t="s">
        <v>61</v>
      </c>
      <c r="BD1206" t="s">
        <v>61</v>
      </c>
      <c r="BE1206" t="s">
        <v>61</v>
      </c>
      <c r="BF1206" t="s">
        <v>61</v>
      </c>
    </row>
    <row r="1207" spans="1:58">
      <c r="A1207" t="s">
        <v>58</v>
      </c>
      <c r="B1207" t="s">
        <v>9933</v>
      </c>
      <c r="C1207" t="s">
        <v>9934</v>
      </c>
      <c r="D1207" t="s">
        <v>6346</v>
      </c>
      <c r="E1207" t="s">
        <v>6347</v>
      </c>
      <c r="F1207">
        <v>1991</v>
      </c>
      <c r="G1207" t="s">
        <v>61</v>
      </c>
      <c r="H1207">
        <v>12</v>
      </c>
      <c r="I1207">
        <v>1</v>
      </c>
      <c r="J1207">
        <v>70</v>
      </c>
      <c r="K1207">
        <v>72</v>
      </c>
      <c r="L1207" t="s">
        <v>9935</v>
      </c>
      <c r="M1207" t="s">
        <v>9936</v>
      </c>
      <c r="N1207" t="s">
        <v>9937</v>
      </c>
      <c r="O1207" t="s">
        <v>61</v>
      </c>
      <c r="Q1207" t="s">
        <v>61</v>
      </c>
      <c r="R1207" t="s">
        <v>61</v>
      </c>
      <c r="S1207" t="s">
        <v>61</v>
      </c>
      <c r="T1207" t="s">
        <v>61</v>
      </c>
      <c r="X1207" t="s">
        <v>61</v>
      </c>
      <c r="Y1207" t="s">
        <v>6350</v>
      </c>
      <c r="Z1207" t="s">
        <v>61</v>
      </c>
      <c r="AA1207" t="s">
        <v>9938</v>
      </c>
      <c r="AB1207">
        <v>1859602</v>
      </c>
      <c r="AC1207" t="s">
        <v>67</v>
      </c>
      <c r="AD1207" t="s">
        <v>61</v>
      </c>
      <c r="AE1207" t="s">
        <v>61</v>
      </c>
      <c r="AF1207" t="s">
        <v>61</v>
      </c>
      <c r="AG1207" t="s">
        <v>9939</v>
      </c>
      <c r="AH1207" t="s">
        <v>61</v>
      </c>
      <c r="AI1207" t="s">
        <v>61</v>
      </c>
      <c r="AJ1207" t="s">
        <v>61</v>
      </c>
      <c r="AK1207" t="s">
        <v>61</v>
      </c>
      <c r="AL1207" t="s">
        <v>61</v>
      </c>
      <c r="AM1207" t="s">
        <v>9940</v>
      </c>
      <c r="AN1207" t="s">
        <v>61</v>
      </c>
      <c r="AO1207" t="s">
        <v>61</v>
      </c>
      <c r="AP1207" t="s">
        <v>61</v>
      </c>
      <c r="AQ1207" t="s">
        <v>61</v>
      </c>
      <c r="AR1207" t="s">
        <v>61</v>
      </c>
      <c r="AS1207" t="s">
        <v>61</v>
      </c>
      <c r="AT1207" t="s">
        <v>61</v>
      </c>
      <c r="AU1207" t="s">
        <v>61</v>
      </c>
      <c r="AV1207" t="s">
        <v>61</v>
      </c>
      <c r="AW1207" t="s">
        <v>61</v>
      </c>
      <c r="AX1207" t="s">
        <v>61</v>
      </c>
      <c r="AY1207" t="s">
        <v>61</v>
      </c>
      <c r="AZ1207" t="s">
        <v>61</v>
      </c>
      <c r="BA1207" t="s">
        <v>61</v>
      </c>
      <c r="BB1207" t="s">
        <v>61</v>
      </c>
      <c r="BC1207" t="s">
        <v>61</v>
      </c>
      <c r="BD1207" t="s">
        <v>61</v>
      </c>
      <c r="BE1207" t="s">
        <v>61</v>
      </c>
      <c r="BF1207" t="s">
        <v>61</v>
      </c>
    </row>
    <row r="1208" spans="1:58">
      <c r="A1208" t="s">
        <v>58</v>
      </c>
      <c r="B1208" t="s">
        <v>9941</v>
      </c>
      <c r="C1208" t="s">
        <v>9942</v>
      </c>
      <c r="D1208" t="s">
        <v>2408</v>
      </c>
      <c r="E1208" t="s">
        <v>2409</v>
      </c>
      <c r="F1208">
        <v>2004</v>
      </c>
      <c r="G1208" t="s">
        <v>273</v>
      </c>
      <c r="H1208">
        <v>369</v>
      </c>
      <c r="I1208">
        <v>2</v>
      </c>
      <c r="J1208">
        <v>184</v>
      </c>
      <c r="K1208">
        <v>191</v>
      </c>
      <c r="L1208" t="s">
        <v>9943</v>
      </c>
      <c r="M1208" t="s">
        <v>9944</v>
      </c>
      <c r="N1208" t="s">
        <v>9945</v>
      </c>
      <c r="O1208" t="s">
        <v>61</v>
      </c>
      <c r="Q1208" t="s">
        <v>61</v>
      </c>
      <c r="R1208" t="s">
        <v>61</v>
      </c>
      <c r="S1208" t="s">
        <v>61</v>
      </c>
      <c r="T1208" t="s">
        <v>61</v>
      </c>
      <c r="X1208" t="s">
        <v>61</v>
      </c>
      <c r="Y1208" t="s">
        <v>4080</v>
      </c>
      <c r="Z1208" t="s">
        <v>61</v>
      </c>
      <c r="AA1208" t="s">
        <v>9946</v>
      </c>
      <c r="AB1208">
        <v>14722623</v>
      </c>
      <c r="AC1208" t="s">
        <v>67</v>
      </c>
      <c r="AD1208" t="s">
        <v>61</v>
      </c>
      <c r="AE1208" t="s">
        <v>61</v>
      </c>
      <c r="AF1208" t="s">
        <v>61</v>
      </c>
      <c r="AG1208" t="s">
        <v>9947</v>
      </c>
      <c r="AH1208" t="s">
        <v>61</v>
      </c>
      <c r="AI1208" t="s">
        <v>61</v>
      </c>
      <c r="AJ1208" t="s">
        <v>61</v>
      </c>
      <c r="AK1208" t="s">
        <v>61</v>
      </c>
      <c r="AL1208" t="s">
        <v>61</v>
      </c>
      <c r="AM1208" t="s">
        <v>9948</v>
      </c>
      <c r="AN1208" t="s">
        <v>61</v>
      </c>
      <c r="AO1208" t="s">
        <v>61</v>
      </c>
      <c r="AP1208" t="s">
        <v>61</v>
      </c>
      <c r="AQ1208" t="s">
        <v>61</v>
      </c>
      <c r="AR1208" t="s">
        <v>61</v>
      </c>
      <c r="AS1208" t="s">
        <v>61</v>
      </c>
      <c r="AT1208" t="s">
        <v>61</v>
      </c>
      <c r="AU1208" t="s">
        <v>61</v>
      </c>
      <c r="AV1208" t="s">
        <v>61</v>
      </c>
      <c r="AW1208" t="s">
        <v>61</v>
      </c>
      <c r="AX1208" t="s">
        <v>61</v>
      </c>
      <c r="AY1208" t="s">
        <v>61</v>
      </c>
      <c r="AZ1208" t="s">
        <v>61</v>
      </c>
      <c r="BA1208" t="s">
        <v>61</v>
      </c>
      <c r="BB1208" t="s">
        <v>61</v>
      </c>
      <c r="BC1208" t="s">
        <v>61</v>
      </c>
      <c r="BD1208" t="s">
        <v>61</v>
      </c>
      <c r="BE1208" t="s">
        <v>61</v>
      </c>
      <c r="BF1208" t="s">
        <v>61</v>
      </c>
    </row>
    <row r="1209" spans="1:58">
      <c r="A1209" t="s">
        <v>58</v>
      </c>
      <c r="B1209" t="s">
        <v>9949</v>
      </c>
      <c r="C1209" t="s">
        <v>9950</v>
      </c>
      <c r="D1209" t="s">
        <v>1749</v>
      </c>
      <c r="E1209" t="s">
        <v>1750</v>
      </c>
      <c r="F1209">
        <v>2012</v>
      </c>
      <c r="G1209" t="s">
        <v>280</v>
      </c>
      <c r="H1209">
        <v>68</v>
      </c>
      <c r="I1209">
        <v>12</v>
      </c>
      <c r="J1209">
        <v>1657</v>
      </c>
      <c r="K1209">
        <v>1666</v>
      </c>
      <c r="L1209" t="s">
        <v>9951</v>
      </c>
      <c r="M1209" t="s">
        <v>9952</v>
      </c>
      <c r="N1209" t="s">
        <v>9953</v>
      </c>
      <c r="O1209" t="s">
        <v>61</v>
      </c>
      <c r="Q1209" t="s">
        <v>61</v>
      </c>
      <c r="R1209" t="s">
        <v>61</v>
      </c>
      <c r="S1209" t="s">
        <v>61</v>
      </c>
      <c r="T1209" t="s">
        <v>61</v>
      </c>
      <c r="X1209" t="s">
        <v>61</v>
      </c>
      <c r="Y1209" t="s">
        <v>1754</v>
      </c>
      <c r="Z1209" t="s">
        <v>61</v>
      </c>
      <c r="AA1209" t="s">
        <v>9954</v>
      </c>
      <c r="AB1209">
        <v>22644343</v>
      </c>
      <c r="AC1209" t="s">
        <v>67</v>
      </c>
      <c r="AD1209" t="s">
        <v>61</v>
      </c>
      <c r="AE1209" t="s">
        <v>61</v>
      </c>
      <c r="AF1209" t="s">
        <v>61</v>
      </c>
      <c r="AG1209" t="s">
        <v>9955</v>
      </c>
      <c r="AH1209" t="s">
        <v>61</v>
      </c>
      <c r="AI1209" t="s">
        <v>9956</v>
      </c>
      <c r="AJ1209" t="s">
        <v>61</v>
      </c>
      <c r="AK1209" t="s">
        <v>61</v>
      </c>
      <c r="AL1209" t="s">
        <v>61</v>
      </c>
      <c r="AM1209" t="s">
        <v>9957</v>
      </c>
      <c r="AN1209" t="s">
        <v>61</v>
      </c>
      <c r="AO1209" t="s">
        <v>61</v>
      </c>
      <c r="AP1209" t="s">
        <v>61</v>
      </c>
      <c r="AQ1209" t="s">
        <v>61</v>
      </c>
      <c r="AR1209" t="s">
        <v>61</v>
      </c>
      <c r="AS1209" t="s">
        <v>61</v>
      </c>
      <c r="AT1209" t="s">
        <v>61</v>
      </c>
      <c r="AU1209" t="s">
        <v>61</v>
      </c>
      <c r="AV1209" t="s">
        <v>61</v>
      </c>
      <c r="AW1209" t="s">
        <v>61</v>
      </c>
      <c r="AX1209" t="s">
        <v>61</v>
      </c>
      <c r="AY1209" t="s">
        <v>61</v>
      </c>
      <c r="AZ1209" t="s">
        <v>61</v>
      </c>
      <c r="BA1209" t="s">
        <v>61</v>
      </c>
      <c r="BB1209" t="s">
        <v>61</v>
      </c>
      <c r="BC1209" t="s">
        <v>61</v>
      </c>
      <c r="BD1209" t="s">
        <v>61</v>
      </c>
      <c r="BE1209" t="s">
        <v>61</v>
      </c>
      <c r="BF1209" t="s">
        <v>61</v>
      </c>
    </row>
    <row r="1210" spans="1:58">
      <c r="A1210" t="s">
        <v>58</v>
      </c>
      <c r="B1210" t="s">
        <v>9958</v>
      </c>
      <c r="C1210" t="s">
        <v>9959</v>
      </c>
      <c r="D1210" t="s">
        <v>9960</v>
      </c>
      <c r="E1210" t="s">
        <v>61</v>
      </c>
      <c r="F1210">
        <v>2004</v>
      </c>
      <c r="G1210" t="s">
        <v>61</v>
      </c>
      <c r="H1210">
        <v>15</v>
      </c>
      <c r="I1210">
        <v>4</v>
      </c>
      <c r="J1210">
        <v>193</v>
      </c>
      <c r="K1210" t="s">
        <v>9961</v>
      </c>
      <c r="L1210" t="s">
        <v>9962</v>
      </c>
      <c r="M1210" t="s">
        <v>9963</v>
      </c>
      <c r="N1210" t="s">
        <v>9964</v>
      </c>
      <c r="O1210" t="s">
        <v>61</v>
      </c>
      <c r="Q1210" t="s">
        <v>61</v>
      </c>
      <c r="R1210" t="s">
        <v>61</v>
      </c>
      <c r="S1210" t="s">
        <v>61</v>
      </c>
      <c r="T1210" t="s">
        <v>61</v>
      </c>
      <c r="X1210" t="s">
        <v>61</v>
      </c>
      <c r="Y1210" t="s">
        <v>9965</v>
      </c>
      <c r="Z1210" t="s">
        <v>61</v>
      </c>
      <c r="AA1210" t="s">
        <v>61</v>
      </c>
      <c r="AB1210">
        <v>106624996</v>
      </c>
      <c r="AC1210" t="s">
        <v>67</v>
      </c>
      <c r="AD1210" t="s">
        <v>61</v>
      </c>
      <c r="AE1210" t="s">
        <v>61</v>
      </c>
      <c r="AF1210" t="s">
        <v>61</v>
      </c>
      <c r="AG1210" t="s">
        <v>9966</v>
      </c>
      <c r="AH1210" t="s">
        <v>61</v>
      </c>
      <c r="AI1210" t="s">
        <v>61</v>
      </c>
      <c r="AJ1210" t="s">
        <v>61</v>
      </c>
      <c r="AK1210" t="s">
        <v>61</v>
      </c>
      <c r="AL1210" t="s">
        <v>61</v>
      </c>
      <c r="AM1210" t="s">
        <v>9967</v>
      </c>
      <c r="AN1210" t="s">
        <v>61</v>
      </c>
      <c r="AO1210" t="s">
        <v>61</v>
      </c>
      <c r="AP1210" t="s">
        <v>61</v>
      </c>
      <c r="AQ1210" t="s">
        <v>61</v>
      </c>
      <c r="AR1210" t="s">
        <v>61</v>
      </c>
      <c r="AS1210" t="s">
        <v>61</v>
      </c>
      <c r="AT1210" t="s">
        <v>61</v>
      </c>
      <c r="AU1210" t="s">
        <v>61</v>
      </c>
      <c r="AV1210" t="s">
        <v>61</v>
      </c>
      <c r="AW1210" t="s">
        <v>61</v>
      </c>
      <c r="AX1210" t="s">
        <v>61</v>
      </c>
      <c r="AY1210" t="s">
        <v>61</v>
      </c>
      <c r="AZ1210" t="s">
        <v>61</v>
      </c>
      <c r="BA1210" t="s">
        <v>61</v>
      </c>
      <c r="BB1210" t="s">
        <v>61</v>
      </c>
      <c r="BC1210" t="s">
        <v>61</v>
      </c>
      <c r="BD1210" t="s">
        <v>61</v>
      </c>
      <c r="BE1210" t="s">
        <v>61</v>
      </c>
      <c r="BF1210" t="s">
        <v>61</v>
      </c>
    </row>
    <row r="1211" spans="1:58">
      <c r="A1211" t="s">
        <v>58</v>
      </c>
      <c r="B1211" t="s">
        <v>9968</v>
      </c>
      <c r="C1211" t="s">
        <v>9969</v>
      </c>
      <c r="D1211" t="s">
        <v>8887</v>
      </c>
      <c r="E1211" t="s">
        <v>61</v>
      </c>
      <c r="F1211">
        <v>2012</v>
      </c>
      <c r="G1211" t="s">
        <v>559</v>
      </c>
      <c r="H1211" s="3">
        <v>1.5451388888888891</v>
      </c>
      <c r="I1211" t="s">
        <v>61</v>
      </c>
      <c r="J1211" t="s">
        <v>61</v>
      </c>
      <c r="K1211" t="s">
        <v>61</v>
      </c>
      <c r="L1211" t="s">
        <v>9970</v>
      </c>
      <c r="M1211" t="s">
        <v>9971</v>
      </c>
      <c r="N1211" t="s">
        <v>9972</v>
      </c>
      <c r="O1211" t="s">
        <v>61</v>
      </c>
      <c r="Q1211" t="s">
        <v>61</v>
      </c>
      <c r="R1211" t="s">
        <v>61</v>
      </c>
      <c r="S1211" t="s">
        <v>61</v>
      </c>
      <c r="T1211" t="s">
        <v>61</v>
      </c>
      <c r="X1211" t="s">
        <v>61</v>
      </c>
      <c r="Y1211" t="s">
        <v>8891</v>
      </c>
      <c r="Z1211" t="s">
        <v>61</v>
      </c>
      <c r="AA1211" t="s">
        <v>61</v>
      </c>
      <c r="AB1211">
        <v>2012370833</v>
      </c>
      <c r="AC1211" t="s">
        <v>67</v>
      </c>
      <c r="AD1211" t="s">
        <v>61</v>
      </c>
      <c r="AE1211" t="s">
        <v>61</v>
      </c>
      <c r="AF1211" t="s">
        <v>61</v>
      </c>
      <c r="AG1211" t="s">
        <v>61</v>
      </c>
      <c r="AH1211" t="s">
        <v>61</v>
      </c>
      <c r="AI1211" t="s">
        <v>61</v>
      </c>
      <c r="AJ1211" t="s">
        <v>61</v>
      </c>
      <c r="AK1211" t="s">
        <v>61</v>
      </c>
      <c r="AL1211" t="s">
        <v>61</v>
      </c>
      <c r="AM1211" t="s">
        <v>9969</v>
      </c>
      <c r="AN1211" t="s">
        <v>61</v>
      </c>
      <c r="AO1211" t="s">
        <v>61</v>
      </c>
      <c r="AP1211" t="s">
        <v>61</v>
      </c>
      <c r="AQ1211" t="s">
        <v>61</v>
      </c>
      <c r="AR1211" t="s">
        <v>61</v>
      </c>
      <c r="AS1211" t="s">
        <v>61</v>
      </c>
      <c r="AT1211" t="s">
        <v>61</v>
      </c>
      <c r="AU1211" t="s">
        <v>61</v>
      </c>
      <c r="AV1211" t="s">
        <v>61</v>
      </c>
      <c r="AW1211" t="s">
        <v>61</v>
      </c>
      <c r="AX1211" t="s">
        <v>61</v>
      </c>
      <c r="AY1211" t="s">
        <v>61</v>
      </c>
      <c r="AZ1211" t="s">
        <v>61</v>
      </c>
      <c r="BA1211" t="s">
        <v>61</v>
      </c>
      <c r="BB1211" t="s">
        <v>61</v>
      </c>
      <c r="BC1211" t="s">
        <v>61</v>
      </c>
      <c r="BD1211" t="s">
        <v>61</v>
      </c>
      <c r="BE1211" t="s">
        <v>61</v>
      </c>
      <c r="BF1211" t="s">
        <v>61</v>
      </c>
    </row>
    <row r="1212" spans="1:58">
      <c r="A1212" t="s">
        <v>58</v>
      </c>
      <c r="B1212" t="s">
        <v>9973</v>
      </c>
      <c r="C1212" t="s">
        <v>9974</v>
      </c>
      <c r="D1212" t="s">
        <v>436</v>
      </c>
      <c r="E1212" t="s">
        <v>436</v>
      </c>
      <c r="F1212">
        <v>2012</v>
      </c>
      <c r="G1212" t="s">
        <v>4981</v>
      </c>
      <c r="H1212">
        <v>37</v>
      </c>
      <c r="I1212">
        <v>2</v>
      </c>
      <c r="J1212">
        <v>445</v>
      </c>
      <c r="K1212">
        <v>455</v>
      </c>
      <c r="L1212" t="s">
        <v>9975</v>
      </c>
      <c r="M1212" t="s">
        <v>9976</v>
      </c>
      <c r="N1212" t="s">
        <v>9977</v>
      </c>
      <c r="O1212" t="s">
        <v>61</v>
      </c>
      <c r="Q1212" t="s">
        <v>61</v>
      </c>
      <c r="R1212" t="s">
        <v>61</v>
      </c>
      <c r="S1212" t="s">
        <v>61</v>
      </c>
      <c r="T1212" t="s">
        <v>61</v>
      </c>
      <c r="X1212" t="s">
        <v>61</v>
      </c>
      <c r="Y1212" t="s">
        <v>9978</v>
      </c>
      <c r="Z1212" t="s">
        <v>61</v>
      </c>
      <c r="AA1212" t="s">
        <v>61</v>
      </c>
      <c r="AB1212">
        <v>2012045173</v>
      </c>
      <c r="AC1212" t="s">
        <v>67</v>
      </c>
      <c r="AD1212" t="s">
        <v>61</v>
      </c>
      <c r="AE1212" t="s">
        <v>61</v>
      </c>
      <c r="AF1212" t="s">
        <v>61</v>
      </c>
      <c r="AG1212" t="s">
        <v>9979</v>
      </c>
      <c r="AH1212" t="s">
        <v>61</v>
      </c>
      <c r="AI1212" t="s">
        <v>61</v>
      </c>
      <c r="AJ1212" t="s">
        <v>61</v>
      </c>
      <c r="AK1212" t="s">
        <v>61</v>
      </c>
      <c r="AL1212" t="s">
        <v>61</v>
      </c>
      <c r="AM1212" t="s">
        <v>9980</v>
      </c>
      <c r="AN1212" t="s">
        <v>61</v>
      </c>
      <c r="AO1212" t="s">
        <v>61</v>
      </c>
      <c r="AP1212" t="s">
        <v>61</v>
      </c>
      <c r="AQ1212" t="s">
        <v>61</v>
      </c>
      <c r="AR1212" t="s">
        <v>61</v>
      </c>
      <c r="AS1212" t="s">
        <v>61</v>
      </c>
      <c r="AT1212" t="s">
        <v>61</v>
      </c>
      <c r="AU1212" t="s">
        <v>61</v>
      </c>
      <c r="AV1212" t="s">
        <v>61</v>
      </c>
      <c r="AW1212" t="s">
        <v>61</v>
      </c>
      <c r="AX1212" t="s">
        <v>61</v>
      </c>
      <c r="AY1212" t="s">
        <v>61</v>
      </c>
      <c r="AZ1212" t="s">
        <v>61</v>
      </c>
      <c r="BA1212" t="s">
        <v>61</v>
      </c>
      <c r="BB1212" t="s">
        <v>61</v>
      </c>
      <c r="BC1212" t="s">
        <v>61</v>
      </c>
      <c r="BD1212" t="s">
        <v>61</v>
      </c>
      <c r="BE1212" t="s">
        <v>61</v>
      </c>
      <c r="BF1212" t="s">
        <v>61</v>
      </c>
    </row>
    <row r="1213" spans="1:58">
      <c r="A1213" t="s">
        <v>58</v>
      </c>
      <c r="B1213" t="s">
        <v>9981</v>
      </c>
      <c r="C1213" t="s">
        <v>9982</v>
      </c>
      <c r="D1213" t="s">
        <v>876</v>
      </c>
      <c r="E1213" t="s">
        <v>877</v>
      </c>
      <c r="F1213">
        <v>2012</v>
      </c>
      <c r="G1213">
        <v>18</v>
      </c>
      <c r="H1213">
        <v>76</v>
      </c>
      <c r="I1213">
        <v>5</v>
      </c>
      <c r="J1213">
        <v>86</v>
      </c>
      <c r="K1213" t="s">
        <v>61</v>
      </c>
      <c r="L1213" t="s">
        <v>9983</v>
      </c>
      <c r="M1213" t="s">
        <v>9984</v>
      </c>
      <c r="N1213" t="s">
        <v>9985</v>
      </c>
      <c r="O1213" t="s">
        <v>61</v>
      </c>
      <c r="Q1213" t="s">
        <v>61</v>
      </c>
      <c r="R1213" t="s">
        <v>61</v>
      </c>
      <c r="S1213" t="s">
        <v>61</v>
      </c>
      <c r="T1213" t="s">
        <v>61</v>
      </c>
      <c r="X1213" t="s">
        <v>61</v>
      </c>
      <c r="Y1213" t="s">
        <v>3719</v>
      </c>
      <c r="Z1213" t="s">
        <v>61</v>
      </c>
      <c r="AA1213" t="s">
        <v>61</v>
      </c>
      <c r="AB1213" t="s">
        <v>61</v>
      </c>
      <c r="AC1213" t="s">
        <v>67</v>
      </c>
      <c r="AD1213" t="s">
        <v>61</v>
      </c>
      <c r="AE1213" t="s">
        <v>61</v>
      </c>
      <c r="AF1213" t="s">
        <v>61</v>
      </c>
      <c r="AG1213" t="s">
        <v>9986</v>
      </c>
      <c r="AH1213" t="s">
        <v>61</v>
      </c>
      <c r="AI1213" t="s">
        <v>61</v>
      </c>
      <c r="AJ1213" t="s">
        <v>61</v>
      </c>
      <c r="AK1213" t="s">
        <v>61</v>
      </c>
      <c r="AL1213" t="s">
        <v>61</v>
      </c>
      <c r="AM1213" t="s">
        <v>9987</v>
      </c>
      <c r="AN1213" t="s">
        <v>61</v>
      </c>
      <c r="AO1213" t="s">
        <v>61</v>
      </c>
      <c r="AP1213" t="s">
        <v>61</v>
      </c>
      <c r="AQ1213" t="s">
        <v>61</v>
      </c>
      <c r="AR1213" t="s">
        <v>61</v>
      </c>
      <c r="AS1213" t="s">
        <v>61</v>
      </c>
      <c r="AT1213" t="s">
        <v>61</v>
      </c>
      <c r="AU1213" t="s">
        <v>61</v>
      </c>
      <c r="AV1213" t="s">
        <v>61</v>
      </c>
      <c r="AW1213" t="s">
        <v>61</v>
      </c>
      <c r="AX1213" t="s">
        <v>61</v>
      </c>
      <c r="AY1213" t="s">
        <v>61</v>
      </c>
      <c r="AZ1213" t="s">
        <v>61</v>
      </c>
      <c r="BA1213" t="s">
        <v>61</v>
      </c>
      <c r="BB1213" t="s">
        <v>61</v>
      </c>
      <c r="BC1213" t="s">
        <v>61</v>
      </c>
      <c r="BD1213" t="s">
        <v>61</v>
      </c>
      <c r="BE1213" t="s">
        <v>61</v>
      </c>
      <c r="BF1213" t="s">
        <v>61</v>
      </c>
    </row>
    <row r="1214" spans="1:58">
      <c r="A1214" t="s">
        <v>58</v>
      </c>
      <c r="B1214" t="s">
        <v>9988</v>
      </c>
      <c r="C1214" t="s">
        <v>9989</v>
      </c>
      <c r="D1214" t="s">
        <v>9990</v>
      </c>
      <c r="E1214" t="s">
        <v>61</v>
      </c>
      <c r="F1214">
        <v>2013</v>
      </c>
      <c r="G1214" t="s">
        <v>1332</v>
      </c>
      <c r="H1214">
        <v>10</v>
      </c>
      <c r="I1214">
        <v>6</v>
      </c>
      <c r="J1214">
        <v>1359</v>
      </c>
      <c r="K1214">
        <v>1371</v>
      </c>
      <c r="L1214" t="s">
        <v>9991</v>
      </c>
      <c r="M1214" t="s">
        <v>9992</v>
      </c>
      <c r="N1214" t="s">
        <v>9993</v>
      </c>
      <c r="O1214" t="s">
        <v>61</v>
      </c>
      <c r="Q1214" t="s">
        <v>61</v>
      </c>
      <c r="R1214" t="s">
        <v>61</v>
      </c>
      <c r="S1214" t="s">
        <v>61</v>
      </c>
      <c r="T1214" t="s">
        <v>61</v>
      </c>
      <c r="X1214" t="s">
        <v>61</v>
      </c>
      <c r="Y1214" t="s">
        <v>9994</v>
      </c>
      <c r="Z1214" t="s">
        <v>61</v>
      </c>
      <c r="AA1214" t="s">
        <v>9995</v>
      </c>
      <c r="AB1214">
        <v>24407295</v>
      </c>
      <c r="AC1214" t="s">
        <v>67</v>
      </c>
      <c r="AD1214" t="s">
        <v>61</v>
      </c>
      <c r="AE1214" t="s">
        <v>61</v>
      </c>
      <c r="AF1214" t="s">
        <v>61</v>
      </c>
      <c r="AG1214" t="s">
        <v>9996</v>
      </c>
      <c r="AH1214" t="s">
        <v>61</v>
      </c>
      <c r="AI1214" t="s">
        <v>9997</v>
      </c>
      <c r="AJ1214" t="s">
        <v>61</v>
      </c>
      <c r="AK1214" t="s">
        <v>61</v>
      </c>
      <c r="AL1214" t="s">
        <v>61</v>
      </c>
      <c r="AM1214" t="s">
        <v>9998</v>
      </c>
      <c r="AN1214" t="s">
        <v>61</v>
      </c>
      <c r="AO1214" t="s">
        <v>61</v>
      </c>
      <c r="AP1214" t="s">
        <v>61</v>
      </c>
      <c r="AQ1214" t="s">
        <v>61</v>
      </c>
      <c r="AR1214" t="s">
        <v>61</v>
      </c>
      <c r="AS1214" t="s">
        <v>61</v>
      </c>
      <c r="AT1214" t="s">
        <v>61</v>
      </c>
      <c r="AU1214" t="s">
        <v>61</v>
      </c>
      <c r="AV1214" t="s">
        <v>61</v>
      </c>
      <c r="AW1214" t="s">
        <v>61</v>
      </c>
      <c r="AX1214" t="s">
        <v>61</v>
      </c>
      <c r="AY1214" t="s">
        <v>61</v>
      </c>
      <c r="AZ1214" t="s">
        <v>61</v>
      </c>
      <c r="BA1214" t="s">
        <v>61</v>
      </c>
      <c r="BB1214" t="s">
        <v>61</v>
      </c>
      <c r="BC1214" t="s">
        <v>61</v>
      </c>
      <c r="BD1214" t="s">
        <v>61</v>
      </c>
      <c r="BE1214" t="s">
        <v>61</v>
      </c>
      <c r="BF1214" t="s">
        <v>61</v>
      </c>
    </row>
    <row r="1215" spans="1:58">
      <c r="A1215" t="s">
        <v>58</v>
      </c>
      <c r="B1215" t="s">
        <v>9999</v>
      </c>
      <c r="C1215" t="s">
        <v>10000</v>
      </c>
      <c r="D1215" t="s">
        <v>10001</v>
      </c>
      <c r="E1215" t="s">
        <v>61</v>
      </c>
      <c r="F1215">
        <v>2014</v>
      </c>
      <c r="G1215" t="s">
        <v>61</v>
      </c>
      <c r="H1215">
        <v>5</v>
      </c>
      <c r="I1215" t="s">
        <v>61</v>
      </c>
      <c r="J1215">
        <v>95</v>
      </c>
      <c r="K1215">
        <v>105</v>
      </c>
      <c r="L1215" t="s">
        <v>61</v>
      </c>
      <c r="M1215" t="s">
        <v>10002</v>
      </c>
      <c r="N1215" t="s">
        <v>10003</v>
      </c>
      <c r="O1215" t="s">
        <v>61</v>
      </c>
      <c r="Q1215" t="s">
        <v>61</v>
      </c>
      <c r="R1215" t="s">
        <v>61</v>
      </c>
      <c r="S1215" t="s">
        <v>61</v>
      </c>
      <c r="T1215" t="s">
        <v>61</v>
      </c>
      <c r="X1215" t="s">
        <v>61</v>
      </c>
      <c r="Y1215" t="s">
        <v>10004</v>
      </c>
      <c r="Z1215" t="s">
        <v>61</v>
      </c>
      <c r="AA1215" t="s">
        <v>10005</v>
      </c>
      <c r="AB1215">
        <v>25187752</v>
      </c>
      <c r="AC1215" t="s">
        <v>67</v>
      </c>
      <c r="AD1215" t="s">
        <v>61</v>
      </c>
      <c r="AE1215" t="s">
        <v>61</v>
      </c>
      <c r="AF1215" t="s">
        <v>61</v>
      </c>
      <c r="AG1215" t="s">
        <v>10006</v>
      </c>
      <c r="AH1215" t="s">
        <v>61</v>
      </c>
      <c r="AI1215" t="s">
        <v>10007</v>
      </c>
      <c r="AJ1215" t="s">
        <v>61</v>
      </c>
      <c r="AK1215" t="s">
        <v>61</v>
      </c>
      <c r="AL1215" t="s">
        <v>61</v>
      </c>
      <c r="AM1215" t="s">
        <v>10008</v>
      </c>
      <c r="AN1215" t="s">
        <v>61</v>
      </c>
      <c r="AO1215" t="s">
        <v>61</v>
      </c>
      <c r="AP1215" t="s">
        <v>61</v>
      </c>
      <c r="AQ1215" t="s">
        <v>61</v>
      </c>
      <c r="AR1215" t="s">
        <v>61</v>
      </c>
      <c r="AS1215" t="s">
        <v>61</v>
      </c>
      <c r="AT1215" t="s">
        <v>61</v>
      </c>
      <c r="AU1215" t="s">
        <v>61</v>
      </c>
      <c r="AV1215" t="s">
        <v>61</v>
      </c>
      <c r="AW1215" t="s">
        <v>61</v>
      </c>
      <c r="AX1215" t="s">
        <v>61</v>
      </c>
      <c r="AY1215" t="s">
        <v>61</v>
      </c>
      <c r="AZ1215" t="s">
        <v>61</v>
      </c>
      <c r="BA1215" t="s">
        <v>61</v>
      </c>
      <c r="BB1215" t="s">
        <v>61</v>
      </c>
      <c r="BC1215" t="s">
        <v>61</v>
      </c>
      <c r="BD1215" t="s">
        <v>61</v>
      </c>
      <c r="BE1215" t="s">
        <v>61</v>
      </c>
      <c r="BF1215" t="s">
        <v>61</v>
      </c>
    </row>
    <row r="1216" spans="1:58">
      <c r="A1216" t="s">
        <v>58</v>
      </c>
      <c r="B1216" t="s">
        <v>10009</v>
      </c>
      <c r="C1216" t="s">
        <v>10010</v>
      </c>
      <c r="D1216" t="s">
        <v>10011</v>
      </c>
      <c r="E1216" t="s">
        <v>61</v>
      </c>
      <c r="F1216">
        <v>2013</v>
      </c>
      <c r="G1216" s="1">
        <v>42675</v>
      </c>
      <c r="H1216" t="s">
        <v>10012</v>
      </c>
      <c r="I1216" t="s">
        <v>61</v>
      </c>
      <c r="J1216" t="s">
        <v>61</v>
      </c>
      <c r="K1216" t="s">
        <v>61</v>
      </c>
      <c r="L1216" t="s">
        <v>10013</v>
      </c>
      <c r="M1216" t="s">
        <v>10014</v>
      </c>
      <c r="N1216" t="s">
        <v>10015</v>
      </c>
      <c r="O1216" t="s">
        <v>61</v>
      </c>
      <c r="Q1216" t="s">
        <v>61</v>
      </c>
      <c r="R1216" t="s">
        <v>61</v>
      </c>
      <c r="S1216" t="s">
        <v>61</v>
      </c>
      <c r="T1216" t="s">
        <v>61</v>
      </c>
      <c r="X1216" t="s">
        <v>61</v>
      </c>
      <c r="Y1216" t="s">
        <v>10016</v>
      </c>
      <c r="Z1216" t="s">
        <v>61</v>
      </c>
      <c r="AA1216" t="s">
        <v>61</v>
      </c>
      <c r="AB1216" t="s">
        <v>61</v>
      </c>
      <c r="AC1216" t="s">
        <v>67</v>
      </c>
      <c r="AD1216" t="s">
        <v>61</v>
      </c>
      <c r="AE1216" t="s">
        <v>61</v>
      </c>
      <c r="AF1216" t="s">
        <v>61</v>
      </c>
      <c r="AG1216" t="s">
        <v>61</v>
      </c>
      <c r="AH1216" t="s">
        <v>61</v>
      </c>
      <c r="AI1216" t="s">
        <v>61</v>
      </c>
      <c r="AJ1216" t="s">
        <v>61</v>
      </c>
      <c r="AK1216" t="s">
        <v>61</v>
      </c>
      <c r="AL1216" t="s">
        <v>61</v>
      </c>
      <c r="AM1216" t="s">
        <v>10010</v>
      </c>
      <c r="AN1216" t="s">
        <v>61</v>
      </c>
      <c r="AO1216" t="s">
        <v>61</v>
      </c>
      <c r="AP1216" t="s">
        <v>61</v>
      </c>
      <c r="AQ1216" t="s">
        <v>61</v>
      </c>
      <c r="AR1216" t="s">
        <v>61</v>
      </c>
      <c r="AS1216" t="s">
        <v>61</v>
      </c>
      <c r="AT1216" t="s">
        <v>61</v>
      </c>
      <c r="AU1216" t="s">
        <v>61</v>
      </c>
      <c r="AV1216" t="s">
        <v>61</v>
      </c>
      <c r="AW1216" t="s">
        <v>61</v>
      </c>
      <c r="AX1216" t="s">
        <v>61</v>
      </c>
      <c r="AY1216" t="s">
        <v>61</v>
      </c>
      <c r="AZ1216" t="s">
        <v>61</v>
      </c>
      <c r="BA1216" t="s">
        <v>61</v>
      </c>
      <c r="BB1216" t="s">
        <v>61</v>
      </c>
      <c r="BC1216" t="s">
        <v>61</v>
      </c>
      <c r="BD1216" t="s">
        <v>61</v>
      </c>
      <c r="BE1216" t="s">
        <v>61</v>
      </c>
      <c r="BF1216" t="s">
        <v>61</v>
      </c>
    </row>
    <row r="1217" spans="1:58">
      <c r="A1217" t="s">
        <v>58</v>
      </c>
      <c r="B1217" t="s">
        <v>10017</v>
      </c>
      <c r="C1217" t="s">
        <v>10018</v>
      </c>
      <c r="D1217" t="s">
        <v>10019</v>
      </c>
      <c r="E1217" t="s">
        <v>61</v>
      </c>
      <c r="F1217">
        <v>2006</v>
      </c>
      <c r="G1217" t="s">
        <v>61</v>
      </c>
      <c r="H1217" t="s">
        <v>61</v>
      </c>
      <c r="I1217">
        <v>92</v>
      </c>
      <c r="J1217">
        <v>64</v>
      </c>
      <c r="K1217" t="s">
        <v>10020</v>
      </c>
      <c r="L1217" t="s">
        <v>10021</v>
      </c>
      <c r="M1217" t="s">
        <v>10022</v>
      </c>
      <c r="N1217" t="s">
        <v>10023</v>
      </c>
      <c r="O1217" t="s">
        <v>61</v>
      </c>
      <c r="Q1217" t="s">
        <v>61</v>
      </c>
      <c r="R1217" t="s">
        <v>61</v>
      </c>
      <c r="S1217" t="s">
        <v>61</v>
      </c>
      <c r="T1217" t="s">
        <v>61</v>
      </c>
      <c r="X1217" t="s">
        <v>61</v>
      </c>
      <c r="Y1217" t="s">
        <v>10024</v>
      </c>
      <c r="Z1217" t="s">
        <v>61</v>
      </c>
      <c r="AA1217" t="s">
        <v>61</v>
      </c>
      <c r="AB1217">
        <v>106216145</v>
      </c>
      <c r="AC1217" t="s">
        <v>67</v>
      </c>
      <c r="AD1217" t="s">
        <v>61</v>
      </c>
      <c r="AE1217" t="s">
        <v>61</v>
      </c>
      <c r="AF1217" t="s">
        <v>61</v>
      </c>
      <c r="AG1217" t="s">
        <v>10025</v>
      </c>
      <c r="AH1217" t="s">
        <v>61</v>
      </c>
      <c r="AI1217" t="s">
        <v>61</v>
      </c>
      <c r="AJ1217" t="s">
        <v>61</v>
      </c>
      <c r="AK1217" t="s">
        <v>61</v>
      </c>
      <c r="AL1217" t="s">
        <v>61</v>
      </c>
      <c r="AM1217" t="s">
        <v>10026</v>
      </c>
      <c r="AN1217" t="s">
        <v>61</v>
      </c>
      <c r="AO1217" t="s">
        <v>61</v>
      </c>
      <c r="AP1217" t="s">
        <v>61</v>
      </c>
      <c r="AQ1217" t="s">
        <v>61</v>
      </c>
      <c r="AR1217" t="s">
        <v>61</v>
      </c>
      <c r="AS1217" t="s">
        <v>61</v>
      </c>
      <c r="AT1217" t="s">
        <v>61</v>
      </c>
      <c r="AU1217" t="s">
        <v>61</v>
      </c>
      <c r="AV1217" t="s">
        <v>61</v>
      </c>
      <c r="AW1217" t="s">
        <v>61</v>
      </c>
      <c r="AX1217" t="s">
        <v>61</v>
      </c>
      <c r="AY1217" t="s">
        <v>61</v>
      </c>
      <c r="AZ1217" t="s">
        <v>61</v>
      </c>
      <c r="BA1217" t="s">
        <v>61</v>
      </c>
      <c r="BB1217" t="s">
        <v>61</v>
      </c>
      <c r="BC1217" t="s">
        <v>61</v>
      </c>
      <c r="BD1217" t="s">
        <v>61</v>
      </c>
      <c r="BE1217" t="s">
        <v>61</v>
      </c>
      <c r="BF1217" t="s">
        <v>61</v>
      </c>
    </row>
    <row r="1218" spans="1:58">
      <c r="A1218" t="s">
        <v>58</v>
      </c>
      <c r="B1218" t="s">
        <v>10027</v>
      </c>
      <c r="C1218" t="s">
        <v>10028</v>
      </c>
      <c r="D1218" t="s">
        <v>10029</v>
      </c>
      <c r="E1218" t="s">
        <v>10029</v>
      </c>
      <c r="F1218">
        <v>2004</v>
      </c>
      <c r="G1218" t="s">
        <v>61</v>
      </c>
      <c r="H1218">
        <v>39</v>
      </c>
      <c r="I1218">
        <v>12</v>
      </c>
      <c r="J1218">
        <v>577</v>
      </c>
      <c r="K1218" t="s">
        <v>10030</v>
      </c>
      <c r="L1218" t="s">
        <v>10031</v>
      </c>
      <c r="M1218" t="s">
        <v>10032</v>
      </c>
      <c r="N1218" t="s">
        <v>10033</v>
      </c>
      <c r="O1218" t="s">
        <v>61</v>
      </c>
      <c r="Q1218" t="s">
        <v>61</v>
      </c>
      <c r="R1218" t="s">
        <v>61</v>
      </c>
      <c r="S1218" t="s">
        <v>61</v>
      </c>
      <c r="T1218" t="s">
        <v>61</v>
      </c>
      <c r="X1218" t="s">
        <v>61</v>
      </c>
      <c r="Y1218" t="s">
        <v>10034</v>
      </c>
      <c r="Z1218" t="s">
        <v>61</v>
      </c>
      <c r="AA1218" t="s">
        <v>10035</v>
      </c>
      <c r="AB1218">
        <v>106535846</v>
      </c>
      <c r="AC1218" t="s">
        <v>67</v>
      </c>
      <c r="AD1218" t="s">
        <v>61</v>
      </c>
      <c r="AE1218" t="s">
        <v>61</v>
      </c>
      <c r="AF1218" t="s">
        <v>61</v>
      </c>
      <c r="AG1218" t="s">
        <v>10036</v>
      </c>
      <c r="AH1218" t="s">
        <v>61</v>
      </c>
      <c r="AI1218" t="s">
        <v>61</v>
      </c>
      <c r="AJ1218" t="s">
        <v>61</v>
      </c>
      <c r="AK1218" t="s">
        <v>61</v>
      </c>
      <c r="AL1218" t="s">
        <v>61</v>
      </c>
      <c r="AM1218" t="s">
        <v>10037</v>
      </c>
      <c r="AN1218" t="s">
        <v>61</v>
      </c>
      <c r="AO1218" t="s">
        <v>61</v>
      </c>
      <c r="AP1218" t="s">
        <v>61</v>
      </c>
      <c r="AQ1218" t="s">
        <v>61</v>
      </c>
      <c r="AR1218" t="s">
        <v>61</v>
      </c>
      <c r="AS1218" t="s">
        <v>61</v>
      </c>
      <c r="AT1218" t="s">
        <v>61</v>
      </c>
      <c r="AU1218" t="s">
        <v>61</v>
      </c>
      <c r="AV1218" t="s">
        <v>61</v>
      </c>
      <c r="AW1218" t="s">
        <v>61</v>
      </c>
      <c r="AX1218" t="s">
        <v>61</v>
      </c>
      <c r="AY1218" t="s">
        <v>61</v>
      </c>
      <c r="AZ1218" t="s">
        <v>61</v>
      </c>
      <c r="BA1218" t="s">
        <v>61</v>
      </c>
      <c r="BB1218" t="s">
        <v>61</v>
      </c>
      <c r="BC1218" t="s">
        <v>61</v>
      </c>
      <c r="BD1218" t="s">
        <v>61</v>
      </c>
      <c r="BE1218" t="s">
        <v>61</v>
      </c>
      <c r="BF1218" t="s">
        <v>61</v>
      </c>
    </row>
    <row r="1219" spans="1:58">
      <c r="A1219" t="s">
        <v>58</v>
      </c>
      <c r="B1219" t="s">
        <v>10038</v>
      </c>
      <c r="C1219" t="s">
        <v>10039</v>
      </c>
      <c r="D1219" t="s">
        <v>1761</v>
      </c>
      <c r="E1219" t="s">
        <v>61</v>
      </c>
      <c r="F1219">
        <v>1989</v>
      </c>
      <c r="G1219" t="s">
        <v>559</v>
      </c>
      <c r="H1219">
        <v>35</v>
      </c>
      <c r="I1219" t="s">
        <v>61</v>
      </c>
      <c r="J1219">
        <v>1157</v>
      </c>
      <c r="K1219">
        <v>1160</v>
      </c>
      <c r="L1219" t="s">
        <v>61</v>
      </c>
      <c r="M1219" t="s">
        <v>10040</v>
      </c>
      <c r="N1219" t="s">
        <v>10041</v>
      </c>
      <c r="O1219" t="s">
        <v>61</v>
      </c>
      <c r="Q1219" t="s">
        <v>61</v>
      </c>
      <c r="R1219" t="s">
        <v>61</v>
      </c>
      <c r="S1219" t="s">
        <v>61</v>
      </c>
      <c r="T1219" t="s">
        <v>61</v>
      </c>
      <c r="X1219" t="s">
        <v>61</v>
      </c>
      <c r="Y1219" t="s">
        <v>1764</v>
      </c>
      <c r="Z1219" t="s">
        <v>61</v>
      </c>
      <c r="AA1219" t="s">
        <v>61</v>
      </c>
      <c r="AB1219">
        <v>21248950</v>
      </c>
      <c r="AC1219" t="s">
        <v>67</v>
      </c>
      <c r="AD1219" t="s">
        <v>61</v>
      </c>
      <c r="AE1219" t="s">
        <v>61</v>
      </c>
      <c r="AF1219" t="s">
        <v>61</v>
      </c>
      <c r="AG1219" t="s">
        <v>10042</v>
      </c>
      <c r="AH1219" t="s">
        <v>61</v>
      </c>
      <c r="AI1219" t="s">
        <v>61</v>
      </c>
      <c r="AJ1219" t="s">
        <v>61</v>
      </c>
      <c r="AK1219" t="s">
        <v>61</v>
      </c>
      <c r="AL1219" t="s">
        <v>61</v>
      </c>
      <c r="AM1219" t="s">
        <v>10043</v>
      </c>
      <c r="AN1219" t="s">
        <v>61</v>
      </c>
      <c r="AO1219" t="s">
        <v>61</v>
      </c>
      <c r="AP1219" t="s">
        <v>61</v>
      </c>
      <c r="AQ1219" t="s">
        <v>61</v>
      </c>
      <c r="AR1219" t="s">
        <v>61</v>
      </c>
      <c r="AS1219" t="s">
        <v>61</v>
      </c>
      <c r="AT1219" t="s">
        <v>61</v>
      </c>
      <c r="AU1219" t="s">
        <v>61</v>
      </c>
      <c r="AV1219" t="s">
        <v>61</v>
      </c>
      <c r="AW1219" t="s">
        <v>61</v>
      </c>
      <c r="AX1219" t="s">
        <v>61</v>
      </c>
      <c r="AY1219" t="s">
        <v>61</v>
      </c>
      <c r="AZ1219" t="s">
        <v>61</v>
      </c>
      <c r="BA1219" t="s">
        <v>61</v>
      </c>
      <c r="BB1219" t="s">
        <v>61</v>
      </c>
      <c r="BC1219" t="s">
        <v>61</v>
      </c>
      <c r="BD1219" t="s">
        <v>61</v>
      </c>
      <c r="BE1219" t="s">
        <v>61</v>
      </c>
      <c r="BF1219" t="s">
        <v>61</v>
      </c>
    </row>
    <row r="1220" spans="1:58">
      <c r="A1220" t="s">
        <v>58</v>
      </c>
      <c r="B1220" t="s">
        <v>10044</v>
      </c>
      <c r="C1220" t="s">
        <v>10045</v>
      </c>
      <c r="D1220" t="s">
        <v>10046</v>
      </c>
      <c r="E1220" t="s">
        <v>10047</v>
      </c>
      <c r="F1220">
        <v>2016</v>
      </c>
      <c r="G1220" t="s">
        <v>2798</v>
      </c>
      <c r="H1220">
        <v>113</v>
      </c>
      <c r="I1220">
        <v>1</v>
      </c>
      <c r="J1220">
        <v>72</v>
      </c>
      <c r="K1220">
        <v>78</v>
      </c>
      <c r="L1220" t="s">
        <v>61</v>
      </c>
      <c r="M1220" t="s">
        <v>10048</v>
      </c>
      <c r="N1220" t="s">
        <v>10049</v>
      </c>
      <c r="O1220" t="s">
        <v>61</v>
      </c>
      <c r="Q1220" t="s">
        <v>61</v>
      </c>
      <c r="R1220" t="s">
        <v>61</v>
      </c>
      <c r="S1220" t="s">
        <v>61</v>
      </c>
      <c r="T1220" t="s">
        <v>61</v>
      </c>
      <c r="X1220" t="s">
        <v>61</v>
      </c>
      <c r="Y1220" t="s">
        <v>10050</v>
      </c>
      <c r="Z1220" t="s">
        <v>61</v>
      </c>
      <c r="AA1220" t="s">
        <v>61</v>
      </c>
      <c r="AB1220">
        <v>27039496</v>
      </c>
      <c r="AC1220" t="s">
        <v>67</v>
      </c>
      <c r="AD1220" t="s">
        <v>61</v>
      </c>
      <c r="AE1220" t="s">
        <v>61</v>
      </c>
      <c r="AF1220" t="s">
        <v>61</v>
      </c>
      <c r="AG1220" t="s">
        <v>10051</v>
      </c>
      <c r="AH1220" t="s">
        <v>61</v>
      </c>
      <c r="AI1220" t="s">
        <v>61</v>
      </c>
      <c r="AJ1220" t="s">
        <v>61</v>
      </c>
      <c r="AK1220" t="s">
        <v>61</v>
      </c>
      <c r="AL1220" t="s">
        <v>61</v>
      </c>
      <c r="AM1220" t="s">
        <v>10052</v>
      </c>
      <c r="AN1220" t="s">
        <v>61</v>
      </c>
      <c r="AO1220" t="s">
        <v>61</v>
      </c>
      <c r="AP1220" t="s">
        <v>61</v>
      </c>
      <c r="AQ1220" t="s">
        <v>61</v>
      </c>
      <c r="AR1220" t="s">
        <v>61</v>
      </c>
      <c r="AS1220" t="s">
        <v>61</v>
      </c>
      <c r="AT1220" t="s">
        <v>61</v>
      </c>
      <c r="AU1220" t="s">
        <v>61</v>
      </c>
      <c r="AV1220" t="s">
        <v>61</v>
      </c>
      <c r="AW1220" t="s">
        <v>61</v>
      </c>
      <c r="AX1220" t="s">
        <v>61</v>
      </c>
      <c r="AY1220" t="s">
        <v>61</v>
      </c>
      <c r="AZ1220" t="s">
        <v>61</v>
      </c>
      <c r="BA1220" t="s">
        <v>61</v>
      </c>
      <c r="BB1220" t="s">
        <v>61</v>
      </c>
      <c r="BC1220" t="s">
        <v>61</v>
      </c>
      <c r="BD1220" t="s">
        <v>61</v>
      </c>
      <c r="BE1220" t="s">
        <v>61</v>
      </c>
      <c r="BF1220" t="s">
        <v>61</v>
      </c>
    </row>
    <row r="1221" spans="1:58">
      <c r="A1221" t="s">
        <v>58</v>
      </c>
      <c r="B1221" t="s">
        <v>10053</v>
      </c>
      <c r="C1221" t="s">
        <v>10054</v>
      </c>
      <c r="D1221" t="s">
        <v>1739</v>
      </c>
      <c r="E1221" t="s">
        <v>1740</v>
      </c>
      <c r="F1221">
        <v>1985</v>
      </c>
      <c r="G1221" t="s">
        <v>1152</v>
      </c>
      <c r="H1221">
        <v>42</v>
      </c>
      <c r="I1221">
        <v>9</v>
      </c>
      <c r="J1221">
        <v>1947</v>
      </c>
      <c r="K1221">
        <v>1949</v>
      </c>
      <c r="L1221" t="s">
        <v>10055</v>
      </c>
      <c r="M1221" t="s">
        <v>10056</v>
      </c>
      <c r="N1221" t="s">
        <v>10057</v>
      </c>
      <c r="O1221" t="s">
        <v>61</v>
      </c>
      <c r="Q1221" t="s">
        <v>61</v>
      </c>
      <c r="R1221" t="s">
        <v>61</v>
      </c>
      <c r="S1221" t="s">
        <v>61</v>
      </c>
      <c r="T1221" t="s">
        <v>61</v>
      </c>
      <c r="X1221" t="s">
        <v>61</v>
      </c>
      <c r="Y1221" s="2">
        <v>2698811</v>
      </c>
      <c r="Z1221" t="s">
        <v>61</v>
      </c>
      <c r="AA1221" t="s">
        <v>61</v>
      </c>
      <c r="AB1221">
        <v>4050811</v>
      </c>
      <c r="AC1221" t="s">
        <v>67</v>
      </c>
      <c r="AD1221" t="s">
        <v>61</v>
      </c>
      <c r="AE1221" t="s">
        <v>61</v>
      </c>
      <c r="AF1221" t="s">
        <v>61</v>
      </c>
      <c r="AG1221" t="s">
        <v>10058</v>
      </c>
      <c r="AH1221" t="s">
        <v>61</v>
      </c>
      <c r="AI1221" t="s">
        <v>61</v>
      </c>
      <c r="AJ1221" t="s">
        <v>61</v>
      </c>
      <c r="AK1221" t="s">
        <v>61</v>
      </c>
      <c r="AL1221" t="s">
        <v>61</v>
      </c>
      <c r="AM1221" t="s">
        <v>10059</v>
      </c>
      <c r="AN1221" t="s">
        <v>61</v>
      </c>
      <c r="AO1221" t="s">
        <v>61</v>
      </c>
      <c r="AP1221" t="s">
        <v>61</v>
      </c>
      <c r="AQ1221" t="s">
        <v>61</v>
      </c>
      <c r="AR1221" t="s">
        <v>61</v>
      </c>
      <c r="AS1221" t="s">
        <v>61</v>
      </c>
      <c r="AT1221" t="s">
        <v>61</v>
      </c>
      <c r="AU1221" t="s">
        <v>61</v>
      </c>
      <c r="AV1221" t="s">
        <v>61</v>
      </c>
      <c r="AW1221" t="s">
        <v>61</v>
      </c>
      <c r="AX1221" t="s">
        <v>61</v>
      </c>
      <c r="AY1221" t="s">
        <v>61</v>
      </c>
      <c r="AZ1221" t="s">
        <v>61</v>
      </c>
      <c r="BA1221" t="s">
        <v>61</v>
      </c>
      <c r="BB1221" t="s">
        <v>61</v>
      </c>
      <c r="BC1221" t="s">
        <v>61</v>
      </c>
      <c r="BD1221" t="s">
        <v>61</v>
      </c>
      <c r="BE1221" t="s">
        <v>61</v>
      </c>
      <c r="BF1221" t="s">
        <v>61</v>
      </c>
    </row>
    <row r="1222" spans="1:58">
      <c r="A1222" t="s">
        <v>58</v>
      </c>
      <c r="B1222" t="s">
        <v>10060</v>
      </c>
      <c r="C1222" t="s">
        <v>10061</v>
      </c>
      <c r="D1222" t="s">
        <v>271</v>
      </c>
      <c r="E1222" t="s">
        <v>272</v>
      </c>
      <c r="F1222">
        <v>2002</v>
      </c>
      <c r="G1222" t="s">
        <v>1332</v>
      </c>
      <c r="H1222">
        <v>42</v>
      </c>
      <c r="I1222">
        <v>6</v>
      </c>
      <c r="J1222" t="s">
        <v>10062</v>
      </c>
      <c r="K1222">
        <v>7</v>
      </c>
      <c r="L1222" t="s">
        <v>10063</v>
      </c>
      <c r="M1222" t="s">
        <v>10064</v>
      </c>
      <c r="N1222" t="s">
        <v>10065</v>
      </c>
      <c r="O1222" t="s">
        <v>61</v>
      </c>
      <c r="Q1222" t="s">
        <v>61</v>
      </c>
      <c r="R1222" t="s">
        <v>61</v>
      </c>
      <c r="S1222" t="s">
        <v>61</v>
      </c>
      <c r="T1222" t="s">
        <v>61</v>
      </c>
      <c r="X1222" t="s">
        <v>61</v>
      </c>
      <c r="Y1222" t="s">
        <v>1661</v>
      </c>
      <c r="Z1222" t="s">
        <v>61</v>
      </c>
      <c r="AA1222" t="s">
        <v>10066</v>
      </c>
      <c r="AB1222">
        <v>12489616</v>
      </c>
      <c r="AC1222" t="s">
        <v>67</v>
      </c>
      <c r="AD1222" t="s">
        <v>61</v>
      </c>
      <c r="AE1222" t="s">
        <v>61</v>
      </c>
      <c r="AF1222" t="s">
        <v>61</v>
      </c>
      <c r="AG1222" t="s">
        <v>10067</v>
      </c>
      <c r="AH1222" t="s">
        <v>61</v>
      </c>
      <c r="AI1222" t="s">
        <v>61</v>
      </c>
      <c r="AJ1222" t="s">
        <v>61</v>
      </c>
      <c r="AK1222" t="s">
        <v>61</v>
      </c>
      <c r="AL1222" t="s">
        <v>61</v>
      </c>
      <c r="AM1222" t="s">
        <v>10068</v>
      </c>
      <c r="AN1222" t="s">
        <v>61</v>
      </c>
      <c r="AO1222" t="s">
        <v>61</v>
      </c>
      <c r="AP1222" t="s">
        <v>61</v>
      </c>
      <c r="AQ1222" t="s">
        <v>61</v>
      </c>
      <c r="AR1222" t="s">
        <v>61</v>
      </c>
      <c r="AS1222" t="s">
        <v>61</v>
      </c>
      <c r="AT1222" t="s">
        <v>61</v>
      </c>
      <c r="AU1222" t="s">
        <v>61</v>
      </c>
      <c r="AV1222" t="s">
        <v>61</v>
      </c>
      <c r="AW1222" t="s">
        <v>61</v>
      </c>
      <c r="AX1222" t="s">
        <v>61</v>
      </c>
      <c r="AY1222" t="s">
        <v>61</v>
      </c>
      <c r="AZ1222" t="s">
        <v>61</v>
      </c>
      <c r="BA1222" t="s">
        <v>61</v>
      </c>
      <c r="BB1222" t="s">
        <v>61</v>
      </c>
      <c r="BC1222" t="s">
        <v>61</v>
      </c>
      <c r="BD1222" t="s">
        <v>61</v>
      </c>
      <c r="BE1222" t="s">
        <v>61</v>
      </c>
      <c r="BF1222" t="s">
        <v>61</v>
      </c>
    </row>
    <row r="1223" spans="1:58">
      <c r="A1223" t="s">
        <v>58</v>
      </c>
      <c r="B1223" t="s">
        <v>10069</v>
      </c>
      <c r="C1223" t="s">
        <v>10070</v>
      </c>
      <c r="D1223" t="s">
        <v>10071</v>
      </c>
      <c r="E1223" t="s">
        <v>61</v>
      </c>
      <c r="F1223">
        <v>1998</v>
      </c>
      <c r="G1223" t="s">
        <v>61</v>
      </c>
      <c r="H1223">
        <v>106</v>
      </c>
      <c r="I1223">
        <v>3</v>
      </c>
      <c r="J1223">
        <v>168</v>
      </c>
      <c r="K1223">
        <v>172</v>
      </c>
      <c r="L1223" t="s">
        <v>10072</v>
      </c>
      <c r="M1223" t="s">
        <v>10073</v>
      </c>
      <c r="N1223" t="s">
        <v>10074</v>
      </c>
      <c r="O1223" t="s">
        <v>61</v>
      </c>
      <c r="Q1223" t="s">
        <v>61</v>
      </c>
      <c r="R1223" t="s">
        <v>61</v>
      </c>
      <c r="S1223" t="s">
        <v>61</v>
      </c>
      <c r="T1223" t="s">
        <v>61</v>
      </c>
      <c r="X1223" t="s">
        <v>61</v>
      </c>
      <c r="Y1223" t="s">
        <v>10075</v>
      </c>
      <c r="Z1223" t="s">
        <v>61</v>
      </c>
      <c r="AA1223" t="s">
        <v>10076</v>
      </c>
      <c r="AB1223">
        <v>9710355</v>
      </c>
      <c r="AC1223" t="s">
        <v>67</v>
      </c>
      <c r="AD1223" t="s">
        <v>61</v>
      </c>
      <c r="AE1223" t="s">
        <v>61</v>
      </c>
      <c r="AF1223" t="s">
        <v>61</v>
      </c>
      <c r="AG1223" t="s">
        <v>10077</v>
      </c>
      <c r="AH1223" t="s">
        <v>61</v>
      </c>
      <c r="AI1223" t="s">
        <v>61</v>
      </c>
      <c r="AJ1223" t="s">
        <v>61</v>
      </c>
      <c r="AK1223" t="s">
        <v>61</v>
      </c>
      <c r="AL1223" t="s">
        <v>61</v>
      </c>
      <c r="AM1223" t="s">
        <v>10078</v>
      </c>
      <c r="AN1223" t="s">
        <v>61</v>
      </c>
      <c r="AO1223" t="s">
        <v>61</v>
      </c>
      <c r="AP1223" t="s">
        <v>61</v>
      </c>
      <c r="AQ1223" t="s">
        <v>61</v>
      </c>
      <c r="AR1223" t="s">
        <v>61</v>
      </c>
      <c r="AS1223" t="s">
        <v>61</v>
      </c>
      <c r="AT1223" t="s">
        <v>61</v>
      </c>
      <c r="AU1223" t="s">
        <v>61</v>
      </c>
      <c r="AV1223" t="s">
        <v>61</v>
      </c>
      <c r="AW1223" t="s">
        <v>61</v>
      </c>
      <c r="AX1223" t="s">
        <v>61</v>
      </c>
      <c r="AY1223" t="s">
        <v>61</v>
      </c>
      <c r="AZ1223" t="s">
        <v>61</v>
      </c>
      <c r="BA1223" t="s">
        <v>61</v>
      </c>
      <c r="BB1223" t="s">
        <v>61</v>
      </c>
      <c r="BC1223" t="s">
        <v>61</v>
      </c>
      <c r="BD1223" t="s">
        <v>61</v>
      </c>
      <c r="BE1223" t="s">
        <v>61</v>
      </c>
      <c r="BF1223" t="s">
        <v>61</v>
      </c>
    </row>
    <row r="1224" spans="1:58">
      <c r="A1224" t="s">
        <v>58</v>
      </c>
      <c r="B1224" t="s">
        <v>10079</v>
      </c>
      <c r="C1224" t="s">
        <v>10080</v>
      </c>
      <c r="D1224" t="s">
        <v>7098</v>
      </c>
      <c r="E1224" t="s">
        <v>7098</v>
      </c>
      <c r="F1224">
        <v>2010</v>
      </c>
      <c r="G1224" t="s">
        <v>119</v>
      </c>
      <c r="H1224">
        <v>58</v>
      </c>
      <c r="I1224">
        <v>8</v>
      </c>
      <c r="J1224">
        <v>1237</v>
      </c>
      <c r="K1224">
        <v>1245</v>
      </c>
      <c r="L1224" t="s">
        <v>10081</v>
      </c>
      <c r="M1224" t="s">
        <v>10082</v>
      </c>
      <c r="N1224" t="s">
        <v>10083</v>
      </c>
      <c r="O1224" t="s">
        <v>61</v>
      </c>
      <c r="Q1224" t="s">
        <v>61</v>
      </c>
      <c r="R1224" t="s">
        <v>61</v>
      </c>
      <c r="S1224" t="s">
        <v>61</v>
      </c>
      <c r="T1224" t="s">
        <v>61</v>
      </c>
      <c r="X1224" t="s">
        <v>61</v>
      </c>
      <c r="Y1224" t="s">
        <v>10084</v>
      </c>
      <c r="Z1224" t="s">
        <v>61</v>
      </c>
      <c r="AA1224" t="s">
        <v>10085</v>
      </c>
      <c r="AB1224">
        <v>20302882</v>
      </c>
      <c r="AC1224" t="s">
        <v>67</v>
      </c>
      <c r="AD1224" t="s">
        <v>61</v>
      </c>
      <c r="AE1224" t="s">
        <v>61</v>
      </c>
      <c r="AF1224" t="s">
        <v>61</v>
      </c>
      <c r="AG1224" t="s">
        <v>10086</v>
      </c>
      <c r="AH1224" t="s">
        <v>61</v>
      </c>
      <c r="AI1224" t="s">
        <v>10087</v>
      </c>
      <c r="AJ1224" t="s">
        <v>61</v>
      </c>
      <c r="AK1224" t="s">
        <v>61</v>
      </c>
      <c r="AL1224" t="s">
        <v>61</v>
      </c>
      <c r="AM1224" t="s">
        <v>10088</v>
      </c>
      <c r="AN1224" t="s">
        <v>61</v>
      </c>
      <c r="AO1224" t="s">
        <v>61</v>
      </c>
      <c r="AP1224" t="s">
        <v>61</v>
      </c>
      <c r="AQ1224" t="s">
        <v>61</v>
      </c>
      <c r="AR1224" t="s">
        <v>61</v>
      </c>
      <c r="AS1224" t="s">
        <v>61</v>
      </c>
      <c r="AT1224" t="s">
        <v>61</v>
      </c>
      <c r="AU1224" t="s">
        <v>61</v>
      </c>
      <c r="AV1224" t="s">
        <v>61</v>
      </c>
      <c r="AW1224" t="s">
        <v>61</v>
      </c>
      <c r="AX1224" t="s">
        <v>61</v>
      </c>
      <c r="AY1224" t="s">
        <v>61</v>
      </c>
      <c r="AZ1224" t="s">
        <v>61</v>
      </c>
      <c r="BA1224" t="s">
        <v>61</v>
      </c>
      <c r="BB1224" t="s">
        <v>61</v>
      </c>
      <c r="BC1224" t="s">
        <v>61</v>
      </c>
      <c r="BD1224" t="s">
        <v>61</v>
      </c>
      <c r="BE1224" t="s">
        <v>61</v>
      </c>
      <c r="BF1224" t="s">
        <v>61</v>
      </c>
    </row>
    <row r="1225" spans="1:58">
      <c r="A1225" t="s">
        <v>58</v>
      </c>
      <c r="B1225" t="s">
        <v>10089</v>
      </c>
      <c r="C1225" t="s">
        <v>10090</v>
      </c>
      <c r="D1225" t="s">
        <v>3214</v>
      </c>
      <c r="E1225" t="s">
        <v>3215</v>
      </c>
      <c r="F1225">
        <v>1981</v>
      </c>
      <c r="G1225" t="s">
        <v>1152</v>
      </c>
      <c r="H1225">
        <v>12</v>
      </c>
      <c r="I1225">
        <v>3</v>
      </c>
      <c r="J1225">
        <v>295</v>
      </c>
      <c r="K1225">
        <v>302</v>
      </c>
      <c r="L1225" t="s">
        <v>10091</v>
      </c>
      <c r="M1225" t="s">
        <v>61</v>
      </c>
      <c r="N1225" t="s">
        <v>10092</v>
      </c>
      <c r="O1225" t="s">
        <v>61</v>
      </c>
      <c r="Q1225" t="s">
        <v>61</v>
      </c>
      <c r="R1225" t="s">
        <v>61</v>
      </c>
      <c r="S1225" t="s">
        <v>61</v>
      </c>
      <c r="T1225" t="s">
        <v>61</v>
      </c>
      <c r="X1225" t="s">
        <v>61</v>
      </c>
      <c r="Y1225" t="s">
        <v>298</v>
      </c>
      <c r="Z1225" t="s">
        <v>61</v>
      </c>
      <c r="AA1225" t="s">
        <v>61</v>
      </c>
      <c r="AB1225">
        <v>7295459</v>
      </c>
      <c r="AC1225" t="s">
        <v>67</v>
      </c>
      <c r="AD1225" t="s">
        <v>61</v>
      </c>
      <c r="AE1225" t="s">
        <v>61</v>
      </c>
      <c r="AF1225" t="s">
        <v>61</v>
      </c>
      <c r="AG1225" t="s">
        <v>10093</v>
      </c>
      <c r="AH1225" t="s">
        <v>61</v>
      </c>
      <c r="AI1225" t="s">
        <v>61</v>
      </c>
      <c r="AJ1225" t="s">
        <v>61</v>
      </c>
      <c r="AK1225" t="s">
        <v>61</v>
      </c>
      <c r="AL1225" t="s">
        <v>61</v>
      </c>
      <c r="AM1225" t="s">
        <v>10094</v>
      </c>
      <c r="AN1225" t="s">
        <v>61</v>
      </c>
      <c r="AO1225" t="s">
        <v>61</v>
      </c>
      <c r="AP1225" t="s">
        <v>61</v>
      </c>
      <c r="AQ1225" t="s">
        <v>61</v>
      </c>
      <c r="AR1225" t="s">
        <v>61</v>
      </c>
      <c r="AS1225" t="s">
        <v>61</v>
      </c>
      <c r="AT1225" t="s">
        <v>61</v>
      </c>
      <c r="AU1225" t="s">
        <v>61</v>
      </c>
      <c r="AV1225" t="s">
        <v>61</v>
      </c>
      <c r="AW1225" t="s">
        <v>61</v>
      </c>
      <c r="AX1225" t="s">
        <v>61</v>
      </c>
      <c r="AY1225" t="s">
        <v>61</v>
      </c>
      <c r="AZ1225" t="s">
        <v>61</v>
      </c>
      <c r="BA1225" t="s">
        <v>61</v>
      </c>
      <c r="BB1225" t="s">
        <v>61</v>
      </c>
      <c r="BC1225" t="s">
        <v>61</v>
      </c>
      <c r="BD1225" t="s">
        <v>61</v>
      </c>
      <c r="BE1225" t="s">
        <v>61</v>
      </c>
      <c r="BF1225" t="s">
        <v>61</v>
      </c>
    </row>
    <row r="1226" spans="1:58">
      <c r="A1226" t="s">
        <v>58</v>
      </c>
      <c r="B1226" t="s">
        <v>10095</v>
      </c>
      <c r="C1226" t="s">
        <v>10096</v>
      </c>
      <c r="D1226" t="s">
        <v>876</v>
      </c>
      <c r="E1226" t="s">
        <v>877</v>
      </c>
      <c r="F1226">
        <v>2010</v>
      </c>
      <c r="G1226" s="1">
        <v>42502</v>
      </c>
      <c r="H1226">
        <v>74</v>
      </c>
      <c r="I1226">
        <v>4</v>
      </c>
      <c r="J1226">
        <v>57</v>
      </c>
      <c r="K1226" t="s">
        <v>61</v>
      </c>
      <c r="L1226" t="s">
        <v>10097</v>
      </c>
      <c r="M1226" t="s">
        <v>10098</v>
      </c>
      <c r="N1226" t="s">
        <v>10099</v>
      </c>
      <c r="O1226" t="s">
        <v>61</v>
      </c>
      <c r="Q1226" t="s">
        <v>61</v>
      </c>
      <c r="R1226" t="s">
        <v>61</v>
      </c>
      <c r="S1226" t="s">
        <v>61</v>
      </c>
      <c r="T1226" t="s">
        <v>61</v>
      </c>
      <c r="X1226" t="s">
        <v>61</v>
      </c>
      <c r="Y1226" t="s">
        <v>881</v>
      </c>
      <c r="Z1226" t="s">
        <v>61</v>
      </c>
      <c r="AA1226" t="s">
        <v>10100</v>
      </c>
      <c r="AB1226">
        <v>20585418</v>
      </c>
      <c r="AC1226" t="s">
        <v>67</v>
      </c>
      <c r="AD1226" t="s">
        <v>61</v>
      </c>
      <c r="AE1226" t="s">
        <v>61</v>
      </c>
      <c r="AF1226" t="s">
        <v>61</v>
      </c>
      <c r="AG1226" t="s">
        <v>10101</v>
      </c>
      <c r="AH1226" t="s">
        <v>61</v>
      </c>
      <c r="AI1226" t="s">
        <v>61</v>
      </c>
      <c r="AJ1226" t="s">
        <v>61</v>
      </c>
      <c r="AK1226" t="s">
        <v>61</v>
      </c>
      <c r="AL1226" t="s">
        <v>61</v>
      </c>
      <c r="AM1226" t="s">
        <v>10102</v>
      </c>
      <c r="AN1226" t="s">
        <v>61</v>
      </c>
      <c r="AO1226" t="s">
        <v>61</v>
      </c>
      <c r="AP1226" t="s">
        <v>61</v>
      </c>
      <c r="AQ1226" t="s">
        <v>61</v>
      </c>
      <c r="AR1226" t="s">
        <v>61</v>
      </c>
      <c r="AS1226" t="s">
        <v>61</v>
      </c>
      <c r="AT1226" t="s">
        <v>61</v>
      </c>
      <c r="AU1226" t="s">
        <v>61</v>
      </c>
      <c r="AV1226" t="s">
        <v>61</v>
      </c>
      <c r="AW1226" t="s">
        <v>61</v>
      </c>
      <c r="AX1226" t="s">
        <v>61</v>
      </c>
      <c r="AY1226" t="s">
        <v>61</v>
      </c>
      <c r="AZ1226" t="s">
        <v>61</v>
      </c>
      <c r="BA1226" t="s">
        <v>61</v>
      </c>
      <c r="BB1226" t="s">
        <v>61</v>
      </c>
      <c r="BC1226" t="s">
        <v>61</v>
      </c>
      <c r="BD1226" t="s">
        <v>61</v>
      </c>
      <c r="BE1226" t="s">
        <v>61</v>
      </c>
      <c r="BF1226" t="s">
        <v>61</v>
      </c>
    </row>
    <row r="1227" spans="1:58">
      <c r="A1227" t="s">
        <v>58</v>
      </c>
      <c r="B1227" t="s">
        <v>10103</v>
      </c>
      <c r="C1227" t="s">
        <v>10104</v>
      </c>
      <c r="D1227" t="s">
        <v>10105</v>
      </c>
      <c r="E1227" t="s">
        <v>61</v>
      </c>
      <c r="F1227">
        <v>2013</v>
      </c>
      <c r="G1227" t="s">
        <v>3144</v>
      </c>
      <c r="H1227">
        <v>11</v>
      </c>
      <c r="I1227">
        <v>2</v>
      </c>
      <c r="J1227">
        <v>190</v>
      </c>
      <c r="K1227">
        <v>196</v>
      </c>
      <c r="L1227" t="s">
        <v>10106</v>
      </c>
      <c r="M1227" t="s">
        <v>10107</v>
      </c>
      <c r="N1227" t="s">
        <v>10108</v>
      </c>
      <c r="O1227" t="s">
        <v>61</v>
      </c>
      <c r="Q1227" t="s">
        <v>61</v>
      </c>
      <c r="R1227" t="s">
        <v>61</v>
      </c>
      <c r="S1227" t="s">
        <v>61</v>
      </c>
      <c r="T1227" t="s">
        <v>61</v>
      </c>
      <c r="X1227" t="s">
        <v>61</v>
      </c>
      <c r="Y1227" t="s">
        <v>10109</v>
      </c>
      <c r="Z1227" t="s">
        <v>61</v>
      </c>
      <c r="AA1227" t="s">
        <v>61</v>
      </c>
      <c r="AB1227">
        <v>23843060</v>
      </c>
      <c r="AC1227" t="s">
        <v>2298</v>
      </c>
      <c r="AD1227" t="s">
        <v>61</v>
      </c>
      <c r="AE1227" t="s">
        <v>61</v>
      </c>
      <c r="AF1227" t="s">
        <v>61</v>
      </c>
      <c r="AG1227" t="s">
        <v>10110</v>
      </c>
      <c r="AH1227" t="s">
        <v>61</v>
      </c>
      <c r="AI1227" t="s">
        <v>61</v>
      </c>
      <c r="AJ1227" t="s">
        <v>61</v>
      </c>
      <c r="AK1227" t="s">
        <v>61</v>
      </c>
      <c r="AL1227" t="s">
        <v>61</v>
      </c>
      <c r="AM1227" t="s">
        <v>10111</v>
      </c>
      <c r="AN1227" t="s">
        <v>61</v>
      </c>
      <c r="AO1227" t="s">
        <v>61</v>
      </c>
      <c r="AP1227" t="s">
        <v>61</v>
      </c>
      <c r="AQ1227" t="s">
        <v>61</v>
      </c>
      <c r="AR1227" t="s">
        <v>61</v>
      </c>
      <c r="AS1227" t="s">
        <v>61</v>
      </c>
      <c r="AT1227" t="s">
        <v>61</v>
      </c>
      <c r="AU1227" t="s">
        <v>61</v>
      </c>
      <c r="AV1227" t="s">
        <v>61</v>
      </c>
      <c r="AW1227" t="s">
        <v>61</v>
      </c>
      <c r="AX1227" t="s">
        <v>61</v>
      </c>
      <c r="AY1227" t="s">
        <v>61</v>
      </c>
      <c r="AZ1227" t="s">
        <v>61</v>
      </c>
      <c r="BA1227" t="s">
        <v>61</v>
      </c>
      <c r="BB1227" t="s">
        <v>61</v>
      </c>
      <c r="BC1227" t="s">
        <v>61</v>
      </c>
      <c r="BD1227" t="s">
        <v>61</v>
      </c>
      <c r="BE1227" t="s">
        <v>61</v>
      </c>
      <c r="BF1227" t="s">
        <v>61</v>
      </c>
    </row>
    <row r="1228" spans="1:58">
      <c r="A1228" t="s">
        <v>115</v>
      </c>
      <c r="B1228" t="s">
        <v>10112</v>
      </c>
      <c r="C1228" t="s">
        <v>10113</v>
      </c>
      <c r="D1228" t="s">
        <v>428</v>
      </c>
      <c r="E1228" t="s">
        <v>61</v>
      </c>
      <c r="F1228">
        <v>2013</v>
      </c>
      <c r="G1228" t="s">
        <v>457</v>
      </c>
      <c r="H1228">
        <v>26</v>
      </c>
      <c r="I1228">
        <v>3</v>
      </c>
      <c r="J1228">
        <v>322</v>
      </c>
      <c r="K1228">
        <v>323</v>
      </c>
      <c r="L1228" t="s">
        <v>10114</v>
      </c>
      <c r="M1228" t="s">
        <v>10115</v>
      </c>
      <c r="N1228" t="s">
        <v>10116</v>
      </c>
      <c r="O1228" t="s">
        <v>61</v>
      </c>
      <c r="Q1228" t="s">
        <v>61</v>
      </c>
      <c r="R1228" t="s">
        <v>61</v>
      </c>
      <c r="S1228" t="s">
        <v>61</v>
      </c>
      <c r="T1228" t="s">
        <v>61</v>
      </c>
      <c r="X1228" t="s">
        <v>61</v>
      </c>
      <c r="Y1228" t="s">
        <v>433</v>
      </c>
      <c r="Z1228" t="s">
        <v>61</v>
      </c>
      <c r="AA1228" t="s">
        <v>61</v>
      </c>
      <c r="AB1228" t="s">
        <v>61</v>
      </c>
      <c r="AC1228" t="s">
        <v>67</v>
      </c>
      <c r="AD1228" t="s">
        <v>61</v>
      </c>
      <c r="AE1228" t="s">
        <v>61</v>
      </c>
      <c r="AF1228" t="s">
        <v>61</v>
      </c>
      <c r="AG1228" t="s">
        <v>61</v>
      </c>
      <c r="AH1228" t="s">
        <v>61</v>
      </c>
      <c r="AI1228" t="s">
        <v>61</v>
      </c>
      <c r="AJ1228" t="s">
        <v>61</v>
      </c>
      <c r="AK1228" t="s">
        <v>61</v>
      </c>
      <c r="AL1228" t="s">
        <v>61</v>
      </c>
      <c r="AM1228" t="s">
        <v>10113</v>
      </c>
      <c r="AN1228" t="s">
        <v>61</v>
      </c>
      <c r="AO1228" t="s">
        <v>61</v>
      </c>
      <c r="AP1228" t="s">
        <v>61</v>
      </c>
      <c r="AQ1228" t="s">
        <v>61</v>
      </c>
      <c r="AR1228" t="s">
        <v>61</v>
      </c>
      <c r="AS1228" t="s">
        <v>61</v>
      </c>
      <c r="AT1228" t="s">
        <v>61</v>
      </c>
      <c r="AU1228" t="s">
        <v>61</v>
      </c>
      <c r="AV1228" t="s">
        <v>61</v>
      </c>
      <c r="AW1228" t="s">
        <v>61</v>
      </c>
      <c r="AX1228" t="s">
        <v>61</v>
      </c>
      <c r="AY1228" t="s">
        <v>61</v>
      </c>
      <c r="AZ1228" t="s">
        <v>61</v>
      </c>
      <c r="BA1228" t="s">
        <v>61</v>
      </c>
      <c r="BB1228" t="s">
        <v>61</v>
      </c>
      <c r="BC1228" t="s">
        <v>61</v>
      </c>
      <c r="BD1228" t="s">
        <v>61</v>
      </c>
      <c r="BE1228" t="s">
        <v>61</v>
      </c>
      <c r="BF1228" t="s">
        <v>61</v>
      </c>
    </row>
    <row r="1229" spans="1:58">
      <c r="A1229" t="s">
        <v>58</v>
      </c>
      <c r="B1229" t="s">
        <v>10117</v>
      </c>
      <c r="C1229" t="s">
        <v>10118</v>
      </c>
      <c r="D1229" t="s">
        <v>10119</v>
      </c>
      <c r="E1229" t="s">
        <v>61</v>
      </c>
      <c r="F1229">
        <v>2007</v>
      </c>
      <c r="G1229">
        <v>22</v>
      </c>
      <c r="H1229">
        <v>3</v>
      </c>
      <c r="I1229">
        <v>2</v>
      </c>
      <c r="J1229">
        <v>125</v>
      </c>
      <c r="K1229">
        <v>136</v>
      </c>
      <c r="L1229" t="s">
        <v>10120</v>
      </c>
      <c r="M1229" t="s">
        <v>10121</v>
      </c>
      <c r="N1229" t="s">
        <v>10122</v>
      </c>
      <c r="O1229" t="s">
        <v>61</v>
      </c>
      <c r="Q1229" t="s">
        <v>61</v>
      </c>
      <c r="R1229" t="s">
        <v>61</v>
      </c>
      <c r="S1229" t="s">
        <v>61</v>
      </c>
      <c r="T1229" t="s">
        <v>61</v>
      </c>
      <c r="X1229" t="s">
        <v>61</v>
      </c>
      <c r="Y1229" t="s">
        <v>10123</v>
      </c>
      <c r="Z1229" t="s">
        <v>61</v>
      </c>
      <c r="AA1229" t="s">
        <v>61</v>
      </c>
      <c r="AB1229" t="s">
        <v>10124</v>
      </c>
      <c r="AC1229" t="s">
        <v>67</v>
      </c>
      <c r="AD1229" t="s">
        <v>61</v>
      </c>
      <c r="AE1229" t="s">
        <v>61</v>
      </c>
      <c r="AF1229" t="s">
        <v>61</v>
      </c>
      <c r="AG1229" t="s">
        <v>61</v>
      </c>
      <c r="AH1229" t="s">
        <v>61</v>
      </c>
      <c r="AI1229" t="s">
        <v>61</v>
      </c>
      <c r="AJ1229" t="s">
        <v>61</v>
      </c>
      <c r="AK1229" t="s">
        <v>61</v>
      </c>
      <c r="AL1229" t="s">
        <v>61</v>
      </c>
      <c r="AM1229" t="s">
        <v>10118</v>
      </c>
      <c r="AN1229" t="s">
        <v>61</v>
      </c>
      <c r="AO1229" t="s">
        <v>61</v>
      </c>
      <c r="AP1229" t="s">
        <v>61</v>
      </c>
      <c r="AQ1229" t="s">
        <v>61</v>
      </c>
      <c r="AR1229" t="s">
        <v>61</v>
      </c>
      <c r="AS1229" t="s">
        <v>61</v>
      </c>
      <c r="AT1229" t="s">
        <v>61</v>
      </c>
      <c r="AU1229" t="s">
        <v>61</v>
      </c>
      <c r="AV1229" t="s">
        <v>61</v>
      </c>
      <c r="AW1229" t="s">
        <v>61</v>
      </c>
      <c r="AX1229" t="s">
        <v>61</v>
      </c>
      <c r="AY1229" t="s">
        <v>61</v>
      </c>
      <c r="AZ1229" t="s">
        <v>61</v>
      </c>
      <c r="BA1229" t="s">
        <v>61</v>
      </c>
      <c r="BB1229" t="s">
        <v>61</v>
      </c>
      <c r="BC1229" t="s">
        <v>61</v>
      </c>
      <c r="BD1229" t="s">
        <v>61</v>
      </c>
      <c r="BE1229" t="s">
        <v>61</v>
      </c>
      <c r="BF1229" t="s">
        <v>61</v>
      </c>
    </row>
    <row r="1230" spans="1:58">
      <c r="A1230" t="s">
        <v>58</v>
      </c>
      <c r="B1230" t="s">
        <v>10125</v>
      </c>
      <c r="C1230" t="s">
        <v>10126</v>
      </c>
      <c r="D1230" t="s">
        <v>1600</v>
      </c>
      <c r="E1230" t="s">
        <v>1601</v>
      </c>
      <c r="F1230">
        <v>2004</v>
      </c>
      <c r="G1230" s="1">
        <v>42689</v>
      </c>
      <c r="H1230">
        <v>56</v>
      </c>
      <c r="I1230">
        <v>10</v>
      </c>
      <c r="J1230">
        <v>810</v>
      </c>
      <c r="K1230">
        <v>816</v>
      </c>
      <c r="L1230" t="s">
        <v>10127</v>
      </c>
      <c r="M1230" t="s">
        <v>10128</v>
      </c>
      <c r="N1230" t="s">
        <v>10129</v>
      </c>
      <c r="O1230" t="s">
        <v>61</v>
      </c>
      <c r="Q1230" t="s">
        <v>61</v>
      </c>
      <c r="R1230" t="s">
        <v>61</v>
      </c>
      <c r="S1230" t="s">
        <v>61</v>
      </c>
      <c r="T1230" t="s">
        <v>61</v>
      </c>
      <c r="X1230" t="s">
        <v>61</v>
      </c>
      <c r="Y1230" s="2">
        <v>483369</v>
      </c>
      <c r="Z1230" t="s">
        <v>61</v>
      </c>
      <c r="AA1230" t="s">
        <v>10130</v>
      </c>
      <c r="AB1230">
        <v>15556127</v>
      </c>
      <c r="AC1230" t="s">
        <v>67</v>
      </c>
      <c r="AD1230" t="s">
        <v>61</v>
      </c>
      <c r="AE1230" t="s">
        <v>61</v>
      </c>
      <c r="AF1230" t="s">
        <v>61</v>
      </c>
      <c r="AG1230" t="s">
        <v>10131</v>
      </c>
      <c r="AH1230" t="s">
        <v>61</v>
      </c>
      <c r="AI1230" t="s">
        <v>61</v>
      </c>
      <c r="AJ1230" t="s">
        <v>61</v>
      </c>
      <c r="AK1230" t="s">
        <v>61</v>
      </c>
      <c r="AL1230" t="s">
        <v>61</v>
      </c>
      <c r="AM1230" t="s">
        <v>10132</v>
      </c>
      <c r="AN1230" t="s">
        <v>61</v>
      </c>
      <c r="AO1230" t="s">
        <v>61</v>
      </c>
      <c r="AP1230" t="s">
        <v>61</v>
      </c>
      <c r="AQ1230" t="s">
        <v>61</v>
      </c>
      <c r="AR1230" t="s">
        <v>61</v>
      </c>
      <c r="AS1230" t="s">
        <v>61</v>
      </c>
      <c r="AT1230" t="s">
        <v>61</v>
      </c>
      <c r="AU1230" t="s">
        <v>61</v>
      </c>
      <c r="AV1230" t="s">
        <v>61</v>
      </c>
      <c r="AW1230" t="s">
        <v>61</v>
      </c>
      <c r="AX1230" t="s">
        <v>61</v>
      </c>
      <c r="AY1230" t="s">
        <v>61</v>
      </c>
      <c r="AZ1230" t="s">
        <v>61</v>
      </c>
      <c r="BA1230" t="s">
        <v>61</v>
      </c>
      <c r="BB1230" t="s">
        <v>61</v>
      </c>
      <c r="BC1230" t="s">
        <v>61</v>
      </c>
      <c r="BD1230" t="s">
        <v>61</v>
      </c>
      <c r="BE1230" t="s">
        <v>61</v>
      </c>
      <c r="BF1230" t="s">
        <v>61</v>
      </c>
    </row>
    <row r="1231" spans="1:58">
      <c r="A1231" t="s">
        <v>58</v>
      </c>
      <c r="B1231" t="s">
        <v>10133</v>
      </c>
      <c r="C1231" t="s">
        <v>10134</v>
      </c>
      <c r="D1231" t="s">
        <v>876</v>
      </c>
      <c r="E1231" t="s">
        <v>877</v>
      </c>
      <c r="F1231">
        <v>1978</v>
      </c>
      <c r="G1231" t="s">
        <v>61</v>
      </c>
      <c r="H1231">
        <v>42</v>
      </c>
      <c r="I1231">
        <v>3</v>
      </c>
      <c r="J1231">
        <v>317</v>
      </c>
      <c r="K1231">
        <v>319</v>
      </c>
      <c r="L1231" t="s">
        <v>10135</v>
      </c>
      <c r="M1231" t="s">
        <v>10136</v>
      </c>
      <c r="N1231" t="s">
        <v>10137</v>
      </c>
      <c r="O1231" t="s">
        <v>61</v>
      </c>
      <c r="Q1231" t="s">
        <v>61</v>
      </c>
      <c r="R1231" t="s">
        <v>61</v>
      </c>
      <c r="S1231" t="s">
        <v>61</v>
      </c>
      <c r="T1231" t="s">
        <v>61</v>
      </c>
      <c r="X1231" t="s">
        <v>61</v>
      </c>
      <c r="Y1231" t="s">
        <v>61</v>
      </c>
      <c r="Z1231" t="s">
        <v>61</v>
      </c>
      <c r="AA1231" t="s">
        <v>61</v>
      </c>
      <c r="AB1231" t="s">
        <v>10138</v>
      </c>
      <c r="AC1231" t="s">
        <v>67</v>
      </c>
      <c r="AD1231" t="s">
        <v>61</v>
      </c>
      <c r="AE1231" t="s">
        <v>61</v>
      </c>
      <c r="AF1231" t="s">
        <v>61</v>
      </c>
      <c r="AG1231" t="s">
        <v>61</v>
      </c>
      <c r="AH1231" t="s">
        <v>61</v>
      </c>
      <c r="AI1231" t="s">
        <v>61</v>
      </c>
      <c r="AJ1231" t="s">
        <v>61</v>
      </c>
      <c r="AK1231" t="s">
        <v>61</v>
      </c>
      <c r="AL1231" t="s">
        <v>61</v>
      </c>
      <c r="AM1231" t="s">
        <v>10139</v>
      </c>
      <c r="AN1231" t="s">
        <v>61</v>
      </c>
      <c r="AO1231" t="s">
        <v>61</v>
      </c>
      <c r="AP1231" t="s">
        <v>61</v>
      </c>
      <c r="AQ1231" t="s">
        <v>61</v>
      </c>
      <c r="AR1231" t="s">
        <v>61</v>
      </c>
      <c r="AS1231" t="s">
        <v>61</v>
      </c>
      <c r="AT1231" t="s">
        <v>61</v>
      </c>
      <c r="AU1231" t="s">
        <v>61</v>
      </c>
      <c r="AV1231" t="s">
        <v>61</v>
      </c>
      <c r="AW1231" t="s">
        <v>61</v>
      </c>
      <c r="AX1231" t="s">
        <v>61</v>
      </c>
      <c r="AY1231" t="s">
        <v>61</v>
      </c>
      <c r="AZ1231" t="s">
        <v>61</v>
      </c>
      <c r="BA1231" t="s">
        <v>61</v>
      </c>
      <c r="BB1231" t="s">
        <v>61</v>
      </c>
      <c r="BC1231" t="s">
        <v>61</v>
      </c>
      <c r="BD1231" t="s">
        <v>61</v>
      </c>
      <c r="BE1231" t="s">
        <v>61</v>
      </c>
      <c r="BF1231" t="s">
        <v>61</v>
      </c>
    </row>
    <row r="1232" spans="1:58">
      <c r="A1232" t="s">
        <v>58</v>
      </c>
      <c r="B1232" t="s">
        <v>10140</v>
      </c>
      <c r="C1232" t="s">
        <v>10141</v>
      </c>
      <c r="D1232" t="s">
        <v>271</v>
      </c>
      <c r="E1232" t="s">
        <v>272</v>
      </c>
      <c r="F1232">
        <v>2001</v>
      </c>
      <c r="G1232" t="s">
        <v>2798</v>
      </c>
      <c r="H1232">
        <v>41</v>
      </c>
      <c r="I1232">
        <v>1</v>
      </c>
      <c r="J1232">
        <v>67</v>
      </c>
      <c r="K1232">
        <v>77</v>
      </c>
      <c r="L1232" t="s">
        <v>10142</v>
      </c>
      <c r="M1232" t="s">
        <v>10143</v>
      </c>
      <c r="N1232" t="s">
        <v>10144</v>
      </c>
      <c r="O1232" t="s">
        <v>61</v>
      </c>
      <c r="Q1232" t="s">
        <v>61</v>
      </c>
      <c r="R1232" t="s">
        <v>61</v>
      </c>
      <c r="S1232" t="s">
        <v>61</v>
      </c>
      <c r="T1232" t="s">
        <v>61</v>
      </c>
      <c r="X1232" t="s">
        <v>61</v>
      </c>
      <c r="Y1232" t="s">
        <v>1661</v>
      </c>
      <c r="Z1232" t="s">
        <v>61</v>
      </c>
      <c r="AA1232" t="s">
        <v>10145</v>
      </c>
      <c r="AB1232">
        <v>11216116</v>
      </c>
      <c r="AC1232" t="s">
        <v>67</v>
      </c>
      <c r="AD1232" t="s">
        <v>61</v>
      </c>
      <c r="AE1232" t="s">
        <v>61</v>
      </c>
      <c r="AF1232" t="s">
        <v>61</v>
      </c>
      <c r="AG1232" t="s">
        <v>10146</v>
      </c>
      <c r="AH1232" t="s">
        <v>61</v>
      </c>
      <c r="AI1232" t="s">
        <v>61</v>
      </c>
      <c r="AJ1232" t="s">
        <v>61</v>
      </c>
      <c r="AK1232" t="s">
        <v>61</v>
      </c>
      <c r="AL1232" t="s">
        <v>61</v>
      </c>
      <c r="AM1232" t="s">
        <v>10147</v>
      </c>
      <c r="AN1232" t="s">
        <v>61</v>
      </c>
      <c r="AO1232" t="s">
        <v>61</v>
      </c>
      <c r="AP1232" t="s">
        <v>61</v>
      </c>
      <c r="AQ1232" t="s">
        <v>61</v>
      </c>
      <c r="AR1232" t="s">
        <v>61</v>
      </c>
      <c r="AS1232" t="s">
        <v>61</v>
      </c>
      <c r="AT1232" t="s">
        <v>61</v>
      </c>
      <c r="AU1232" t="s">
        <v>61</v>
      </c>
      <c r="AV1232" t="s">
        <v>61</v>
      </c>
      <c r="AW1232" t="s">
        <v>61</v>
      </c>
      <c r="AX1232" t="s">
        <v>61</v>
      </c>
      <c r="AY1232" t="s">
        <v>61</v>
      </c>
      <c r="AZ1232" t="s">
        <v>61</v>
      </c>
      <c r="BA1232" t="s">
        <v>61</v>
      </c>
      <c r="BB1232" t="s">
        <v>61</v>
      </c>
      <c r="BC1232" t="s">
        <v>61</v>
      </c>
      <c r="BD1232" t="s">
        <v>61</v>
      </c>
      <c r="BE1232" t="s">
        <v>61</v>
      </c>
      <c r="BF1232" t="s">
        <v>61</v>
      </c>
    </row>
    <row r="1233" spans="1:58">
      <c r="A1233" t="s">
        <v>58</v>
      </c>
      <c r="B1233" t="s">
        <v>10148</v>
      </c>
      <c r="C1233" t="s">
        <v>10149</v>
      </c>
      <c r="D1233" t="s">
        <v>475</v>
      </c>
      <c r="E1233" t="s">
        <v>61</v>
      </c>
      <c r="F1233">
        <v>2016</v>
      </c>
      <c r="G1233" t="s">
        <v>85</v>
      </c>
      <c r="H1233">
        <v>38</v>
      </c>
      <c r="I1233">
        <v>2</v>
      </c>
      <c r="J1233">
        <v>280</v>
      </c>
      <c r="K1233">
        <v>288</v>
      </c>
      <c r="L1233" t="s">
        <v>61</v>
      </c>
      <c r="M1233" t="s">
        <v>10150</v>
      </c>
      <c r="N1233" t="s">
        <v>10151</v>
      </c>
      <c r="O1233" t="s">
        <v>61</v>
      </c>
      <c r="Q1233" t="s">
        <v>61</v>
      </c>
      <c r="R1233" t="s">
        <v>61</v>
      </c>
      <c r="S1233" t="s">
        <v>61</v>
      </c>
      <c r="T1233" t="s">
        <v>61</v>
      </c>
      <c r="X1233" t="s">
        <v>61</v>
      </c>
      <c r="Y1233" t="s">
        <v>3663</v>
      </c>
      <c r="Z1233" t="s">
        <v>61</v>
      </c>
      <c r="AA1233" t="s">
        <v>10152</v>
      </c>
      <c r="AB1233">
        <v>26715547</v>
      </c>
      <c r="AC1233" t="s">
        <v>67</v>
      </c>
      <c r="AD1233" t="s">
        <v>61</v>
      </c>
      <c r="AE1233" t="s">
        <v>61</v>
      </c>
      <c r="AF1233" t="s">
        <v>61</v>
      </c>
      <c r="AG1233" t="s">
        <v>10153</v>
      </c>
      <c r="AH1233" t="s">
        <v>61</v>
      </c>
      <c r="AI1233" t="s">
        <v>10154</v>
      </c>
      <c r="AJ1233" t="s">
        <v>61</v>
      </c>
      <c r="AK1233" t="s">
        <v>61</v>
      </c>
      <c r="AL1233" t="s">
        <v>61</v>
      </c>
      <c r="AM1233" t="s">
        <v>10155</v>
      </c>
      <c r="AN1233" t="s">
        <v>61</v>
      </c>
      <c r="AO1233" t="s">
        <v>61</v>
      </c>
      <c r="AP1233" t="s">
        <v>61</v>
      </c>
      <c r="AQ1233" t="s">
        <v>61</v>
      </c>
      <c r="AR1233" t="s">
        <v>61</v>
      </c>
      <c r="AS1233" t="s">
        <v>61</v>
      </c>
      <c r="AT1233" t="s">
        <v>61</v>
      </c>
      <c r="AU1233" t="s">
        <v>61</v>
      </c>
      <c r="AV1233" t="s">
        <v>61</v>
      </c>
      <c r="AW1233" t="s">
        <v>61</v>
      </c>
      <c r="AX1233" t="s">
        <v>61</v>
      </c>
      <c r="AY1233" t="s">
        <v>61</v>
      </c>
      <c r="AZ1233" t="s">
        <v>61</v>
      </c>
      <c r="BA1233" t="s">
        <v>61</v>
      </c>
      <c r="BB1233" t="s">
        <v>61</v>
      </c>
      <c r="BC1233" t="s">
        <v>61</v>
      </c>
      <c r="BD1233" t="s">
        <v>61</v>
      </c>
      <c r="BE1233" t="s">
        <v>61</v>
      </c>
      <c r="BF1233" t="s">
        <v>61</v>
      </c>
    </row>
    <row r="1234" spans="1:58">
      <c r="A1234" t="s">
        <v>58</v>
      </c>
      <c r="B1234" t="s">
        <v>10156</v>
      </c>
      <c r="C1234" t="s">
        <v>10157</v>
      </c>
      <c r="D1234" t="s">
        <v>10158</v>
      </c>
      <c r="E1234" t="s">
        <v>10159</v>
      </c>
      <c r="F1234">
        <v>2011</v>
      </c>
      <c r="G1234" t="s">
        <v>273</v>
      </c>
      <c r="H1234">
        <v>45</v>
      </c>
      <c r="I1234">
        <v>1</v>
      </c>
      <c r="J1234">
        <v>129</v>
      </c>
      <c r="K1234">
        <v>135</v>
      </c>
      <c r="L1234" t="s">
        <v>10160</v>
      </c>
      <c r="M1234" t="s">
        <v>10161</v>
      </c>
      <c r="N1234" t="s">
        <v>10162</v>
      </c>
      <c r="O1234" t="s">
        <v>61</v>
      </c>
      <c r="Q1234" t="s">
        <v>61</v>
      </c>
      <c r="R1234" t="s">
        <v>61</v>
      </c>
      <c r="S1234" t="s">
        <v>61</v>
      </c>
      <c r="T1234" t="s">
        <v>61</v>
      </c>
      <c r="X1234" t="s">
        <v>61</v>
      </c>
      <c r="Y1234" t="s">
        <v>10163</v>
      </c>
      <c r="Z1234" t="s">
        <v>61</v>
      </c>
      <c r="AA1234" t="s">
        <v>10164</v>
      </c>
      <c r="AB1234">
        <v>21085884</v>
      </c>
      <c r="AC1234" t="s">
        <v>2298</v>
      </c>
      <c r="AD1234" t="s">
        <v>61</v>
      </c>
      <c r="AE1234" t="s">
        <v>61</v>
      </c>
      <c r="AF1234" t="s">
        <v>61</v>
      </c>
      <c r="AG1234" t="s">
        <v>10165</v>
      </c>
      <c r="AH1234" t="s">
        <v>61</v>
      </c>
      <c r="AI1234" t="s">
        <v>61</v>
      </c>
      <c r="AJ1234" t="s">
        <v>61</v>
      </c>
      <c r="AK1234" t="s">
        <v>61</v>
      </c>
      <c r="AL1234" t="s">
        <v>61</v>
      </c>
      <c r="AM1234" t="s">
        <v>10166</v>
      </c>
      <c r="AN1234" t="s">
        <v>61</v>
      </c>
      <c r="AO1234" t="s">
        <v>61</v>
      </c>
      <c r="AP1234" t="s">
        <v>61</v>
      </c>
      <c r="AQ1234" t="s">
        <v>61</v>
      </c>
      <c r="AR1234" t="s">
        <v>61</v>
      </c>
      <c r="AS1234" t="s">
        <v>61</v>
      </c>
      <c r="AT1234" t="s">
        <v>61</v>
      </c>
      <c r="AU1234" t="s">
        <v>61</v>
      </c>
      <c r="AV1234" t="s">
        <v>61</v>
      </c>
      <c r="AW1234" t="s">
        <v>61</v>
      </c>
      <c r="AX1234" t="s">
        <v>61</v>
      </c>
      <c r="AY1234" t="s">
        <v>61</v>
      </c>
      <c r="AZ1234" t="s">
        <v>61</v>
      </c>
      <c r="BA1234" t="s">
        <v>61</v>
      </c>
      <c r="BB1234" t="s">
        <v>61</v>
      </c>
      <c r="BC1234" t="s">
        <v>61</v>
      </c>
      <c r="BD1234" t="s">
        <v>61</v>
      </c>
      <c r="BE1234" t="s">
        <v>61</v>
      </c>
      <c r="BF1234" t="s">
        <v>61</v>
      </c>
    </row>
    <row r="1235" spans="1:58">
      <c r="A1235" t="s">
        <v>58</v>
      </c>
      <c r="B1235" t="s">
        <v>10167</v>
      </c>
      <c r="C1235" t="s">
        <v>10168</v>
      </c>
      <c r="D1235" t="s">
        <v>271</v>
      </c>
      <c r="E1235" t="s">
        <v>272</v>
      </c>
      <c r="F1235">
        <v>2002</v>
      </c>
      <c r="G1235" t="s">
        <v>1332</v>
      </c>
      <c r="H1235">
        <v>42</v>
      </c>
      <c r="I1235">
        <v>6</v>
      </c>
      <c r="J1235" t="s">
        <v>10169</v>
      </c>
      <c r="K1235">
        <v>61</v>
      </c>
      <c r="L1235" t="s">
        <v>10170</v>
      </c>
      <c r="M1235" t="s">
        <v>10171</v>
      </c>
      <c r="N1235" t="s">
        <v>10172</v>
      </c>
      <c r="O1235" t="s">
        <v>61</v>
      </c>
      <c r="Q1235" t="s">
        <v>61</v>
      </c>
      <c r="R1235" t="s">
        <v>61</v>
      </c>
      <c r="S1235" t="s">
        <v>61</v>
      </c>
      <c r="T1235" t="s">
        <v>61</v>
      </c>
      <c r="X1235" t="s">
        <v>61</v>
      </c>
      <c r="Y1235" t="s">
        <v>1661</v>
      </c>
      <c r="Z1235" t="s">
        <v>61</v>
      </c>
      <c r="AA1235" t="s">
        <v>10173</v>
      </c>
      <c r="AB1235">
        <v>12489617</v>
      </c>
      <c r="AC1235" t="s">
        <v>67</v>
      </c>
      <c r="AD1235" t="s">
        <v>61</v>
      </c>
      <c r="AE1235" t="s">
        <v>61</v>
      </c>
      <c r="AF1235" t="s">
        <v>61</v>
      </c>
      <c r="AG1235" t="s">
        <v>10174</v>
      </c>
      <c r="AH1235" t="s">
        <v>61</v>
      </c>
      <c r="AI1235" t="s">
        <v>61</v>
      </c>
      <c r="AJ1235" t="s">
        <v>61</v>
      </c>
      <c r="AK1235" t="s">
        <v>61</v>
      </c>
      <c r="AL1235" t="s">
        <v>61</v>
      </c>
      <c r="AM1235" t="s">
        <v>10175</v>
      </c>
      <c r="AN1235" t="s">
        <v>61</v>
      </c>
      <c r="AO1235" t="s">
        <v>61</v>
      </c>
      <c r="AP1235" t="s">
        <v>61</v>
      </c>
      <c r="AQ1235" t="s">
        <v>61</v>
      </c>
      <c r="AR1235" t="s">
        <v>61</v>
      </c>
      <c r="AS1235" t="s">
        <v>61</v>
      </c>
      <c r="AT1235" t="s">
        <v>61</v>
      </c>
      <c r="AU1235" t="s">
        <v>61</v>
      </c>
      <c r="AV1235" t="s">
        <v>61</v>
      </c>
      <c r="AW1235" t="s">
        <v>61</v>
      </c>
      <c r="AX1235" t="s">
        <v>61</v>
      </c>
      <c r="AY1235" t="s">
        <v>61</v>
      </c>
      <c r="AZ1235" t="s">
        <v>61</v>
      </c>
      <c r="BA1235" t="s">
        <v>61</v>
      </c>
      <c r="BB1235" t="s">
        <v>61</v>
      </c>
      <c r="BC1235" t="s">
        <v>61</v>
      </c>
      <c r="BD1235" t="s">
        <v>61</v>
      </c>
      <c r="BE1235" t="s">
        <v>61</v>
      </c>
      <c r="BF1235" t="s">
        <v>61</v>
      </c>
    </row>
    <row r="1236" spans="1:58">
      <c r="A1236" t="s">
        <v>58</v>
      </c>
      <c r="B1236" t="s">
        <v>10176</v>
      </c>
      <c r="C1236" t="s">
        <v>10177</v>
      </c>
      <c r="D1236" t="s">
        <v>1813</v>
      </c>
      <c r="E1236" t="s">
        <v>61</v>
      </c>
      <c r="F1236">
        <v>2013</v>
      </c>
      <c r="G1236" t="s">
        <v>4981</v>
      </c>
      <c r="H1236">
        <v>5</v>
      </c>
      <c r="I1236">
        <v>1</v>
      </c>
      <c r="J1236">
        <v>54</v>
      </c>
      <c r="K1236">
        <v>61</v>
      </c>
      <c r="L1236" t="s">
        <v>10178</v>
      </c>
      <c r="M1236" t="s">
        <v>10179</v>
      </c>
      <c r="N1236" t="s">
        <v>10180</v>
      </c>
      <c r="O1236" t="s">
        <v>61</v>
      </c>
      <c r="Q1236" t="s">
        <v>61</v>
      </c>
      <c r="R1236" t="s">
        <v>61</v>
      </c>
      <c r="S1236" t="s">
        <v>61</v>
      </c>
      <c r="T1236" t="s">
        <v>61</v>
      </c>
      <c r="X1236" t="s">
        <v>61</v>
      </c>
      <c r="Y1236" t="s">
        <v>1817</v>
      </c>
      <c r="Z1236" t="s">
        <v>61</v>
      </c>
      <c r="AA1236" t="s">
        <v>61</v>
      </c>
      <c r="AB1236" t="s">
        <v>10181</v>
      </c>
      <c r="AC1236" t="s">
        <v>67</v>
      </c>
      <c r="AD1236" t="s">
        <v>61</v>
      </c>
      <c r="AE1236" t="s">
        <v>61</v>
      </c>
      <c r="AF1236" t="s">
        <v>61</v>
      </c>
      <c r="AG1236" t="s">
        <v>61</v>
      </c>
      <c r="AH1236" t="s">
        <v>61</v>
      </c>
      <c r="AI1236" t="s">
        <v>61</v>
      </c>
      <c r="AJ1236" t="s">
        <v>61</v>
      </c>
      <c r="AK1236" t="s">
        <v>61</v>
      </c>
      <c r="AL1236" t="s">
        <v>61</v>
      </c>
      <c r="AM1236" t="s">
        <v>10177</v>
      </c>
      <c r="AN1236" t="s">
        <v>61</v>
      </c>
      <c r="AO1236" t="s">
        <v>61</v>
      </c>
      <c r="AP1236" t="s">
        <v>61</v>
      </c>
      <c r="AQ1236" t="s">
        <v>61</v>
      </c>
      <c r="AR1236" t="s">
        <v>61</v>
      </c>
      <c r="AS1236" t="s">
        <v>61</v>
      </c>
      <c r="AT1236" t="s">
        <v>61</v>
      </c>
      <c r="AU1236" t="s">
        <v>61</v>
      </c>
      <c r="AV1236" t="s">
        <v>61</v>
      </c>
      <c r="AW1236" t="s">
        <v>61</v>
      </c>
      <c r="AX1236" t="s">
        <v>61</v>
      </c>
      <c r="AY1236" t="s">
        <v>61</v>
      </c>
      <c r="AZ1236" t="s">
        <v>61</v>
      </c>
      <c r="BA1236" t="s">
        <v>61</v>
      </c>
      <c r="BB1236" t="s">
        <v>61</v>
      </c>
      <c r="BC1236" t="s">
        <v>61</v>
      </c>
      <c r="BD1236" t="s">
        <v>61</v>
      </c>
      <c r="BE1236" t="s">
        <v>61</v>
      </c>
      <c r="BF1236" t="s">
        <v>61</v>
      </c>
    </row>
    <row r="1237" spans="1:58">
      <c r="A1237" t="s">
        <v>58</v>
      </c>
      <c r="B1237" t="s">
        <v>10182</v>
      </c>
      <c r="C1237" t="s">
        <v>10183</v>
      </c>
      <c r="D1237" t="s">
        <v>3214</v>
      </c>
      <c r="E1237" t="s">
        <v>3215</v>
      </c>
      <c r="F1237">
        <v>1989</v>
      </c>
      <c r="G1237" t="s">
        <v>61</v>
      </c>
      <c r="H1237">
        <v>27</v>
      </c>
      <c r="I1237">
        <v>5</v>
      </c>
      <c r="J1237">
        <v>640</v>
      </c>
      <c r="K1237">
        <v>641</v>
      </c>
      <c r="L1237" t="s">
        <v>10184</v>
      </c>
      <c r="M1237" t="s">
        <v>10185</v>
      </c>
      <c r="N1237" t="s">
        <v>10186</v>
      </c>
      <c r="O1237" t="s">
        <v>61</v>
      </c>
      <c r="Q1237" t="s">
        <v>61</v>
      </c>
      <c r="R1237" t="s">
        <v>61</v>
      </c>
      <c r="S1237" t="s">
        <v>61</v>
      </c>
      <c r="T1237" t="s">
        <v>61</v>
      </c>
      <c r="X1237" t="s">
        <v>61</v>
      </c>
      <c r="Y1237" t="s">
        <v>298</v>
      </c>
      <c r="Z1237" t="s">
        <v>61</v>
      </c>
      <c r="AA1237" t="s">
        <v>61</v>
      </c>
      <c r="AB1237">
        <v>1989145143</v>
      </c>
      <c r="AC1237" t="s">
        <v>67</v>
      </c>
      <c r="AD1237" t="s">
        <v>61</v>
      </c>
      <c r="AE1237" t="s">
        <v>61</v>
      </c>
      <c r="AF1237" t="s">
        <v>61</v>
      </c>
      <c r="AG1237" t="s">
        <v>10187</v>
      </c>
      <c r="AH1237" t="s">
        <v>61</v>
      </c>
      <c r="AI1237" t="s">
        <v>61</v>
      </c>
      <c r="AJ1237" t="s">
        <v>61</v>
      </c>
      <c r="AK1237" t="s">
        <v>61</v>
      </c>
      <c r="AL1237" t="s">
        <v>61</v>
      </c>
      <c r="AM1237" t="s">
        <v>10188</v>
      </c>
      <c r="AN1237" t="s">
        <v>61</v>
      </c>
      <c r="AO1237" t="s">
        <v>61</v>
      </c>
      <c r="AP1237" t="s">
        <v>61</v>
      </c>
      <c r="AQ1237" t="s">
        <v>61</v>
      </c>
      <c r="AR1237" t="s">
        <v>61</v>
      </c>
      <c r="AS1237" t="s">
        <v>61</v>
      </c>
      <c r="AT1237" t="s">
        <v>61</v>
      </c>
      <c r="AU1237" t="s">
        <v>61</v>
      </c>
      <c r="AV1237" t="s">
        <v>61</v>
      </c>
      <c r="AW1237" t="s">
        <v>61</v>
      </c>
      <c r="AX1237" t="s">
        <v>61</v>
      </c>
      <c r="AY1237" t="s">
        <v>61</v>
      </c>
      <c r="AZ1237" t="s">
        <v>61</v>
      </c>
      <c r="BA1237" t="s">
        <v>61</v>
      </c>
      <c r="BB1237" t="s">
        <v>61</v>
      </c>
      <c r="BC1237" t="s">
        <v>61</v>
      </c>
      <c r="BD1237" t="s">
        <v>61</v>
      </c>
      <c r="BE1237" t="s">
        <v>61</v>
      </c>
      <c r="BF1237" t="s">
        <v>61</v>
      </c>
    </row>
    <row r="1238" spans="1:58">
      <c r="A1238" t="s">
        <v>58</v>
      </c>
      <c r="B1238" t="s">
        <v>10189</v>
      </c>
      <c r="C1238" t="s">
        <v>10190</v>
      </c>
      <c r="D1238" t="s">
        <v>428</v>
      </c>
      <c r="E1238" t="s">
        <v>61</v>
      </c>
      <c r="F1238">
        <v>2013</v>
      </c>
      <c r="G1238" t="s">
        <v>457</v>
      </c>
      <c r="H1238">
        <v>26</v>
      </c>
      <c r="I1238">
        <v>3</v>
      </c>
      <c r="J1238">
        <v>312</v>
      </c>
      <c r="K1238" t="s">
        <v>61</v>
      </c>
      <c r="L1238" t="s">
        <v>10191</v>
      </c>
      <c r="M1238" t="s">
        <v>10192</v>
      </c>
      <c r="N1238" t="s">
        <v>10193</v>
      </c>
      <c r="O1238" t="s">
        <v>61</v>
      </c>
      <c r="Q1238" t="s">
        <v>61</v>
      </c>
      <c r="R1238" t="s">
        <v>61</v>
      </c>
      <c r="S1238" t="s">
        <v>61</v>
      </c>
      <c r="T1238" t="s">
        <v>61</v>
      </c>
      <c r="X1238" t="s">
        <v>61</v>
      </c>
      <c r="Y1238" t="s">
        <v>433</v>
      </c>
      <c r="Z1238" t="s">
        <v>61</v>
      </c>
      <c r="AA1238" t="s">
        <v>61</v>
      </c>
      <c r="AB1238" t="s">
        <v>61</v>
      </c>
      <c r="AC1238" t="s">
        <v>67</v>
      </c>
      <c r="AD1238" t="s">
        <v>61</v>
      </c>
      <c r="AE1238" t="s">
        <v>61</v>
      </c>
      <c r="AF1238" t="s">
        <v>61</v>
      </c>
      <c r="AG1238" t="s">
        <v>61</v>
      </c>
      <c r="AH1238" t="s">
        <v>61</v>
      </c>
      <c r="AI1238" t="s">
        <v>61</v>
      </c>
      <c r="AJ1238" t="s">
        <v>61</v>
      </c>
      <c r="AK1238" t="s">
        <v>61</v>
      </c>
      <c r="AL1238" t="s">
        <v>61</v>
      </c>
      <c r="AM1238" t="s">
        <v>10190</v>
      </c>
      <c r="AN1238" t="s">
        <v>61</v>
      </c>
      <c r="AO1238" t="s">
        <v>61</v>
      </c>
      <c r="AP1238" t="s">
        <v>61</v>
      </c>
      <c r="AQ1238" t="s">
        <v>61</v>
      </c>
      <c r="AR1238" t="s">
        <v>61</v>
      </c>
      <c r="AS1238" t="s">
        <v>61</v>
      </c>
      <c r="AT1238" t="s">
        <v>61</v>
      </c>
      <c r="AU1238" t="s">
        <v>61</v>
      </c>
      <c r="AV1238" t="s">
        <v>61</v>
      </c>
      <c r="AW1238" t="s">
        <v>61</v>
      </c>
      <c r="AX1238" t="s">
        <v>61</v>
      </c>
      <c r="AY1238" t="s">
        <v>61</v>
      </c>
      <c r="AZ1238" t="s">
        <v>61</v>
      </c>
      <c r="BA1238" t="s">
        <v>61</v>
      </c>
      <c r="BB1238" t="s">
        <v>61</v>
      </c>
      <c r="BC1238" t="s">
        <v>61</v>
      </c>
      <c r="BD1238" t="s">
        <v>61</v>
      </c>
      <c r="BE1238" t="s">
        <v>61</v>
      </c>
      <c r="BF1238" t="s">
        <v>61</v>
      </c>
    </row>
    <row r="1239" spans="1:58">
      <c r="A1239" t="s">
        <v>58</v>
      </c>
      <c r="B1239" t="s">
        <v>10194</v>
      </c>
      <c r="C1239" t="s">
        <v>10195</v>
      </c>
      <c r="D1239" t="s">
        <v>627</v>
      </c>
      <c r="E1239" t="s">
        <v>61</v>
      </c>
      <c r="F1239">
        <v>2014</v>
      </c>
      <c r="G1239" t="s">
        <v>628</v>
      </c>
      <c r="H1239">
        <v>54</v>
      </c>
      <c r="I1239">
        <v>2</v>
      </c>
      <c r="J1239" t="s">
        <v>10196</v>
      </c>
      <c r="K1239" t="s">
        <v>61</v>
      </c>
      <c r="L1239" t="s">
        <v>10197</v>
      </c>
      <c r="M1239" t="s">
        <v>10198</v>
      </c>
      <c r="N1239" t="s">
        <v>10199</v>
      </c>
      <c r="O1239" t="s">
        <v>61</v>
      </c>
      <c r="Q1239" t="s">
        <v>61</v>
      </c>
      <c r="R1239" t="s">
        <v>61</v>
      </c>
      <c r="S1239" t="s">
        <v>61</v>
      </c>
      <c r="T1239" t="s">
        <v>61</v>
      </c>
      <c r="X1239" t="s">
        <v>61</v>
      </c>
      <c r="Y1239" t="s">
        <v>632</v>
      </c>
      <c r="Z1239" t="s">
        <v>61</v>
      </c>
      <c r="AA1239" t="s">
        <v>61</v>
      </c>
      <c r="AB1239" t="s">
        <v>61</v>
      </c>
      <c r="AC1239" t="s">
        <v>67</v>
      </c>
      <c r="AD1239" t="s">
        <v>61</v>
      </c>
      <c r="AE1239" t="s">
        <v>61</v>
      </c>
      <c r="AF1239" t="s">
        <v>61</v>
      </c>
      <c r="AG1239" t="s">
        <v>61</v>
      </c>
      <c r="AH1239" t="s">
        <v>61</v>
      </c>
      <c r="AI1239" t="s">
        <v>61</v>
      </c>
      <c r="AJ1239" t="s">
        <v>61</v>
      </c>
      <c r="AK1239" t="s">
        <v>61</v>
      </c>
      <c r="AL1239" t="s">
        <v>61</v>
      </c>
      <c r="AM1239" t="s">
        <v>10195</v>
      </c>
      <c r="AN1239" t="s">
        <v>61</v>
      </c>
      <c r="AO1239" t="s">
        <v>61</v>
      </c>
      <c r="AP1239" t="s">
        <v>61</v>
      </c>
      <c r="AQ1239" t="s">
        <v>61</v>
      </c>
      <c r="AR1239" t="s">
        <v>61</v>
      </c>
      <c r="AS1239" t="s">
        <v>61</v>
      </c>
      <c r="AT1239" t="s">
        <v>61</v>
      </c>
      <c r="AU1239" t="s">
        <v>61</v>
      </c>
      <c r="AV1239" t="s">
        <v>61</v>
      </c>
      <c r="AW1239" t="s">
        <v>61</v>
      </c>
      <c r="AX1239" t="s">
        <v>61</v>
      </c>
      <c r="AY1239" t="s">
        <v>61</v>
      </c>
      <c r="AZ1239" t="s">
        <v>61</v>
      </c>
      <c r="BA1239" t="s">
        <v>61</v>
      </c>
      <c r="BB1239" t="s">
        <v>61</v>
      </c>
      <c r="BC1239" t="s">
        <v>61</v>
      </c>
      <c r="BD1239" t="s">
        <v>61</v>
      </c>
      <c r="BE1239" t="s">
        <v>61</v>
      </c>
      <c r="BF1239" t="s">
        <v>61</v>
      </c>
    </row>
    <row r="1240" spans="1:58">
      <c r="A1240" t="s">
        <v>58</v>
      </c>
      <c r="B1240" t="s">
        <v>10200</v>
      </c>
      <c r="C1240" t="s">
        <v>10201</v>
      </c>
      <c r="D1240" t="s">
        <v>10202</v>
      </c>
      <c r="E1240" t="s">
        <v>10202</v>
      </c>
      <c r="F1240">
        <v>2015</v>
      </c>
      <c r="G1240" t="s">
        <v>85</v>
      </c>
      <c r="H1240">
        <v>25</v>
      </c>
      <c r="I1240">
        <v>4</v>
      </c>
      <c r="J1240">
        <v>409</v>
      </c>
      <c r="K1240">
        <v>414</v>
      </c>
      <c r="L1240" t="s">
        <v>10203</v>
      </c>
      <c r="M1240" t="s">
        <v>10204</v>
      </c>
      <c r="N1240" t="s">
        <v>10205</v>
      </c>
      <c r="O1240" t="s">
        <v>61</v>
      </c>
      <c r="Q1240" t="s">
        <v>61</v>
      </c>
      <c r="R1240" t="s">
        <v>61</v>
      </c>
      <c r="S1240" t="s">
        <v>61</v>
      </c>
      <c r="T1240" t="s">
        <v>61</v>
      </c>
      <c r="X1240" t="s">
        <v>61</v>
      </c>
      <c r="Y1240" t="s">
        <v>10206</v>
      </c>
      <c r="Z1240" t="s">
        <v>61</v>
      </c>
      <c r="AA1240" t="s">
        <v>10207</v>
      </c>
      <c r="AB1240">
        <v>25424867</v>
      </c>
      <c r="AC1240" t="s">
        <v>67</v>
      </c>
      <c r="AD1240" t="s">
        <v>61</v>
      </c>
      <c r="AE1240" t="s">
        <v>61</v>
      </c>
      <c r="AF1240" t="s">
        <v>61</v>
      </c>
      <c r="AG1240" t="s">
        <v>10208</v>
      </c>
      <c r="AH1240" t="s">
        <v>61</v>
      </c>
      <c r="AI1240" t="s">
        <v>10209</v>
      </c>
      <c r="AJ1240" t="s">
        <v>61</v>
      </c>
      <c r="AK1240" t="s">
        <v>61</v>
      </c>
      <c r="AL1240" t="s">
        <v>61</v>
      </c>
      <c r="AM1240" t="s">
        <v>10210</v>
      </c>
      <c r="AN1240" t="s">
        <v>61</v>
      </c>
      <c r="AO1240" t="s">
        <v>61</v>
      </c>
      <c r="AP1240" t="s">
        <v>61</v>
      </c>
      <c r="AQ1240" t="s">
        <v>61</v>
      </c>
      <c r="AR1240" t="s">
        <v>61</v>
      </c>
      <c r="AS1240" t="s">
        <v>61</v>
      </c>
      <c r="AT1240" t="s">
        <v>61</v>
      </c>
      <c r="AU1240" t="s">
        <v>61</v>
      </c>
      <c r="AV1240" t="s">
        <v>61</v>
      </c>
      <c r="AW1240" t="s">
        <v>61</v>
      </c>
      <c r="AX1240" t="s">
        <v>61</v>
      </c>
      <c r="AY1240" t="s">
        <v>61</v>
      </c>
      <c r="AZ1240" t="s">
        <v>61</v>
      </c>
      <c r="BA1240" t="s">
        <v>61</v>
      </c>
      <c r="BB1240" t="s">
        <v>61</v>
      </c>
      <c r="BC1240" t="s">
        <v>61</v>
      </c>
      <c r="BD1240" t="s">
        <v>61</v>
      </c>
      <c r="BE1240" t="s">
        <v>61</v>
      </c>
      <c r="BF1240" t="s">
        <v>61</v>
      </c>
    </row>
    <row r="1241" spans="1:58">
      <c r="A1241" t="s">
        <v>58</v>
      </c>
      <c r="B1241" t="s">
        <v>10211</v>
      </c>
      <c r="C1241" t="s">
        <v>10212</v>
      </c>
      <c r="D1241" t="s">
        <v>2704</v>
      </c>
      <c r="E1241" t="s">
        <v>61</v>
      </c>
      <c r="F1241">
        <v>2014</v>
      </c>
      <c r="G1241" t="s">
        <v>645</v>
      </c>
      <c r="H1241">
        <v>37</v>
      </c>
      <c r="I1241">
        <v>10</v>
      </c>
      <c r="J1241">
        <v>841</v>
      </c>
      <c r="K1241" t="s">
        <v>61</v>
      </c>
      <c r="L1241" t="s">
        <v>10213</v>
      </c>
      <c r="M1241" t="s">
        <v>10214</v>
      </c>
      <c r="N1241" t="s">
        <v>10215</v>
      </c>
      <c r="O1241" t="s">
        <v>61</v>
      </c>
      <c r="Q1241" t="s">
        <v>61</v>
      </c>
      <c r="R1241" t="s">
        <v>61</v>
      </c>
      <c r="S1241" t="s">
        <v>61</v>
      </c>
      <c r="T1241" t="s">
        <v>61</v>
      </c>
      <c r="X1241" t="s">
        <v>61</v>
      </c>
      <c r="Y1241" t="s">
        <v>313</v>
      </c>
      <c r="Z1241" t="s">
        <v>61</v>
      </c>
      <c r="AA1241" t="s">
        <v>61</v>
      </c>
      <c r="AB1241" t="s">
        <v>61</v>
      </c>
      <c r="AC1241" t="s">
        <v>67</v>
      </c>
      <c r="AD1241" t="s">
        <v>61</v>
      </c>
      <c r="AE1241" t="s">
        <v>61</v>
      </c>
      <c r="AF1241" t="s">
        <v>61</v>
      </c>
      <c r="AG1241" t="s">
        <v>61</v>
      </c>
      <c r="AH1241" t="s">
        <v>61</v>
      </c>
      <c r="AI1241" t="s">
        <v>61</v>
      </c>
      <c r="AJ1241" t="s">
        <v>61</v>
      </c>
      <c r="AK1241" t="s">
        <v>61</v>
      </c>
      <c r="AL1241" t="s">
        <v>61</v>
      </c>
      <c r="AM1241" t="s">
        <v>10212</v>
      </c>
      <c r="AN1241" t="s">
        <v>61</v>
      </c>
      <c r="AO1241" t="s">
        <v>61</v>
      </c>
      <c r="AP1241" t="s">
        <v>61</v>
      </c>
      <c r="AQ1241" t="s">
        <v>61</v>
      </c>
      <c r="AR1241" t="s">
        <v>61</v>
      </c>
      <c r="AS1241" t="s">
        <v>61</v>
      </c>
      <c r="AT1241" t="s">
        <v>61</v>
      </c>
      <c r="AU1241" t="s">
        <v>61</v>
      </c>
      <c r="AV1241" t="s">
        <v>61</v>
      </c>
      <c r="AW1241" t="s">
        <v>61</v>
      </c>
      <c r="AX1241" t="s">
        <v>61</v>
      </c>
      <c r="AY1241" t="s">
        <v>61</v>
      </c>
      <c r="AZ1241" t="s">
        <v>61</v>
      </c>
      <c r="BA1241" t="s">
        <v>61</v>
      </c>
      <c r="BB1241" t="s">
        <v>61</v>
      </c>
      <c r="BC1241" t="s">
        <v>61</v>
      </c>
      <c r="BD1241" t="s">
        <v>61</v>
      </c>
      <c r="BE1241" t="s">
        <v>61</v>
      </c>
      <c r="BF1241" t="s">
        <v>61</v>
      </c>
    </row>
    <row r="1242" spans="1:58">
      <c r="A1242" t="s">
        <v>58</v>
      </c>
      <c r="B1242" t="s">
        <v>10216</v>
      </c>
      <c r="C1242" t="s">
        <v>10217</v>
      </c>
      <c r="D1242" t="s">
        <v>1476</v>
      </c>
      <c r="E1242" t="s">
        <v>61</v>
      </c>
      <c r="F1242">
        <v>2006</v>
      </c>
      <c r="G1242">
        <v>15</v>
      </c>
      <c r="H1242">
        <v>276</v>
      </c>
      <c r="I1242">
        <v>7396</v>
      </c>
      <c r="J1242">
        <v>441</v>
      </c>
      <c r="K1242" t="s">
        <v>61</v>
      </c>
      <c r="L1242" t="s">
        <v>10218</v>
      </c>
      <c r="M1242" t="s">
        <v>61</v>
      </c>
      <c r="N1242" t="s">
        <v>10219</v>
      </c>
      <c r="O1242" t="s">
        <v>61</v>
      </c>
      <c r="Q1242" t="s">
        <v>61</v>
      </c>
      <c r="R1242" t="s">
        <v>61</v>
      </c>
      <c r="S1242" t="s">
        <v>61</v>
      </c>
      <c r="T1242" t="s">
        <v>61</v>
      </c>
      <c r="X1242" t="s">
        <v>61</v>
      </c>
      <c r="Y1242" t="s">
        <v>293</v>
      </c>
      <c r="Z1242" t="s">
        <v>61</v>
      </c>
      <c r="AA1242" t="s">
        <v>61</v>
      </c>
      <c r="AB1242">
        <v>2006199815</v>
      </c>
      <c r="AC1242" t="s">
        <v>67</v>
      </c>
      <c r="AD1242" t="s">
        <v>61</v>
      </c>
      <c r="AE1242" t="s">
        <v>61</v>
      </c>
      <c r="AF1242" t="s">
        <v>61</v>
      </c>
      <c r="AG1242" t="s">
        <v>61</v>
      </c>
      <c r="AH1242" t="s">
        <v>61</v>
      </c>
      <c r="AI1242" t="s">
        <v>61</v>
      </c>
      <c r="AJ1242" t="s">
        <v>61</v>
      </c>
      <c r="AK1242" t="s">
        <v>61</v>
      </c>
      <c r="AL1242" t="s">
        <v>61</v>
      </c>
      <c r="AM1242" t="s">
        <v>10220</v>
      </c>
      <c r="AN1242" t="s">
        <v>61</v>
      </c>
      <c r="AO1242" t="s">
        <v>61</v>
      </c>
      <c r="AP1242" t="s">
        <v>61</v>
      </c>
      <c r="AQ1242" t="s">
        <v>61</v>
      </c>
      <c r="AR1242" t="s">
        <v>61</v>
      </c>
      <c r="AS1242" t="s">
        <v>61</v>
      </c>
      <c r="AT1242" t="s">
        <v>61</v>
      </c>
      <c r="AU1242" t="s">
        <v>61</v>
      </c>
      <c r="AV1242" t="s">
        <v>61</v>
      </c>
      <c r="AW1242" t="s">
        <v>61</v>
      </c>
      <c r="AX1242" t="s">
        <v>61</v>
      </c>
      <c r="AY1242" t="s">
        <v>61</v>
      </c>
      <c r="AZ1242" t="s">
        <v>61</v>
      </c>
      <c r="BA1242" t="s">
        <v>61</v>
      </c>
      <c r="BB1242" t="s">
        <v>61</v>
      </c>
      <c r="BC1242" t="s">
        <v>61</v>
      </c>
      <c r="BD1242" t="s">
        <v>61</v>
      </c>
      <c r="BE1242" t="s">
        <v>61</v>
      </c>
      <c r="BF1242" t="s">
        <v>61</v>
      </c>
    </row>
    <row r="1243" spans="1:58">
      <c r="A1243" t="s">
        <v>58</v>
      </c>
      <c r="B1243" t="s">
        <v>10221</v>
      </c>
      <c r="C1243" t="s">
        <v>10222</v>
      </c>
      <c r="D1243" t="s">
        <v>2007</v>
      </c>
      <c r="E1243" t="s">
        <v>61</v>
      </c>
      <c r="F1243">
        <v>1998</v>
      </c>
      <c r="G1243" t="s">
        <v>61</v>
      </c>
      <c r="H1243">
        <v>9</v>
      </c>
      <c r="I1243">
        <v>3</v>
      </c>
      <c r="J1243">
        <v>187</v>
      </c>
      <c r="K1243" t="s">
        <v>10223</v>
      </c>
      <c r="L1243" t="s">
        <v>10224</v>
      </c>
      <c r="M1243" t="s">
        <v>10225</v>
      </c>
      <c r="N1243" t="s">
        <v>10226</v>
      </c>
      <c r="O1243" t="s">
        <v>61</v>
      </c>
      <c r="Q1243" t="s">
        <v>61</v>
      </c>
      <c r="R1243" t="s">
        <v>61</v>
      </c>
      <c r="S1243" t="s">
        <v>61</v>
      </c>
      <c r="T1243" t="s">
        <v>61</v>
      </c>
      <c r="X1243" t="s">
        <v>61</v>
      </c>
      <c r="Y1243" t="s">
        <v>2012</v>
      </c>
      <c r="Z1243" t="s">
        <v>61</v>
      </c>
      <c r="AA1243" t="s">
        <v>10227</v>
      </c>
      <c r="AB1243">
        <v>107182815</v>
      </c>
      <c r="AC1243" t="s">
        <v>67</v>
      </c>
      <c r="AD1243" t="s">
        <v>61</v>
      </c>
      <c r="AE1243" t="s">
        <v>61</v>
      </c>
      <c r="AF1243" t="s">
        <v>61</v>
      </c>
      <c r="AG1243" t="s">
        <v>10228</v>
      </c>
      <c r="AH1243" t="s">
        <v>61</v>
      </c>
      <c r="AI1243" t="s">
        <v>61</v>
      </c>
      <c r="AJ1243" t="s">
        <v>61</v>
      </c>
      <c r="AK1243" t="s">
        <v>61</v>
      </c>
      <c r="AL1243" t="s">
        <v>61</v>
      </c>
      <c r="AM1243" t="s">
        <v>10229</v>
      </c>
      <c r="AN1243" t="s">
        <v>61</v>
      </c>
      <c r="AO1243" t="s">
        <v>61</v>
      </c>
      <c r="AP1243" t="s">
        <v>61</v>
      </c>
      <c r="AQ1243" t="s">
        <v>61</v>
      </c>
      <c r="AR1243" t="s">
        <v>61</v>
      </c>
      <c r="AS1243" t="s">
        <v>61</v>
      </c>
      <c r="AT1243" t="s">
        <v>61</v>
      </c>
      <c r="AU1243" t="s">
        <v>61</v>
      </c>
      <c r="AV1243" t="s">
        <v>61</v>
      </c>
      <c r="AW1243" t="s">
        <v>61</v>
      </c>
      <c r="AX1243" t="s">
        <v>61</v>
      </c>
      <c r="AY1243" t="s">
        <v>61</v>
      </c>
      <c r="AZ1243" t="s">
        <v>61</v>
      </c>
      <c r="BA1243" t="s">
        <v>61</v>
      </c>
      <c r="BB1243" t="s">
        <v>61</v>
      </c>
      <c r="BC1243" t="s">
        <v>61</v>
      </c>
      <c r="BD1243" t="s">
        <v>61</v>
      </c>
      <c r="BE1243" t="s">
        <v>61</v>
      </c>
      <c r="BF1243" t="s">
        <v>61</v>
      </c>
    </row>
    <row r="1244" spans="1:58">
      <c r="A1244" t="s">
        <v>58</v>
      </c>
      <c r="B1244" t="s">
        <v>10230</v>
      </c>
      <c r="C1244" t="s">
        <v>10231</v>
      </c>
      <c r="D1244" t="s">
        <v>60</v>
      </c>
      <c r="E1244" t="s">
        <v>61</v>
      </c>
      <c r="F1244">
        <v>1996</v>
      </c>
      <c r="G1244" s="1">
        <v>42444</v>
      </c>
      <c r="H1244">
        <v>53</v>
      </c>
      <c r="I1244">
        <v>6</v>
      </c>
      <c r="J1244">
        <v>639</v>
      </c>
      <c r="K1244">
        <v>650</v>
      </c>
      <c r="L1244" t="s">
        <v>10232</v>
      </c>
      <c r="M1244" t="s">
        <v>10233</v>
      </c>
      <c r="N1244" t="s">
        <v>10234</v>
      </c>
      <c r="O1244" t="s">
        <v>61</v>
      </c>
      <c r="Q1244" t="s">
        <v>61</v>
      </c>
      <c r="R1244" t="s">
        <v>61</v>
      </c>
      <c r="S1244" t="s">
        <v>61</v>
      </c>
      <c r="T1244" t="s">
        <v>61</v>
      </c>
      <c r="X1244" t="s">
        <v>61</v>
      </c>
      <c r="Y1244" t="s">
        <v>66</v>
      </c>
      <c r="Z1244" t="s">
        <v>61</v>
      </c>
      <c r="AA1244" t="s">
        <v>10235</v>
      </c>
      <c r="AB1244">
        <v>8800969</v>
      </c>
      <c r="AC1244" t="s">
        <v>67</v>
      </c>
      <c r="AD1244" t="s">
        <v>61</v>
      </c>
      <c r="AE1244" t="s">
        <v>61</v>
      </c>
      <c r="AF1244" t="s">
        <v>61</v>
      </c>
      <c r="AG1244" t="s">
        <v>10236</v>
      </c>
      <c r="AH1244" t="s">
        <v>61</v>
      </c>
      <c r="AI1244" t="s">
        <v>61</v>
      </c>
      <c r="AJ1244" t="s">
        <v>61</v>
      </c>
      <c r="AK1244" t="s">
        <v>61</v>
      </c>
      <c r="AL1244" t="s">
        <v>61</v>
      </c>
      <c r="AM1244" t="s">
        <v>10237</v>
      </c>
      <c r="AN1244" t="s">
        <v>61</v>
      </c>
      <c r="AO1244" t="s">
        <v>61</v>
      </c>
      <c r="AP1244" t="s">
        <v>61</v>
      </c>
      <c r="AQ1244" t="s">
        <v>61</v>
      </c>
      <c r="AR1244" t="s">
        <v>61</v>
      </c>
      <c r="AS1244" t="s">
        <v>61</v>
      </c>
      <c r="AT1244" t="s">
        <v>61</v>
      </c>
      <c r="AU1244" t="s">
        <v>61</v>
      </c>
      <c r="AV1244" t="s">
        <v>61</v>
      </c>
      <c r="AW1244" t="s">
        <v>61</v>
      </c>
      <c r="AX1244" t="s">
        <v>61</v>
      </c>
      <c r="AY1244" t="s">
        <v>61</v>
      </c>
      <c r="AZ1244" t="s">
        <v>61</v>
      </c>
      <c r="BA1244" t="s">
        <v>61</v>
      </c>
      <c r="BB1244" t="s">
        <v>61</v>
      </c>
      <c r="BC1244" t="s">
        <v>61</v>
      </c>
      <c r="BD1244" t="s">
        <v>61</v>
      </c>
      <c r="BE1244" t="s">
        <v>61</v>
      </c>
      <c r="BF1244" t="s">
        <v>61</v>
      </c>
    </row>
    <row r="1245" spans="1:58">
      <c r="A1245" t="s">
        <v>58</v>
      </c>
      <c r="B1245" t="s">
        <v>10238</v>
      </c>
      <c r="C1245" t="s">
        <v>10239</v>
      </c>
      <c r="D1245" t="s">
        <v>60</v>
      </c>
      <c r="E1245" t="s">
        <v>61</v>
      </c>
      <c r="F1245">
        <v>1996</v>
      </c>
      <c r="G1245" s="1">
        <v>42628</v>
      </c>
      <c r="H1245">
        <v>53</v>
      </c>
      <c r="I1245">
        <v>18</v>
      </c>
      <c r="J1245">
        <v>2194</v>
      </c>
      <c r="K1245">
        <v>2196</v>
      </c>
      <c r="L1245" t="s">
        <v>10240</v>
      </c>
      <c r="M1245" t="s">
        <v>61</v>
      </c>
      <c r="N1245" t="s">
        <v>10241</v>
      </c>
      <c r="O1245" t="s">
        <v>61</v>
      </c>
      <c r="Q1245" t="s">
        <v>61</v>
      </c>
      <c r="R1245" t="s">
        <v>61</v>
      </c>
      <c r="S1245" t="s">
        <v>61</v>
      </c>
      <c r="T1245" t="s">
        <v>61</v>
      </c>
      <c r="X1245" t="s">
        <v>61</v>
      </c>
      <c r="Y1245" t="s">
        <v>66</v>
      </c>
      <c r="Z1245" t="s">
        <v>61</v>
      </c>
      <c r="AA1245" t="s">
        <v>10242</v>
      </c>
      <c r="AB1245">
        <v>8879329</v>
      </c>
      <c r="AC1245" t="s">
        <v>67</v>
      </c>
      <c r="AD1245" t="s">
        <v>61</v>
      </c>
      <c r="AE1245" t="s">
        <v>61</v>
      </c>
      <c r="AF1245" t="s">
        <v>61</v>
      </c>
      <c r="AG1245" t="s">
        <v>10243</v>
      </c>
      <c r="AH1245" t="s">
        <v>61</v>
      </c>
      <c r="AI1245" t="s">
        <v>61</v>
      </c>
      <c r="AJ1245" t="s">
        <v>61</v>
      </c>
      <c r="AK1245" t="s">
        <v>61</v>
      </c>
      <c r="AL1245" t="s">
        <v>61</v>
      </c>
      <c r="AM1245" t="s">
        <v>10244</v>
      </c>
      <c r="AN1245" t="s">
        <v>61</v>
      </c>
      <c r="AO1245" t="s">
        <v>61</v>
      </c>
      <c r="AP1245" t="s">
        <v>61</v>
      </c>
      <c r="AQ1245" t="s">
        <v>61</v>
      </c>
      <c r="AR1245" t="s">
        <v>61</v>
      </c>
      <c r="AS1245" t="s">
        <v>61</v>
      </c>
      <c r="AT1245" t="s">
        <v>61</v>
      </c>
      <c r="AU1245" t="s">
        <v>61</v>
      </c>
      <c r="AV1245" t="s">
        <v>61</v>
      </c>
      <c r="AW1245" t="s">
        <v>61</v>
      </c>
      <c r="AX1245" t="s">
        <v>61</v>
      </c>
      <c r="AY1245" t="s">
        <v>61</v>
      </c>
      <c r="AZ1245" t="s">
        <v>61</v>
      </c>
      <c r="BA1245" t="s">
        <v>61</v>
      </c>
      <c r="BB1245" t="s">
        <v>61</v>
      </c>
      <c r="BC1245" t="s">
        <v>61</v>
      </c>
      <c r="BD1245" t="s">
        <v>61</v>
      </c>
      <c r="BE1245" t="s">
        <v>61</v>
      </c>
      <c r="BF1245" t="s">
        <v>61</v>
      </c>
    </row>
    <row r="1246" spans="1:58">
      <c r="A1246" t="s">
        <v>58</v>
      </c>
      <c r="B1246" t="s">
        <v>10245</v>
      </c>
      <c r="C1246" t="s">
        <v>10246</v>
      </c>
      <c r="D1246" t="s">
        <v>271</v>
      </c>
      <c r="E1246" t="s">
        <v>272</v>
      </c>
      <c r="F1246">
        <v>1970</v>
      </c>
      <c r="G1246" t="s">
        <v>129</v>
      </c>
      <c r="H1246">
        <v>10</v>
      </c>
      <c r="I1246">
        <v>10</v>
      </c>
      <c r="J1246">
        <v>563</v>
      </c>
      <c r="K1246" t="s">
        <v>10247</v>
      </c>
      <c r="L1246" t="s">
        <v>10248</v>
      </c>
      <c r="M1246" t="s">
        <v>61</v>
      </c>
      <c r="N1246" t="s">
        <v>10249</v>
      </c>
      <c r="O1246" t="s">
        <v>61</v>
      </c>
      <c r="Q1246" t="s">
        <v>61</v>
      </c>
      <c r="R1246" t="s">
        <v>61</v>
      </c>
      <c r="S1246" t="s">
        <v>61</v>
      </c>
      <c r="T1246" t="s">
        <v>61</v>
      </c>
      <c r="X1246" t="s">
        <v>61</v>
      </c>
      <c r="Y1246" t="s">
        <v>276</v>
      </c>
      <c r="Z1246" t="s">
        <v>61</v>
      </c>
      <c r="AA1246" t="s">
        <v>61</v>
      </c>
      <c r="AB1246">
        <v>5528356</v>
      </c>
      <c r="AC1246" t="s">
        <v>67</v>
      </c>
      <c r="AD1246" t="s">
        <v>61</v>
      </c>
      <c r="AE1246" t="s">
        <v>61</v>
      </c>
      <c r="AF1246" t="s">
        <v>61</v>
      </c>
      <c r="AG1246" t="s">
        <v>10250</v>
      </c>
      <c r="AH1246" t="s">
        <v>61</v>
      </c>
      <c r="AI1246" t="s">
        <v>61</v>
      </c>
      <c r="AJ1246" t="s">
        <v>61</v>
      </c>
      <c r="AK1246" t="s">
        <v>61</v>
      </c>
      <c r="AL1246" t="s">
        <v>61</v>
      </c>
      <c r="AM1246" t="s">
        <v>10251</v>
      </c>
      <c r="AN1246" t="s">
        <v>61</v>
      </c>
      <c r="AO1246" t="s">
        <v>61</v>
      </c>
      <c r="AP1246" t="s">
        <v>61</v>
      </c>
      <c r="AQ1246" t="s">
        <v>61</v>
      </c>
      <c r="AR1246" t="s">
        <v>61</v>
      </c>
      <c r="AS1246" t="s">
        <v>61</v>
      </c>
      <c r="AT1246" t="s">
        <v>61</v>
      </c>
      <c r="AU1246" t="s">
        <v>61</v>
      </c>
      <c r="AV1246" t="s">
        <v>61</v>
      </c>
      <c r="AW1246" t="s">
        <v>61</v>
      </c>
      <c r="AX1246" t="s">
        <v>61</v>
      </c>
      <c r="AY1246" t="s">
        <v>61</v>
      </c>
      <c r="AZ1246" t="s">
        <v>61</v>
      </c>
      <c r="BA1246" t="s">
        <v>61</v>
      </c>
      <c r="BB1246" t="s">
        <v>61</v>
      </c>
      <c r="BC1246" t="s">
        <v>61</v>
      </c>
      <c r="BD1246" t="s">
        <v>61</v>
      </c>
      <c r="BE1246" t="s">
        <v>61</v>
      </c>
      <c r="BF1246" t="s">
        <v>61</v>
      </c>
    </row>
    <row r="1247" spans="1:58">
      <c r="A1247" t="s">
        <v>58</v>
      </c>
      <c r="B1247" t="s">
        <v>10252</v>
      </c>
      <c r="C1247" t="s">
        <v>10253</v>
      </c>
      <c r="D1247" t="s">
        <v>5500</v>
      </c>
      <c r="E1247" t="s">
        <v>61</v>
      </c>
      <c r="F1247">
        <v>2014</v>
      </c>
      <c r="G1247" t="s">
        <v>61</v>
      </c>
      <c r="H1247">
        <v>9</v>
      </c>
      <c r="I1247">
        <v>6</v>
      </c>
      <c r="J1247" t="s">
        <v>10254</v>
      </c>
      <c r="K1247" t="s">
        <v>61</v>
      </c>
      <c r="L1247" t="s">
        <v>10255</v>
      </c>
      <c r="M1247" t="s">
        <v>10256</v>
      </c>
      <c r="N1247" t="s">
        <v>10257</v>
      </c>
      <c r="O1247" t="s">
        <v>61</v>
      </c>
      <c r="Q1247" t="s">
        <v>61</v>
      </c>
      <c r="R1247" t="s">
        <v>61</v>
      </c>
      <c r="S1247" t="s">
        <v>61</v>
      </c>
      <c r="T1247" t="s">
        <v>61</v>
      </c>
      <c r="X1247" t="s">
        <v>61</v>
      </c>
      <c r="Y1247" t="s">
        <v>5505</v>
      </c>
      <c r="Z1247" t="s">
        <v>61</v>
      </c>
      <c r="AA1247" t="s">
        <v>10258</v>
      </c>
      <c r="AB1247">
        <v>24887094</v>
      </c>
      <c r="AC1247" t="s">
        <v>67</v>
      </c>
      <c r="AD1247" t="s">
        <v>61</v>
      </c>
      <c r="AE1247" t="s">
        <v>61</v>
      </c>
      <c r="AF1247" t="s">
        <v>61</v>
      </c>
      <c r="AG1247" t="s">
        <v>10259</v>
      </c>
      <c r="AH1247" t="s">
        <v>61</v>
      </c>
      <c r="AI1247" t="s">
        <v>10260</v>
      </c>
      <c r="AJ1247" t="s">
        <v>61</v>
      </c>
      <c r="AK1247" t="s">
        <v>61</v>
      </c>
      <c r="AL1247" t="s">
        <v>61</v>
      </c>
      <c r="AM1247" t="s">
        <v>10261</v>
      </c>
      <c r="AN1247" t="s">
        <v>61</v>
      </c>
      <c r="AO1247" t="s">
        <v>61</v>
      </c>
      <c r="AP1247" t="s">
        <v>61</v>
      </c>
      <c r="AQ1247" t="s">
        <v>61</v>
      </c>
      <c r="AR1247" t="s">
        <v>61</v>
      </c>
      <c r="AS1247" t="s">
        <v>61</v>
      </c>
      <c r="AT1247" t="s">
        <v>61</v>
      </c>
      <c r="AU1247" t="s">
        <v>61</v>
      </c>
      <c r="AV1247" t="s">
        <v>61</v>
      </c>
      <c r="AW1247" t="s">
        <v>61</v>
      </c>
      <c r="AX1247" t="s">
        <v>61</v>
      </c>
      <c r="AY1247" t="s">
        <v>61</v>
      </c>
      <c r="AZ1247" t="s">
        <v>61</v>
      </c>
      <c r="BA1247" t="s">
        <v>61</v>
      </c>
      <c r="BB1247" t="s">
        <v>61</v>
      </c>
      <c r="BC1247" t="s">
        <v>61</v>
      </c>
      <c r="BD1247" t="s">
        <v>61</v>
      </c>
      <c r="BE1247" t="s">
        <v>61</v>
      </c>
      <c r="BF1247" t="s">
        <v>61</v>
      </c>
    </row>
    <row r="1248" spans="1:58">
      <c r="A1248" t="s">
        <v>58</v>
      </c>
      <c r="B1248" t="s">
        <v>10262</v>
      </c>
      <c r="C1248" t="s">
        <v>10263</v>
      </c>
      <c r="D1248" t="s">
        <v>271</v>
      </c>
      <c r="E1248" t="s">
        <v>272</v>
      </c>
      <c r="F1248">
        <v>2000</v>
      </c>
      <c r="G1248" t="s">
        <v>1332</v>
      </c>
      <c r="H1248">
        <v>40</v>
      </c>
      <c r="I1248">
        <v>6</v>
      </c>
      <c r="J1248">
        <v>812</v>
      </c>
      <c r="K1248">
        <v>817</v>
      </c>
      <c r="L1248" t="s">
        <v>10264</v>
      </c>
      <c r="M1248" t="s">
        <v>10265</v>
      </c>
      <c r="N1248" t="s">
        <v>10266</v>
      </c>
      <c r="O1248" t="s">
        <v>61</v>
      </c>
      <c r="Q1248" t="s">
        <v>61</v>
      </c>
      <c r="R1248" t="s">
        <v>61</v>
      </c>
      <c r="S1248" t="s">
        <v>61</v>
      </c>
      <c r="T1248" t="s">
        <v>61</v>
      </c>
      <c r="X1248" t="s">
        <v>61</v>
      </c>
      <c r="Y1248" t="s">
        <v>1661</v>
      </c>
      <c r="Z1248" t="s">
        <v>61</v>
      </c>
      <c r="AA1248" t="s">
        <v>10267</v>
      </c>
      <c r="AB1248">
        <v>11111361</v>
      </c>
      <c r="AC1248" t="s">
        <v>67</v>
      </c>
      <c r="AD1248" t="s">
        <v>61</v>
      </c>
      <c r="AE1248" t="s">
        <v>61</v>
      </c>
      <c r="AF1248" t="s">
        <v>61</v>
      </c>
      <c r="AG1248" t="s">
        <v>10268</v>
      </c>
      <c r="AH1248" t="s">
        <v>61</v>
      </c>
      <c r="AI1248" t="s">
        <v>61</v>
      </c>
      <c r="AJ1248" t="s">
        <v>61</v>
      </c>
      <c r="AK1248" t="s">
        <v>61</v>
      </c>
      <c r="AL1248" t="s">
        <v>61</v>
      </c>
      <c r="AM1248" t="s">
        <v>10269</v>
      </c>
      <c r="AN1248" t="s">
        <v>61</v>
      </c>
      <c r="AO1248" t="s">
        <v>61</v>
      </c>
      <c r="AP1248" t="s">
        <v>61</v>
      </c>
      <c r="AQ1248" t="s">
        <v>61</v>
      </c>
      <c r="AR1248" t="s">
        <v>61</v>
      </c>
      <c r="AS1248" t="s">
        <v>61</v>
      </c>
      <c r="AT1248" t="s">
        <v>61</v>
      </c>
      <c r="AU1248" t="s">
        <v>61</v>
      </c>
      <c r="AV1248" t="s">
        <v>61</v>
      </c>
      <c r="AW1248" t="s">
        <v>61</v>
      </c>
      <c r="AX1248" t="s">
        <v>61</v>
      </c>
      <c r="AY1248" t="s">
        <v>61</v>
      </c>
      <c r="AZ1248" t="s">
        <v>61</v>
      </c>
      <c r="BA1248" t="s">
        <v>61</v>
      </c>
      <c r="BB1248" t="s">
        <v>61</v>
      </c>
      <c r="BC1248" t="s">
        <v>61</v>
      </c>
      <c r="BD1248" t="s">
        <v>61</v>
      </c>
      <c r="BE1248" t="s">
        <v>61</v>
      </c>
      <c r="BF1248" t="s">
        <v>61</v>
      </c>
    </row>
    <row r="1249" spans="1:58">
      <c r="A1249" t="s">
        <v>58</v>
      </c>
      <c r="B1249" t="s">
        <v>10270</v>
      </c>
      <c r="C1249" t="s">
        <v>10271</v>
      </c>
      <c r="D1249" t="s">
        <v>10272</v>
      </c>
      <c r="E1249" t="s">
        <v>10273</v>
      </c>
      <c r="F1249">
        <v>2013</v>
      </c>
      <c r="G1249" t="s">
        <v>457</v>
      </c>
      <c r="H1249" t="s">
        <v>10274</v>
      </c>
      <c r="I1249" t="s">
        <v>61</v>
      </c>
      <c r="J1249">
        <v>282</v>
      </c>
      <c r="K1249" t="s">
        <v>61</v>
      </c>
      <c r="L1249" t="s">
        <v>10275</v>
      </c>
      <c r="M1249" t="s">
        <v>10276</v>
      </c>
      <c r="N1249" t="s">
        <v>10277</v>
      </c>
      <c r="O1249" t="s">
        <v>61</v>
      </c>
      <c r="Q1249" t="s">
        <v>61</v>
      </c>
      <c r="R1249" t="s">
        <v>61</v>
      </c>
      <c r="S1249" t="s">
        <v>61</v>
      </c>
      <c r="T1249" t="s">
        <v>61</v>
      </c>
      <c r="X1249" t="s">
        <v>61</v>
      </c>
      <c r="Y1249" t="s">
        <v>10278</v>
      </c>
      <c r="Z1249" t="s">
        <v>61</v>
      </c>
      <c r="AA1249" t="s">
        <v>61</v>
      </c>
      <c r="AB1249" t="s">
        <v>61</v>
      </c>
      <c r="AC1249" t="s">
        <v>67</v>
      </c>
      <c r="AD1249" t="s">
        <v>61</v>
      </c>
      <c r="AE1249" t="s">
        <v>61</v>
      </c>
      <c r="AF1249" t="s">
        <v>61</v>
      </c>
      <c r="AG1249" t="s">
        <v>61</v>
      </c>
      <c r="AH1249" t="s">
        <v>61</v>
      </c>
      <c r="AI1249" t="s">
        <v>61</v>
      </c>
      <c r="AJ1249" t="s">
        <v>61</v>
      </c>
      <c r="AK1249" t="s">
        <v>61</v>
      </c>
      <c r="AL1249" t="s">
        <v>61</v>
      </c>
      <c r="AM1249" t="s">
        <v>10271</v>
      </c>
      <c r="AN1249" t="s">
        <v>61</v>
      </c>
      <c r="AO1249" t="s">
        <v>61</v>
      </c>
      <c r="AP1249" t="s">
        <v>61</v>
      </c>
      <c r="AQ1249" t="s">
        <v>61</v>
      </c>
      <c r="AR1249" t="s">
        <v>61</v>
      </c>
      <c r="AS1249" t="s">
        <v>61</v>
      </c>
      <c r="AT1249" t="s">
        <v>61</v>
      </c>
      <c r="AU1249" t="s">
        <v>61</v>
      </c>
      <c r="AV1249" t="s">
        <v>61</v>
      </c>
      <c r="AW1249" t="s">
        <v>61</v>
      </c>
      <c r="AX1249" t="s">
        <v>61</v>
      </c>
      <c r="AY1249" t="s">
        <v>61</v>
      </c>
      <c r="AZ1249" t="s">
        <v>61</v>
      </c>
      <c r="BA1249" t="s">
        <v>61</v>
      </c>
      <c r="BB1249" t="s">
        <v>61</v>
      </c>
      <c r="BC1249" t="s">
        <v>61</v>
      </c>
      <c r="BD1249" t="s">
        <v>61</v>
      </c>
      <c r="BE1249" t="s">
        <v>61</v>
      </c>
      <c r="BF1249" t="s">
        <v>61</v>
      </c>
    </row>
    <row r="1250" spans="1:58">
      <c r="A1250" t="s">
        <v>58</v>
      </c>
      <c r="B1250" t="s">
        <v>10279</v>
      </c>
      <c r="C1250" t="s">
        <v>10280</v>
      </c>
      <c r="D1250" t="s">
        <v>588</v>
      </c>
      <c r="E1250" t="s">
        <v>589</v>
      </c>
      <c r="F1250">
        <v>2014</v>
      </c>
      <c r="G1250" t="s">
        <v>154</v>
      </c>
      <c r="H1250">
        <v>46</v>
      </c>
      <c r="I1250">
        <v>3</v>
      </c>
      <c r="J1250">
        <v>226</v>
      </c>
      <c r="K1250">
        <v>232</v>
      </c>
      <c r="L1250" t="s">
        <v>10281</v>
      </c>
      <c r="M1250" t="s">
        <v>10282</v>
      </c>
      <c r="N1250" t="s">
        <v>10283</v>
      </c>
      <c r="O1250" t="s">
        <v>61</v>
      </c>
      <c r="Q1250" t="s">
        <v>61</v>
      </c>
      <c r="R1250" t="s">
        <v>61</v>
      </c>
      <c r="S1250" t="s">
        <v>61</v>
      </c>
      <c r="T1250" t="s">
        <v>61</v>
      </c>
      <c r="X1250" t="s">
        <v>61</v>
      </c>
      <c r="Y1250" t="s">
        <v>593</v>
      </c>
      <c r="Z1250" t="s">
        <v>61</v>
      </c>
      <c r="AA1250" t="s">
        <v>10284</v>
      </c>
      <c r="AB1250">
        <v>25052881</v>
      </c>
      <c r="AC1250" t="s">
        <v>67</v>
      </c>
      <c r="AD1250" t="s">
        <v>61</v>
      </c>
      <c r="AE1250" t="s">
        <v>61</v>
      </c>
      <c r="AF1250" t="s">
        <v>61</v>
      </c>
      <c r="AG1250" t="s">
        <v>10285</v>
      </c>
      <c r="AH1250" t="s">
        <v>61</v>
      </c>
      <c r="AI1250" t="s">
        <v>10286</v>
      </c>
      <c r="AJ1250" t="s">
        <v>61</v>
      </c>
      <c r="AK1250" t="s">
        <v>61</v>
      </c>
      <c r="AL1250" t="s">
        <v>61</v>
      </c>
      <c r="AM1250" t="s">
        <v>10287</v>
      </c>
      <c r="AN1250" t="s">
        <v>61</v>
      </c>
      <c r="AO1250" t="s">
        <v>61</v>
      </c>
      <c r="AP1250" t="s">
        <v>61</v>
      </c>
      <c r="AQ1250" t="s">
        <v>61</v>
      </c>
      <c r="AR1250" t="s">
        <v>61</v>
      </c>
      <c r="AS1250" t="s">
        <v>61</v>
      </c>
      <c r="AT1250" t="s">
        <v>61</v>
      </c>
      <c r="AU1250" t="s">
        <v>61</v>
      </c>
      <c r="AV1250" t="s">
        <v>61</v>
      </c>
      <c r="AW1250" t="s">
        <v>61</v>
      </c>
      <c r="AX1250" t="s">
        <v>61</v>
      </c>
      <c r="AY1250" t="s">
        <v>61</v>
      </c>
      <c r="AZ1250" t="s">
        <v>61</v>
      </c>
      <c r="BA1250" t="s">
        <v>61</v>
      </c>
      <c r="BB1250" t="s">
        <v>61</v>
      </c>
      <c r="BC1250" t="s">
        <v>61</v>
      </c>
      <c r="BD1250" t="s">
        <v>61</v>
      </c>
      <c r="BE1250" t="s">
        <v>61</v>
      </c>
      <c r="BF1250" t="s">
        <v>61</v>
      </c>
    </row>
    <row r="1251" spans="1:58">
      <c r="A1251" t="s">
        <v>58</v>
      </c>
      <c r="B1251" t="s">
        <v>10288</v>
      </c>
      <c r="C1251" t="s">
        <v>10289</v>
      </c>
      <c r="D1251" t="s">
        <v>153</v>
      </c>
      <c r="E1251" t="s">
        <v>61</v>
      </c>
      <c r="F1251">
        <v>2010</v>
      </c>
      <c r="G1251" t="s">
        <v>739</v>
      </c>
      <c r="H1251">
        <v>50</v>
      </c>
      <c r="I1251">
        <v>5</v>
      </c>
      <c r="J1251">
        <v>595</v>
      </c>
      <c r="K1251">
        <v>599</v>
      </c>
      <c r="L1251" t="s">
        <v>10290</v>
      </c>
      <c r="M1251" t="s">
        <v>10291</v>
      </c>
      <c r="N1251" t="s">
        <v>10292</v>
      </c>
      <c r="O1251" t="s">
        <v>61</v>
      </c>
      <c r="Q1251" t="s">
        <v>61</v>
      </c>
      <c r="R1251" t="s">
        <v>61</v>
      </c>
      <c r="S1251" t="s">
        <v>61</v>
      </c>
      <c r="T1251" t="s">
        <v>61</v>
      </c>
      <c r="X1251" t="s">
        <v>61</v>
      </c>
      <c r="Y1251" t="s">
        <v>157</v>
      </c>
      <c r="Z1251" t="s">
        <v>61</v>
      </c>
      <c r="AA1251" t="s">
        <v>10293</v>
      </c>
      <c r="AB1251">
        <v>20833617</v>
      </c>
      <c r="AC1251" t="s">
        <v>67</v>
      </c>
      <c r="AD1251" t="s">
        <v>61</v>
      </c>
      <c r="AE1251" t="s">
        <v>61</v>
      </c>
      <c r="AF1251" t="s">
        <v>61</v>
      </c>
      <c r="AG1251" t="s">
        <v>10294</v>
      </c>
      <c r="AH1251" t="s">
        <v>61</v>
      </c>
      <c r="AI1251" t="s">
        <v>10295</v>
      </c>
      <c r="AJ1251" t="s">
        <v>61</v>
      </c>
      <c r="AK1251" t="s">
        <v>61</v>
      </c>
      <c r="AL1251" t="s">
        <v>61</v>
      </c>
      <c r="AM1251" t="s">
        <v>10296</v>
      </c>
      <c r="AN1251" t="s">
        <v>61</v>
      </c>
      <c r="AO1251" t="s">
        <v>61</v>
      </c>
      <c r="AP1251" t="s">
        <v>61</v>
      </c>
      <c r="AQ1251" t="s">
        <v>61</v>
      </c>
      <c r="AR1251" t="s">
        <v>61</v>
      </c>
      <c r="AS1251" t="s">
        <v>61</v>
      </c>
      <c r="AT1251" t="s">
        <v>61</v>
      </c>
      <c r="AU1251" t="s">
        <v>61</v>
      </c>
      <c r="AV1251" t="s">
        <v>61</v>
      </c>
      <c r="AW1251" t="s">
        <v>61</v>
      </c>
      <c r="AX1251" t="s">
        <v>61</v>
      </c>
      <c r="AY1251" t="s">
        <v>61</v>
      </c>
      <c r="AZ1251" t="s">
        <v>61</v>
      </c>
      <c r="BA1251" t="s">
        <v>61</v>
      </c>
      <c r="BB1251" t="s">
        <v>61</v>
      </c>
      <c r="BC1251" t="s">
        <v>61</v>
      </c>
      <c r="BD1251" t="s">
        <v>61</v>
      </c>
      <c r="BE1251" t="s">
        <v>61</v>
      </c>
      <c r="BF1251" t="s">
        <v>61</v>
      </c>
    </row>
    <row r="1252" spans="1:58">
      <c r="A1252" t="s">
        <v>58</v>
      </c>
      <c r="B1252" t="s">
        <v>10297</v>
      </c>
      <c r="C1252" t="s">
        <v>10298</v>
      </c>
      <c r="D1252" t="s">
        <v>408</v>
      </c>
      <c r="E1252" t="s">
        <v>408</v>
      </c>
      <c r="F1252">
        <v>2014</v>
      </c>
      <c r="G1252" t="s">
        <v>645</v>
      </c>
      <c r="H1252">
        <v>34</v>
      </c>
      <c r="I1252">
        <v>10</v>
      </c>
      <c r="J1252" t="s">
        <v>10299</v>
      </c>
      <c r="K1252" t="s">
        <v>5829</v>
      </c>
      <c r="L1252" t="s">
        <v>10300</v>
      </c>
      <c r="M1252" t="s">
        <v>10301</v>
      </c>
      <c r="N1252" t="s">
        <v>10302</v>
      </c>
      <c r="O1252" t="s">
        <v>61</v>
      </c>
      <c r="Q1252" t="s">
        <v>61</v>
      </c>
      <c r="R1252" t="s">
        <v>61</v>
      </c>
      <c r="S1252" t="s">
        <v>61</v>
      </c>
      <c r="T1252" t="s">
        <v>61</v>
      </c>
      <c r="X1252" t="s">
        <v>61</v>
      </c>
      <c r="Y1252" t="s">
        <v>414</v>
      </c>
      <c r="Z1252" t="s">
        <v>61</v>
      </c>
      <c r="AA1252" t="s">
        <v>61</v>
      </c>
      <c r="AB1252" t="s">
        <v>61</v>
      </c>
      <c r="AC1252" t="s">
        <v>67</v>
      </c>
      <c r="AD1252" t="s">
        <v>61</v>
      </c>
      <c r="AE1252" t="s">
        <v>61</v>
      </c>
      <c r="AF1252" t="s">
        <v>61</v>
      </c>
      <c r="AG1252" t="s">
        <v>61</v>
      </c>
      <c r="AH1252" t="s">
        <v>61</v>
      </c>
      <c r="AI1252" t="s">
        <v>61</v>
      </c>
      <c r="AJ1252" t="s">
        <v>61</v>
      </c>
      <c r="AK1252" t="s">
        <v>61</v>
      </c>
      <c r="AL1252" t="s">
        <v>61</v>
      </c>
      <c r="AM1252" t="s">
        <v>10298</v>
      </c>
      <c r="AN1252" t="s">
        <v>61</v>
      </c>
      <c r="AO1252" t="s">
        <v>61</v>
      </c>
      <c r="AP1252" t="s">
        <v>61</v>
      </c>
      <c r="AQ1252" t="s">
        <v>61</v>
      </c>
      <c r="AR1252" t="s">
        <v>61</v>
      </c>
      <c r="AS1252" t="s">
        <v>61</v>
      </c>
      <c r="AT1252" t="s">
        <v>61</v>
      </c>
      <c r="AU1252" t="s">
        <v>61</v>
      </c>
      <c r="AV1252" t="s">
        <v>61</v>
      </c>
      <c r="AW1252" t="s">
        <v>61</v>
      </c>
      <c r="AX1252" t="s">
        <v>61</v>
      </c>
      <c r="AY1252" t="s">
        <v>61</v>
      </c>
      <c r="AZ1252" t="s">
        <v>61</v>
      </c>
      <c r="BA1252" t="s">
        <v>61</v>
      </c>
      <c r="BB1252" t="s">
        <v>61</v>
      </c>
      <c r="BC1252" t="s">
        <v>61</v>
      </c>
      <c r="BD1252" t="s">
        <v>61</v>
      </c>
      <c r="BE1252" t="s">
        <v>61</v>
      </c>
      <c r="BF1252" t="s">
        <v>61</v>
      </c>
    </row>
    <row r="1253" spans="1:58">
      <c r="A1253" t="s">
        <v>58</v>
      </c>
      <c r="B1253" t="s">
        <v>10303</v>
      </c>
      <c r="C1253" t="s">
        <v>10304</v>
      </c>
      <c r="D1253" t="s">
        <v>10305</v>
      </c>
      <c r="E1253" t="s">
        <v>10306</v>
      </c>
      <c r="F1253">
        <v>2006</v>
      </c>
      <c r="G1253" t="s">
        <v>280</v>
      </c>
      <c r="H1253">
        <v>26</v>
      </c>
      <c r="I1253">
        <v>6</v>
      </c>
      <c r="J1253" t="s">
        <v>10307</v>
      </c>
      <c r="K1253" t="s">
        <v>10308</v>
      </c>
      <c r="L1253" t="s">
        <v>10309</v>
      </c>
      <c r="M1253" t="s">
        <v>10310</v>
      </c>
      <c r="N1253" t="s">
        <v>10311</v>
      </c>
      <c r="O1253" t="s">
        <v>61</v>
      </c>
      <c r="Q1253" t="s">
        <v>61</v>
      </c>
      <c r="R1253" t="s">
        <v>61</v>
      </c>
      <c r="S1253" t="s">
        <v>61</v>
      </c>
      <c r="T1253" t="s">
        <v>61</v>
      </c>
      <c r="X1253" t="s">
        <v>61</v>
      </c>
      <c r="Y1253" t="s">
        <v>10312</v>
      </c>
      <c r="Z1253" t="s">
        <v>61</v>
      </c>
      <c r="AA1253" t="s">
        <v>61</v>
      </c>
      <c r="AB1253" t="s">
        <v>10313</v>
      </c>
      <c r="AC1253" t="s">
        <v>67</v>
      </c>
      <c r="AD1253" t="s">
        <v>61</v>
      </c>
      <c r="AE1253" t="s">
        <v>61</v>
      </c>
      <c r="AF1253" t="s">
        <v>61</v>
      </c>
      <c r="AG1253" t="s">
        <v>61</v>
      </c>
      <c r="AH1253" t="s">
        <v>61</v>
      </c>
      <c r="AI1253" t="s">
        <v>61</v>
      </c>
      <c r="AJ1253" t="s">
        <v>61</v>
      </c>
      <c r="AK1253" t="s">
        <v>61</v>
      </c>
      <c r="AL1253" t="s">
        <v>61</v>
      </c>
      <c r="AM1253" t="s">
        <v>10304</v>
      </c>
      <c r="AN1253" t="s">
        <v>61</v>
      </c>
      <c r="AO1253" t="s">
        <v>61</v>
      </c>
      <c r="AP1253" t="s">
        <v>61</v>
      </c>
      <c r="AQ1253" t="s">
        <v>61</v>
      </c>
      <c r="AR1253" t="s">
        <v>61</v>
      </c>
      <c r="AS1253" t="s">
        <v>61</v>
      </c>
      <c r="AT1253" t="s">
        <v>61</v>
      </c>
      <c r="AU1253" t="s">
        <v>61</v>
      </c>
      <c r="AV1253" t="s">
        <v>61</v>
      </c>
      <c r="AW1253" t="s">
        <v>61</v>
      </c>
      <c r="AX1253" t="s">
        <v>61</v>
      </c>
      <c r="AY1253" t="s">
        <v>61</v>
      </c>
      <c r="AZ1253" t="s">
        <v>61</v>
      </c>
      <c r="BA1253" t="s">
        <v>61</v>
      </c>
      <c r="BB1253" t="s">
        <v>61</v>
      </c>
      <c r="BC1253" t="s">
        <v>61</v>
      </c>
      <c r="BD1253" t="s">
        <v>61</v>
      </c>
      <c r="BE1253" t="s">
        <v>61</v>
      </c>
      <c r="BF1253" t="s">
        <v>61</v>
      </c>
    </row>
    <row r="1254" spans="1:58">
      <c r="A1254" t="s">
        <v>58</v>
      </c>
      <c r="B1254" t="s">
        <v>10314</v>
      </c>
      <c r="C1254" t="s">
        <v>10315</v>
      </c>
      <c r="D1254" t="s">
        <v>10316</v>
      </c>
      <c r="E1254" t="s">
        <v>10317</v>
      </c>
      <c r="F1254">
        <v>1990</v>
      </c>
      <c r="G1254" t="s">
        <v>85</v>
      </c>
      <c r="H1254">
        <v>11</v>
      </c>
      <c r="I1254">
        <v>3</v>
      </c>
      <c r="J1254">
        <v>215</v>
      </c>
      <c r="K1254">
        <v>225</v>
      </c>
      <c r="L1254" t="s">
        <v>10318</v>
      </c>
      <c r="M1254" t="s">
        <v>10319</v>
      </c>
      <c r="N1254" t="s">
        <v>10320</v>
      </c>
      <c r="O1254" t="s">
        <v>61</v>
      </c>
      <c r="Q1254" t="s">
        <v>61</v>
      </c>
      <c r="R1254" t="s">
        <v>61</v>
      </c>
      <c r="S1254" t="s">
        <v>61</v>
      </c>
      <c r="T1254" t="s">
        <v>61</v>
      </c>
      <c r="X1254" t="s">
        <v>61</v>
      </c>
      <c r="Y1254" t="s">
        <v>10321</v>
      </c>
      <c r="Z1254" t="s">
        <v>61</v>
      </c>
      <c r="AA1254" t="s">
        <v>10322</v>
      </c>
      <c r="AB1254">
        <v>2328308</v>
      </c>
      <c r="AC1254" t="s">
        <v>67</v>
      </c>
      <c r="AD1254" t="s">
        <v>61</v>
      </c>
      <c r="AE1254" t="s">
        <v>61</v>
      </c>
      <c r="AF1254" t="s">
        <v>61</v>
      </c>
      <c r="AG1254" t="s">
        <v>10323</v>
      </c>
      <c r="AH1254" t="s">
        <v>61</v>
      </c>
      <c r="AI1254" t="s">
        <v>61</v>
      </c>
      <c r="AJ1254" t="s">
        <v>61</v>
      </c>
      <c r="AK1254" t="s">
        <v>61</v>
      </c>
      <c r="AL1254" t="s">
        <v>61</v>
      </c>
      <c r="AM1254" t="s">
        <v>10324</v>
      </c>
      <c r="AN1254" t="s">
        <v>61</v>
      </c>
      <c r="AO1254" t="s">
        <v>61</v>
      </c>
      <c r="AP1254" t="s">
        <v>61</v>
      </c>
      <c r="AQ1254" t="s">
        <v>61</v>
      </c>
      <c r="AR1254" t="s">
        <v>61</v>
      </c>
      <c r="AS1254" t="s">
        <v>61</v>
      </c>
      <c r="AT1254" t="s">
        <v>61</v>
      </c>
      <c r="AU1254" t="s">
        <v>61</v>
      </c>
      <c r="AV1254" t="s">
        <v>61</v>
      </c>
      <c r="AW1254" t="s">
        <v>61</v>
      </c>
      <c r="AX1254" t="s">
        <v>61</v>
      </c>
      <c r="AY1254" t="s">
        <v>61</v>
      </c>
      <c r="AZ1254" t="s">
        <v>61</v>
      </c>
      <c r="BA1254" t="s">
        <v>61</v>
      </c>
      <c r="BB1254" t="s">
        <v>61</v>
      </c>
      <c r="BC1254" t="s">
        <v>61</v>
      </c>
      <c r="BD1254" t="s">
        <v>61</v>
      </c>
      <c r="BE1254" t="s">
        <v>61</v>
      </c>
      <c r="BF1254" t="s">
        <v>61</v>
      </c>
    </row>
    <row r="1255" spans="1:58">
      <c r="A1255" t="s">
        <v>58</v>
      </c>
      <c r="B1255" t="s">
        <v>10325</v>
      </c>
      <c r="C1255" t="s">
        <v>10326</v>
      </c>
      <c r="D1255" t="s">
        <v>153</v>
      </c>
      <c r="E1255" t="s">
        <v>61</v>
      </c>
      <c r="F1255">
        <v>2012</v>
      </c>
      <c r="G1255" t="s">
        <v>61</v>
      </c>
      <c r="H1255">
        <v>52</v>
      </c>
      <c r="I1255">
        <v>6</v>
      </c>
      <c r="J1255">
        <v>802</v>
      </c>
      <c r="K1255">
        <v>809</v>
      </c>
      <c r="L1255" t="s">
        <v>10327</v>
      </c>
      <c r="M1255" t="s">
        <v>10328</v>
      </c>
      <c r="N1255" t="s">
        <v>10329</v>
      </c>
      <c r="O1255" t="s">
        <v>61</v>
      </c>
      <c r="Q1255" t="s">
        <v>61</v>
      </c>
      <c r="R1255" t="s">
        <v>61</v>
      </c>
      <c r="S1255" t="s">
        <v>61</v>
      </c>
      <c r="T1255" t="s">
        <v>61</v>
      </c>
      <c r="X1255" t="s">
        <v>61</v>
      </c>
      <c r="Y1255" t="s">
        <v>157</v>
      </c>
      <c r="Z1255" t="s">
        <v>61</v>
      </c>
      <c r="AA1255" t="s">
        <v>10330</v>
      </c>
      <c r="AB1255">
        <v>23229968</v>
      </c>
      <c r="AC1255" t="s">
        <v>67</v>
      </c>
      <c r="AD1255" t="s">
        <v>61</v>
      </c>
      <c r="AE1255" t="s">
        <v>61</v>
      </c>
      <c r="AF1255" t="s">
        <v>61</v>
      </c>
      <c r="AG1255" t="s">
        <v>10331</v>
      </c>
      <c r="AH1255" t="s">
        <v>61</v>
      </c>
      <c r="AI1255" t="s">
        <v>10332</v>
      </c>
      <c r="AJ1255" t="s">
        <v>61</v>
      </c>
      <c r="AK1255" t="s">
        <v>61</v>
      </c>
      <c r="AL1255" t="s">
        <v>61</v>
      </c>
      <c r="AM1255" t="s">
        <v>10333</v>
      </c>
      <c r="AN1255" t="s">
        <v>61</v>
      </c>
      <c r="AO1255" t="s">
        <v>61</v>
      </c>
      <c r="AP1255" t="s">
        <v>61</v>
      </c>
      <c r="AQ1255" t="s">
        <v>61</v>
      </c>
      <c r="AR1255" t="s">
        <v>61</v>
      </c>
      <c r="AS1255" t="s">
        <v>61</v>
      </c>
      <c r="AT1255" t="s">
        <v>61</v>
      </c>
      <c r="AU1255" t="s">
        <v>61</v>
      </c>
      <c r="AV1255" t="s">
        <v>61</v>
      </c>
      <c r="AW1255" t="s">
        <v>61</v>
      </c>
      <c r="AX1255" t="s">
        <v>61</v>
      </c>
      <c r="AY1255" t="s">
        <v>61</v>
      </c>
      <c r="AZ1255" t="s">
        <v>61</v>
      </c>
      <c r="BA1255" t="s">
        <v>61</v>
      </c>
      <c r="BB1255" t="s">
        <v>61</v>
      </c>
      <c r="BC1255" t="s">
        <v>61</v>
      </c>
      <c r="BD1255" t="s">
        <v>61</v>
      </c>
      <c r="BE1255" t="s">
        <v>61</v>
      </c>
      <c r="BF1255" t="s">
        <v>61</v>
      </c>
    </row>
    <row r="1256" spans="1:58">
      <c r="A1256" t="s">
        <v>58</v>
      </c>
      <c r="B1256" t="s">
        <v>10334</v>
      </c>
      <c r="C1256" t="s">
        <v>10335</v>
      </c>
      <c r="D1256" t="s">
        <v>876</v>
      </c>
      <c r="E1256" t="s">
        <v>877</v>
      </c>
      <c r="F1256">
        <v>2007</v>
      </c>
      <c r="G1256" s="1">
        <v>42415</v>
      </c>
      <c r="H1256">
        <v>71</v>
      </c>
      <c r="I1256">
        <v>1</v>
      </c>
      <c r="J1256">
        <v>17</v>
      </c>
      <c r="K1256" t="s">
        <v>61</v>
      </c>
      <c r="L1256" t="s">
        <v>10336</v>
      </c>
      <c r="M1256" t="s">
        <v>10337</v>
      </c>
      <c r="N1256" t="s">
        <v>10338</v>
      </c>
      <c r="O1256" t="s">
        <v>61</v>
      </c>
      <c r="Q1256" t="s">
        <v>61</v>
      </c>
      <c r="R1256" t="s">
        <v>61</v>
      </c>
      <c r="S1256" t="s">
        <v>61</v>
      </c>
      <c r="T1256" t="s">
        <v>61</v>
      </c>
      <c r="X1256" t="s">
        <v>61</v>
      </c>
      <c r="Y1256" t="s">
        <v>881</v>
      </c>
      <c r="Z1256" t="s">
        <v>61</v>
      </c>
      <c r="AA1256" t="s">
        <v>10339</v>
      </c>
      <c r="AB1256">
        <v>17429517</v>
      </c>
      <c r="AC1256" t="s">
        <v>67</v>
      </c>
      <c r="AD1256" t="s">
        <v>61</v>
      </c>
      <c r="AE1256" t="s">
        <v>61</v>
      </c>
      <c r="AF1256" t="s">
        <v>61</v>
      </c>
      <c r="AG1256" t="s">
        <v>10340</v>
      </c>
      <c r="AH1256" t="s">
        <v>61</v>
      </c>
      <c r="AI1256" t="s">
        <v>61</v>
      </c>
      <c r="AJ1256" t="s">
        <v>61</v>
      </c>
      <c r="AK1256" t="s">
        <v>61</v>
      </c>
      <c r="AL1256" t="s">
        <v>61</v>
      </c>
      <c r="AM1256" t="s">
        <v>10341</v>
      </c>
      <c r="AN1256" t="s">
        <v>61</v>
      </c>
      <c r="AO1256" t="s">
        <v>61</v>
      </c>
      <c r="AP1256" t="s">
        <v>61</v>
      </c>
      <c r="AQ1256" t="s">
        <v>61</v>
      </c>
      <c r="AR1256" t="s">
        <v>61</v>
      </c>
      <c r="AS1256" t="s">
        <v>61</v>
      </c>
      <c r="AT1256" t="s">
        <v>61</v>
      </c>
      <c r="AU1256" t="s">
        <v>61</v>
      </c>
      <c r="AV1256" t="s">
        <v>61</v>
      </c>
      <c r="AW1256" t="s">
        <v>61</v>
      </c>
      <c r="AX1256" t="s">
        <v>61</v>
      </c>
      <c r="AY1256" t="s">
        <v>61</v>
      </c>
      <c r="AZ1256" t="s">
        <v>61</v>
      </c>
      <c r="BA1256" t="s">
        <v>61</v>
      </c>
      <c r="BB1256" t="s">
        <v>61</v>
      </c>
      <c r="BC1256" t="s">
        <v>61</v>
      </c>
      <c r="BD1256" t="s">
        <v>61</v>
      </c>
      <c r="BE1256" t="s">
        <v>61</v>
      </c>
      <c r="BF1256" t="s">
        <v>61</v>
      </c>
    </row>
    <row r="1257" spans="1:58">
      <c r="A1257" t="s">
        <v>58</v>
      </c>
      <c r="B1257" t="s">
        <v>10342</v>
      </c>
      <c r="C1257" t="s">
        <v>10343</v>
      </c>
      <c r="D1257" t="s">
        <v>3214</v>
      </c>
      <c r="E1257" t="s">
        <v>3215</v>
      </c>
      <c r="F1257">
        <v>2012</v>
      </c>
      <c r="G1257" t="s">
        <v>129</v>
      </c>
      <c r="H1257">
        <v>74</v>
      </c>
      <c r="I1257">
        <v>4</v>
      </c>
      <c r="J1257">
        <v>644</v>
      </c>
      <c r="K1257">
        <v>661</v>
      </c>
      <c r="L1257" t="s">
        <v>10344</v>
      </c>
      <c r="M1257" t="s">
        <v>10345</v>
      </c>
      <c r="N1257" t="s">
        <v>10346</v>
      </c>
      <c r="O1257" t="s">
        <v>61</v>
      </c>
      <c r="Q1257" t="s">
        <v>61</v>
      </c>
      <c r="R1257" t="s">
        <v>61</v>
      </c>
      <c r="S1257" t="s">
        <v>61</v>
      </c>
      <c r="T1257" t="s">
        <v>61</v>
      </c>
      <c r="X1257" t="s">
        <v>61</v>
      </c>
      <c r="Y1257" t="s">
        <v>10347</v>
      </c>
      <c r="Z1257" t="s">
        <v>61</v>
      </c>
      <c r="AA1257" t="s">
        <v>10348</v>
      </c>
      <c r="AB1257">
        <v>22288524</v>
      </c>
      <c r="AC1257" t="s">
        <v>67</v>
      </c>
      <c r="AD1257" t="s">
        <v>61</v>
      </c>
      <c r="AE1257" t="s">
        <v>61</v>
      </c>
      <c r="AF1257" t="s">
        <v>61</v>
      </c>
      <c r="AG1257" t="s">
        <v>10349</v>
      </c>
      <c r="AH1257" t="s">
        <v>61</v>
      </c>
      <c r="AI1257" t="s">
        <v>10350</v>
      </c>
      <c r="AJ1257" t="s">
        <v>61</v>
      </c>
      <c r="AK1257" t="s">
        <v>61</v>
      </c>
      <c r="AL1257" t="s">
        <v>61</v>
      </c>
      <c r="AM1257" t="s">
        <v>10351</v>
      </c>
      <c r="AN1257" t="s">
        <v>61</v>
      </c>
      <c r="AO1257" t="s">
        <v>61</v>
      </c>
      <c r="AP1257" t="s">
        <v>61</v>
      </c>
      <c r="AQ1257" t="s">
        <v>61</v>
      </c>
      <c r="AR1257" t="s">
        <v>61</v>
      </c>
      <c r="AS1257" t="s">
        <v>61</v>
      </c>
      <c r="AT1257" t="s">
        <v>61</v>
      </c>
      <c r="AU1257" t="s">
        <v>61</v>
      </c>
      <c r="AV1257" t="s">
        <v>61</v>
      </c>
      <c r="AW1257" t="s">
        <v>61</v>
      </c>
      <c r="AX1257" t="s">
        <v>61</v>
      </c>
      <c r="AY1257" t="s">
        <v>61</v>
      </c>
      <c r="AZ1257" t="s">
        <v>61</v>
      </c>
      <c r="BA1257" t="s">
        <v>61</v>
      </c>
      <c r="BB1257" t="s">
        <v>61</v>
      </c>
      <c r="BC1257" t="s">
        <v>61</v>
      </c>
      <c r="BD1257" t="s">
        <v>61</v>
      </c>
      <c r="BE1257" t="s">
        <v>61</v>
      </c>
      <c r="BF1257" t="s">
        <v>61</v>
      </c>
    </row>
    <row r="1258" spans="1:58">
      <c r="A1258" t="s">
        <v>58</v>
      </c>
      <c r="B1258" t="s">
        <v>10352</v>
      </c>
      <c r="C1258" t="s">
        <v>10353</v>
      </c>
      <c r="D1258" t="s">
        <v>10354</v>
      </c>
      <c r="E1258" t="s">
        <v>61</v>
      </c>
      <c r="F1258">
        <v>2013</v>
      </c>
      <c r="G1258" t="s">
        <v>61</v>
      </c>
      <c r="H1258">
        <v>14</v>
      </c>
      <c r="I1258" t="s">
        <v>61</v>
      </c>
      <c r="J1258">
        <v>10</v>
      </c>
      <c r="K1258" t="s">
        <v>61</v>
      </c>
      <c r="L1258" t="s">
        <v>10355</v>
      </c>
      <c r="M1258" t="s">
        <v>10356</v>
      </c>
      <c r="N1258" t="s">
        <v>10357</v>
      </c>
      <c r="O1258" t="s">
        <v>61</v>
      </c>
      <c r="Q1258" t="s">
        <v>61</v>
      </c>
      <c r="R1258" t="s">
        <v>61</v>
      </c>
      <c r="S1258" t="s">
        <v>61</v>
      </c>
      <c r="T1258" t="s">
        <v>61</v>
      </c>
      <c r="X1258" t="s">
        <v>61</v>
      </c>
      <c r="Y1258" t="s">
        <v>10358</v>
      </c>
      <c r="Z1258" t="s">
        <v>61</v>
      </c>
      <c r="AA1258" t="s">
        <v>10359</v>
      </c>
      <c r="AB1258">
        <v>23565591</v>
      </c>
      <c r="AC1258" t="s">
        <v>67</v>
      </c>
      <c r="AD1258" t="s">
        <v>61</v>
      </c>
      <c r="AE1258" t="s">
        <v>61</v>
      </c>
      <c r="AF1258" t="s">
        <v>61</v>
      </c>
      <c r="AG1258" t="s">
        <v>10360</v>
      </c>
      <c r="AH1258" t="s">
        <v>61</v>
      </c>
      <c r="AI1258" t="s">
        <v>10361</v>
      </c>
      <c r="AJ1258" t="s">
        <v>61</v>
      </c>
      <c r="AK1258" t="s">
        <v>61</v>
      </c>
      <c r="AL1258" t="s">
        <v>61</v>
      </c>
      <c r="AM1258" t="s">
        <v>10362</v>
      </c>
      <c r="AN1258" t="s">
        <v>61</v>
      </c>
      <c r="AO1258" t="s">
        <v>61</v>
      </c>
      <c r="AP1258" t="s">
        <v>61</v>
      </c>
      <c r="AQ1258" t="s">
        <v>61</v>
      </c>
      <c r="AR1258" t="s">
        <v>61</v>
      </c>
      <c r="AS1258" t="s">
        <v>61</v>
      </c>
      <c r="AT1258" t="s">
        <v>61</v>
      </c>
      <c r="AU1258" t="s">
        <v>61</v>
      </c>
      <c r="AV1258" t="s">
        <v>61</v>
      </c>
      <c r="AW1258" t="s">
        <v>61</v>
      </c>
      <c r="AX1258" t="s">
        <v>61</v>
      </c>
      <c r="AY1258" t="s">
        <v>61</v>
      </c>
      <c r="AZ1258" t="s">
        <v>61</v>
      </c>
      <c r="BA1258" t="s">
        <v>61</v>
      </c>
      <c r="BB1258" t="s">
        <v>61</v>
      </c>
      <c r="BC1258" t="s">
        <v>61</v>
      </c>
      <c r="BD1258" t="s">
        <v>61</v>
      </c>
      <c r="BE1258" t="s">
        <v>61</v>
      </c>
      <c r="BF1258" t="s">
        <v>61</v>
      </c>
    </row>
    <row r="1259" spans="1:58">
      <c r="A1259" t="s">
        <v>58</v>
      </c>
      <c r="B1259" t="s">
        <v>10363</v>
      </c>
      <c r="C1259" t="s">
        <v>10364</v>
      </c>
      <c r="D1259" t="s">
        <v>5278</v>
      </c>
      <c r="E1259" t="s">
        <v>61</v>
      </c>
      <c r="F1259">
        <v>2005</v>
      </c>
      <c r="G1259" t="s">
        <v>273</v>
      </c>
      <c r="H1259">
        <v>25</v>
      </c>
      <c r="I1259">
        <v>2</v>
      </c>
      <c r="J1259">
        <v>279</v>
      </c>
      <c r="K1259">
        <v>288</v>
      </c>
      <c r="L1259" t="s">
        <v>10365</v>
      </c>
      <c r="M1259" t="s">
        <v>10366</v>
      </c>
      <c r="N1259" t="s">
        <v>10367</v>
      </c>
      <c r="O1259" t="s">
        <v>61</v>
      </c>
      <c r="Q1259" t="s">
        <v>61</v>
      </c>
      <c r="R1259" t="s">
        <v>61</v>
      </c>
      <c r="S1259" t="s">
        <v>61</v>
      </c>
      <c r="T1259" t="s">
        <v>61</v>
      </c>
      <c r="X1259" t="s">
        <v>61</v>
      </c>
      <c r="Y1259" t="s">
        <v>414</v>
      </c>
      <c r="Z1259" t="s">
        <v>61</v>
      </c>
      <c r="AA1259" t="s">
        <v>10368</v>
      </c>
      <c r="AB1259">
        <v>15767242</v>
      </c>
      <c r="AC1259" t="s">
        <v>67</v>
      </c>
      <c r="AD1259" t="s">
        <v>61</v>
      </c>
      <c r="AE1259" t="s">
        <v>61</v>
      </c>
      <c r="AF1259" t="s">
        <v>61</v>
      </c>
      <c r="AG1259" t="s">
        <v>10369</v>
      </c>
      <c r="AH1259" t="s">
        <v>61</v>
      </c>
      <c r="AI1259" t="s">
        <v>61</v>
      </c>
      <c r="AJ1259" t="s">
        <v>61</v>
      </c>
      <c r="AK1259" t="s">
        <v>61</v>
      </c>
      <c r="AL1259" t="s">
        <v>61</v>
      </c>
      <c r="AM1259" t="s">
        <v>10370</v>
      </c>
      <c r="AN1259" t="s">
        <v>61</v>
      </c>
      <c r="AO1259" t="s">
        <v>61</v>
      </c>
      <c r="AP1259" t="s">
        <v>61</v>
      </c>
      <c r="AQ1259" t="s">
        <v>61</v>
      </c>
      <c r="AR1259" t="s">
        <v>61</v>
      </c>
      <c r="AS1259" t="s">
        <v>61</v>
      </c>
      <c r="AT1259" t="s">
        <v>61</v>
      </c>
      <c r="AU1259" t="s">
        <v>61</v>
      </c>
      <c r="AV1259" t="s">
        <v>61</v>
      </c>
      <c r="AW1259" t="s">
        <v>61</v>
      </c>
      <c r="AX1259" t="s">
        <v>61</v>
      </c>
      <c r="AY1259" t="s">
        <v>61</v>
      </c>
      <c r="AZ1259" t="s">
        <v>61</v>
      </c>
      <c r="BA1259" t="s">
        <v>61</v>
      </c>
      <c r="BB1259" t="s">
        <v>61</v>
      </c>
      <c r="BC1259" t="s">
        <v>61</v>
      </c>
      <c r="BD1259" t="s">
        <v>61</v>
      </c>
      <c r="BE1259" t="s">
        <v>61</v>
      </c>
      <c r="BF1259" t="s">
        <v>61</v>
      </c>
    </row>
    <row r="1260" spans="1:58">
      <c r="A1260" t="s">
        <v>58</v>
      </c>
      <c r="B1260" t="s">
        <v>10371</v>
      </c>
      <c r="C1260" t="s">
        <v>10372</v>
      </c>
      <c r="D1260" t="s">
        <v>3957</v>
      </c>
      <c r="E1260" t="s">
        <v>61</v>
      </c>
      <c r="F1260">
        <v>2005</v>
      </c>
      <c r="G1260" t="s">
        <v>1152</v>
      </c>
      <c r="H1260">
        <v>3</v>
      </c>
      <c r="I1260">
        <v>3</v>
      </c>
      <c r="J1260">
        <v>196</v>
      </c>
      <c r="K1260">
        <v>204</v>
      </c>
      <c r="L1260" t="s">
        <v>10373</v>
      </c>
      <c r="M1260" t="s">
        <v>10374</v>
      </c>
      <c r="N1260" t="s">
        <v>10375</v>
      </c>
      <c r="O1260" t="s">
        <v>61</v>
      </c>
      <c r="Q1260" t="s">
        <v>61</v>
      </c>
      <c r="R1260" t="s">
        <v>61</v>
      </c>
      <c r="S1260" t="s">
        <v>61</v>
      </c>
      <c r="T1260" t="s">
        <v>61</v>
      </c>
      <c r="X1260" t="s">
        <v>61</v>
      </c>
      <c r="Y1260" t="s">
        <v>3961</v>
      </c>
      <c r="Z1260" t="s">
        <v>61</v>
      </c>
      <c r="AA1260" t="s">
        <v>10376</v>
      </c>
      <c r="AB1260">
        <v>16257822</v>
      </c>
      <c r="AC1260" t="s">
        <v>67</v>
      </c>
      <c r="AD1260" t="s">
        <v>61</v>
      </c>
      <c r="AE1260" t="s">
        <v>61</v>
      </c>
      <c r="AF1260" t="s">
        <v>61</v>
      </c>
      <c r="AG1260" t="s">
        <v>10377</v>
      </c>
      <c r="AH1260" t="s">
        <v>61</v>
      </c>
      <c r="AI1260" t="s">
        <v>61</v>
      </c>
      <c r="AJ1260" t="s">
        <v>61</v>
      </c>
      <c r="AK1260" t="s">
        <v>61</v>
      </c>
      <c r="AL1260" t="s">
        <v>61</v>
      </c>
      <c r="AM1260" t="s">
        <v>10378</v>
      </c>
      <c r="AN1260" t="s">
        <v>61</v>
      </c>
      <c r="AO1260" t="s">
        <v>61</v>
      </c>
      <c r="AP1260" t="s">
        <v>61</v>
      </c>
      <c r="AQ1260" t="s">
        <v>61</v>
      </c>
      <c r="AR1260" t="s">
        <v>61</v>
      </c>
      <c r="AS1260" t="s">
        <v>61</v>
      </c>
      <c r="AT1260" t="s">
        <v>61</v>
      </c>
      <c r="AU1260" t="s">
        <v>61</v>
      </c>
      <c r="AV1260" t="s">
        <v>61</v>
      </c>
      <c r="AW1260" t="s">
        <v>61</v>
      </c>
      <c r="AX1260" t="s">
        <v>61</v>
      </c>
      <c r="AY1260" t="s">
        <v>61</v>
      </c>
      <c r="AZ1260" t="s">
        <v>61</v>
      </c>
      <c r="BA1260" t="s">
        <v>61</v>
      </c>
      <c r="BB1260" t="s">
        <v>61</v>
      </c>
      <c r="BC1260" t="s">
        <v>61</v>
      </c>
      <c r="BD1260" t="s">
        <v>61</v>
      </c>
      <c r="BE1260" t="s">
        <v>61</v>
      </c>
      <c r="BF1260" t="s">
        <v>61</v>
      </c>
    </row>
    <row r="1261" spans="1:58">
      <c r="A1261" t="s">
        <v>58</v>
      </c>
      <c r="B1261" t="s">
        <v>10379</v>
      </c>
      <c r="C1261" t="s">
        <v>10380</v>
      </c>
      <c r="D1261" t="s">
        <v>5278</v>
      </c>
      <c r="E1261" t="s">
        <v>61</v>
      </c>
      <c r="F1261">
        <v>2001</v>
      </c>
      <c r="G1261" t="s">
        <v>559</v>
      </c>
      <c r="H1261">
        <v>21</v>
      </c>
      <c r="I1261">
        <v>5</v>
      </c>
      <c r="J1261">
        <v>636</v>
      </c>
      <c r="K1261">
        <v>641</v>
      </c>
      <c r="L1261" t="s">
        <v>10381</v>
      </c>
      <c r="M1261" t="s">
        <v>10382</v>
      </c>
      <c r="N1261" t="s">
        <v>10383</v>
      </c>
      <c r="O1261" t="s">
        <v>61</v>
      </c>
      <c r="Q1261" t="s">
        <v>61</v>
      </c>
      <c r="R1261" t="s">
        <v>61</v>
      </c>
      <c r="S1261" t="s">
        <v>61</v>
      </c>
      <c r="T1261" t="s">
        <v>61</v>
      </c>
      <c r="X1261" t="s">
        <v>61</v>
      </c>
      <c r="Y1261" t="s">
        <v>414</v>
      </c>
      <c r="Z1261" t="s">
        <v>61</v>
      </c>
      <c r="AA1261" t="s">
        <v>10384</v>
      </c>
      <c r="AB1261">
        <v>11349752</v>
      </c>
      <c r="AC1261" t="s">
        <v>67</v>
      </c>
      <c r="AD1261" t="s">
        <v>61</v>
      </c>
      <c r="AE1261" t="s">
        <v>61</v>
      </c>
      <c r="AF1261" t="s">
        <v>61</v>
      </c>
      <c r="AG1261" t="s">
        <v>10385</v>
      </c>
      <c r="AH1261" t="s">
        <v>61</v>
      </c>
      <c r="AI1261" t="s">
        <v>61</v>
      </c>
      <c r="AJ1261" t="s">
        <v>61</v>
      </c>
      <c r="AK1261" t="s">
        <v>61</v>
      </c>
      <c r="AL1261" t="s">
        <v>61</v>
      </c>
      <c r="AM1261" t="s">
        <v>10386</v>
      </c>
      <c r="AN1261" t="s">
        <v>61</v>
      </c>
      <c r="AO1261" t="s">
        <v>61</v>
      </c>
      <c r="AP1261" t="s">
        <v>61</v>
      </c>
      <c r="AQ1261" t="s">
        <v>61</v>
      </c>
      <c r="AR1261" t="s">
        <v>61</v>
      </c>
      <c r="AS1261" t="s">
        <v>61</v>
      </c>
      <c r="AT1261" t="s">
        <v>61</v>
      </c>
      <c r="AU1261" t="s">
        <v>61</v>
      </c>
      <c r="AV1261" t="s">
        <v>61</v>
      </c>
      <c r="AW1261" t="s">
        <v>61</v>
      </c>
      <c r="AX1261" t="s">
        <v>61</v>
      </c>
      <c r="AY1261" t="s">
        <v>61</v>
      </c>
      <c r="AZ1261" t="s">
        <v>61</v>
      </c>
      <c r="BA1261" t="s">
        <v>61</v>
      </c>
      <c r="BB1261" t="s">
        <v>61</v>
      </c>
      <c r="BC1261" t="s">
        <v>61</v>
      </c>
      <c r="BD1261" t="s">
        <v>61</v>
      </c>
      <c r="BE1261" t="s">
        <v>61</v>
      </c>
      <c r="BF1261" t="s">
        <v>61</v>
      </c>
    </row>
    <row r="1262" spans="1:58">
      <c r="A1262" t="s">
        <v>58</v>
      </c>
      <c r="B1262" t="s">
        <v>10387</v>
      </c>
      <c r="C1262" t="s">
        <v>10388</v>
      </c>
      <c r="D1262" t="s">
        <v>10389</v>
      </c>
      <c r="E1262" t="s">
        <v>61</v>
      </c>
      <c r="F1262">
        <v>2007</v>
      </c>
      <c r="G1262" t="s">
        <v>237</v>
      </c>
      <c r="H1262">
        <v>12</v>
      </c>
      <c r="I1262">
        <v>7</v>
      </c>
      <c r="J1262">
        <v>1</v>
      </c>
      <c r="K1262">
        <v>14</v>
      </c>
      <c r="L1262" t="s">
        <v>10390</v>
      </c>
      <c r="M1262" t="s">
        <v>10391</v>
      </c>
      <c r="N1262" t="s">
        <v>10392</v>
      </c>
      <c r="O1262" t="s">
        <v>61</v>
      </c>
      <c r="Q1262" t="s">
        <v>61</v>
      </c>
      <c r="R1262" t="s">
        <v>61</v>
      </c>
      <c r="S1262" t="s">
        <v>61</v>
      </c>
      <c r="T1262" t="s">
        <v>61</v>
      </c>
      <c r="X1262" t="s">
        <v>61</v>
      </c>
      <c r="Y1262" t="s">
        <v>10393</v>
      </c>
      <c r="Z1262" t="s">
        <v>61</v>
      </c>
      <c r="AA1262" t="s">
        <v>10394</v>
      </c>
      <c r="AB1262">
        <v>17603408</v>
      </c>
      <c r="AC1262" t="s">
        <v>67</v>
      </c>
      <c r="AD1262" t="s">
        <v>61</v>
      </c>
      <c r="AE1262" t="s">
        <v>61</v>
      </c>
      <c r="AF1262" t="s">
        <v>61</v>
      </c>
      <c r="AG1262" t="s">
        <v>10395</v>
      </c>
      <c r="AH1262" t="s">
        <v>61</v>
      </c>
      <c r="AI1262" t="s">
        <v>61</v>
      </c>
      <c r="AJ1262" t="s">
        <v>61</v>
      </c>
      <c r="AK1262" t="s">
        <v>61</v>
      </c>
      <c r="AL1262" t="s">
        <v>61</v>
      </c>
      <c r="AM1262" t="s">
        <v>10396</v>
      </c>
      <c r="AN1262" t="s">
        <v>61</v>
      </c>
      <c r="AO1262" t="s">
        <v>61</v>
      </c>
      <c r="AP1262" t="s">
        <v>61</v>
      </c>
      <c r="AQ1262" t="s">
        <v>61</v>
      </c>
      <c r="AR1262" t="s">
        <v>61</v>
      </c>
      <c r="AS1262" t="s">
        <v>61</v>
      </c>
      <c r="AT1262" t="s">
        <v>61</v>
      </c>
      <c r="AU1262" t="s">
        <v>61</v>
      </c>
      <c r="AV1262" t="s">
        <v>61</v>
      </c>
      <c r="AW1262" t="s">
        <v>61</v>
      </c>
      <c r="AX1262" t="s">
        <v>61</v>
      </c>
      <c r="AY1262" t="s">
        <v>61</v>
      </c>
      <c r="AZ1262" t="s">
        <v>61</v>
      </c>
      <c r="BA1262" t="s">
        <v>61</v>
      </c>
      <c r="BB1262" t="s">
        <v>61</v>
      </c>
      <c r="BC1262" t="s">
        <v>61</v>
      </c>
      <c r="BD1262" t="s">
        <v>61</v>
      </c>
      <c r="BE1262" t="s">
        <v>61</v>
      </c>
      <c r="BF1262" t="s">
        <v>61</v>
      </c>
    </row>
    <row r="1263" spans="1:58">
      <c r="A1263" t="s">
        <v>58</v>
      </c>
      <c r="B1263" t="s">
        <v>10397</v>
      </c>
      <c r="C1263" t="s">
        <v>10388</v>
      </c>
      <c r="D1263" t="s">
        <v>1610</v>
      </c>
      <c r="E1263" t="s">
        <v>61</v>
      </c>
      <c r="F1263">
        <v>2007</v>
      </c>
      <c r="G1263" t="s">
        <v>61</v>
      </c>
      <c r="H1263">
        <v>14</v>
      </c>
      <c r="I1263">
        <v>7</v>
      </c>
      <c r="J1263" t="s">
        <v>10398</v>
      </c>
      <c r="K1263" t="s">
        <v>10399</v>
      </c>
      <c r="L1263" t="s">
        <v>10400</v>
      </c>
      <c r="M1263" t="s">
        <v>10401</v>
      </c>
      <c r="N1263" t="s">
        <v>10402</v>
      </c>
      <c r="O1263" t="s">
        <v>61</v>
      </c>
      <c r="Q1263" t="s">
        <v>61</v>
      </c>
      <c r="R1263" t="s">
        <v>61</v>
      </c>
      <c r="S1263" t="s">
        <v>61</v>
      </c>
      <c r="T1263" t="s">
        <v>61</v>
      </c>
      <c r="X1263" t="s">
        <v>61</v>
      </c>
      <c r="Y1263" t="s">
        <v>1615</v>
      </c>
      <c r="Z1263" t="s">
        <v>61</v>
      </c>
      <c r="AA1263" t="s">
        <v>10403</v>
      </c>
      <c r="AB1263">
        <v>105933175</v>
      </c>
      <c r="AC1263" t="s">
        <v>67</v>
      </c>
      <c r="AD1263" t="s">
        <v>61</v>
      </c>
      <c r="AE1263" t="s">
        <v>61</v>
      </c>
      <c r="AF1263" t="s">
        <v>61</v>
      </c>
      <c r="AG1263" t="s">
        <v>10404</v>
      </c>
      <c r="AH1263" t="s">
        <v>61</v>
      </c>
      <c r="AI1263" t="s">
        <v>61</v>
      </c>
      <c r="AJ1263" t="s">
        <v>61</v>
      </c>
      <c r="AK1263" t="s">
        <v>61</v>
      </c>
      <c r="AL1263" t="s">
        <v>61</v>
      </c>
      <c r="AM1263" t="s">
        <v>10405</v>
      </c>
      <c r="AN1263" t="s">
        <v>61</v>
      </c>
      <c r="AO1263" t="s">
        <v>61</v>
      </c>
      <c r="AP1263" t="s">
        <v>61</v>
      </c>
      <c r="AQ1263" t="s">
        <v>61</v>
      </c>
      <c r="AR1263" t="s">
        <v>61</v>
      </c>
      <c r="AS1263" t="s">
        <v>61</v>
      </c>
      <c r="AT1263" t="s">
        <v>61</v>
      </c>
      <c r="AU1263" t="s">
        <v>61</v>
      </c>
      <c r="AV1263" t="s">
        <v>61</v>
      </c>
      <c r="AW1263" t="s">
        <v>61</v>
      </c>
      <c r="AX1263" t="s">
        <v>61</v>
      </c>
      <c r="AY1263" t="s">
        <v>61</v>
      </c>
      <c r="AZ1263" t="s">
        <v>61</v>
      </c>
      <c r="BA1263" t="s">
        <v>61</v>
      </c>
      <c r="BB1263" t="s">
        <v>61</v>
      </c>
      <c r="BC1263" t="s">
        <v>61</v>
      </c>
      <c r="BD1263" t="s">
        <v>61</v>
      </c>
      <c r="BE1263" t="s">
        <v>61</v>
      </c>
      <c r="BF1263" t="s">
        <v>61</v>
      </c>
    </row>
    <row r="1264" spans="1:58">
      <c r="A1264" t="s">
        <v>58</v>
      </c>
      <c r="B1264" t="s">
        <v>10406</v>
      </c>
      <c r="C1264" t="s">
        <v>10407</v>
      </c>
      <c r="D1264" t="s">
        <v>2704</v>
      </c>
      <c r="E1264" t="s">
        <v>61</v>
      </c>
      <c r="F1264">
        <v>2009</v>
      </c>
      <c r="G1264" t="s">
        <v>61</v>
      </c>
      <c r="H1264">
        <v>32</v>
      </c>
      <c r="I1264">
        <v>10</v>
      </c>
      <c r="J1264">
        <v>980</v>
      </c>
      <c r="K1264" t="s">
        <v>61</v>
      </c>
      <c r="L1264" t="s">
        <v>10408</v>
      </c>
      <c r="M1264" t="s">
        <v>10409</v>
      </c>
      <c r="N1264" t="s">
        <v>10410</v>
      </c>
      <c r="O1264" t="s">
        <v>61</v>
      </c>
      <c r="Q1264" t="s">
        <v>61</v>
      </c>
      <c r="R1264" t="s">
        <v>61</v>
      </c>
      <c r="S1264" t="s">
        <v>61</v>
      </c>
      <c r="T1264" t="s">
        <v>61</v>
      </c>
      <c r="X1264" t="s">
        <v>61</v>
      </c>
      <c r="Y1264" t="s">
        <v>313</v>
      </c>
      <c r="Z1264" t="s">
        <v>61</v>
      </c>
      <c r="AA1264" t="s">
        <v>61</v>
      </c>
      <c r="AB1264" t="s">
        <v>61</v>
      </c>
      <c r="AC1264" t="s">
        <v>67</v>
      </c>
      <c r="AD1264" t="s">
        <v>61</v>
      </c>
      <c r="AE1264" t="s">
        <v>61</v>
      </c>
      <c r="AF1264" t="s">
        <v>61</v>
      </c>
      <c r="AG1264" t="s">
        <v>61</v>
      </c>
      <c r="AH1264" t="s">
        <v>61</v>
      </c>
      <c r="AI1264" t="s">
        <v>61</v>
      </c>
      <c r="AJ1264" t="s">
        <v>61</v>
      </c>
      <c r="AK1264" t="s">
        <v>61</v>
      </c>
      <c r="AL1264" t="s">
        <v>61</v>
      </c>
      <c r="AM1264" t="s">
        <v>10407</v>
      </c>
      <c r="AN1264" t="s">
        <v>61</v>
      </c>
      <c r="AO1264" t="s">
        <v>61</v>
      </c>
      <c r="AP1264" t="s">
        <v>61</v>
      </c>
      <c r="AQ1264" t="s">
        <v>61</v>
      </c>
      <c r="AR1264" t="s">
        <v>61</v>
      </c>
      <c r="AS1264" t="s">
        <v>61</v>
      </c>
      <c r="AT1264" t="s">
        <v>61</v>
      </c>
      <c r="AU1264" t="s">
        <v>61</v>
      </c>
      <c r="AV1264" t="s">
        <v>61</v>
      </c>
      <c r="AW1264" t="s">
        <v>61</v>
      </c>
      <c r="AX1264" t="s">
        <v>61</v>
      </c>
      <c r="AY1264" t="s">
        <v>61</v>
      </c>
      <c r="AZ1264" t="s">
        <v>61</v>
      </c>
      <c r="BA1264" t="s">
        <v>61</v>
      </c>
      <c r="BB1264" t="s">
        <v>61</v>
      </c>
      <c r="BC1264" t="s">
        <v>61</v>
      </c>
      <c r="BD1264" t="s">
        <v>61</v>
      </c>
      <c r="BE1264" t="s">
        <v>61</v>
      </c>
      <c r="BF1264" t="s">
        <v>61</v>
      </c>
    </row>
    <row r="1265" spans="1:58">
      <c r="A1265" t="s">
        <v>58</v>
      </c>
      <c r="B1265" t="s">
        <v>10411</v>
      </c>
      <c r="C1265" t="s">
        <v>10412</v>
      </c>
      <c r="D1265" t="s">
        <v>876</v>
      </c>
      <c r="E1265" t="s">
        <v>877</v>
      </c>
      <c r="F1265">
        <v>2011</v>
      </c>
      <c r="G1265" s="1">
        <v>42410</v>
      </c>
      <c r="H1265">
        <v>75</v>
      </c>
      <c r="I1265">
        <v>1</v>
      </c>
      <c r="J1265">
        <v>16</v>
      </c>
      <c r="K1265" t="s">
        <v>61</v>
      </c>
      <c r="L1265" t="s">
        <v>10413</v>
      </c>
      <c r="M1265" t="s">
        <v>10414</v>
      </c>
      <c r="N1265" t="s">
        <v>10415</v>
      </c>
      <c r="O1265" t="s">
        <v>61</v>
      </c>
      <c r="Q1265" t="s">
        <v>61</v>
      </c>
      <c r="R1265" t="s">
        <v>61</v>
      </c>
      <c r="S1265" t="s">
        <v>61</v>
      </c>
      <c r="T1265" t="s">
        <v>61</v>
      </c>
      <c r="X1265" t="s">
        <v>61</v>
      </c>
      <c r="Y1265" t="s">
        <v>881</v>
      </c>
      <c r="Z1265" t="s">
        <v>61</v>
      </c>
      <c r="AA1265" t="s">
        <v>10416</v>
      </c>
      <c r="AB1265">
        <v>21451770</v>
      </c>
      <c r="AC1265" t="s">
        <v>67</v>
      </c>
      <c r="AD1265" t="s">
        <v>61</v>
      </c>
      <c r="AE1265" t="s">
        <v>61</v>
      </c>
      <c r="AF1265" t="s">
        <v>61</v>
      </c>
      <c r="AG1265" t="s">
        <v>10417</v>
      </c>
      <c r="AH1265" t="s">
        <v>61</v>
      </c>
      <c r="AI1265" t="s">
        <v>61</v>
      </c>
      <c r="AJ1265" t="s">
        <v>61</v>
      </c>
      <c r="AK1265" t="s">
        <v>61</v>
      </c>
      <c r="AL1265" t="s">
        <v>61</v>
      </c>
      <c r="AM1265" t="s">
        <v>10418</v>
      </c>
      <c r="AN1265" t="s">
        <v>61</v>
      </c>
      <c r="AO1265" t="s">
        <v>61</v>
      </c>
      <c r="AP1265" t="s">
        <v>61</v>
      </c>
      <c r="AQ1265" t="s">
        <v>61</v>
      </c>
      <c r="AR1265" t="s">
        <v>61</v>
      </c>
      <c r="AS1265" t="s">
        <v>61</v>
      </c>
      <c r="AT1265" t="s">
        <v>61</v>
      </c>
      <c r="AU1265" t="s">
        <v>61</v>
      </c>
      <c r="AV1265" t="s">
        <v>61</v>
      </c>
      <c r="AW1265" t="s">
        <v>61</v>
      </c>
      <c r="AX1265" t="s">
        <v>61</v>
      </c>
      <c r="AY1265" t="s">
        <v>61</v>
      </c>
      <c r="AZ1265" t="s">
        <v>61</v>
      </c>
      <c r="BA1265" t="s">
        <v>61</v>
      </c>
      <c r="BB1265" t="s">
        <v>61</v>
      </c>
      <c r="BC1265" t="s">
        <v>61</v>
      </c>
      <c r="BD1265" t="s">
        <v>61</v>
      </c>
      <c r="BE1265" t="s">
        <v>61</v>
      </c>
      <c r="BF1265" t="s">
        <v>61</v>
      </c>
    </row>
    <row r="1266" spans="1:58">
      <c r="A1266" t="s">
        <v>58</v>
      </c>
      <c r="B1266" t="s">
        <v>10419</v>
      </c>
      <c r="C1266" t="s">
        <v>10420</v>
      </c>
      <c r="D1266" t="s">
        <v>10421</v>
      </c>
      <c r="E1266" t="s">
        <v>61</v>
      </c>
      <c r="F1266">
        <v>2009</v>
      </c>
      <c r="G1266" t="s">
        <v>61</v>
      </c>
      <c r="H1266">
        <v>22</v>
      </c>
      <c r="I1266">
        <v>2</v>
      </c>
      <c r="J1266">
        <v>175</v>
      </c>
      <c r="K1266" t="s">
        <v>10422</v>
      </c>
      <c r="L1266" t="s">
        <v>10423</v>
      </c>
      <c r="M1266" t="s">
        <v>10424</v>
      </c>
      <c r="N1266" t="s">
        <v>10425</v>
      </c>
      <c r="O1266" t="s">
        <v>61</v>
      </c>
      <c r="Q1266" t="s">
        <v>61</v>
      </c>
      <c r="R1266" t="s">
        <v>61</v>
      </c>
      <c r="S1266" t="s">
        <v>61</v>
      </c>
      <c r="T1266" t="s">
        <v>61</v>
      </c>
      <c r="X1266" t="s">
        <v>61</v>
      </c>
      <c r="Y1266" t="s">
        <v>4062</v>
      </c>
      <c r="Z1266" t="s">
        <v>61</v>
      </c>
      <c r="AA1266" t="s">
        <v>10426</v>
      </c>
      <c r="AB1266">
        <v>105468952</v>
      </c>
      <c r="AC1266" t="s">
        <v>67</v>
      </c>
      <c r="AD1266" t="s">
        <v>61</v>
      </c>
      <c r="AE1266" t="s">
        <v>61</v>
      </c>
      <c r="AF1266" t="s">
        <v>61</v>
      </c>
      <c r="AG1266" t="s">
        <v>10427</v>
      </c>
      <c r="AH1266" t="s">
        <v>61</v>
      </c>
      <c r="AI1266" t="s">
        <v>10428</v>
      </c>
      <c r="AJ1266" t="s">
        <v>61</v>
      </c>
      <c r="AK1266" t="s">
        <v>61</v>
      </c>
      <c r="AL1266" t="s">
        <v>61</v>
      </c>
      <c r="AM1266" t="s">
        <v>10429</v>
      </c>
      <c r="AN1266" t="s">
        <v>61</v>
      </c>
      <c r="AO1266" t="s">
        <v>61</v>
      </c>
      <c r="AP1266" t="s">
        <v>61</v>
      </c>
      <c r="AQ1266" t="s">
        <v>61</v>
      </c>
      <c r="AR1266" t="s">
        <v>61</v>
      </c>
      <c r="AS1266" t="s">
        <v>61</v>
      </c>
      <c r="AT1266" t="s">
        <v>61</v>
      </c>
      <c r="AU1266" t="s">
        <v>61</v>
      </c>
      <c r="AV1266" t="s">
        <v>61</v>
      </c>
      <c r="AW1266" t="s">
        <v>61</v>
      </c>
      <c r="AX1266" t="s">
        <v>61</v>
      </c>
      <c r="AY1266" t="s">
        <v>61</v>
      </c>
      <c r="AZ1266" t="s">
        <v>61</v>
      </c>
      <c r="BA1266" t="s">
        <v>61</v>
      </c>
      <c r="BB1266" t="s">
        <v>61</v>
      </c>
      <c r="BC1266" t="s">
        <v>61</v>
      </c>
      <c r="BD1266" t="s">
        <v>61</v>
      </c>
      <c r="BE1266" t="s">
        <v>61</v>
      </c>
      <c r="BF1266" t="s">
        <v>61</v>
      </c>
    </row>
    <row r="1267" spans="1:58">
      <c r="A1267" t="s">
        <v>58</v>
      </c>
      <c r="B1267" t="s">
        <v>10430</v>
      </c>
      <c r="C1267" t="s">
        <v>10431</v>
      </c>
      <c r="D1267" t="s">
        <v>428</v>
      </c>
      <c r="E1267" t="s">
        <v>61</v>
      </c>
      <c r="F1267">
        <v>2012</v>
      </c>
      <c r="G1267" t="s">
        <v>429</v>
      </c>
      <c r="H1267">
        <v>25</v>
      </c>
      <c r="I1267">
        <v>2</v>
      </c>
      <c r="J1267">
        <v>292</v>
      </c>
      <c r="K1267" t="s">
        <v>61</v>
      </c>
      <c r="L1267" t="s">
        <v>10432</v>
      </c>
      <c r="M1267" t="s">
        <v>10433</v>
      </c>
      <c r="N1267" t="s">
        <v>10434</v>
      </c>
      <c r="O1267" t="s">
        <v>61</v>
      </c>
      <c r="Q1267" t="s">
        <v>61</v>
      </c>
      <c r="R1267" t="s">
        <v>61</v>
      </c>
      <c r="S1267" t="s">
        <v>61</v>
      </c>
      <c r="T1267" t="s">
        <v>61</v>
      </c>
      <c r="X1267" t="s">
        <v>61</v>
      </c>
      <c r="Y1267" t="s">
        <v>433</v>
      </c>
      <c r="Z1267" t="s">
        <v>61</v>
      </c>
      <c r="AA1267" t="s">
        <v>61</v>
      </c>
      <c r="AB1267" t="s">
        <v>61</v>
      </c>
      <c r="AC1267" t="s">
        <v>67</v>
      </c>
      <c r="AD1267" t="s">
        <v>61</v>
      </c>
      <c r="AE1267" t="s">
        <v>61</v>
      </c>
      <c r="AF1267" t="s">
        <v>61</v>
      </c>
      <c r="AG1267" t="s">
        <v>61</v>
      </c>
      <c r="AH1267" t="s">
        <v>61</v>
      </c>
      <c r="AI1267" t="s">
        <v>61</v>
      </c>
      <c r="AJ1267" t="s">
        <v>61</v>
      </c>
      <c r="AK1267" t="s">
        <v>61</v>
      </c>
      <c r="AL1267" t="s">
        <v>61</v>
      </c>
      <c r="AM1267" t="s">
        <v>10431</v>
      </c>
      <c r="AN1267" t="s">
        <v>61</v>
      </c>
      <c r="AO1267" t="s">
        <v>61</v>
      </c>
      <c r="AP1267" t="s">
        <v>61</v>
      </c>
      <c r="AQ1267" t="s">
        <v>61</v>
      </c>
      <c r="AR1267" t="s">
        <v>61</v>
      </c>
      <c r="AS1267" t="s">
        <v>61</v>
      </c>
      <c r="AT1267" t="s">
        <v>61</v>
      </c>
      <c r="AU1267" t="s">
        <v>61</v>
      </c>
      <c r="AV1267" t="s">
        <v>61</v>
      </c>
      <c r="AW1267" t="s">
        <v>61</v>
      </c>
      <c r="AX1267" t="s">
        <v>61</v>
      </c>
      <c r="AY1267" t="s">
        <v>61</v>
      </c>
      <c r="AZ1267" t="s">
        <v>61</v>
      </c>
      <c r="BA1267" t="s">
        <v>61</v>
      </c>
      <c r="BB1267" t="s">
        <v>61</v>
      </c>
      <c r="BC1267" t="s">
        <v>61</v>
      </c>
      <c r="BD1267" t="s">
        <v>61</v>
      </c>
      <c r="BE1267" t="s">
        <v>61</v>
      </c>
      <c r="BF1267" t="s">
        <v>61</v>
      </c>
    </row>
    <row r="1268" spans="1:58">
      <c r="A1268" t="s">
        <v>58</v>
      </c>
      <c r="B1268" t="s">
        <v>10435</v>
      </c>
      <c r="C1268" t="s">
        <v>10436</v>
      </c>
      <c r="D1268" t="s">
        <v>704</v>
      </c>
      <c r="E1268" t="s">
        <v>61</v>
      </c>
      <c r="F1268">
        <v>2010</v>
      </c>
      <c r="G1268" t="s">
        <v>273</v>
      </c>
      <c r="H1268">
        <v>16</v>
      </c>
      <c r="I1268">
        <v>1</v>
      </c>
      <c r="J1268" t="s">
        <v>3922</v>
      </c>
      <c r="K1268">
        <v>7</v>
      </c>
      <c r="L1268" t="s">
        <v>10437</v>
      </c>
      <c r="M1268" t="s">
        <v>10438</v>
      </c>
      <c r="N1268" t="s">
        <v>10439</v>
      </c>
      <c r="O1268" t="s">
        <v>61</v>
      </c>
      <c r="Q1268" t="s">
        <v>61</v>
      </c>
      <c r="R1268" t="s">
        <v>61</v>
      </c>
      <c r="S1268" t="s">
        <v>61</v>
      </c>
      <c r="T1268" t="s">
        <v>61</v>
      </c>
      <c r="X1268" t="s">
        <v>61</v>
      </c>
      <c r="Y1268" t="s">
        <v>6886</v>
      </c>
      <c r="Z1268" t="s">
        <v>61</v>
      </c>
      <c r="AA1268" t="s">
        <v>10440</v>
      </c>
      <c r="AB1268">
        <v>20146552</v>
      </c>
      <c r="AC1268" t="s">
        <v>67</v>
      </c>
      <c r="AD1268" t="s">
        <v>61</v>
      </c>
      <c r="AE1268" t="s">
        <v>61</v>
      </c>
      <c r="AF1268" t="s">
        <v>61</v>
      </c>
      <c r="AG1268" t="s">
        <v>10441</v>
      </c>
      <c r="AH1268" t="s">
        <v>61</v>
      </c>
      <c r="AI1268" t="s">
        <v>61</v>
      </c>
      <c r="AJ1268" t="s">
        <v>61</v>
      </c>
      <c r="AK1268" t="s">
        <v>61</v>
      </c>
      <c r="AL1268" t="s">
        <v>61</v>
      </c>
      <c r="AM1268" t="s">
        <v>10442</v>
      </c>
      <c r="AN1268" t="s">
        <v>61</v>
      </c>
      <c r="AO1268" t="s">
        <v>61</v>
      </c>
      <c r="AP1268" t="s">
        <v>61</v>
      </c>
      <c r="AQ1268" t="s">
        <v>61</v>
      </c>
      <c r="AR1268" t="s">
        <v>61</v>
      </c>
      <c r="AS1268" t="s">
        <v>61</v>
      </c>
      <c r="AT1268" t="s">
        <v>61</v>
      </c>
      <c r="AU1268" t="s">
        <v>61</v>
      </c>
      <c r="AV1268" t="s">
        <v>61</v>
      </c>
      <c r="AW1268" t="s">
        <v>61</v>
      </c>
      <c r="AX1268" t="s">
        <v>61</v>
      </c>
      <c r="AY1268" t="s">
        <v>61</v>
      </c>
      <c r="AZ1268" t="s">
        <v>61</v>
      </c>
      <c r="BA1268" t="s">
        <v>61</v>
      </c>
      <c r="BB1268" t="s">
        <v>61</v>
      </c>
      <c r="BC1268" t="s">
        <v>61</v>
      </c>
      <c r="BD1268" t="s">
        <v>61</v>
      </c>
      <c r="BE1268" t="s">
        <v>61</v>
      </c>
      <c r="BF1268" t="s">
        <v>61</v>
      </c>
    </row>
    <row r="1269" spans="1:58">
      <c r="A1269" t="s">
        <v>58</v>
      </c>
      <c r="B1269" t="s">
        <v>10443</v>
      </c>
      <c r="C1269" t="s">
        <v>10444</v>
      </c>
      <c r="D1269" t="s">
        <v>162</v>
      </c>
      <c r="E1269" t="s">
        <v>163</v>
      </c>
      <c r="F1269">
        <v>2016</v>
      </c>
      <c r="G1269" t="s">
        <v>363</v>
      </c>
      <c r="H1269">
        <v>56</v>
      </c>
      <c r="I1269">
        <v>1</v>
      </c>
      <c r="J1269">
        <v>7</v>
      </c>
      <c r="K1269">
        <v>10</v>
      </c>
      <c r="L1269" t="s">
        <v>61</v>
      </c>
      <c r="M1269" t="s">
        <v>61</v>
      </c>
      <c r="N1269" t="s">
        <v>10445</v>
      </c>
      <c r="O1269" t="s">
        <v>61</v>
      </c>
      <c r="Q1269" t="s">
        <v>61</v>
      </c>
      <c r="R1269" t="s">
        <v>61</v>
      </c>
      <c r="S1269" t="s">
        <v>61</v>
      </c>
      <c r="T1269" t="s">
        <v>61</v>
      </c>
      <c r="X1269" t="s">
        <v>61</v>
      </c>
      <c r="Y1269" t="s">
        <v>10446</v>
      </c>
      <c r="Z1269" t="s">
        <v>61</v>
      </c>
      <c r="AA1269" t="s">
        <v>10447</v>
      </c>
      <c r="AB1269">
        <v>26395785</v>
      </c>
      <c r="AC1269" t="s">
        <v>67</v>
      </c>
      <c r="AD1269" t="s">
        <v>61</v>
      </c>
      <c r="AE1269" t="s">
        <v>61</v>
      </c>
      <c r="AF1269" t="s">
        <v>61</v>
      </c>
      <c r="AG1269" t="s">
        <v>10448</v>
      </c>
      <c r="AH1269" t="s">
        <v>61</v>
      </c>
      <c r="AI1269" t="s">
        <v>10449</v>
      </c>
      <c r="AJ1269" t="s">
        <v>61</v>
      </c>
      <c r="AK1269" t="s">
        <v>61</v>
      </c>
      <c r="AL1269" t="s">
        <v>61</v>
      </c>
      <c r="AM1269" t="s">
        <v>10450</v>
      </c>
      <c r="AN1269" t="s">
        <v>61</v>
      </c>
      <c r="AO1269" t="s">
        <v>61</v>
      </c>
      <c r="AP1269" t="s">
        <v>61</v>
      </c>
      <c r="AQ1269" t="s">
        <v>61</v>
      </c>
      <c r="AR1269" t="s">
        <v>61</v>
      </c>
      <c r="AS1269" t="s">
        <v>61</v>
      </c>
      <c r="AT1269" t="s">
        <v>61</v>
      </c>
      <c r="AU1269" t="s">
        <v>61</v>
      </c>
      <c r="AV1269" t="s">
        <v>61</v>
      </c>
      <c r="AW1269" t="s">
        <v>61</v>
      </c>
      <c r="AX1269" t="s">
        <v>61</v>
      </c>
      <c r="AY1269" t="s">
        <v>61</v>
      </c>
      <c r="AZ1269" t="s">
        <v>61</v>
      </c>
      <c r="BA1269" t="s">
        <v>61</v>
      </c>
      <c r="BB1269" t="s">
        <v>61</v>
      </c>
      <c r="BC1269" t="s">
        <v>61</v>
      </c>
      <c r="BD1269" t="s">
        <v>61</v>
      </c>
      <c r="BE1269" t="s">
        <v>61</v>
      </c>
      <c r="BF1269" t="s">
        <v>61</v>
      </c>
    </row>
    <row r="1270" spans="1:58">
      <c r="A1270" t="s">
        <v>58</v>
      </c>
      <c r="B1270" t="s">
        <v>10451</v>
      </c>
      <c r="C1270" t="s">
        <v>10452</v>
      </c>
      <c r="D1270" t="s">
        <v>10453</v>
      </c>
      <c r="E1270" t="s">
        <v>10454</v>
      </c>
      <c r="F1270">
        <v>1989</v>
      </c>
      <c r="G1270" t="s">
        <v>61</v>
      </c>
      <c r="H1270">
        <v>79</v>
      </c>
      <c r="I1270" t="s">
        <v>61</v>
      </c>
      <c r="J1270">
        <v>289</v>
      </c>
      <c r="K1270">
        <v>302</v>
      </c>
      <c r="L1270" t="s">
        <v>10455</v>
      </c>
      <c r="M1270" t="s">
        <v>10456</v>
      </c>
      <c r="N1270" t="s">
        <v>10457</v>
      </c>
      <c r="O1270" t="s">
        <v>61</v>
      </c>
      <c r="Q1270" t="s">
        <v>61</v>
      </c>
      <c r="R1270" t="s">
        <v>61</v>
      </c>
      <c r="S1270" t="s">
        <v>61</v>
      </c>
      <c r="T1270" t="s">
        <v>61</v>
      </c>
      <c r="X1270" t="s">
        <v>61</v>
      </c>
      <c r="Y1270" t="s">
        <v>10458</v>
      </c>
      <c r="Z1270" t="s">
        <v>61</v>
      </c>
      <c r="AA1270" t="s">
        <v>61</v>
      </c>
      <c r="AB1270">
        <v>2685899</v>
      </c>
      <c r="AC1270" t="s">
        <v>67</v>
      </c>
      <c r="AD1270" t="s">
        <v>61</v>
      </c>
      <c r="AE1270" t="s">
        <v>61</v>
      </c>
      <c r="AF1270" t="s">
        <v>61</v>
      </c>
      <c r="AG1270" t="s">
        <v>10459</v>
      </c>
      <c r="AH1270" t="s">
        <v>61</v>
      </c>
      <c r="AI1270" t="s">
        <v>61</v>
      </c>
      <c r="AJ1270" t="s">
        <v>61</v>
      </c>
      <c r="AK1270" t="s">
        <v>61</v>
      </c>
      <c r="AL1270" t="s">
        <v>61</v>
      </c>
      <c r="AM1270" t="s">
        <v>10460</v>
      </c>
      <c r="AN1270" t="s">
        <v>61</v>
      </c>
      <c r="AO1270" t="s">
        <v>61</v>
      </c>
      <c r="AP1270" t="s">
        <v>61</v>
      </c>
      <c r="AQ1270" t="s">
        <v>61</v>
      </c>
      <c r="AR1270" t="s">
        <v>61</v>
      </c>
      <c r="AS1270" t="s">
        <v>61</v>
      </c>
      <c r="AT1270" t="s">
        <v>61</v>
      </c>
      <c r="AU1270" t="s">
        <v>61</v>
      </c>
      <c r="AV1270" t="s">
        <v>61</v>
      </c>
      <c r="AW1270" t="s">
        <v>61</v>
      </c>
      <c r="AX1270" t="s">
        <v>61</v>
      </c>
      <c r="AY1270" t="s">
        <v>61</v>
      </c>
      <c r="AZ1270" t="s">
        <v>61</v>
      </c>
      <c r="BA1270" t="s">
        <v>61</v>
      </c>
      <c r="BB1270" t="s">
        <v>61</v>
      </c>
      <c r="BC1270" t="s">
        <v>61</v>
      </c>
      <c r="BD1270" t="s">
        <v>61</v>
      </c>
      <c r="BE1270" t="s">
        <v>61</v>
      </c>
      <c r="BF1270" t="s">
        <v>61</v>
      </c>
    </row>
    <row r="1271" spans="1:58">
      <c r="A1271" t="s">
        <v>58</v>
      </c>
      <c r="B1271" t="s">
        <v>10461</v>
      </c>
      <c r="C1271" t="s">
        <v>10462</v>
      </c>
      <c r="D1271" t="s">
        <v>2808</v>
      </c>
      <c r="E1271" t="s">
        <v>61</v>
      </c>
      <c r="F1271">
        <v>2003</v>
      </c>
      <c r="G1271" t="s">
        <v>119</v>
      </c>
      <c r="H1271">
        <v>12</v>
      </c>
      <c r="I1271">
        <v>3</v>
      </c>
      <c r="J1271">
        <v>176</v>
      </c>
      <c r="K1271">
        <v>180</v>
      </c>
      <c r="L1271" t="s">
        <v>10463</v>
      </c>
      <c r="M1271" t="s">
        <v>10464</v>
      </c>
      <c r="N1271" t="s">
        <v>10465</v>
      </c>
      <c r="O1271" t="s">
        <v>61</v>
      </c>
      <c r="Q1271" t="s">
        <v>61</v>
      </c>
      <c r="R1271" t="s">
        <v>61</v>
      </c>
      <c r="S1271" t="s">
        <v>61</v>
      </c>
      <c r="T1271" t="s">
        <v>61</v>
      </c>
      <c r="X1271" t="s">
        <v>61</v>
      </c>
      <c r="Y1271" t="s">
        <v>5494</v>
      </c>
      <c r="Z1271" t="s">
        <v>61</v>
      </c>
      <c r="AA1271" t="s">
        <v>10466</v>
      </c>
      <c r="AB1271">
        <v>12792006</v>
      </c>
      <c r="AC1271" t="s">
        <v>67</v>
      </c>
      <c r="AD1271" t="s">
        <v>61</v>
      </c>
      <c r="AE1271" t="s">
        <v>61</v>
      </c>
      <c r="AF1271" t="s">
        <v>61</v>
      </c>
      <c r="AG1271" t="s">
        <v>10467</v>
      </c>
      <c r="AH1271" t="s">
        <v>61</v>
      </c>
      <c r="AI1271" t="s">
        <v>61</v>
      </c>
      <c r="AJ1271" t="s">
        <v>61</v>
      </c>
      <c r="AK1271" t="s">
        <v>61</v>
      </c>
      <c r="AL1271" t="s">
        <v>61</v>
      </c>
      <c r="AM1271" t="s">
        <v>10468</v>
      </c>
      <c r="AN1271" t="s">
        <v>61</v>
      </c>
      <c r="AO1271" t="s">
        <v>61</v>
      </c>
      <c r="AP1271" t="s">
        <v>61</v>
      </c>
      <c r="AQ1271" t="s">
        <v>61</v>
      </c>
      <c r="AR1271" t="s">
        <v>61</v>
      </c>
      <c r="AS1271" t="s">
        <v>61</v>
      </c>
      <c r="AT1271" t="s">
        <v>61</v>
      </c>
      <c r="AU1271" t="s">
        <v>61</v>
      </c>
      <c r="AV1271" t="s">
        <v>61</v>
      </c>
      <c r="AW1271" t="s">
        <v>61</v>
      </c>
      <c r="AX1271" t="s">
        <v>61</v>
      </c>
      <c r="AY1271" t="s">
        <v>61</v>
      </c>
      <c r="AZ1271" t="s">
        <v>61</v>
      </c>
      <c r="BA1271" t="s">
        <v>61</v>
      </c>
      <c r="BB1271" t="s">
        <v>61</v>
      </c>
      <c r="BC1271" t="s">
        <v>61</v>
      </c>
      <c r="BD1271" t="s">
        <v>61</v>
      </c>
      <c r="BE1271" t="s">
        <v>61</v>
      </c>
      <c r="BF1271" t="s">
        <v>61</v>
      </c>
    </row>
    <row r="1272" spans="1:58">
      <c r="A1272" t="s">
        <v>58</v>
      </c>
      <c r="B1272" t="s">
        <v>10469</v>
      </c>
      <c r="C1272" t="s">
        <v>10470</v>
      </c>
      <c r="D1272" t="s">
        <v>408</v>
      </c>
      <c r="E1272" t="s">
        <v>408</v>
      </c>
      <c r="F1272">
        <v>2011</v>
      </c>
      <c r="G1272" t="s">
        <v>645</v>
      </c>
      <c r="H1272">
        <v>31</v>
      </c>
      <c r="I1272">
        <v>10</v>
      </c>
      <c r="J1272" t="s">
        <v>1861</v>
      </c>
      <c r="K1272" t="s">
        <v>61</v>
      </c>
      <c r="L1272" t="s">
        <v>10471</v>
      </c>
      <c r="M1272" t="s">
        <v>10472</v>
      </c>
      <c r="N1272" t="s">
        <v>10473</v>
      </c>
      <c r="O1272" t="s">
        <v>61</v>
      </c>
      <c r="Q1272" t="s">
        <v>61</v>
      </c>
      <c r="R1272" t="s">
        <v>61</v>
      </c>
      <c r="S1272" t="s">
        <v>61</v>
      </c>
      <c r="T1272" t="s">
        <v>61</v>
      </c>
      <c r="X1272" t="s">
        <v>61</v>
      </c>
      <c r="Y1272" t="s">
        <v>414</v>
      </c>
      <c r="Z1272" t="s">
        <v>61</v>
      </c>
      <c r="AA1272" t="s">
        <v>61</v>
      </c>
      <c r="AB1272" t="s">
        <v>61</v>
      </c>
      <c r="AC1272" t="s">
        <v>67</v>
      </c>
      <c r="AD1272" t="s">
        <v>61</v>
      </c>
      <c r="AE1272" t="s">
        <v>61</v>
      </c>
      <c r="AF1272" t="s">
        <v>61</v>
      </c>
      <c r="AG1272" t="s">
        <v>61</v>
      </c>
      <c r="AH1272" t="s">
        <v>61</v>
      </c>
      <c r="AI1272" t="s">
        <v>61</v>
      </c>
      <c r="AJ1272" t="s">
        <v>61</v>
      </c>
      <c r="AK1272" t="s">
        <v>61</v>
      </c>
      <c r="AL1272" t="s">
        <v>61</v>
      </c>
      <c r="AM1272" t="s">
        <v>10470</v>
      </c>
      <c r="AN1272" t="s">
        <v>61</v>
      </c>
      <c r="AO1272" t="s">
        <v>61</v>
      </c>
      <c r="AP1272" t="s">
        <v>61</v>
      </c>
      <c r="AQ1272" t="s">
        <v>61</v>
      </c>
      <c r="AR1272" t="s">
        <v>61</v>
      </c>
      <c r="AS1272" t="s">
        <v>61</v>
      </c>
      <c r="AT1272" t="s">
        <v>61</v>
      </c>
      <c r="AU1272" t="s">
        <v>61</v>
      </c>
      <c r="AV1272" t="s">
        <v>61</v>
      </c>
      <c r="AW1272" t="s">
        <v>61</v>
      </c>
      <c r="AX1272" t="s">
        <v>61</v>
      </c>
      <c r="AY1272" t="s">
        <v>61</v>
      </c>
      <c r="AZ1272" t="s">
        <v>61</v>
      </c>
      <c r="BA1272" t="s">
        <v>61</v>
      </c>
      <c r="BB1272" t="s">
        <v>61</v>
      </c>
      <c r="BC1272" t="s">
        <v>61</v>
      </c>
      <c r="BD1272" t="s">
        <v>61</v>
      </c>
      <c r="BE1272" t="s">
        <v>61</v>
      </c>
      <c r="BF1272" t="s">
        <v>61</v>
      </c>
    </row>
    <row r="1273" spans="1:58">
      <c r="A1273" t="s">
        <v>58</v>
      </c>
      <c r="B1273" t="s">
        <v>10474</v>
      </c>
      <c r="C1273" t="s">
        <v>10475</v>
      </c>
      <c r="D1273" t="s">
        <v>10476</v>
      </c>
      <c r="E1273" t="s">
        <v>10477</v>
      </c>
      <c r="F1273">
        <v>2007</v>
      </c>
      <c r="G1273" t="s">
        <v>129</v>
      </c>
      <c r="H1273">
        <v>29</v>
      </c>
      <c r="I1273">
        <v>8</v>
      </c>
      <c r="J1273" t="s">
        <v>3457</v>
      </c>
      <c r="K1273">
        <v>7</v>
      </c>
      <c r="L1273" t="s">
        <v>10478</v>
      </c>
      <c r="M1273" t="s">
        <v>10479</v>
      </c>
      <c r="N1273" t="s">
        <v>10480</v>
      </c>
      <c r="O1273" t="s">
        <v>61</v>
      </c>
      <c r="Q1273" t="s">
        <v>61</v>
      </c>
      <c r="R1273" t="s">
        <v>61</v>
      </c>
      <c r="S1273" t="s">
        <v>61</v>
      </c>
      <c r="T1273" t="s">
        <v>61</v>
      </c>
      <c r="X1273" t="s">
        <v>61</v>
      </c>
      <c r="Y1273" t="s">
        <v>10481</v>
      </c>
      <c r="Z1273" t="s">
        <v>61</v>
      </c>
      <c r="AA1273" t="s">
        <v>10482</v>
      </c>
      <c r="AB1273">
        <v>18236269</v>
      </c>
      <c r="AC1273" t="s">
        <v>67</v>
      </c>
      <c r="AD1273" t="s">
        <v>61</v>
      </c>
      <c r="AE1273" t="s">
        <v>61</v>
      </c>
      <c r="AF1273" t="s">
        <v>61</v>
      </c>
      <c r="AG1273" t="s">
        <v>10483</v>
      </c>
      <c r="AH1273" t="s">
        <v>61</v>
      </c>
      <c r="AI1273" t="s">
        <v>10484</v>
      </c>
      <c r="AJ1273" t="s">
        <v>61</v>
      </c>
      <c r="AK1273" t="s">
        <v>61</v>
      </c>
      <c r="AL1273" t="s">
        <v>61</v>
      </c>
      <c r="AM1273" t="s">
        <v>10485</v>
      </c>
      <c r="AN1273" t="s">
        <v>61</v>
      </c>
      <c r="AO1273" t="s">
        <v>61</v>
      </c>
      <c r="AP1273" t="s">
        <v>61</v>
      </c>
      <c r="AQ1273" t="s">
        <v>61</v>
      </c>
      <c r="AR1273" t="s">
        <v>61</v>
      </c>
      <c r="AS1273" t="s">
        <v>61</v>
      </c>
      <c r="AT1273" t="s">
        <v>61</v>
      </c>
      <c r="AU1273" t="s">
        <v>61</v>
      </c>
      <c r="AV1273" t="s">
        <v>61</v>
      </c>
      <c r="AW1273" t="s">
        <v>61</v>
      </c>
      <c r="AX1273" t="s">
        <v>61</v>
      </c>
      <c r="AY1273" t="s">
        <v>61</v>
      </c>
      <c r="AZ1273" t="s">
        <v>61</v>
      </c>
      <c r="BA1273" t="s">
        <v>61</v>
      </c>
      <c r="BB1273" t="s">
        <v>61</v>
      </c>
      <c r="BC1273" t="s">
        <v>61</v>
      </c>
      <c r="BD1273" t="s">
        <v>61</v>
      </c>
      <c r="BE1273" t="s">
        <v>61</v>
      </c>
      <c r="BF1273" t="s">
        <v>61</v>
      </c>
    </row>
    <row r="1274" spans="1:58">
      <c r="A1274" t="s">
        <v>58</v>
      </c>
      <c r="B1274" t="s">
        <v>10486</v>
      </c>
      <c r="C1274" t="s">
        <v>10487</v>
      </c>
      <c r="D1274" t="s">
        <v>1739</v>
      </c>
      <c r="E1274" t="s">
        <v>1740</v>
      </c>
      <c r="F1274">
        <v>1987</v>
      </c>
      <c r="G1274" t="s">
        <v>559</v>
      </c>
      <c r="H1274">
        <v>44</v>
      </c>
      <c r="I1274">
        <v>5</v>
      </c>
      <c r="J1274">
        <v>1069</v>
      </c>
      <c r="K1274">
        <v>1074</v>
      </c>
      <c r="L1274" t="s">
        <v>10488</v>
      </c>
      <c r="M1274" t="s">
        <v>10489</v>
      </c>
      <c r="N1274" t="s">
        <v>10490</v>
      </c>
      <c r="O1274" t="s">
        <v>61</v>
      </c>
      <c r="Q1274" t="s">
        <v>61</v>
      </c>
      <c r="R1274" t="s">
        <v>61</v>
      </c>
      <c r="S1274" t="s">
        <v>61</v>
      </c>
      <c r="T1274" t="s">
        <v>61</v>
      </c>
      <c r="X1274" t="s">
        <v>61</v>
      </c>
      <c r="Y1274" s="2">
        <v>2698811</v>
      </c>
      <c r="Z1274" t="s">
        <v>61</v>
      </c>
      <c r="AA1274" t="s">
        <v>61</v>
      </c>
      <c r="AB1274">
        <v>3605116</v>
      </c>
      <c r="AC1274" t="s">
        <v>67</v>
      </c>
      <c r="AD1274" t="s">
        <v>61</v>
      </c>
      <c r="AE1274" t="s">
        <v>61</v>
      </c>
      <c r="AF1274" t="s">
        <v>61</v>
      </c>
      <c r="AG1274" t="s">
        <v>10491</v>
      </c>
      <c r="AH1274" t="s">
        <v>61</v>
      </c>
      <c r="AI1274" t="s">
        <v>61</v>
      </c>
      <c r="AJ1274" t="s">
        <v>61</v>
      </c>
      <c r="AK1274" t="s">
        <v>61</v>
      </c>
      <c r="AL1274" t="s">
        <v>61</v>
      </c>
      <c r="AM1274" t="s">
        <v>10492</v>
      </c>
      <c r="AN1274" t="s">
        <v>61</v>
      </c>
      <c r="AO1274" t="s">
        <v>61</v>
      </c>
      <c r="AP1274" t="s">
        <v>61</v>
      </c>
      <c r="AQ1274" t="s">
        <v>61</v>
      </c>
      <c r="AR1274" t="s">
        <v>61</v>
      </c>
      <c r="AS1274" t="s">
        <v>61</v>
      </c>
      <c r="AT1274" t="s">
        <v>61</v>
      </c>
      <c r="AU1274" t="s">
        <v>61</v>
      </c>
      <c r="AV1274" t="s">
        <v>61</v>
      </c>
      <c r="AW1274" t="s">
        <v>61</v>
      </c>
      <c r="AX1274" t="s">
        <v>61</v>
      </c>
      <c r="AY1274" t="s">
        <v>61</v>
      </c>
      <c r="AZ1274" t="s">
        <v>61</v>
      </c>
      <c r="BA1274" t="s">
        <v>61</v>
      </c>
      <c r="BB1274" t="s">
        <v>61</v>
      </c>
      <c r="BC1274" t="s">
        <v>61</v>
      </c>
      <c r="BD1274" t="s">
        <v>61</v>
      </c>
      <c r="BE1274" t="s">
        <v>61</v>
      </c>
      <c r="BF1274" t="s">
        <v>61</v>
      </c>
    </row>
    <row r="1275" spans="1:58">
      <c r="A1275" t="s">
        <v>58</v>
      </c>
      <c r="B1275" t="s">
        <v>10493</v>
      </c>
      <c r="C1275" t="s">
        <v>10494</v>
      </c>
      <c r="D1275" t="s">
        <v>10495</v>
      </c>
      <c r="E1275" t="s">
        <v>61</v>
      </c>
      <c r="F1275">
        <v>2009</v>
      </c>
      <c r="G1275" t="s">
        <v>1396</v>
      </c>
      <c r="H1275">
        <v>57</v>
      </c>
      <c r="I1275">
        <v>4</v>
      </c>
      <c r="J1275">
        <v>243</v>
      </c>
      <c r="K1275">
        <v>247</v>
      </c>
      <c r="L1275" t="s">
        <v>10496</v>
      </c>
      <c r="M1275" t="s">
        <v>10497</v>
      </c>
      <c r="N1275" t="s">
        <v>10498</v>
      </c>
      <c r="O1275" t="s">
        <v>61</v>
      </c>
      <c r="Q1275" t="s">
        <v>61</v>
      </c>
      <c r="R1275" t="s">
        <v>61</v>
      </c>
      <c r="S1275" t="s">
        <v>61</v>
      </c>
      <c r="T1275" t="s">
        <v>61</v>
      </c>
      <c r="X1275" t="s">
        <v>61</v>
      </c>
      <c r="Y1275" t="s">
        <v>10499</v>
      </c>
      <c r="Z1275" t="s">
        <v>61</v>
      </c>
      <c r="AA1275" t="s">
        <v>10500</v>
      </c>
      <c r="AB1275">
        <v>20027801</v>
      </c>
      <c r="AC1275" t="s">
        <v>67</v>
      </c>
      <c r="AD1275" t="s">
        <v>61</v>
      </c>
      <c r="AE1275" t="s">
        <v>61</v>
      </c>
      <c r="AF1275" t="s">
        <v>61</v>
      </c>
      <c r="AG1275" t="s">
        <v>10501</v>
      </c>
      <c r="AH1275" t="s">
        <v>61</v>
      </c>
      <c r="AI1275" t="s">
        <v>61</v>
      </c>
      <c r="AJ1275" t="s">
        <v>61</v>
      </c>
      <c r="AK1275" t="s">
        <v>61</v>
      </c>
      <c r="AL1275" t="s">
        <v>61</v>
      </c>
      <c r="AM1275" t="s">
        <v>10502</v>
      </c>
      <c r="AN1275" t="s">
        <v>61</v>
      </c>
      <c r="AO1275" t="s">
        <v>61</v>
      </c>
      <c r="AP1275" t="s">
        <v>61</v>
      </c>
      <c r="AQ1275" t="s">
        <v>61</v>
      </c>
      <c r="AR1275" t="s">
        <v>61</v>
      </c>
      <c r="AS1275" t="s">
        <v>61</v>
      </c>
      <c r="AT1275" t="s">
        <v>61</v>
      </c>
      <c r="AU1275" t="s">
        <v>61</v>
      </c>
      <c r="AV1275" t="s">
        <v>61</v>
      </c>
      <c r="AW1275" t="s">
        <v>61</v>
      </c>
      <c r="AX1275" t="s">
        <v>61</v>
      </c>
      <c r="AY1275" t="s">
        <v>61</v>
      </c>
      <c r="AZ1275" t="s">
        <v>61</v>
      </c>
      <c r="BA1275" t="s">
        <v>61</v>
      </c>
      <c r="BB1275" t="s">
        <v>61</v>
      </c>
      <c r="BC1275" t="s">
        <v>61</v>
      </c>
      <c r="BD1275" t="s">
        <v>61</v>
      </c>
      <c r="BE1275" t="s">
        <v>61</v>
      </c>
      <c r="BF1275" t="s">
        <v>61</v>
      </c>
    </row>
    <row r="1276" spans="1:58">
      <c r="A1276" t="s">
        <v>58</v>
      </c>
      <c r="B1276" t="s">
        <v>10503</v>
      </c>
      <c r="C1276" t="s">
        <v>10504</v>
      </c>
      <c r="D1276" t="s">
        <v>2582</v>
      </c>
      <c r="E1276" t="s">
        <v>61</v>
      </c>
      <c r="F1276">
        <v>2009</v>
      </c>
      <c r="G1276" t="s">
        <v>119</v>
      </c>
      <c r="H1276">
        <v>34</v>
      </c>
      <c r="I1276">
        <v>3</v>
      </c>
      <c r="J1276">
        <v>261</v>
      </c>
      <c r="K1276">
        <v>265</v>
      </c>
      <c r="L1276" t="s">
        <v>10505</v>
      </c>
      <c r="M1276" t="s">
        <v>10506</v>
      </c>
      <c r="N1276" t="s">
        <v>10507</v>
      </c>
      <c r="O1276" t="s">
        <v>61</v>
      </c>
      <c r="Q1276" t="s">
        <v>61</v>
      </c>
      <c r="R1276" t="s">
        <v>61</v>
      </c>
      <c r="S1276" t="s">
        <v>61</v>
      </c>
      <c r="T1276" t="s">
        <v>61</v>
      </c>
      <c r="X1276" t="s">
        <v>61</v>
      </c>
      <c r="Y1276" t="s">
        <v>6905</v>
      </c>
      <c r="Z1276" t="s">
        <v>61</v>
      </c>
      <c r="AA1276" t="s">
        <v>10508</v>
      </c>
      <c r="AB1276">
        <v>19646075</v>
      </c>
      <c r="AC1276" t="s">
        <v>67</v>
      </c>
      <c r="AD1276" t="s">
        <v>61</v>
      </c>
      <c r="AE1276" t="s">
        <v>61</v>
      </c>
      <c r="AF1276" t="s">
        <v>61</v>
      </c>
      <c r="AG1276" t="s">
        <v>10509</v>
      </c>
      <c r="AH1276" t="s">
        <v>61</v>
      </c>
      <c r="AI1276" t="s">
        <v>10510</v>
      </c>
      <c r="AJ1276" t="s">
        <v>61</v>
      </c>
      <c r="AK1276" t="s">
        <v>61</v>
      </c>
      <c r="AL1276" t="s">
        <v>61</v>
      </c>
      <c r="AM1276" t="s">
        <v>10511</v>
      </c>
      <c r="AN1276" t="s">
        <v>61</v>
      </c>
      <c r="AO1276" t="s">
        <v>61</v>
      </c>
      <c r="AP1276" t="s">
        <v>61</v>
      </c>
      <c r="AQ1276" t="s">
        <v>61</v>
      </c>
      <c r="AR1276" t="s">
        <v>61</v>
      </c>
      <c r="AS1276" t="s">
        <v>61</v>
      </c>
      <c r="AT1276" t="s">
        <v>61</v>
      </c>
      <c r="AU1276" t="s">
        <v>61</v>
      </c>
      <c r="AV1276" t="s">
        <v>61</v>
      </c>
      <c r="AW1276" t="s">
        <v>61</v>
      </c>
      <c r="AX1276" t="s">
        <v>61</v>
      </c>
      <c r="AY1276" t="s">
        <v>61</v>
      </c>
      <c r="AZ1276" t="s">
        <v>61</v>
      </c>
      <c r="BA1276" t="s">
        <v>61</v>
      </c>
      <c r="BB1276" t="s">
        <v>61</v>
      </c>
      <c r="BC1276" t="s">
        <v>61</v>
      </c>
      <c r="BD1276" t="s">
        <v>61</v>
      </c>
      <c r="BE1276" t="s">
        <v>61</v>
      </c>
      <c r="BF1276" t="s">
        <v>61</v>
      </c>
    </row>
    <row r="1277" spans="1:58">
      <c r="A1277" t="s">
        <v>58</v>
      </c>
      <c r="B1277" t="s">
        <v>10512</v>
      </c>
      <c r="C1277" t="s">
        <v>10513</v>
      </c>
      <c r="D1277" t="s">
        <v>10514</v>
      </c>
      <c r="E1277" t="s">
        <v>61</v>
      </c>
      <c r="F1277">
        <v>2013</v>
      </c>
      <c r="G1277" t="s">
        <v>61</v>
      </c>
      <c r="H1277">
        <v>2</v>
      </c>
      <c r="I1277" t="s">
        <v>61</v>
      </c>
      <c r="J1277">
        <v>449</v>
      </c>
      <c r="K1277" t="s">
        <v>61</v>
      </c>
      <c r="L1277" t="s">
        <v>61</v>
      </c>
      <c r="M1277" t="s">
        <v>10515</v>
      </c>
      <c r="N1277" t="s">
        <v>10516</v>
      </c>
      <c r="O1277" t="s">
        <v>61</v>
      </c>
      <c r="Q1277" t="s">
        <v>61</v>
      </c>
      <c r="R1277" t="s">
        <v>61</v>
      </c>
      <c r="S1277" t="s">
        <v>61</v>
      </c>
      <c r="T1277" t="s">
        <v>61</v>
      </c>
      <c r="X1277" t="s">
        <v>61</v>
      </c>
      <c r="Y1277" t="s">
        <v>10517</v>
      </c>
      <c r="Z1277" t="s">
        <v>61</v>
      </c>
      <c r="AA1277" t="s">
        <v>10518</v>
      </c>
      <c r="AB1277">
        <v>24058894</v>
      </c>
      <c r="AC1277" t="s">
        <v>67</v>
      </c>
      <c r="AD1277" t="s">
        <v>61</v>
      </c>
      <c r="AE1277" t="s">
        <v>61</v>
      </c>
      <c r="AF1277" t="s">
        <v>61</v>
      </c>
      <c r="AG1277" t="s">
        <v>10519</v>
      </c>
      <c r="AH1277" t="s">
        <v>61</v>
      </c>
      <c r="AI1277" t="s">
        <v>10520</v>
      </c>
      <c r="AJ1277" t="s">
        <v>61</v>
      </c>
      <c r="AK1277" t="s">
        <v>61</v>
      </c>
      <c r="AL1277" t="s">
        <v>61</v>
      </c>
      <c r="AM1277" t="s">
        <v>10521</v>
      </c>
      <c r="AN1277" t="s">
        <v>61</v>
      </c>
      <c r="AO1277" t="s">
        <v>61</v>
      </c>
      <c r="AP1277" t="s">
        <v>61</v>
      </c>
      <c r="AQ1277" t="s">
        <v>61</v>
      </c>
      <c r="AR1277" t="s">
        <v>61</v>
      </c>
      <c r="AS1277" t="s">
        <v>61</v>
      </c>
      <c r="AT1277" t="s">
        <v>61</v>
      </c>
      <c r="AU1277" t="s">
        <v>61</v>
      </c>
      <c r="AV1277" t="s">
        <v>61</v>
      </c>
      <c r="AW1277" t="s">
        <v>61</v>
      </c>
      <c r="AX1277" t="s">
        <v>61</v>
      </c>
      <c r="AY1277" t="s">
        <v>61</v>
      </c>
      <c r="AZ1277" t="s">
        <v>61</v>
      </c>
      <c r="BA1277" t="s">
        <v>61</v>
      </c>
      <c r="BB1277" t="s">
        <v>61</v>
      </c>
      <c r="BC1277" t="s">
        <v>61</v>
      </c>
      <c r="BD1277" t="s">
        <v>61</v>
      </c>
      <c r="BE1277" t="s">
        <v>61</v>
      </c>
      <c r="BF1277" t="s">
        <v>61</v>
      </c>
    </row>
    <row r="1278" spans="1:58">
      <c r="A1278" t="s">
        <v>58</v>
      </c>
      <c r="B1278" t="s">
        <v>10522</v>
      </c>
      <c r="C1278" t="s">
        <v>10523</v>
      </c>
      <c r="D1278" t="s">
        <v>10524</v>
      </c>
      <c r="E1278" t="s">
        <v>61</v>
      </c>
      <c r="F1278">
        <v>2014</v>
      </c>
      <c r="G1278" t="s">
        <v>851</v>
      </c>
      <c r="H1278">
        <v>51</v>
      </c>
      <c r="I1278">
        <v>9</v>
      </c>
      <c r="J1278">
        <v>934</v>
      </c>
      <c r="K1278">
        <v>942</v>
      </c>
      <c r="L1278" t="s">
        <v>10525</v>
      </c>
      <c r="M1278" t="s">
        <v>10526</v>
      </c>
      <c r="N1278" t="s">
        <v>10527</v>
      </c>
      <c r="O1278" t="s">
        <v>61</v>
      </c>
      <c r="Q1278" t="s">
        <v>61</v>
      </c>
      <c r="R1278" t="s">
        <v>61</v>
      </c>
      <c r="S1278" t="s">
        <v>61</v>
      </c>
      <c r="T1278" t="s">
        <v>61</v>
      </c>
      <c r="X1278" t="s">
        <v>61</v>
      </c>
      <c r="Y1278" t="s">
        <v>10528</v>
      </c>
      <c r="Z1278" t="s">
        <v>61</v>
      </c>
      <c r="AA1278" t="s">
        <v>10529</v>
      </c>
      <c r="AB1278">
        <v>24894741</v>
      </c>
      <c r="AC1278" t="s">
        <v>67</v>
      </c>
      <c r="AD1278" t="s">
        <v>61</v>
      </c>
      <c r="AE1278" t="s">
        <v>61</v>
      </c>
      <c r="AF1278" t="s">
        <v>61</v>
      </c>
      <c r="AG1278" t="s">
        <v>10530</v>
      </c>
      <c r="AH1278" t="s">
        <v>61</v>
      </c>
      <c r="AI1278" t="s">
        <v>10531</v>
      </c>
      <c r="AJ1278" t="s">
        <v>61</v>
      </c>
      <c r="AK1278" t="s">
        <v>61</v>
      </c>
      <c r="AL1278" t="s">
        <v>61</v>
      </c>
      <c r="AM1278" t="s">
        <v>10532</v>
      </c>
      <c r="AN1278" t="s">
        <v>61</v>
      </c>
      <c r="AO1278" t="s">
        <v>61</v>
      </c>
      <c r="AP1278" t="s">
        <v>61</v>
      </c>
      <c r="AQ1278" t="s">
        <v>61</v>
      </c>
      <c r="AR1278" t="s">
        <v>61</v>
      </c>
      <c r="AS1278" t="s">
        <v>61</v>
      </c>
      <c r="AT1278" t="s">
        <v>61</v>
      </c>
      <c r="AU1278" t="s">
        <v>61</v>
      </c>
      <c r="AV1278" t="s">
        <v>61</v>
      </c>
      <c r="AW1278" t="s">
        <v>61</v>
      </c>
      <c r="AX1278" t="s">
        <v>61</v>
      </c>
      <c r="AY1278" t="s">
        <v>61</v>
      </c>
      <c r="AZ1278" t="s">
        <v>61</v>
      </c>
      <c r="BA1278" t="s">
        <v>61</v>
      </c>
      <c r="BB1278" t="s">
        <v>61</v>
      </c>
      <c r="BC1278" t="s">
        <v>61</v>
      </c>
      <c r="BD1278" t="s">
        <v>61</v>
      </c>
      <c r="BE1278" t="s">
        <v>61</v>
      </c>
      <c r="BF1278" t="s">
        <v>61</v>
      </c>
    </row>
    <row r="1279" spans="1:58">
      <c r="A1279" t="s">
        <v>58</v>
      </c>
      <c r="B1279" t="s">
        <v>10533</v>
      </c>
      <c r="C1279" t="s">
        <v>10534</v>
      </c>
      <c r="D1279" t="s">
        <v>2716</v>
      </c>
      <c r="E1279" t="s">
        <v>61</v>
      </c>
      <c r="F1279">
        <v>2015</v>
      </c>
      <c r="G1279" t="s">
        <v>409</v>
      </c>
      <c r="H1279">
        <v>18</v>
      </c>
      <c r="I1279">
        <v>7</v>
      </c>
      <c r="J1279" t="s">
        <v>10535</v>
      </c>
      <c r="K1279" t="s">
        <v>61</v>
      </c>
      <c r="L1279" t="s">
        <v>10536</v>
      </c>
      <c r="M1279" t="s">
        <v>10537</v>
      </c>
      <c r="N1279" t="s">
        <v>10538</v>
      </c>
      <c r="O1279" t="s">
        <v>61</v>
      </c>
      <c r="Q1279" t="s">
        <v>61</v>
      </c>
      <c r="R1279" t="s">
        <v>61</v>
      </c>
      <c r="S1279" t="s">
        <v>61</v>
      </c>
      <c r="T1279" t="s">
        <v>61</v>
      </c>
      <c r="X1279" t="s">
        <v>61</v>
      </c>
      <c r="Y1279" t="s">
        <v>2721</v>
      </c>
      <c r="Z1279" t="s">
        <v>61</v>
      </c>
      <c r="AA1279" t="s">
        <v>61</v>
      </c>
      <c r="AB1279" t="s">
        <v>61</v>
      </c>
      <c r="AC1279" t="s">
        <v>67</v>
      </c>
      <c r="AD1279" t="s">
        <v>61</v>
      </c>
      <c r="AE1279" t="s">
        <v>61</v>
      </c>
      <c r="AF1279" t="s">
        <v>61</v>
      </c>
      <c r="AG1279" t="s">
        <v>61</v>
      </c>
      <c r="AH1279" t="s">
        <v>61</v>
      </c>
      <c r="AI1279" t="s">
        <v>61</v>
      </c>
      <c r="AJ1279" t="s">
        <v>61</v>
      </c>
      <c r="AK1279" t="s">
        <v>61</v>
      </c>
      <c r="AL1279" t="s">
        <v>61</v>
      </c>
      <c r="AM1279" t="s">
        <v>10534</v>
      </c>
      <c r="AN1279" t="s">
        <v>61</v>
      </c>
      <c r="AO1279" t="s">
        <v>61</v>
      </c>
      <c r="AP1279" t="s">
        <v>61</v>
      </c>
      <c r="AQ1279" t="s">
        <v>61</v>
      </c>
      <c r="AR1279" t="s">
        <v>61</v>
      </c>
      <c r="AS1279" t="s">
        <v>61</v>
      </c>
      <c r="AT1279" t="s">
        <v>61</v>
      </c>
      <c r="AU1279" t="s">
        <v>61</v>
      </c>
      <c r="AV1279" t="s">
        <v>61</v>
      </c>
      <c r="AW1279" t="s">
        <v>61</v>
      </c>
      <c r="AX1279" t="s">
        <v>61</v>
      </c>
      <c r="AY1279" t="s">
        <v>61</v>
      </c>
      <c r="AZ1279" t="s">
        <v>61</v>
      </c>
      <c r="BA1279" t="s">
        <v>61</v>
      </c>
      <c r="BB1279" t="s">
        <v>61</v>
      </c>
      <c r="BC1279" t="s">
        <v>61</v>
      </c>
      <c r="BD1279" t="s">
        <v>61</v>
      </c>
      <c r="BE1279" t="s">
        <v>61</v>
      </c>
      <c r="BF1279" t="s">
        <v>61</v>
      </c>
    </row>
    <row r="1280" spans="1:58">
      <c r="A1280" t="s">
        <v>58</v>
      </c>
      <c r="B1280" t="s">
        <v>10539</v>
      </c>
      <c r="C1280" t="s">
        <v>10540</v>
      </c>
      <c r="D1280" t="s">
        <v>475</v>
      </c>
      <c r="E1280" t="s">
        <v>61</v>
      </c>
      <c r="F1280">
        <v>2012</v>
      </c>
      <c r="G1280" t="s">
        <v>381</v>
      </c>
      <c r="H1280">
        <v>34</v>
      </c>
      <c r="I1280">
        <v>1</v>
      </c>
      <c r="J1280">
        <v>154</v>
      </c>
      <c r="K1280" t="s">
        <v>61</v>
      </c>
      <c r="L1280" t="s">
        <v>10541</v>
      </c>
      <c r="M1280" t="s">
        <v>10542</v>
      </c>
      <c r="N1280" t="s">
        <v>10543</v>
      </c>
      <c r="O1280" t="s">
        <v>61</v>
      </c>
      <c r="Q1280" t="s">
        <v>61</v>
      </c>
      <c r="R1280" t="s">
        <v>61</v>
      </c>
      <c r="S1280" t="s">
        <v>61</v>
      </c>
      <c r="T1280" t="s">
        <v>61</v>
      </c>
      <c r="X1280" t="s">
        <v>61</v>
      </c>
      <c r="Y1280" t="s">
        <v>308</v>
      </c>
      <c r="Z1280" t="s">
        <v>61</v>
      </c>
      <c r="AA1280" t="s">
        <v>61</v>
      </c>
      <c r="AB1280" t="s">
        <v>61</v>
      </c>
      <c r="AC1280" t="s">
        <v>67</v>
      </c>
      <c r="AD1280" t="s">
        <v>61</v>
      </c>
      <c r="AE1280" t="s">
        <v>61</v>
      </c>
      <c r="AF1280" t="s">
        <v>61</v>
      </c>
      <c r="AG1280" t="s">
        <v>61</v>
      </c>
      <c r="AH1280" t="s">
        <v>61</v>
      </c>
      <c r="AI1280" t="s">
        <v>61</v>
      </c>
      <c r="AJ1280" t="s">
        <v>61</v>
      </c>
      <c r="AK1280" t="s">
        <v>61</v>
      </c>
      <c r="AL1280" t="s">
        <v>61</v>
      </c>
      <c r="AM1280" t="s">
        <v>10540</v>
      </c>
      <c r="AN1280" t="s">
        <v>61</v>
      </c>
      <c r="AO1280" t="s">
        <v>61</v>
      </c>
      <c r="AP1280" t="s">
        <v>61</v>
      </c>
      <c r="AQ1280" t="s">
        <v>61</v>
      </c>
      <c r="AR1280" t="s">
        <v>61</v>
      </c>
      <c r="AS1280" t="s">
        <v>61</v>
      </c>
      <c r="AT1280" t="s">
        <v>61</v>
      </c>
      <c r="AU1280" t="s">
        <v>61</v>
      </c>
      <c r="AV1280" t="s">
        <v>61</v>
      </c>
      <c r="AW1280" t="s">
        <v>61</v>
      </c>
      <c r="AX1280" t="s">
        <v>61</v>
      </c>
      <c r="AY1280" t="s">
        <v>61</v>
      </c>
      <c r="AZ1280" t="s">
        <v>61</v>
      </c>
      <c r="BA1280" t="s">
        <v>61</v>
      </c>
      <c r="BB1280" t="s">
        <v>61</v>
      </c>
      <c r="BC1280" t="s">
        <v>61</v>
      </c>
      <c r="BD1280" t="s">
        <v>61</v>
      </c>
      <c r="BE1280" t="s">
        <v>61</v>
      </c>
      <c r="BF1280" t="s">
        <v>61</v>
      </c>
    </row>
    <row r="1281" spans="1:58">
      <c r="A1281" t="s">
        <v>58</v>
      </c>
      <c r="B1281" t="s">
        <v>10544</v>
      </c>
      <c r="C1281" t="s">
        <v>10545</v>
      </c>
      <c r="D1281" t="s">
        <v>84</v>
      </c>
      <c r="E1281" t="s">
        <v>61</v>
      </c>
      <c r="F1281">
        <v>2013</v>
      </c>
      <c r="G1281" t="s">
        <v>344</v>
      </c>
      <c r="H1281" t="s">
        <v>402</v>
      </c>
      <c r="I1281" t="s">
        <v>61</v>
      </c>
      <c r="J1281">
        <v>46</v>
      </c>
      <c r="K1281">
        <v>47</v>
      </c>
      <c r="L1281" t="s">
        <v>10546</v>
      </c>
      <c r="M1281" t="s">
        <v>10547</v>
      </c>
      <c r="N1281" t="s">
        <v>10548</v>
      </c>
      <c r="O1281" t="s">
        <v>61</v>
      </c>
      <c r="Q1281" t="s">
        <v>61</v>
      </c>
      <c r="R1281" t="s">
        <v>61</v>
      </c>
      <c r="S1281" t="s">
        <v>61</v>
      </c>
      <c r="T1281" t="s">
        <v>61</v>
      </c>
      <c r="X1281" t="s">
        <v>61</v>
      </c>
      <c r="Y1281" t="s">
        <v>303</v>
      </c>
      <c r="Z1281" t="s">
        <v>61</v>
      </c>
      <c r="AA1281" t="s">
        <v>61</v>
      </c>
      <c r="AB1281" t="s">
        <v>61</v>
      </c>
      <c r="AC1281" t="s">
        <v>67</v>
      </c>
      <c r="AD1281" t="s">
        <v>61</v>
      </c>
      <c r="AE1281" t="s">
        <v>61</v>
      </c>
      <c r="AF1281" t="s">
        <v>61</v>
      </c>
      <c r="AG1281" t="s">
        <v>61</v>
      </c>
      <c r="AH1281" t="s">
        <v>61</v>
      </c>
      <c r="AI1281" t="s">
        <v>61</v>
      </c>
      <c r="AJ1281" t="s">
        <v>61</v>
      </c>
      <c r="AK1281" t="s">
        <v>61</v>
      </c>
      <c r="AL1281" t="s">
        <v>61</v>
      </c>
      <c r="AM1281" t="s">
        <v>10545</v>
      </c>
      <c r="AN1281" t="s">
        <v>61</v>
      </c>
      <c r="AO1281" t="s">
        <v>61</v>
      </c>
      <c r="AP1281" t="s">
        <v>61</v>
      </c>
      <c r="AQ1281" t="s">
        <v>61</v>
      </c>
      <c r="AR1281" t="s">
        <v>61</v>
      </c>
      <c r="AS1281" t="s">
        <v>61</v>
      </c>
      <c r="AT1281" t="s">
        <v>61</v>
      </c>
      <c r="AU1281" t="s">
        <v>61</v>
      </c>
      <c r="AV1281" t="s">
        <v>61</v>
      </c>
      <c r="AW1281" t="s">
        <v>61</v>
      </c>
      <c r="AX1281" t="s">
        <v>61</v>
      </c>
      <c r="AY1281" t="s">
        <v>61</v>
      </c>
      <c r="AZ1281" t="s">
        <v>61</v>
      </c>
      <c r="BA1281" t="s">
        <v>61</v>
      </c>
      <c r="BB1281" t="s">
        <v>61</v>
      </c>
      <c r="BC1281" t="s">
        <v>61</v>
      </c>
      <c r="BD1281" t="s">
        <v>61</v>
      </c>
      <c r="BE1281" t="s">
        <v>61</v>
      </c>
      <c r="BF1281" t="s">
        <v>61</v>
      </c>
    </row>
    <row r="1282" spans="1:58">
      <c r="A1282" t="s">
        <v>58</v>
      </c>
      <c r="B1282" t="s">
        <v>10549</v>
      </c>
      <c r="C1282" t="s">
        <v>10550</v>
      </c>
      <c r="D1282" t="s">
        <v>10551</v>
      </c>
      <c r="E1282" t="s">
        <v>10552</v>
      </c>
      <c r="F1282">
        <v>2016</v>
      </c>
      <c r="G1282" t="s">
        <v>85</v>
      </c>
      <c r="H1282">
        <v>68</v>
      </c>
      <c r="I1282">
        <v>2</v>
      </c>
      <c r="J1282">
        <v>89</v>
      </c>
      <c r="K1282">
        <v>95</v>
      </c>
      <c r="L1282" t="s">
        <v>61</v>
      </c>
      <c r="M1282" t="s">
        <v>10553</v>
      </c>
      <c r="N1282" t="s">
        <v>10554</v>
      </c>
      <c r="O1282" t="s">
        <v>61</v>
      </c>
      <c r="Q1282" t="s">
        <v>61</v>
      </c>
      <c r="R1282" t="s">
        <v>61</v>
      </c>
      <c r="S1282" t="s">
        <v>61</v>
      </c>
      <c r="T1282" t="s">
        <v>61</v>
      </c>
      <c r="X1282" t="s">
        <v>61</v>
      </c>
      <c r="Y1282" t="s">
        <v>10555</v>
      </c>
      <c r="Z1282" t="s">
        <v>61</v>
      </c>
      <c r="AA1282" t="s">
        <v>10556</v>
      </c>
      <c r="AB1282">
        <v>25034220</v>
      </c>
      <c r="AC1282" t="s">
        <v>67</v>
      </c>
      <c r="AD1282" t="s">
        <v>61</v>
      </c>
      <c r="AE1282" t="s">
        <v>61</v>
      </c>
      <c r="AF1282" t="s">
        <v>61</v>
      </c>
      <c r="AG1282" t="s">
        <v>10557</v>
      </c>
      <c r="AH1282" t="s">
        <v>61</v>
      </c>
      <c r="AI1282" t="s">
        <v>61</v>
      </c>
      <c r="AJ1282" t="s">
        <v>61</v>
      </c>
      <c r="AK1282" t="s">
        <v>61</v>
      </c>
      <c r="AL1282" t="s">
        <v>61</v>
      </c>
      <c r="AM1282" t="s">
        <v>10558</v>
      </c>
      <c r="AN1282" t="s">
        <v>61</v>
      </c>
      <c r="AO1282" t="s">
        <v>61</v>
      </c>
      <c r="AP1282" t="s">
        <v>61</v>
      </c>
      <c r="AQ1282" t="s">
        <v>61</v>
      </c>
      <c r="AR1282" t="s">
        <v>61</v>
      </c>
      <c r="AS1282" t="s">
        <v>61</v>
      </c>
      <c r="AT1282" t="s">
        <v>61</v>
      </c>
      <c r="AU1282" t="s">
        <v>61</v>
      </c>
      <c r="AV1282" t="s">
        <v>61</v>
      </c>
      <c r="AW1282" t="s">
        <v>61</v>
      </c>
      <c r="AX1282" t="s">
        <v>61</v>
      </c>
      <c r="AY1282" t="s">
        <v>61</v>
      </c>
      <c r="AZ1282" t="s">
        <v>61</v>
      </c>
      <c r="BA1282" t="s">
        <v>61</v>
      </c>
      <c r="BB1282" t="s">
        <v>61</v>
      </c>
      <c r="BC1282" t="s">
        <v>61</v>
      </c>
      <c r="BD1282" t="s">
        <v>61</v>
      </c>
      <c r="BE1282" t="s">
        <v>61</v>
      </c>
      <c r="BF1282" t="s">
        <v>61</v>
      </c>
    </row>
    <row r="1283" spans="1:58">
      <c r="A1283" t="s">
        <v>58</v>
      </c>
      <c r="B1283" t="s">
        <v>10559</v>
      </c>
      <c r="C1283" t="s">
        <v>10560</v>
      </c>
      <c r="D1283" t="s">
        <v>8851</v>
      </c>
      <c r="E1283" t="s">
        <v>8851</v>
      </c>
      <c r="F1283">
        <v>2010</v>
      </c>
      <c r="G1283" t="s">
        <v>645</v>
      </c>
      <c r="H1283" s="3">
        <v>5.7527777777777773</v>
      </c>
      <c r="I1283" t="s">
        <v>61</v>
      </c>
      <c r="J1283" t="s">
        <v>61</v>
      </c>
      <c r="K1283" t="s">
        <v>61</v>
      </c>
      <c r="L1283" t="s">
        <v>10561</v>
      </c>
      <c r="M1283" t="s">
        <v>10562</v>
      </c>
      <c r="N1283" t="s">
        <v>10563</v>
      </c>
      <c r="O1283" t="s">
        <v>61</v>
      </c>
      <c r="Q1283" t="s">
        <v>61</v>
      </c>
      <c r="R1283" t="s">
        <v>61</v>
      </c>
      <c r="S1283" t="s">
        <v>61</v>
      </c>
      <c r="T1283" t="s">
        <v>61</v>
      </c>
      <c r="X1283" t="s">
        <v>61</v>
      </c>
      <c r="Y1283" s="2">
        <v>654852</v>
      </c>
      <c r="Z1283" t="s">
        <v>61</v>
      </c>
      <c r="AA1283" t="s">
        <v>61</v>
      </c>
      <c r="AB1283" t="s">
        <v>61</v>
      </c>
      <c r="AC1283" t="s">
        <v>67</v>
      </c>
      <c r="AD1283" t="s">
        <v>61</v>
      </c>
      <c r="AE1283" t="s">
        <v>61</v>
      </c>
      <c r="AF1283" t="s">
        <v>61</v>
      </c>
      <c r="AG1283" t="s">
        <v>61</v>
      </c>
      <c r="AH1283" t="s">
        <v>61</v>
      </c>
      <c r="AI1283" t="s">
        <v>61</v>
      </c>
      <c r="AJ1283" t="s">
        <v>61</v>
      </c>
      <c r="AK1283" t="s">
        <v>61</v>
      </c>
      <c r="AL1283" t="s">
        <v>61</v>
      </c>
      <c r="AM1283" t="s">
        <v>10560</v>
      </c>
      <c r="AN1283" t="s">
        <v>61</v>
      </c>
      <c r="AO1283" t="s">
        <v>61</v>
      </c>
      <c r="AP1283" t="s">
        <v>61</v>
      </c>
      <c r="AQ1283" t="s">
        <v>61</v>
      </c>
      <c r="AR1283" t="s">
        <v>61</v>
      </c>
      <c r="AS1283" t="s">
        <v>61</v>
      </c>
      <c r="AT1283" t="s">
        <v>61</v>
      </c>
      <c r="AU1283" t="s">
        <v>61</v>
      </c>
      <c r="AV1283" t="s">
        <v>61</v>
      </c>
      <c r="AW1283" t="s">
        <v>61</v>
      </c>
      <c r="AX1283" t="s">
        <v>61</v>
      </c>
      <c r="AY1283" t="s">
        <v>61</v>
      </c>
      <c r="AZ1283" t="s">
        <v>61</v>
      </c>
      <c r="BA1283" t="s">
        <v>61</v>
      </c>
      <c r="BB1283" t="s">
        <v>61</v>
      </c>
      <c r="BC1283" t="s">
        <v>61</v>
      </c>
      <c r="BD1283" t="s">
        <v>61</v>
      </c>
      <c r="BE1283" t="s">
        <v>61</v>
      </c>
      <c r="BF1283" t="s">
        <v>61</v>
      </c>
    </row>
    <row r="1284" spans="1:58">
      <c r="A1284" t="s">
        <v>58</v>
      </c>
      <c r="B1284" t="s">
        <v>10564</v>
      </c>
      <c r="C1284" t="s">
        <v>10565</v>
      </c>
      <c r="D1284" t="s">
        <v>162</v>
      </c>
      <c r="E1284" t="s">
        <v>163</v>
      </c>
      <c r="F1284">
        <v>2011</v>
      </c>
      <c r="G1284" t="s">
        <v>476</v>
      </c>
      <c r="H1284">
        <v>51</v>
      </c>
      <c r="I1284">
        <v>12</v>
      </c>
      <c r="J1284">
        <v>1733</v>
      </c>
      <c r="K1284">
        <v>1734</v>
      </c>
      <c r="L1284" t="s">
        <v>10566</v>
      </c>
      <c r="M1284" t="s">
        <v>10567</v>
      </c>
      <c r="N1284" t="s">
        <v>10568</v>
      </c>
      <c r="O1284" t="s">
        <v>61</v>
      </c>
      <c r="Q1284" t="s">
        <v>61</v>
      </c>
      <c r="R1284" t="s">
        <v>61</v>
      </c>
      <c r="S1284" t="s">
        <v>61</v>
      </c>
      <c r="T1284" t="s">
        <v>61</v>
      </c>
      <c r="X1284" t="s">
        <v>61</v>
      </c>
      <c r="Y1284" t="s">
        <v>902</v>
      </c>
      <c r="Z1284" t="s">
        <v>61</v>
      </c>
      <c r="AA1284" t="s">
        <v>61</v>
      </c>
      <c r="AB1284">
        <v>2011672254</v>
      </c>
      <c r="AC1284" t="s">
        <v>67</v>
      </c>
      <c r="AD1284" t="s">
        <v>61</v>
      </c>
      <c r="AE1284" t="s">
        <v>61</v>
      </c>
      <c r="AF1284" t="s">
        <v>61</v>
      </c>
      <c r="AG1284" t="s">
        <v>10569</v>
      </c>
      <c r="AH1284" t="s">
        <v>61</v>
      </c>
      <c r="AI1284" t="s">
        <v>61</v>
      </c>
      <c r="AJ1284" t="s">
        <v>61</v>
      </c>
      <c r="AK1284" t="s">
        <v>61</v>
      </c>
      <c r="AL1284" t="s">
        <v>61</v>
      </c>
      <c r="AM1284" t="s">
        <v>10570</v>
      </c>
      <c r="AN1284" t="s">
        <v>61</v>
      </c>
      <c r="AO1284" t="s">
        <v>61</v>
      </c>
      <c r="AP1284" t="s">
        <v>61</v>
      </c>
      <c r="AQ1284" t="s">
        <v>61</v>
      </c>
      <c r="AR1284" t="s">
        <v>61</v>
      </c>
      <c r="AS1284" t="s">
        <v>61</v>
      </c>
      <c r="AT1284" t="s">
        <v>61</v>
      </c>
      <c r="AU1284" t="s">
        <v>61</v>
      </c>
      <c r="AV1284" t="s">
        <v>61</v>
      </c>
      <c r="AW1284" t="s">
        <v>61</v>
      </c>
      <c r="AX1284" t="s">
        <v>61</v>
      </c>
      <c r="AY1284" t="s">
        <v>61</v>
      </c>
      <c r="AZ1284" t="s">
        <v>61</v>
      </c>
      <c r="BA1284" t="s">
        <v>61</v>
      </c>
      <c r="BB1284" t="s">
        <v>61</v>
      </c>
      <c r="BC1284" t="s">
        <v>61</v>
      </c>
      <c r="BD1284" t="s">
        <v>61</v>
      </c>
      <c r="BE1284" t="s">
        <v>61</v>
      </c>
      <c r="BF1284" t="s">
        <v>61</v>
      </c>
    </row>
    <row r="1285" spans="1:58">
      <c r="A1285" t="s">
        <v>58</v>
      </c>
      <c r="B1285" t="s">
        <v>10571</v>
      </c>
      <c r="C1285" t="s">
        <v>10572</v>
      </c>
      <c r="D1285" t="s">
        <v>10573</v>
      </c>
      <c r="E1285" t="s">
        <v>61</v>
      </c>
      <c r="F1285">
        <v>2004</v>
      </c>
      <c r="G1285" t="s">
        <v>391</v>
      </c>
      <c r="H1285">
        <v>12</v>
      </c>
      <c r="I1285">
        <v>1</v>
      </c>
      <c r="J1285">
        <v>26</v>
      </c>
      <c r="K1285">
        <v>30</v>
      </c>
      <c r="L1285" t="s">
        <v>10574</v>
      </c>
      <c r="M1285" t="s">
        <v>10575</v>
      </c>
      <c r="N1285" t="s">
        <v>10576</v>
      </c>
      <c r="O1285" t="s">
        <v>61</v>
      </c>
      <c r="Q1285" t="s">
        <v>61</v>
      </c>
      <c r="R1285" t="s">
        <v>61</v>
      </c>
      <c r="S1285" t="s">
        <v>61</v>
      </c>
      <c r="T1285" t="s">
        <v>61</v>
      </c>
      <c r="X1285" t="s">
        <v>61</v>
      </c>
      <c r="Y1285" t="s">
        <v>10577</v>
      </c>
      <c r="Z1285" t="s">
        <v>61</v>
      </c>
      <c r="AA1285" t="s">
        <v>10578</v>
      </c>
      <c r="AB1285">
        <v>15715735</v>
      </c>
      <c r="AC1285" t="s">
        <v>67</v>
      </c>
      <c r="AD1285" t="s">
        <v>61</v>
      </c>
      <c r="AE1285" t="s">
        <v>61</v>
      </c>
      <c r="AF1285" t="s">
        <v>61</v>
      </c>
      <c r="AG1285" t="s">
        <v>10579</v>
      </c>
      <c r="AH1285" t="s">
        <v>61</v>
      </c>
      <c r="AI1285" t="s">
        <v>61</v>
      </c>
      <c r="AJ1285" t="s">
        <v>61</v>
      </c>
      <c r="AK1285" t="s">
        <v>61</v>
      </c>
      <c r="AL1285" t="s">
        <v>61</v>
      </c>
      <c r="AM1285" t="s">
        <v>10580</v>
      </c>
      <c r="AN1285" t="s">
        <v>61</v>
      </c>
      <c r="AO1285" t="s">
        <v>61</v>
      </c>
      <c r="AP1285" t="s">
        <v>61</v>
      </c>
      <c r="AQ1285" t="s">
        <v>61</v>
      </c>
      <c r="AR1285" t="s">
        <v>61</v>
      </c>
      <c r="AS1285" t="s">
        <v>61</v>
      </c>
      <c r="AT1285" t="s">
        <v>61</v>
      </c>
      <c r="AU1285" t="s">
        <v>61</v>
      </c>
      <c r="AV1285" t="s">
        <v>61</v>
      </c>
      <c r="AW1285" t="s">
        <v>61</v>
      </c>
      <c r="AX1285" t="s">
        <v>61</v>
      </c>
      <c r="AY1285" t="s">
        <v>61</v>
      </c>
      <c r="AZ1285" t="s">
        <v>61</v>
      </c>
      <c r="BA1285" t="s">
        <v>61</v>
      </c>
      <c r="BB1285" t="s">
        <v>61</v>
      </c>
      <c r="BC1285" t="s">
        <v>61</v>
      </c>
      <c r="BD1285" t="s">
        <v>61</v>
      </c>
      <c r="BE1285" t="s">
        <v>61</v>
      </c>
      <c r="BF1285" t="s">
        <v>61</v>
      </c>
    </row>
    <row r="1286" spans="1:58">
      <c r="A1286" t="s">
        <v>58</v>
      </c>
      <c r="B1286" t="s">
        <v>10581</v>
      </c>
      <c r="C1286" t="s">
        <v>10582</v>
      </c>
      <c r="D1286" t="s">
        <v>10583</v>
      </c>
      <c r="E1286" t="s">
        <v>61</v>
      </c>
      <c r="F1286">
        <v>2013</v>
      </c>
      <c r="G1286" t="s">
        <v>381</v>
      </c>
      <c r="H1286">
        <v>36</v>
      </c>
      <c r="I1286">
        <v>2</v>
      </c>
      <c r="J1286">
        <v>305</v>
      </c>
      <c r="K1286">
        <v>310</v>
      </c>
      <c r="L1286" t="s">
        <v>10584</v>
      </c>
      <c r="M1286" t="s">
        <v>10585</v>
      </c>
      <c r="N1286" t="s">
        <v>10586</v>
      </c>
      <c r="O1286" t="s">
        <v>61</v>
      </c>
      <c r="Q1286" t="s">
        <v>61</v>
      </c>
      <c r="R1286" t="s">
        <v>61</v>
      </c>
      <c r="S1286" t="s">
        <v>61</v>
      </c>
      <c r="T1286" t="s">
        <v>61</v>
      </c>
      <c r="X1286" t="s">
        <v>61</v>
      </c>
      <c r="Y1286" t="s">
        <v>10587</v>
      </c>
      <c r="Z1286" t="s">
        <v>61</v>
      </c>
      <c r="AA1286" t="s">
        <v>61</v>
      </c>
      <c r="AB1286">
        <v>2013117915</v>
      </c>
      <c r="AC1286" t="s">
        <v>67</v>
      </c>
      <c r="AD1286" t="s">
        <v>61</v>
      </c>
      <c r="AE1286" t="s">
        <v>61</v>
      </c>
      <c r="AF1286" t="s">
        <v>61</v>
      </c>
      <c r="AG1286" t="s">
        <v>10588</v>
      </c>
      <c r="AH1286" t="s">
        <v>61</v>
      </c>
      <c r="AI1286" t="s">
        <v>61</v>
      </c>
      <c r="AJ1286" t="s">
        <v>61</v>
      </c>
      <c r="AK1286" t="s">
        <v>61</v>
      </c>
      <c r="AL1286" t="s">
        <v>61</v>
      </c>
      <c r="AM1286" t="s">
        <v>10589</v>
      </c>
      <c r="AN1286" t="s">
        <v>61</v>
      </c>
      <c r="AO1286" t="s">
        <v>61</v>
      </c>
      <c r="AP1286" t="s">
        <v>61</v>
      </c>
      <c r="AQ1286" t="s">
        <v>61</v>
      </c>
      <c r="AR1286" t="s">
        <v>61</v>
      </c>
      <c r="AS1286" t="s">
        <v>61</v>
      </c>
      <c r="AT1286" t="s">
        <v>61</v>
      </c>
      <c r="AU1286" t="s">
        <v>61</v>
      </c>
      <c r="AV1286" t="s">
        <v>61</v>
      </c>
      <c r="AW1286" t="s">
        <v>61</v>
      </c>
      <c r="AX1286" t="s">
        <v>61</v>
      </c>
      <c r="AY1286" t="s">
        <v>61</v>
      </c>
      <c r="AZ1286" t="s">
        <v>61</v>
      </c>
      <c r="BA1286" t="s">
        <v>61</v>
      </c>
      <c r="BB1286" t="s">
        <v>61</v>
      </c>
      <c r="BC1286" t="s">
        <v>61</v>
      </c>
      <c r="BD1286" t="s">
        <v>61</v>
      </c>
      <c r="BE1286" t="s">
        <v>61</v>
      </c>
      <c r="BF1286" t="s">
        <v>61</v>
      </c>
    </row>
    <row r="1287" spans="1:58">
      <c r="A1287" t="s">
        <v>58</v>
      </c>
      <c r="B1287" t="s">
        <v>10590</v>
      </c>
      <c r="C1287" t="s">
        <v>10591</v>
      </c>
      <c r="D1287" t="s">
        <v>10592</v>
      </c>
      <c r="E1287" t="s">
        <v>61</v>
      </c>
      <c r="F1287">
        <v>2014</v>
      </c>
      <c r="G1287" t="s">
        <v>4981</v>
      </c>
      <c r="H1287">
        <v>38</v>
      </c>
      <c r="I1287">
        <v>1</v>
      </c>
      <c r="J1287">
        <v>21</v>
      </c>
      <c r="K1287">
        <v>27</v>
      </c>
      <c r="L1287" t="s">
        <v>10593</v>
      </c>
      <c r="M1287" t="s">
        <v>10594</v>
      </c>
      <c r="N1287" t="s">
        <v>10595</v>
      </c>
      <c r="O1287" t="s">
        <v>61</v>
      </c>
      <c r="Q1287" t="s">
        <v>61</v>
      </c>
      <c r="R1287" t="s">
        <v>61</v>
      </c>
      <c r="S1287" t="s">
        <v>61</v>
      </c>
      <c r="T1287" t="s">
        <v>61</v>
      </c>
      <c r="X1287" t="s">
        <v>61</v>
      </c>
      <c r="Y1287" t="s">
        <v>10596</v>
      </c>
      <c r="Z1287" t="s">
        <v>61</v>
      </c>
      <c r="AA1287" t="s">
        <v>61</v>
      </c>
      <c r="AB1287">
        <v>2014539286</v>
      </c>
      <c r="AC1287" t="s">
        <v>67</v>
      </c>
      <c r="AD1287" t="s">
        <v>61</v>
      </c>
      <c r="AE1287" t="s">
        <v>61</v>
      </c>
      <c r="AF1287" t="s">
        <v>61</v>
      </c>
      <c r="AG1287" t="s">
        <v>61</v>
      </c>
      <c r="AH1287" t="s">
        <v>61</v>
      </c>
      <c r="AI1287" t="s">
        <v>61</v>
      </c>
      <c r="AJ1287" t="s">
        <v>61</v>
      </c>
      <c r="AK1287" t="s">
        <v>61</v>
      </c>
      <c r="AL1287" t="s">
        <v>61</v>
      </c>
      <c r="AM1287" t="s">
        <v>10591</v>
      </c>
      <c r="AN1287" t="s">
        <v>61</v>
      </c>
      <c r="AO1287" t="s">
        <v>61</v>
      </c>
      <c r="AP1287" t="s">
        <v>61</v>
      </c>
      <c r="AQ1287" t="s">
        <v>61</v>
      </c>
      <c r="AR1287" t="s">
        <v>61</v>
      </c>
      <c r="AS1287" t="s">
        <v>61</v>
      </c>
      <c r="AT1287" t="s">
        <v>61</v>
      </c>
      <c r="AU1287" t="s">
        <v>61</v>
      </c>
      <c r="AV1287" t="s">
        <v>61</v>
      </c>
      <c r="AW1287" t="s">
        <v>61</v>
      </c>
      <c r="AX1287" t="s">
        <v>61</v>
      </c>
      <c r="AY1287" t="s">
        <v>61</v>
      </c>
      <c r="AZ1287" t="s">
        <v>61</v>
      </c>
      <c r="BA1287" t="s">
        <v>61</v>
      </c>
      <c r="BB1287" t="s">
        <v>61</v>
      </c>
      <c r="BC1287" t="s">
        <v>61</v>
      </c>
      <c r="BD1287" t="s">
        <v>61</v>
      </c>
      <c r="BE1287" t="s">
        <v>61</v>
      </c>
      <c r="BF1287" t="s">
        <v>61</v>
      </c>
    </row>
    <row r="1288" spans="1:58">
      <c r="A1288" t="s">
        <v>58</v>
      </c>
      <c r="B1288" t="s">
        <v>10597</v>
      </c>
      <c r="C1288" t="s">
        <v>10598</v>
      </c>
      <c r="D1288" t="s">
        <v>8657</v>
      </c>
      <c r="E1288" t="s">
        <v>61</v>
      </c>
      <c r="F1288">
        <v>2013</v>
      </c>
      <c r="G1288" t="s">
        <v>61</v>
      </c>
      <c r="H1288">
        <v>4</v>
      </c>
      <c r="I1288">
        <v>7</v>
      </c>
      <c r="J1288">
        <v>60</v>
      </c>
      <c r="K1288">
        <v>63</v>
      </c>
      <c r="L1288" t="s">
        <v>10599</v>
      </c>
      <c r="M1288" t="s">
        <v>10600</v>
      </c>
      <c r="N1288" t="s">
        <v>10601</v>
      </c>
      <c r="O1288" t="s">
        <v>61</v>
      </c>
      <c r="Q1288" t="s">
        <v>61</v>
      </c>
      <c r="R1288" t="s">
        <v>61</v>
      </c>
      <c r="S1288" t="s">
        <v>61</v>
      </c>
      <c r="T1288" t="s">
        <v>61</v>
      </c>
      <c r="X1288" t="s">
        <v>61</v>
      </c>
      <c r="Y1288" t="s">
        <v>8661</v>
      </c>
      <c r="Z1288" t="s">
        <v>61</v>
      </c>
      <c r="AA1288" t="s">
        <v>61</v>
      </c>
      <c r="AB1288" t="s">
        <v>10602</v>
      </c>
      <c r="AC1288" t="s">
        <v>67</v>
      </c>
      <c r="AD1288" t="s">
        <v>61</v>
      </c>
      <c r="AE1288" t="s">
        <v>61</v>
      </c>
      <c r="AF1288" t="s">
        <v>61</v>
      </c>
      <c r="AG1288" t="s">
        <v>61</v>
      </c>
      <c r="AH1288" t="s">
        <v>61</v>
      </c>
      <c r="AI1288" t="s">
        <v>61</v>
      </c>
      <c r="AJ1288" t="s">
        <v>61</v>
      </c>
      <c r="AK1288" t="s">
        <v>61</v>
      </c>
      <c r="AL1288" t="s">
        <v>61</v>
      </c>
      <c r="AM1288" t="s">
        <v>10598</v>
      </c>
      <c r="AN1288" t="s">
        <v>61</v>
      </c>
      <c r="AO1288" t="s">
        <v>61</v>
      </c>
      <c r="AP1288" t="s">
        <v>61</v>
      </c>
      <c r="AQ1288" t="s">
        <v>61</v>
      </c>
      <c r="AR1288" t="s">
        <v>61</v>
      </c>
      <c r="AS1288" t="s">
        <v>61</v>
      </c>
      <c r="AT1288" t="s">
        <v>61</v>
      </c>
      <c r="AU1288" t="s">
        <v>61</v>
      </c>
      <c r="AV1288" t="s">
        <v>61</v>
      </c>
      <c r="AW1288" t="s">
        <v>61</v>
      </c>
      <c r="AX1288" t="s">
        <v>61</v>
      </c>
      <c r="AY1288" t="s">
        <v>61</v>
      </c>
      <c r="AZ1288" t="s">
        <v>61</v>
      </c>
      <c r="BA1288" t="s">
        <v>61</v>
      </c>
      <c r="BB1288" t="s">
        <v>61</v>
      </c>
      <c r="BC1288" t="s">
        <v>61</v>
      </c>
      <c r="BD1288" t="s">
        <v>61</v>
      </c>
      <c r="BE1288" t="s">
        <v>61</v>
      </c>
      <c r="BF1288" t="s">
        <v>61</v>
      </c>
    </row>
    <row r="1289" spans="1:58">
      <c r="A1289" t="s">
        <v>58</v>
      </c>
      <c r="B1289" t="s">
        <v>10603</v>
      </c>
      <c r="C1289" t="s">
        <v>10604</v>
      </c>
      <c r="D1289" t="s">
        <v>5278</v>
      </c>
      <c r="E1289" t="s">
        <v>61</v>
      </c>
      <c r="F1289">
        <v>2015</v>
      </c>
      <c r="G1289" t="s">
        <v>1152</v>
      </c>
      <c r="H1289">
        <v>35</v>
      </c>
      <c r="I1289">
        <v>9</v>
      </c>
      <c r="J1289">
        <v>805</v>
      </c>
      <c r="K1289">
        <v>812</v>
      </c>
      <c r="L1289" t="s">
        <v>61</v>
      </c>
      <c r="M1289" t="s">
        <v>10605</v>
      </c>
      <c r="N1289" t="s">
        <v>10606</v>
      </c>
      <c r="O1289" t="s">
        <v>61</v>
      </c>
      <c r="Q1289" t="s">
        <v>61</v>
      </c>
      <c r="R1289" t="s">
        <v>61</v>
      </c>
      <c r="S1289" t="s">
        <v>61</v>
      </c>
      <c r="T1289" t="s">
        <v>61</v>
      </c>
      <c r="X1289" t="s">
        <v>61</v>
      </c>
      <c r="Y1289" t="s">
        <v>10607</v>
      </c>
      <c r="Z1289" t="s">
        <v>61</v>
      </c>
      <c r="AA1289" t="s">
        <v>10608</v>
      </c>
      <c r="AB1289">
        <v>26406772</v>
      </c>
      <c r="AC1289" t="s">
        <v>67</v>
      </c>
      <c r="AD1289" t="s">
        <v>61</v>
      </c>
      <c r="AE1289" t="s">
        <v>61</v>
      </c>
      <c r="AF1289" t="s">
        <v>61</v>
      </c>
      <c r="AG1289" t="s">
        <v>10609</v>
      </c>
      <c r="AH1289" t="s">
        <v>61</v>
      </c>
      <c r="AI1289" t="s">
        <v>10610</v>
      </c>
      <c r="AJ1289" t="s">
        <v>61</v>
      </c>
      <c r="AK1289" t="s">
        <v>61</v>
      </c>
      <c r="AL1289" t="s">
        <v>61</v>
      </c>
      <c r="AM1289" t="s">
        <v>10611</v>
      </c>
      <c r="AN1289" t="s">
        <v>61</v>
      </c>
      <c r="AO1289" t="s">
        <v>61</v>
      </c>
      <c r="AP1289" t="s">
        <v>61</v>
      </c>
      <c r="AQ1289" t="s">
        <v>61</v>
      </c>
      <c r="AR1289" t="s">
        <v>61</v>
      </c>
      <c r="AS1289" t="s">
        <v>61</v>
      </c>
      <c r="AT1289" t="s">
        <v>61</v>
      </c>
      <c r="AU1289" t="s">
        <v>61</v>
      </c>
      <c r="AV1289" t="s">
        <v>61</v>
      </c>
      <c r="AW1289" t="s">
        <v>61</v>
      </c>
      <c r="AX1289" t="s">
        <v>61</v>
      </c>
      <c r="AY1289" t="s">
        <v>61</v>
      </c>
      <c r="AZ1289" t="s">
        <v>61</v>
      </c>
      <c r="BA1289" t="s">
        <v>61</v>
      </c>
      <c r="BB1289" t="s">
        <v>61</v>
      </c>
      <c r="BC1289" t="s">
        <v>61</v>
      </c>
      <c r="BD1289" t="s">
        <v>61</v>
      </c>
      <c r="BE1289" t="s">
        <v>61</v>
      </c>
      <c r="BF1289" t="s">
        <v>61</v>
      </c>
    </row>
    <row r="1290" spans="1:58">
      <c r="A1290" t="s">
        <v>58</v>
      </c>
      <c r="B1290" t="s">
        <v>10612</v>
      </c>
      <c r="C1290" t="s">
        <v>10613</v>
      </c>
      <c r="D1290" t="s">
        <v>7403</v>
      </c>
      <c r="E1290" t="s">
        <v>7404</v>
      </c>
      <c r="F1290">
        <v>2013</v>
      </c>
      <c r="G1290" t="s">
        <v>429</v>
      </c>
      <c r="H1290" t="s">
        <v>10614</v>
      </c>
      <c r="I1290" t="s">
        <v>61</v>
      </c>
      <c r="J1290" t="s">
        <v>10615</v>
      </c>
      <c r="K1290" t="s">
        <v>61</v>
      </c>
      <c r="L1290" t="s">
        <v>10616</v>
      </c>
      <c r="M1290" t="s">
        <v>10617</v>
      </c>
      <c r="N1290" t="s">
        <v>10618</v>
      </c>
      <c r="O1290" t="s">
        <v>61</v>
      </c>
      <c r="Q1290" t="s">
        <v>61</v>
      </c>
      <c r="R1290" t="s">
        <v>61</v>
      </c>
      <c r="S1290" t="s">
        <v>61</v>
      </c>
      <c r="T1290" t="s">
        <v>61</v>
      </c>
      <c r="X1290" t="s">
        <v>61</v>
      </c>
      <c r="Y1290" s="2">
        <v>2452271</v>
      </c>
      <c r="Z1290" t="s">
        <v>61</v>
      </c>
      <c r="AA1290" t="s">
        <v>61</v>
      </c>
      <c r="AB1290" t="s">
        <v>61</v>
      </c>
      <c r="AC1290" t="s">
        <v>67</v>
      </c>
      <c r="AD1290" t="s">
        <v>61</v>
      </c>
      <c r="AE1290" t="s">
        <v>61</v>
      </c>
      <c r="AF1290" t="s">
        <v>61</v>
      </c>
      <c r="AG1290" t="s">
        <v>61</v>
      </c>
      <c r="AH1290" t="s">
        <v>61</v>
      </c>
      <c r="AI1290" t="s">
        <v>61</v>
      </c>
      <c r="AJ1290" t="s">
        <v>61</v>
      </c>
      <c r="AK1290" t="s">
        <v>61</v>
      </c>
      <c r="AL1290" t="s">
        <v>61</v>
      </c>
      <c r="AM1290" t="s">
        <v>10613</v>
      </c>
      <c r="AN1290" t="s">
        <v>61</v>
      </c>
      <c r="AO1290" t="s">
        <v>61</v>
      </c>
      <c r="AP1290" t="s">
        <v>61</v>
      </c>
      <c r="AQ1290" t="s">
        <v>61</v>
      </c>
      <c r="AR1290" t="s">
        <v>61</v>
      </c>
      <c r="AS1290" t="s">
        <v>61</v>
      </c>
      <c r="AT1290" t="s">
        <v>61</v>
      </c>
      <c r="AU1290" t="s">
        <v>61</v>
      </c>
      <c r="AV1290" t="s">
        <v>61</v>
      </c>
      <c r="AW1290" t="s">
        <v>61</v>
      </c>
      <c r="AX1290" t="s">
        <v>61</v>
      </c>
      <c r="AY1290" t="s">
        <v>61</v>
      </c>
      <c r="AZ1290" t="s">
        <v>61</v>
      </c>
      <c r="BA1290" t="s">
        <v>61</v>
      </c>
      <c r="BB1290" t="s">
        <v>61</v>
      </c>
      <c r="BC1290" t="s">
        <v>61</v>
      </c>
      <c r="BD1290" t="s">
        <v>61</v>
      </c>
      <c r="BE1290" t="s">
        <v>61</v>
      </c>
      <c r="BF1290" t="s">
        <v>61</v>
      </c>
    </row>
    <row r="1291" spans="1:58">
      <c r="A1291" t="s">
        <v>58</v>
      </c>
      <c r="B1291" t="s">
        <v>10619</v>
      </c>
      <c r="C1291" t="s">
        <v>10620</v>
      </c>
      <c r="D1291" t="s">
        <v>876</v>
      </c>
      <c r="E1291" t="s">
        <v>877</v>
      </c>
      <c r="F1291">
        <v>2013</v>
      </c>
      <c r="G1291" s="1">
        <v>42533</v>
      </c>
      <c r="H1291">
        <v>77</v>
      </c>
      <c r="I1291">
        <v>5</v>
      </c>
      <c r="J1291">
        <v>105</v>
      </c>
      <c r="K1291" t="s">
        <v>61</v>
      </c>
      <c r="L1291" t="s">
        <v>10621</v>
      </c>
      <c r="M1291" t="s">
        <v>10622</v>
      </c>
      <c r="N1291" t="s">
        <v>10623</v>
      </c>
      <c r="O1291" t="s">
        <v>61</v>
      </c>
      <c r="Q1291" t="s">
        <v>61</v>
      </c>
      <c r="R1291" t="s">
        <v>61</v>
      </c>
      <c r="S1291" t="s">
        <v>61</v>
      </c>
      <c r="T1291" t="s">
        <v>61</v>
      </c>
      <c r="X1291" t="s">
        <v>61</v>
      </c>
      <c r="Y1291" t="s">
        <v>881</v>
      </c>
      <c r="Z1291" t="s">
        <v>61</v>
      </c>
      <c r="AA1291" t="s">
        <v>10624</v>
      </c>
      <c r="AB1291">
        <v>23788816</v>
      </c>
      <c r="AC1291" t="s">
        <v>67</v>
      </c>
      <c r="AD1291" t="s">
        <v>61</v>
      </c>
      <c r="AE1291" t="s">
        <v>61</v>
      </c>
      <c r="AF1291" t="s">
        <v>61</v>
      </c>
      <c r="AG1291" t="s">
        <v>10625</v>
      </c>
      <c r="AH1291" t="s">
        <v>61</v>
      </c>
      <c r="AI1291" t="s">
        <v>10626</v>
      </c>
      <c r="AJ1291" t="s">
        <v>61</v>
      </c>
      <c r="AK1291" t="s">
        <v>61</v>
      </c>
      <c r="AL1291" t="s">
        <v>61</v>
      </c>
      <c r="AM1291" t="s">
        <v>10627</v>
      </c>
      <c r="AN1291" t="s">
        <v>61</v>
      </c>
      <c r="AO1291" t="s">
        <v>61</v>
      </c>
      <c r="AP1291" t="s">
        <v>61</v>
      </c>
      <c r="AQ1291" t="s">
        <v>61</v>
      </c>
      <c r="AR1291" t="s">
        <v>61</v>
      </c>
      <c r="AS1291" t="s">
        <v>61</v>
      </c>
      <c r="AT1291" t="s">
        <v>61</v>
      </c>
      <c r="AU1291" t="s">
        <v>61</v>
      </c>
      <c r="AV1291" t="s">
        <v>61</v>
      </c>
      <c r="AW1291" t="s">
        <v>61</v>
      </c>
      <c r="AX1291" t="s">
        <v>61</v>
      </c>
      <c r="AY1291" t="s">
        <v>61</v>
      </c>
      <c r="AZ1291" t="s">
        <v>61</v>
      </c>
      <c r="BA1291" t="s">
        <v>61</v>
      </c>
      <c r="BB1291" t="s">
        <v>61</v>
      </c>
      <c r="BC1291" t="s">
        <v>61</v>
      </c>
      <c r="BD1291" t="s">
        <v>61</v>
      </c>
      <c r="BE1291" t="s">
        <v>61</v>
      </c>
      <c r="BF1291" t="s">
        <v>61</v>
      </c>
    </row>
    <row r="1292" spans="1:58">
      <c r="A1292" t="s">
        <v>58</v>
      </c>
      <c r="B1292" t="s">
        <v>10628</v>
      </c>
      <c r="C1292" t="s">
        <v>10629</v>
      </c>
      <c r="D1292" t="s">
        <v>10630</v>
      </c>
      <c r="E1292" t="s">
        <v>61</v>
      </c>
      <c r="F1292">
        <v>2015</v>
      </c>
      <c r="G1292">
        <v>1</v>
      </c>
      <c r="H1292">
        <v>14</v>
      </c>
      <c r="I1292">
        <v>3</v>
      </c>
      <c r="J1292">
        <v>341</v>
      </c>
      <c r="K1292">
        <v>344</v>
      </c>
      <c r="L1292" t="s">
        <v>10631</v>
      </c>
      <c r="M1292" t="s">
        <v>10632</v>
      </c>
      <c r="N1292" t="s">
        <v>10633</v>
      </c>
      <c r="O1292" t="s">
        <v>61</v>
      </c>
      <c r="Q1292" t="s">
        <v>61</v>
      </c>
      <c r="R1292" t="s">
        <v>61</v>
      </c>
      <c r="S1292" t="s">
        <v>61</v>
      </c>
      <c r="T1292" t="s">
        <v>61</v>
      </c>
      <c r="X1292" t="s">
        <v>61</v>
      </c>
      <c r="Y1292" t="s">
        <v>10634</v>
      </c>
      <c r="Z1292" t="s">
        <v>61</v>
      </c>
      <c r="AA1292" t="s">
        <v>61</v>
      </c>
      <c r="AB1292">
        <v>2015045228</v>
      </c>
      <c r="AC1292" t="s">
        <v>67</v>
      </c>
      <c r="AD1292" t="s">
        <v>61</v>
      </c>
      <c r="AE1292" t="s">
        <v>61</v>
      </c>
      <c r="AF1292" t="s">
        <v>61</v>
      </c>
      <c r="AG1292" t="s">
        <v>10635</v>
      </c>
      <c r="AH1292" t="s">
        <v>61</v>
      </c>
      <c r="AI1292" t="s">
        <v>61</v>
      </c>
      <c r="AJ1292" t="s">
        <v>61</v>
      </c>
      <c r="AK1292" t="s">
        <v>61</v>
      </c>
      <c r="AL1292" t="s">
        <v>61</v>
      </c>
      <c r="AM1292" t="s">
        <v>10636</v>
      </c>
      <c r="AN1292" t="s">
        <v>61</v>
      </c>
      <c r="AO1292" t="s">
        <v>61</v>
      </c>
      <c r="AP1292" t="s">
        <v>61</v>
      </c>
      <c r="AQ1292" t="s">
        <v>61</v>
      </c>
      <c r="AR1292" t="s">
        <v>61</v>
      </c>
      <c r="AS1292" t="s">
        <v>61</v>
      </c>
      <c r="AT1292" t="s">
        <v>61</v>
      </c>
      <c r="AU1292" t="s">
        <v>61</v>
      </c>
      <c r="AV1292" t="s">
        <v>61</v>
      </c>
      <c r="AW1292" t="s">
        <v>61</v>
      </c>
      <c r="AX1292" t="s">
        <v>61</v>
      </c>
      <c r="AY1292" t="s">
        <v>61</v>
      </c>
      <c r="AZ1292" t="s">
        <v>61</v>
      </c>
      <c r="BA1292" t="s">
        <v>61</v>
      </c>
      <c r="BB1292" t="s">
        <v>61</v>
      </c>
      <c r="BC1292" t="s">
        <v>61</v>
      </c>
      <c r="BD1292" t="s">
        <v>61</v>
      </c>
      <c r="BE1292" t="s">
        <v>61</v>
      </c>
      <c r="BF1292" t="s">
        <v>61</v>
      </c>
    </row>
    <row r="1293" spans="1:58">
      <c r="A1293" t="s">
        <v>58</v>
      </c>
      <c r="B1293" t="s">
        <v>10637</v>
      </c>
      <c r="C1293" t="s">
        <v>10638</v>
      </c>
      <c r="D1293" t="s">
        <v>10639</v>
      </c>
      <c r="E1293" t="s">
        <v>61</v>
      </c>
      <c r="F1293">
        <v>2011</v>
      </c>
      <c r="G1293" t="s">
        <v>538</v>
      </c>
      <c r="H1293">
        <v>43</v>
      </c>
      <c r="I1293">
        <v>3</v>
      </c>
      <c r="J1293">
        <v>33</v>
      </c>
      <c r="K1293" t="s">
        <v>61</v>
      </c>
      <c r="L1293" t="s">
        <v>10640</v>
      </c>
      <c r="M1293" t="s">
        <v>61</v>
      </c>
      <c r="N1293" t="s">
        <v>10641</v>
      </c>
      <c r="O1293" t="s">
        <v>61</v>
      </c>
      <c r="Q1293" t="s">
        <v>61</v>
      </c>
      <c r="R1293" t="s">
        <v>61</v>
      </c>
      <c r="S1293" t="s">
        <v>61</v>
      </c>
      <c r="T1293" t="s">
        <v>61</v>
      </c>
      <c r="X1293" t="s">
        <v>61</v>
      </c>
      <c r="Y1293" t="s">
        <v>10642</v>
      </c>
      <c r="Z1293" t="s">
        <v>61</v>
      </c>
      <c r="AA1293" t="s">
        <v>61</v>
      </c>
      <c r="AB1293">
        <v>2011301186</v>
      </c>
      <c r="AC1293" t="s">
        <v>67</v>
      </c>
      <c r="AD1293" t="s">
        <v>61</v>
      </c>
      <c r="AE1293" t="s">
        <v>61</v>
      </c>
      <c r="AF1293" t="s">
        <v>61</v>
      </c>
      <c r="AG1293" t="s">
        <v>61</v>
      </c>
      <c r="AH1293" t="s">
        <v>61</v>
      </c>
      <c r="AI1293" t="s">
        <v>61</v>
      </c>
      <c r="AJ1293" t="s">
        <v>61</v>
      </c>
      <c r="AK1293" t="s">
        <v>61</v>
      </c>
      <c r="AL1293" t="s">
        <v>61</v>
      </c>
      <c r="AM1293" t="s">
        <v>10638</v>
      </c>
      <c r="AN1293" t="s">
        <v>61</v>
      </c>
      <c r="AO1293" t="s">
        <v>61</v>
      </c>
      <c r="AP1293" t="s">
        <v>61</v>
      </c>
      <c r="AQ1293" t="s">
        <v>61</v>
      </c>
      <c r="AR1293" t="s">
        <v>61</v>
      </c>
      <c r="AS1293" t="s">
        <v>61</v>
      </c>
      <c r="AT1293" t="s">
        <v>61</v>
      </c>
      <c r="AU1293" t="s">
        <v>61</v>
      </c>
      <c r="AV1293" t="s">
        <v>61</v>
      </c>
      <c r="AW1293" t="s">
        <v>61</v>
      </c>
      <c r="AX1293" t="s">
        <v>61</v>
      </c>
      <c r="AY1293" t="s">
        <v>61</v>
      </c>
      <c r="AZ1293" t="s">
        <v>61</v>
      </c>
      <c r="BA1293" t="s">
        <v>61</v>
      </c>
      <c r="BB1293" t="s">
        <v>61</v>
      </c>
      <c r="BC1293" t="s">
        <v>61</v>
      </c>
      <c r="BD1293" t="s">
        <v>61</v>
      </c>
      <c r="BE1293" t="s">
        <v>61</v>
      </c>
      <c r="BF1293" t="s">
        <v>61</v>
      </c>
    </row>
    <row r="1294" spans="1:58">
      <c r="A1294" t="s">
        <v>58</v>
      </c>
      <c r="B1294" t="s">
        <v>10643</v>
      </c>
      <c r="C1294" t="s">
        <v>10644</v>
      </c>
      <c r="D1294" t="s">
        <v>162</v>
      </c>
      <c r="E1294" t="s">
        <v>163</v>
      </c>
      <c r="F1294">
        <v>2000</v>
      </c>
      <c r="G1294" t="s">
        <v>61</v>
      </c>
      <c r="H1294">
        <v>40</v>
      </c>
      <c r="I1294">
        <v>1</v>
      </c>
      <c r="J1294">
        <v>84</v>
      </c>
      <c r="K1294">
        <v>90</v>
      </c>
      <c r="L1294" t="s">
        <v>10645</v>
      </c>
      <c r="M1294" t="s">
        <v>10646</v>
      </c>
      <c r="N1294" t="s">
        <v>10647</v>
      </c>
      <c r="O1294" t="s">
        <v>61</v>
      </c>
      <c r="Q1294" t="s">
        <v>61</v>
      </c>
      <c r="R1294" t="s">
        <v>61</v>
      </c>
      <c r="S1294" t="s">
        <v>61</v>
      </c>
      <c r="T1294" t="s">
        <v>61</v>
      </c>
      <c r="X1294" t="s">
        <v>61</v>
      </c>
      <c r="Y1294" t="s">
        <v>167</v>
      </c>
      <c r="Z1294" t="s">
        <v>61</v>
      </c>
      <c r="AA1294" t="s">
        <v>61</v>
      </c>
      <c r="AB1294">
        <v>2000416872</v>
      </c>
      <c r="AC1294" t="s">
        <v>67</v>
      </c>
      <c r="AD1294" t="s">
        <v>61</v>
      </c>
      <c r="AE1294" t="s">
        <v>61</v>
      </c>
      <c r="AF1294" t="s">
        <v>61</v>
      </c>
      <c r="AG1294" t="s">
        <v>10648</v>
      </c>
      <c r="AH1294" t="s">
        <v>61</v>
      </c>
      <c r="AI1294" t="s">
        <v>61</v>
      </c>
      <c r="AJ1294" t="s">
        <v>61</v>
      </c>
      <c r="AK1294" t="s">
        <v>61</v>
      </c>
      <c r="AL1294" t="s">
        <v>61</v>
      </c>
      <c r="AM1294" t="s">
        <v>10649</v>
      </c>
      <c r="AN1294" t="s">
        <v>61</v>
      </c>
      <c r="AO1294" t="s">
        <v>61</v>
      </c>
      <c r="AP1294" t="s">
        <v>61</v>
      </c>
      <c r="AQ1294" t="s">
        <v>61</v>
      </c>
      <c r="AR1294" t="s">
        <v>61</v>
      </c>
      <c r="AS1294" t="s">
        <v>61</v>
      </c>
      <c r="AT1294" t="s">
        <v>61</v>
      </c>
      <c r="AU1294" t="s">
        <v>61</v>
      </c>
      <c r="AV1294" t="s">
        <v>61</v>
      </c>
      <c r="AW1294" t="s">
        <v>61</v>
      </c>
      <c r="AX1294" t="s">
        <v>61</v>
      </c>
      <c r="AY1294" t="s">
        <v>61</v>
      </c>
      <c r="AZ1294" t="s">
        <v>61</v>
      </c>
      <c r="BA1294" t="s">
        <v>61</v>
      </c>
      <c r="BB1294" t="s">
        <v>61</v>
      </c>
      <c r="BC1294" t="s">
        <v>61</v>
      </c>
      <c r="BD1294" t="s">
        <v>61</v>
      </c>
      <c r="BE1294" t="s">
        <v>61</v>
      </c>
      <c r="BF1294" t="s">
        <v>61</v>
      </c>
    </row>
    <row r="1295" spans="1:58">
      <c r="A1295" t="s">
        <v>58</v>
      </c>
      <c r="B1295" t="s">
        <v>10650</v>
      </c>
      <c r="C1295" t="s">
        <v>10651</v>
      </c>
      <c r="D1295" t="s">
        <v>8363</v>
      </c>
      <c r="E1295" t="s">
        <v>61</v>
      </c>
      <c r="F1295">
        <v>2013</v>
      </c>
      <c r="G1295" t="s">
        <v>457</v>
      </c>
      <c r="H1295">
        <v>6</v>
      </c>
      <c r="I1295" t="s">
        <v>61</v>
      </c>
      <c r="J1295">
        <v>255</v>
      </c>
      <c r="K1295">
        <v>258</v>
      </c>
      <c r="L1295" t="s">
        <v>10652</v>
      </c>
      <c r="M1295" t="s">
        <v>10653</v>
      </c>
      <c r="N1295" t="s">
        <v>10654</v>
      </c>
      <c r="O1295" t="s">
        <v>61</v>
      </c>
      <c r="Q1295" t="s">
        <v>61</v>
      </c>
      <c r="R1295" t="s">
        <v>61</v>
      </c>
      <c r="S1295" t="s">
        <v>61</v>
      </c>
      <c r="T1295" t="s">
        <v>61</v>
      </c>
      <c r="X1295" t="s">
        <v>61</v>
      </c>
      <c r="Y1295" t="s">
        <v>8367</v>
      </c>
      <c r="Z1295" t="s">
        <v>61</v>
      </c>
      <c r="AA1295" t="s">
        <v>61</v>
      </c>
      <c r="AB1295">
        <v>2013384925</v>
      </c>
      <c r="AC1295" t="s">
        <v>67</v>
      </c>
      <c r="AD1295" t="s">
        <v>61</v>
      </c>
      <c r="AE1295" t="s">
        <v>61</v>
      </c>
      <c r="AF1295" t="s">
        <v>61</v>
      </c>
      <c r="AG1295" t="s">
        <v>61</v>
      </c>
      <c r="AH1295" t="s">
        <v>61</v>
      </c>
      <c r="AI1295" t="s">
        <v>61</v>
      </c>
      <c r="AJ1295" t="s">
        <v>61</v>
      </c>
      <c r="AK1295" t="s">
        <v>61</v>
      </c>
      <c r="AL1295" t="s">
        <v>61</v>
      </c>
      <c r="AM1295" t="s">
        <v>10651</v>
      </c>
      <c r="AN1295" t="s">
        <v>61</v>
      </c>
      <c r="AO1295" t="s">
        <v>61</v>
      </c>
      <c r="AP1295" t="s">
        <v>61</v>
      </c>
      <c r="AQ1295" t="s">
        <v>61</v>
      </c>
      <c r="AR1295" t="s">
        <v>61</v>
      </c>
      <c r="AS1295" t="s">
        <v>61</v>
      </c>
      <c r="AT1295" t="s">
        <v>61</v>
      </c>
      <c r="AU1295" t="s">
        <v>61</v>
      </c>
      <c r="AV1295" t="s">
        <v>61</v>
      </c>
      <c r="AW1295" t="s">
        <v>61</v>
      </c>
      <c r="AX1295" t="s">
        <v>61</v>
      </c>
      <c r="AY1295" t="s">
        <v>61</v>
      </c>
      <c r="AZ1295" t="s">
        <v>61</v>
      </c>
      <c r="BA1295" t="s">
        <v>61</v>
      </c>
      <c r="BB1295" t="s">
        <v>61</v>
      </c>
      <c r="BC1295" t="s">
        <v>61</v>
      </c>
      <c r="BD1295" t="s">
        <v>61</v>
      </c>
      <c r="BE1295" t="s">
        <v>61</v>
      </c>
      <c r="BF1295" t="s">
        <v>61</v>
      </c>
    </row>
    <row r="1296" spans="1:58">
      <c r="A1296" t="s">
        <v>58</v>
      </c>
      <c r="B1296" t="s">
        <v>10655</v>
      </c>
      <c r="C1296" t="s">
        <v>10656</v>
      </c>
      <c r="D1296" t="s">
        <v>10657</v>
      </c>
      <c r="E1296" t="s">
        <v>61</v>
      </c>
      <c r="F1296">
        <v>2012</v>
      </c>
      <c r="G1296" t="s">
        <v>61</v>
      </c>
      <c r="H1296">
        <v>2</v>
      </c>
      <c r="I1296">
        <v>1</v>
      </c>
      <c r="J1296">
        <v>61</v>
      </c>
      <c r="K1296">
        <v>69</v>
      </c>
      <c r="L1296" t="s">
        <v>61</v>
      </c>
      <c r="M1296" t="s">
        <v>10658</v>
      </c>
      <c r="N1296" t="s">
        <v>10659</v>
      </c>
      <c r="O1296" t="s">
        <v>61</v>
      </c>
      <c r="Q1296" t="s">
        <v>61</v>
      </c>
      <c r="R1296" t="s">
        <v>61</v>
      </c>
      <c r="S1296" t="s">
        <v>61</v>
      </c>
      <c r="T1296" t="s">
        <v>61</v>
      </c>
      <c r="X1296" t="s">
        <v>61</v>
      </c>
      <c r="Y1296" t="s">
        <v>10660</v>
      </c>
      <c r="Z1296" t="s">
        <v>61</v>
      </c>
      <c r="AA1296" t="s">
        <v>10661</v>
      </c>
      <c r="AB1296">
        <v>24312772</v>
      </c>
      <c r="AC1296" t="s">
        <v>67</v>
      </c>
      <c r="AD1296" t="s">
        <v>61</v>
      </c>
      <c r="AE1296" t="s">
        <v>61</v>
      </c>
      <c r="AF1296" t="s">
        <v>61</v>
      </c>
      <c r="AG1296" t="s">
        <v>10662</v>
      </c>
      <c r="AH1296" t="s">
        <v>61</v>
      </c>
      <c r="AI1296" t="s">
        <v>10663</v>
      </c>
      <c r="AJ1296" t="s">
        <v>61</v>
      </c>
      <c r="AK1296" t="s">
        <v>61</v>
      </c>
      <c r="AL1296" t="s">
        <v>61</v>
      </c>
      <c r="AM1296" t="s">
        <v>10664</v>
      </c>
      <c r="AN1296" t="s">
        <v>61</v>
      </c>
      <c r="AO1296" t="s">
        <v>61</v>
      </c>
      <c r="AP1296" t="s">
        <v>61</v>
      </c>
      <c r="AQ1296" t="s">
        <v>61</v>
      </c>
      <c r="AR1296" t="s">
        <v>61</v>
      </c>
      <c r="AS1296" t="s">
        <v>61</v>
      </c>
      <c r="AT1296" t="s">
        <v>61</v>
      </c>
      <c r="AU1296" t="s">
        <v>61</v>
      </c>
      <c r="AV1296" t="s">
        <v>61</v>
      </c>
      <c r="AW1296" t="s">
        <v>61</v>
      </c>
      <c r="AX1296" t="s">
        <v>61</v>
      </c>
      <c r="AY1296" t="s">
        <v>61</v>
      </c>
      <c r="AZ1296" t="s">
        <v>61</v>
      </c>
      <c r="BA1296" t="s">
        <v>61</v>
      </c>
      <c r="BB1296" t="s">
        <v>61</v>
      </c>
      <c r="BC1296" t="s">
        <v>61</v>
      </c>
      <c r="BD1296" t="s">
        <v>61</v>
      </c>
      <c r="BE1296" t="s">
        <v>61</v>
      </c>
      <c r="BF1296" t="s">
        <v>61</v>
      </c>
    </row>
    <row r="1297" spans="1:58">
      <c r="A1297" t="s">
        <v>58</v>
      </c>
      <c r="B1297" t="s">
        <v>10665</v>
      </c>
      <c r="C1297" t="s">
        <v>10666</v>
      </c>
      <c r="D1297" t="s">
        <v>162</v>
      </c>
      <c r="E1297" t="s">
        <v>163</v>
      </c>
      <c r="F1297">
        <v>2008</v>
      </c>
      <c r="G1297" t="s">
        <v>538</v>
      </c>
      <c r="H1297">
        <v>48</v>
      </c>
      <c r="I1297">
        <v>3</v>
      </c>
      <c r="J1297">
        <v>322</v>
      </c>
      <c r="K1297">
        <v>329</v>
      </c>
      <c r="L1297" t="s">
        <v>10667</v>
      </c>
      <c r="M1297" t="s">
        <v>10668</v>
      </c>
      <c r="N1297" t="s">
        <v>10669</v>
      </c>
      <c r="O1297" t="s">
        <v>61</v>
      </c>
      <c r="Q1297" t="s">
        <v>61</v>
      </c>
      <c r="R1297" t="s">
        <v>61</v>
      </c>
      <c r="S1297" t="s">
        <v>61</v>
      </c>
      <c r="T1297" t="s">
        <v>61</v>
      </c>
      <c r="X1297" t="s">
        <v>61</v>
      </c>
      <c r="Y1297" t="s">
        <v>902</v>
      </c>
      <c r="Z1297" t="s">
        <v>61</v>
      </c>
      <c r="AA1297" t="s">
        <v>61</v>
      </c>
      <c r="AB1297">
        <v>2008085143</v>
      </c>
      <c r="AC1297" t="s">
        <v>67</v>
      </c>
      <c r="AD1297" t="s">
        <v>61</v>
      </c>
      <c r="AE1297" t="s">
        <v>61</v>
      </c>
      <c r="AF1297" t="s">
        <v>61</v>
      </c>
      <c r="AG1297" t="s">
        <v>10670</v>
      </c>
      <c r="AH1297" t="s">
        <v>61</v>
      </c>
      <c r="AI1297" t="s">
        <v>61</v>
      </c>
      <c r="AJ1297" t="s">
        <v>61</v>
      </c>
      <c r="AK1297" t="s">
        <v>61</v>
      </c>
      <c r="AL1297" t="s">
        <v>61</v>
      </c>
      <c r="AM1297" t="s">
        <v>10671</v>
      </c>
      <c r="AN1297" t="s">
        <v>61</v>
      </c>
      <c r="AO1297" t="s">
        <v>61</v>
      </c>
      <c r="AP1297" t="s">
        <v>61</v>
      </c>
      <c r="AQ1297" t="s">
        <v>61</v>
      </c>
      <c r="AR1297" t="s">
        <v>61</v>
      </c>
      <c r="AS1297" t="s">
        <v>61</v>
      </c>
      <c r="AT1297" t="s">
        <v>61</v>
      </c>
      <c r="AU1297" t="s">
        <v>61</v>
      </c>
      <c r="AV1297" t="s">
        <v>61</v>
      </c>
      <c r="AW1297" t="s">
        <v>61</v>
      </c>
      <c r="AX1297" t="s">
        <v>61</v>
      </c>
      <c r="AY1297" t="s">
        <v>61</v>
      </c>
      <c r="AZ1297" t="s">
        <v>61</v>
      </c>
      <c r="BA1297" t="s">
        <v>61</v>
      </c>
      <c r="BB1297" t="s">
        <v>61</v>
      </c>
      <c r="BC1297" t="s">
        <v>61</v>
      </c>
      <c r="BD1297" t="s">
        <v>61</v>
      </c>
      <c r="BE1297" t="s">
        <v>61</v>
      </c>
      <c r="BF1297" t="s">
        <v>61</v>
      </c>
    </row>
    <row r="1298" spans="1:58">
      <c r="A1298" t="s">
        <v>58</v>
      </c>
      <c r="B1298" t="s">
        <v>10672</v>
      </c>
      <c r="C1298" t="s">
        <v>10673</v>
      </c>
      <c r="D1298" t="s">
        <v>5313</v>
      </c>
      <c r="E1298" t="s">
        <v>5314</v>
      </c>
      <c r="F1298">
        <v>1978</v>
      </c>
      <c r="G1298" t="s">
        <v>363</v>
      </c>
      <c r="H1298">
        <v>88</v>
      </c>
      <c r="I1298">
        <v>1</v>
      </c>
      <c r="J1298">
        <v>104</v>
      </c>
      <c r="K1298">
        <v>114</v>
      </c>
      <c r="L1298" t="s">
        <v>10674</v>
      </c>
      <c r="M1298" t="s">
        <v>10675</v>
      </c>
      <c r="N1298" t="s">
        <v>10676</v>
      </c>
      <c r="O1298" t="s">
        <v>61</v>
      </c>
      <c r="Q1298" t="s">
        <v>61</v>
      </c>
      <c r="R1298" t="s">
        <v>61</v>
      </c>
      <c r="S1298" t="s">
        <v>61</v>
      </c>
      <c r="T1298" t="s">
        <v>61</v>
      </c>
      <c r="X1298" t="s">
        <v>61</v>
      </c>
      <c r="Y1298" s="2">
        <v>1066204</v>
      </c>
      <c r="Z1298" t="s">
        <v>61</v>
      </c>
      <c r="AA1298" t="s">
        <v>61</v>
      </c>
      <c r="AB1298">
        <v>23064</v>
      </c>
      <c r="AC1298" t="s">
        <v>67</v>
      </c>
      <c r="AD1298" t="s">
        <v>61</v>
      </c>
      <c r="AE1298" t="s">
        <v>61</v>
      </c>
      <c r="AF1298" t="s">
        <v>61</v>
      </c>
      <c r="AG1298" t="s">
        <v>10677</v>
      </c>
      <c r="AH1298" t="s">
        <v>61</v>
      </c>
      <c r="AI1298" t="s">
        <v>61</v>
      </c>
      <c r="AJ1298" t="s">
        <v>61</v>
      </c>
      <c r="AK1298" t="s">
        <v>61</v>
      </c>
      <c r="AL1298" t="s">
        <v>61</v>
      </c>
      <c r="AM1298" t="s">
        <v>10678</v>
      </c>
      <c r="AN1298" t="s">
        <v>61</v>
      </c>
      <c r="AO1298" t="s">
        <v>61</v>
      </c>
      <c r="AP1298" t="s">
        <v>61</v>
      </c>
      <c r="AQ1298" t="s">
        <v>61</v>
      </c>
      <c r="AR1298" t="s">
        <v>61</v>
      </c>
      <c r="AS1298" t="s">
        <v>61</v>
      </c>
      <c r="AT1298" t="s">
        <v>61</v>
      </c>
      <c r="AU1298" t="s">
        <v>61</v>
      </c>
      <c r="AV1298" t="s">
        <v>61</v>
      </c>
      <c r="AW1298" t="s">
        <v>61</v>
      </c>
      <c r="AX1298" t="s">
        <v>61</v>
      </c>
      <c r="AY1298" t="s">
        <v>61</v>
      </c>
      <c r="AZ1298" t="s">
        <v>61</v>
      </c>
      <c r="BA1298" t="s">
        <v>61</v>
      </c>
      <c r="BB1298" t="s">
        <v>61</v>
      </c>
      <c r="BC1298" t="s">
        <v>61</v>
      </c>
      <c r="BD1298" t="s">
        <v>61</v>
      </c>
      <c r="BE1298" t="s">
        <v>61</v>
      </c>
      <c r="BF1298" t="s">
        <v>61</v>
      </c>
    </row>
    <row r="1299" spans="1:58">
      <c r="A1299" t="s">
        <v>58</v>
      </c>
      <c r="B1299" t="s">
        <v>10679</v>
      </c>
      <c r="C1299" t="s">
        <v>10680</v>
      </c>
      <c r="D1299" t="s">
        <v>10681</v>
      </c>
      <c r="E1299" t="s">
        <v>10682</v>
      </c>
      <c r="F1299">
        <v>2009</v>
      </c>
      <c r="G1299" t="s">
        <v>418</v>
      </c>
      <c r="H1299">
        <v>37</v>
      </c>
      <c r="I1299">
        <v>2</v>
      </c>
      <c r="J1299">
        <v>124</v>
      </c>
      <c r="K1299">
        <v>131</v>
      </c>
      <c r="L1299" t="s">
        <v>10683</v>
      </c>
      <c r="M1299" t="s">
        <v>10684</v>
      </c>
      <c r="N1299" t="s">
        <v>10685</v>
      </c>
      <c r="O1299" t="s">
        <v>61</v>
      </c>
      <c r="Q1299" t="s">
        <v>61</v>
      </c>
      <c r="R1299" t="s">
        <v>61</v>
      </c>
      <c r="S1299" t="s">
        <v>61</v>
      </c>
      <c r="T1299" t="s">
        <v>61</v>
      </c>
      <c r="X1299" t="s">
        <v>61</v>
      </c>
      <c r="Y1299" t="s">
        <v>10686</v>
      </c>
      <c r="Z1299" t="s">
        <v>61</v>
      </c>
      <c r="AA1299" t="s">
        <v>10687</v>
      </c>
      <c r="AB1299">
        <v>19589449</v>
      </c>
      <c r="AC1299" t="s">
        <v>67</v>
      </c>
      <c r="AD1299" t="s">
        <v>61</v>
      </c>
      <c r="AE1299" t="s">
        <v>61</v>
      </c>
      <c r="AF1299" t="s">
        <v>61</v>
      </c>
      <c r="AG1299" t="s">
        <v>10688</v>
      </c>
      <c r="AH1299" t="s">
        <v>61</v>
      </c>
      <c r="AI1299" t="s">
        <v>10689</v>
      </c>
      <c r="AJ1299" t="s">
        <v>61</v>
      </c>
      <c r="AK1299" t="s">
        <v>61</v>
      </c>
      <c r="AL1299" t="s">
        <v>61</v>
      </c>
      <c r="AM1299" t="s">
        <v>10690</v>
      </c>
      <c r="AN1299" t="s">
        <v>61</v>
      </c>
      <c r="AO1299" t="s">
        <v>61</v>
      </c>
      <c r="AP1299" t="s">
        <v>61</v>
      </c>
      <c r="AQ1299" t="s">
        <v>61</v>
      </c>
      <c r="AR1299" t="s">
        <v>61</v>
      </c>
      <c r="AS1299" t="s">
        <v>61</v>
      </c>
      <c r="AT1299" t="s">
        <v>61</v>
      </c>
      <c r="AU1299" t="s">
        <v>61</v>
      </c>
      <c r="AV1299" t="s">
        <v>61</v>
      </c>
      <c r="AW1299" t="s">
        <v>61</v>
      </c>
      <c r="AX1299" t="s">
        <v>61</v>
      </c>
      <c r="AY1299" t="s">
        <v>61</v>
      </c>
      <c r="AZ1299" t="s">
        <v>61</v>
      </c>
      <c r="BA1299" t="s">
        <v>61</v>
      </c>
      <c r="BB1299" t="s">
        <v>61</v>
      </c>
      <c r="BC1299" t="s">
        <v>61</v>
      </c>
      <c r="BD1299" t="s">
        <v>61</v>
      </c>
      <c r="BE1299" t="s">
        <v>61</v>
      </c>
      <c r="BF1299" t="s">
        <v>61</v>
      </c>
    </row>
    <row r="1300" spans="1:58">
      <c r="A1300" t="s">
        <v>58</v>
      </c>
      <c r="B1300" t="s">
        <v>10691</v>
      </c>
      <c r="C1300" t="s">
        <v>10692</v>
      </c>
      <c r="D1300" t="s">
        <v>10693</v>
      </c>
      <c r="E1300" t="s">
        <v>61</v>
      </c>
      <c r="F1300">
        <v>2015</v>
      </c>
      <c r="G1300" t="s">
        <v>61</v>
      </c>
      <c r="H1300" t="s">
        <v>10694</v>
      </c>
      <c r="I1300" t="s">
        <v>61</v>
      </c>
      <c r="J1300" t="s">
        <v>61</v>
      </c>
      <c r="K1300" t="s">
        <v>61</v>
      </c>
      <c r="L1300" t="s">
        <v>10695</v>
      </c>
      <c r="M1300" t="s">
        <v>10696</v>
      </c>
      <c r="N1300" t="s">
        <v>10697</v>
      </c>
      <c r="O1300" t="s">
        <v>61</v>
      </c>
      <c r="Q1300" t="s">
        <v>61</v>
      </c>
      <c r="R1300" t="s">
        <v>61</v>
      </c>
      <c r="S1300" t="s">
        <v>61</v>
      </c>
      <c r="T1300" t="s">
        <v>61</v>
      </c>
      <c r="X1300" t="s">
        <v>61</v>
      </c>
      <c r="Y1300" t="s">
        <v>10698</v>
      </c>
      <c r="Z1300" t="s">
        <v>61</v>
      </c>
      <c r="AA1300" t="s">
        <v>61</v>
      </c>
      <c r="AB1300" t="s">
        <v>10699</v>
      </c>
      <c r="AC1300" t="s">
        <v>67</v>
      </c>
      <c r="AD1300" t="s">
        <v>61</v>
      </c>
      <c r="AE1300" t="s">
        <v>61</v>
      </c>
      <c r="AF1300" t="s">
        <v>61</v>
      </c>
      <c r="AG1300" t="s">
        <v>61</v>
      </c>
      <c r="AH1300" t="s">
        <v>61</v>
      </c>
      <c r="AI1300" t="s">
        <v>61</v>
      </c>
      <c r="AJ1300" t="s">
        <v>61</v>
      </c>
      <c r="AK1300" t="s">
        <v>61</v>
      </c>
      <c r="AL1300" t="s">
        <v>61</v>
      </c>
      <c r="AM1300" t="s">
        <v>10692</v>
      </c>
      <c r="AN1300" t="s">
        <v>61</v>
      </c>
      <c r="AO1300" t="s">
        <v>61</v>
      </c>
      <c r="AP1300" t="s">
        <v>61</v>
      </c>
      <c r="AQ1300" t="s">
        <v>61</v>
      </c>
      <c r="AR1300" t="s">
        <v>61</v>
      </c>
      <c r="AS1300" t="s">
        <v>61</v>
      </c>
      <c r="AT1300" t="s">
        <v>61</v>
      </c>
      <c r="AU1300" t="s">
        <v>61</v>
      </c>
      <c r="AV1300" t="s">
        <v>61</v>
      </c>
      <c r="AW1300" t="s">
        <v>61</v>
      </c>
      <c r="AX1300" t="s">
        <v>61</v>
      </c>
      <c r="AY1300" t="s">
        <v>61</v>
      </c>
      <c r="AZ1300" t="s">
        <v>61</v>
      </c>
      <c r="BA1300" t="s">
        <v>61</v>
      </c>
      <c r="BB1300" t="s">
        <v>61</v>
      </c>
      <c r="BC1300" t="s">
        <v>61</v>
      </c>
      <c r="BD1300" t="s">
        <v>61</v>
      </c>
      <c r="BE1300" t="s">
        <v>61</v>
      </c>
      <c r="BF1300" t="s">
        <v>61</v>
      </c>
    </row>
    <row r="1301" spans="1:58">
      <c r="A1301" t="s">
        <v>58</v>
      </c>
      <c r="B1301" t="s">
        <v>10700</v>
      </c>
      <c r="C1301" t="s">
        <v>10701</v>
      </c>
      <c r="D1301" t="s">
        <v>3742</v>
      </c>
      <c r="E1301" t="s">
        <v>61</v>
      </c>
      <c r="F1301">
        <v>2011</v>
      </c>
      <c r="G1301" t="s">
        <v>129</v>
      </c>
      <c r="H1301">
        <v>9</v>
      </c>
      <c r="I1301">
        <v>4</v>
      </c>
      <c r="J1301">
        <v>236</v>
      </c>
      <c r="K1301">
        <v>241</v>
      </c>
      <c r="L1301" t="s">
        <v>61</v>
      </c>
      <c r="M1301" t="s">
        <v>10702</v>
      </c>
      <c r="N1301" t="s">
        <v>10703</v>
      </c>
      <c r="O1301" t="s">
        <v>61</v>
      </c>
      <c r="Q1301" t="s">
        <v>61</v>
      </c>
      <c r="R1301" t="s">
        <v>61</v>
      </c>
      <c r="S1301" t="s">
        <v>61</v>
      </c>
      <c r="T1301" t="s">
        <v>61</v>
      </c>
      <c r="X1301" t="s">
        <v>61</v>
      </c>
      <c r="Y1301" t="s">
        <v>3745</v>
      </c>
      <c r="Z1301" t="s">
        <v>61</v>
      </c>
      <c r="AA1301" t="s">
        <v>10704</v>
      </c>
      <c r="AB1301">
        <v>24198862</v>
      </c>
      <c r="AC1301" t="s">
        <v>67</v>
      </c>
      <c r="AD1301" t="s">
        <v>61</v>
      </c>
      <c r="AE1301" t="s">
        <v>61</v>
      </c>
      <c r="AF1301" t="s">
        <v>61</v>
      </c>
      <c r="AG1301" t="s">
        <v>10705</v>
      </c>
      <c r="AH1301" t="s">
        <v>61</v>
      </c>
      <c r="AI1301" t="s">
        <v>61</v>
      </c>
      <c r="AJ1301" t="s">
        <v>61</v>
      </c>
      <c r="AK1301" t="s">
        <v>61</v>
      </c>
      <c r="AL1301" t="s">
        <v>61</v>
      </c>
      <c r="AM1301" t="s">
        <v>10706</v>
      </c>
      <c r="AN1301" t="s">
        <v>61</v>
      </c>
      <c r="AO1301" t="s">
        <v>61</v>
      </c>
      <c r="AP1301" t="s">
        <v>61</v>
      </c>
      <c r="AQ1301" t="s">
        <v>61</v>
      </c>
      <c r="AR1301" t="s">
        <v>61</v>
      </c>
      <c r="AS1301" t="s">
        <v>61</v>
      </c>
      <c r="AT1301" t="s">
        <v>61</v>
      </c>
      <c r="AU1301" t="s">
        <v>61</v>
      </c>
      <c r="AV1301" t="s">
        <v>61</v>
      </c>
      <c r="AW1301" t="s">
        <v>61</v>
      </c>
      <c r="AX1301" t="s">
        <v>61</v>
      </c>
      <c r="AY1301" t="s">
        <v>61</v>
      </c>
      <c r="AZ1301" t="s">
        <v>61</v>
      </c>
      <c r="BA1301" t="s">
        <v>61</v>
      </c>
      <c r="BB1301" t="s">
        <v>61</v>
      </c>
      <c r="BC1301" t="s">
        <v>61</v>
      </c>
      <c r="BD1301" t="s">
        <v>61</v>
      </c>
      <c r="BE1301" t="s">
        <v>61</v>
      </c>
      <c r="BF1301" t="s">
        <v>61</v>
      </c>
    </row>
    <row r="1302" spans="1:58">
      <c r="A1302" t="s">
        <v>58</v>
      </c>
      <c r="B1302" t="s">
        <v>10707</v>
      </c>
      <c r="C1302" t="s">
        <v>10708</v>
      </c>
      <c r="D1302" t="s">
        <v>10709</v>
      </c>
      <c r="E1302" t="s">
        <v>61</v>
      </c>
      <c r="F1302">
        <v>2012</v>
      </c>
      <c r="G1302" t="s">
        <v>391</v>
      </c>
      <c r="H1302">
        <v>36</v>
      </c>
      <c r="I1302">
        <v>1</v>
      </c>
      <c r="J1302">
        <v>26</v>
      </c>
      <c r="K1302">
        <v>50</v>
      </c>
      <c r="L1302" t="s">
        <v>10710</v>
      </c>
      <c r="M1302" t="s">
        <v>10711</v>
      </c>
      <c r="N1302" t="s">
        <v>10712</v>
      </c>
      <c r="O1302" t="s">
        <v>61</v>
      </c>
      <c r="Q1302" t="s">
        <v>61</v>
      </c>
      <c r="R1302" t="s">
        <v>61</v>
      </c>
      <c r="S1302" t="s">
        <v>61</v>
      </c>
      <c r="T1302" t="s">
        <v>61</v>
      </c>
      <c r="X1302" t="s">
        <v>61</v>
      </c>
      <c r="Y1302" t="s">
        <v>10713</v>
      </c>
      <c r="Z1302" t="s">
        <v>61</v>
      </c>
      <c r="AA1302" t="s">
        <v>10714</v>
      </c>
      <c r="AB1302">
        <v>22246852</v>
      </c>
      <c r="AC1302" t="s">
        <v>67</v>
      </c>
      <c r="AD1302" t="s">
        <v>61</v>
      </c>
      <c r="AE1302" t="s">
        <v>61</v>
      </c>
      <c r="AF1302" t="s">
        <v>61</v>
      </c>
      <c r="AG1302" t="s">
        <v>10715</v>
      </c>
      <c r="AH1302" t="s">
        <v>61</v>
      </c>
      <c r="AI1302" t="s">
        <v>10716</v>
      </c>
      <c r="AJ1302" t="s">
        <v>61</v>
      </c>
      <c r="AK1302" t="s">
        <v>61</v>
      </c>
      <c r="AL1302" t="s">
        <v>61</v>
      </c>
      <c r="AM1302" t="s">
        <v>10717</v>
      </c>
      <c r="AN1302" t="s">
        <v>61</v>
      </c>
      <c r="AO1302" t="s">
        <v>61</v>
      </c>
      <c r="AP1302" t="s">
        <v>61</v>
      </c>
      <c r="AQ1302" t="s">
        <v>61</v>
      </c>
      <c r="AR1302" t="s">
        <v>61</v>
      </c>
      <c r="AS1302" t="s">
        <v>61</v>
      </c>
      <c r="AT1302" t="s">
        <v>61</v>
      </c>
      <c r="AU1302" t="s">
        <v>61</v>
      </c>
      <c r="AV1302" t="s">
        <v>61</v>
      </c>
      <c r="AW1302" t="s">
        <v>61</v>
      </c>
      <c r="AX1302" t="s">
        <v>61</v>
      </c>
      <c r="AY1302" t="s">
        <v>61</v>
      </c>
      <c r="AZ1302" t="s">
        <v>61</v>
      </c>
      <c r="BA1302" t="s">
        <v>61</v>
      </c>
      <c r="BB1302" t="s">
        <v>61</v>
      </c>
      <c r="BC1302" t="s">
        <v>61</v>
      </c>
      <c r="BD1302" t="s">
        <v>61</v>
      </c>
      <c r="BE1302" t="s">
        <v>61</v>
      </c>
      <c r="BF1302" t="s">
        <v>61</v>
      </c>
    </row>
    <row r="1303" spans="1:58">
      <c r="A1303" t="s">
        <v>58</v>
      </c>
      <c r="B1303" t="s">
        <v>10718</v>
      </c>
      <c r="C1303" t="s">
        <v>10719</v>
      </c>
      <c r="D1303" t="s">
        <v>1085</v>
      </c>
      <c r="E1303" t="s">
        <v>1086</v>
      </c>
      <c r="F1303">
        <v>1998</v>
      </c>
      <c r="G1303" t="s">
        <v>363</v>
      </c>
      <c r="H1303">
        <v>32</v>
      </c>
      <c r="I1303">
        <v>1</v>
      </c>
      <c r="J1303">
        <v>27</v>
      </c>
      <c r="K1303">
        <v>32</v>
      </c>
      <c r="L1303" t="s">
        <v>10720</v>
      </c>
      <c r="M1303" t="s">
        <v>10721</v>
      </c>
      <c r="N1303" t="s">
        <v>10722</v>
      </c>
      <c r="O1303" t="s">
        <v>61</v>
      </c>
      <c r="Q1303" t="s">
        <v>61</v>
      </c>
      <c r="R1303" t="s">
        <v>61</v>
      </c>
      <c r="S1303" t="s">
        <v>61</v>
      </c>
      <c r="T1303" t="s">
        <v>61</v>
      </c>
      <c r="X1303" t="s">
        <v>61</v>
      </c>
      <c r="Y1303" t="s">
        <v>3286</v>
      </c>
      <c r="Z1303" t="s">
        <v>61</v>
      </c>
      <c r="AA1303" t="s">
        <v>10723</v>
      </c>
      <c r="AB1303">
        <v>9475816</v>
      </c>
      <c r="AC1303" t="s">
        <v>67</v>
      </c>
      <c r="AD1303" t="s">
        <v>61</v>
      </c>
      <c r="AE1303" t="s">
        <v>61</v>
      </c>
      <c r="AF1303" t="s">
        <v>61</v>
      </c>
      <c r="AG1303" t="s">
        <v>10724</v>
      </c>
      <c r="AH1303" t="s">
        <v>61</v>
      </c>
      <c r="AI1303" t="s">
        <v>61</v>
      </c>
      <c r="AJ1303" t="s">
        <v>61</v>
      </c>
      <c r="AK1303" t="s">
        <v>61</v>
      </c>
      <c r="AL1303" t="s">
        <v>61</v>
      </c>
      <c r="AM1303" t="s">
        <v>10725</v>
      </c>
      <c r="AN1303" t="s">
        <v>61</v>
      </c>
      <c r="AO1303" t="s">
        <v>61</v>
      </c>
      <c r="AP1303" t="s">
        <v>61</v>
      </c>
      <c r="AQ1303" t="s">
        <v>61</v>
      </c>
      <c r="AR1303" t="s">
        <v>61</v>
      </c>
      <c r="AS1303" t="s">
        <v>61</v>
      </c>
      <c r="AT1303" t="s">
        <v>61</v>
      </c>
      <c r="AU1303" t="s">
        <v>61</v>
      </c>
      <c r="AV1303" t="s">
        <v>61</v>
      </c>
      <c r="AW1303" t="s">
        <v>61</v>
      </c>
      <c r="AX1303" t="s">
        <v>61</v>
      </c>
      <c r="AY1303" t="s">
        <v>61</v>
      </c>
      <c r="AZ1303" t="s">
        <v>61</v>
      </c>
      <c r="BA1303" t="s">
        <v>61</v>
      </c>
      <c r="BB1303" t="s">
        <v>61</v>
      </c>
      <c r="BC1303" t="s">
        <v>61</v>
      </c>
      <c r="BD1303" t="s">
        <v>61</v>
      </c>
      <c r="BE1303" t="s">
        <v>61</v>
      </c>
      <c r="BF1303" t="s">
        <v>61</v>
      </c>
    </row>
    <row r="1304" spans="1:58">
      <c r="A1304" t="s">
        <v>58</v>
      </c>
      <c r="B1304" t="s">
        <v>10726</v>
      </c>
      <c r="C1304" t="s">
        <v>10727</v>
      </c>
      <c r="D1304" t="s">
        <v>482</v>
      </c>
      <c r="E1304" t="s">
        <v>61</v>
      </c>
      <c r="F1304">
        <v>1977</v>
      </c>
      <c r="G1304" t="s">
        <v>559</v>
      </c>
      <c r="H1304">
        <v>2</v>
      </c>
      <c r="I1304">
        <v>3</v>
      </c>
      <c r="J1304">
        <v>175</v>
      </c>
      <c r="K1304">
        <v>183</v>
      </c>
      <c r="L1304" t="s">
        <v>10728</v>
      </c>
      <c r="M1304" t="s">
        <v>10729</v>
      </c>
      <c r="N1304" t="s">
        <v>10730</v>
      </c>
      <c r="O1304" t="s">
        <v>61</v>
      </c>
      <c r="Q1304" t="s">
        <v>61</v>
      </c>
      <c r="R1304" t="s">
        <v>61</v>
      </c>
      <c r="S1304" t="s">
        <v>61</v>
      </c>
      <c r="T1304" t="s">
        <v>61</v>
      </c>
      <c r="X1304" t="s">
        <v>61</v>
      </c>
      <c r="Y1304" t="s">
        <v>486</v>
      </c>
      <c r="Z1304" t="s">
        <v>61</v>
      </c>
      <c r="AA1304" t="s">
        <v>61</v>
      </c>
      <c r="AB1304">
        <v>880874</v>
      </c>
      <c r="AC1304" t="s">
        <v>67</v>
      </c>
      <c r="AD1304" t="s">
        <v>61</v>
      </c>
      <c r="AE1304" t="s">
        <v>61</v>
      </c>
      <c r="AF1304" t="s">
        <v>61</v>
      </c>
      <c r="AG1304" t="s">
        <v>10731</v>
      </c>
      <c r="AH1304" t="s">
        <v>61</v>
      </c>
      <c r="AI1304" t="s">
        <v>61</v>
      </c>
      <c r="AJ1304" t="s">
        <v>61</v>
      </c>
      <c r="AK1304" t="s">
        <v>61</v>
      </c>
      <c r="AL1304" t="s">
        <v>61</v>
      </c>
      <c r="AM1304" t="s">
        <v>10732</v>
      </c>
      <c r="AN1304" t="s">
        <v>61</v>
      </c>
      <c r="AO1304" t="s">
        <v>61</v>
      </c>
      <c r="AP1304" t="s">
        <v>61</v>
      </c>
      <c r="AQ1304" t="s">
        <v>61</v>
      </c>
      <c r="AR1304" t="s">
        <v>61</v>
      </c>
      <c r="AS1304" t="s">
        <v>61</v>
      </c>
      <c r="AT1304" t="s">
        <v>61</v>
      </c>
      <c r="AU1304" t="s">
        <v>61</v>
      </c>
      <c r="AV1304" t="s">
        <v>61</v>
      </c>
      <c r="AW1304" t="s">
        <v>61</v>
      </c>
      <c r="AX1304" t="s">
        <v>61</v>
      </c>
      <c r="AY1304" t="s">
        <v>61</v>
      </c>
      <c r="AZ1304" t="s">
        <v>61</v>
      </c>
      <c r="BA1304" t="s">
        <v>61</v>
      </c>
      <c r="BB1304" t="s">
        <v>61</v>
      </c>
      <c r="BC1304" t="s">
        <v>61</v>
      </c>
      <c r="BD1304" t="s">
        <v>61</v>
      </c>
      <c r="BE1304" t="s">
        <v>61</v>
      </c>
      <c r="BF1304" t="s">
        <v>61</v>
      </c>
    </row>
    <row r="1305" spans="1:58">
      <c r="A1305" t="s">
        <v>58</v>
      </c>
      <c r="B1305" t="s">
        <v>10733</v>
      </c>
      <c r="C1305" t="s">
        <v>10734</v>
      </c>
      <c r="D1305" t="s">
        <v>10735</v>
      </c>
      <c r="E1305" t="s">
        <v>61</v>
      </c>
      <c r="F1305">
        <v>2014</v>
      </c>
      <c r="G1305" t="s">
        <v>61</v>
      </c>
      <c r="H1305">
        <v>28</v>
      </c>
      <c r="I1305">
        <v>3</v>
      </c>
      <c r="J1305">
        <v>175</v>
      </c>
      <c r="K1305" t="s">
        <v>10736</v>
      </c>
      <c r="L1305" t="s">
        <v>10737</v>
      </c>
      <c r="M1305" t="s">
        <v>10738</v>
      </c>
      <c r="N1305" t="s">
        <v>10739</v>
      </c>
      <c r="O1305" t="s">
        <v>61</v>
      </c>
      <c r="Q1305" t="s">
        <v>61</v>
      </c>
      <c r="R1305" t="s">
        <v>61</v>
      </c>
      <c r="S1305" t="s">
        <v>61</v>
      </c>
      <c r="T1305" t="s">
        <v>61</v>
      </c>
      <c r="X1305" t="s">
        <v>61</v>
      </c>
      <c r="Y1305" t="s">
        <v>10740</v>
      </c>
      <c r="Z1305" t="s">
        <v>61</v>
      </c>
      <c r="AA1305" t="s">
        <v>61</v>
      </c>
      <c r="AB1305">
        <v>107789482</v>
      </c>
      <c r="AC1305" t="s">
        <v>67</v>
      </c>
      <c r="AD1305" t="s">
        <v>61</v>
      </c>
      <c r="AE1305" t="s">
        <v>61</v>
      </c>
      <c r="AF1305" t="s">
        <v>61</v>
      </c>
      <c r="AG1305" t="s">
        <v>10741</v>
      </c>
      <c r="AH1305" t="s">
        <v>61</v>
      </c>
      <c r="AI1305" t="s">
        <v>10742</v>
      </c>
      <c r="AJ1305" t="s">
        <v>61</v>
      </c>
      <c r="AK1305" t="s">
        <v>61</v>
      </c>
      <c r="AL1305" t="s">
        <v>61</v>
      </c>
      <c r="AM1305" t="s">
        <v>10743</v>
      </c>
      <c r="AN1305" t="s">
        <v>61</v>
      </c>
      <c r="AO1305" t="s">
        <v>61</v>
      </c>
      <c r="AP1305" t="s">
        <v>61</v>
      </c>
      <c r="AQ1305" t="s">
        <v>61</v>
      </c>
      <c r="AR1305" t="s">
        <v>61</v>
      </c>
      <c r="AS1305" t="s">
        <v>61</v>
      </c>
      <c r="AT1305" t="s">
        <v>61</v>
      </c>
      <c r="AU1305" t="s">
        <v>61</v>
      </c>
      <c r="AV1305" t="s">
        <v>61</v>
      </c>
      <c r="AW1305" t="s">
        <v>61</v>
      </c>
      <c r="AX1305" t="s">
        <v>61</v>
      </c>
      <c r="AY1305" t="s">
        <v>61</v>
      </c>
      <c r="AZ1305" t="s">
        <v>61</v>
      </c>
      <c r="BA1305" t="s">
        <v>61</v>
      </c>
      <c r="BB1305" t="s">
        <v>61</v>
      </c>
      <c r="BC1305" t="s">
        <v>61</v>
      </c>
      <c r="BD1305" t="s">
        <v>61</v>
      </c>
      <c r="BE1305" t="s">
        <v>61</v>
      </c>
      <c r="BF1305" t="s">
        <v>61</v>
      </c>
    </row>
    <row r="1306" spans="1:58">
      <c r="A1306" t="s">
        <v>58</v>
      </c>
      <c r="B1306" t="s">
        <v>10744</v>
      </c>
      <c r="C1306" t="s">
        <v>10745</v>
      </c>
      <c r="D1306" t="s">
        <v>10746</v>
      </c>
      <c r="E1306" t="s">
        <v>61</v>
      </c>
      <c r="F1306">
        <v>1995</v>
      </c>
      <c r="G1306" t="s">
        <v>61</v>
      </c>
      <c r="H1306">
        <v>9</v>
      </c>
      <c r="I1306">
        <v>4</v>
      </c>
      <c r="J1306">
        <v>156</v>
      </c>
      <c r="K1306">
        <v>160</v>
      </c>
      <c r="L1306" t="s">
        <v>10747</v>
      </c>
      <c r="M1306" t="s">
        <v>10748</v>
      </c>
      <c r="N1306" t="s">
        <v>10749</v>
      </c>
      <c r="O1306" t="s">
        <v>61</v>
      </c>
      <c r="Q1306" t="s">
        <v>61</v>
      </c>
      <c r="R1306" t="s">
        <v>61</v>
      </c>
      <c r="S1306" t="s">
        <v>61</v>
      </c>
      <c r="T1306" t="s">
        <v>61</v>
      </c>
      <c r="X1306" t="s">
        <v>61</v>
      </c>
      <c r="Y1306" t="s">
        <v>10750</v>
      </c>
      <c r="Z1306" t="s">
        <v>61</v>
      </c>
      <c r="AA1306" t="s">
        <v>61</v>
      </c>
      <c r="AB1306">
        <v>1995246678</v>
      </c>
      <c r="AC1306" t="s">
        <v>67</v>
      </c>
      <c r="AD1306" t="s">
        <v>61</v>
      </c>
      <c r="AE1306" t="s">
        <v>61</v>
      </c>
      <c r="AF1306" t="s">
        <v>61</v>
      </c>
      <c r="AG1306" t="s">
        <v>61</v>
      </c>
      <c r="AH1306" t="s">
        <v>61</v>
      </c>
      <c r="AI1306" t="s">
        <v>61</v>
      </c>
      <c r="AJ1306" t="s">
        <v>61</v>
      </c>
      <c r="AK1306" t="s">
        <v>61</v>
      </c>
      <c r="AL1306" t="s">
        <v>61</v>
      </c>
      <c r="AM1306" t="s">
        <v>10745</v>
      </c>
      <c r="AN1306" t="s">
        <v>61</v>
      </c>
      <c r="AO1306" t="s">
        <v>61</v>
      </c>
      <c r="AP1306" t="s">
        <v>61</v>
      </c>
      <c r="AQ1306" t="s">
        <v>61</v>
      </c>
      <c r="AR1306" t="s">
        <v>61</v>
      </c>
      <c r="AS1306" t="s">
        <v>61</v>
      </c>
      <c r="AT1306" t="s">
        <v>61</v>
      </c>
      <c r="AU1306" t="s">
        <v>61</v>
      </c>
      <c r="AV1306" t="s">
        <v>61</v>
      </c>
      <c r="AW1306" t="s">
        <v>61</v>
      </c>
      <c r="AX1306" t="s">
        <v>61</v>
      </c>
      <c r="AY1306" t="s">
        <v>61</v>
      </c>
      <c r="AZ1306" t="s">
        <v>61</v>
      </c>
      <c r="BA1306" t="s">
        <v>61</v>
      </c>
      <c r="BB1306" t="s">
        <v>61</v>
      </c>
      <c r="BC1306" t="s">
        <v>61</v>
      </c>
      <c r="BD1306" t="s">
        <v>61</v>
      </c>
      <c r="BE1306" t="s">
        <v>61</v>
      </c>
      <c r="BF1306" t="s">
        <v>61</v>
      </c>
    </row>
    <row r="1307" spans="1:58">
      <c r="A1307" t="s">
        <v>58</v>
      </c>
      <c r="B1307" t="s">
        <v>10751</v>
      </c>
      <c r="C1307" t="s">
        <v>10752</v>
      </c>
      <c r="D1307" t="s">
        <v>428</v>
      </c>
      <c r="E1307" t="s">
        <v>61</v>
      </c>
      <c r="F1307">
        <v>2012</v>
      </c>
      <c r="G1307" t="s">
        <v>429</v>
      </c>
      <c r="H1307">
        <v>25</v>
      </c>
      <c r="I1307">
        <v>2</v>
      </c>
      <c r="J1307">
        <v>297</v>
      </c>
      <c r="K1307" t="s">
        <v>61</v>
      </c>
      <c r="L1307" t="s">
        <v>10753</v>
      </c>
      <c r="M1307" t="s">
        <v>10754</v>
      </c>
      <c r="N1307" t="s">
        <v>10755</v>
      </c>
      <c r="O1307" t="s">
        <v>61</v>
      </c>
      <c r="Q1307" t="s">
        <v>61</v>
      </c>
      <c r="R1307" t="s">
        <v>61</v>
      </c>
      <c r="S1307" t="s">
        <v>61</v>
      </c>
      <c r="T1307" t="s">
        <v>61</v>
      </c>
      <c r="X1307" t="s">
        <v>61</v>
      </c>
      <c r="Y1307" t="s">
        <v>433</v>
      </c>
      <c r="Z1307" t="s">
        <v>61</v>
      </c>
      <c r="AA1307" t="s">
        <v>61</v>
      </c>
      <c r="AB1307" t="s">
        <v>61</v>
      </c>
      <c r="AC1307" t="s">
        <v>67</v>
      </c>
      <c r="AD1307" t="s">
        <v>61</v>
      </c>
      <c r="AE1307" t="s">
        <v>61</v>
      </c>
      <c r="AF1307" t="s">
        <v>61</v>
      </c>
      <c r="AG1307" t="s">
        <v>61</v>
      </c>
      <c r="AH1307" t="s">
        <v>61</v>
      </c>
      <c r="AI1307" t="s">
        <v>61</v>
      </c>
      <c r="AJ1307" t="s">
        <v>61</v>
      </c>
      <c r="AK1307" t="s">
        <v>61</v>
      </c>
      <c r="AL1307" t="s">
        <v>61</v>
      </c>
      <c r="AM1307" t="s">
        <v>10752</v>
      </c>
      <c r="AN1307" t="s">
        <v>61</v>
      </c>
      <c r="AO1307" t="s">
        <v>61</v>
      </c>
      <c r="AP1307" t="s">
        <v>61</v>
      </c>
      <c r="AQ1307" t="s">
        <v>61</v>
      </c>
      <c r="AR1307" t="s">
        <v>61</v>
      </c>
      <c r="AS1307" t="s">
        <v>61</v>
      </c>
      <c r="AT1307" t="s">
        <v>61</v>
      </c>
      <c r="AU1307" t="s">
        <v>61</v>
      </c>
      <c r="AV1307" t="s">
        <v>61</v>
      </c>
      <c r="AW1307" t="s">
        <v>61</v>
      </c>
      <c r="AX1307" t="s">
        <v>61</v>
      </c>
      <c r="AY1307" t="s">
        <v>61</v>
      </c>
      <c r="AZ1307" t="s">
        <v>61</v>
      </c>
      <c r="BA1307" t="s">
        <v>61</v>
      </c>
      <c r="BB1307" t="s">
        <v>61</v>
      </c>
      <c r="BC1307" t="s">
        <v>61</v>
      </c>
      <c r="BD1307" t="s">
        <v>61</v>
      </c>
      <c r="BE1307" t="s">
        <v>61</v>
      </c>
      <c r="BF1307" t="s">
        <v>61</v>
      </c>
    </row>
    <row r="1308" spans="1:58">
      <c r="A1308" t="s">
        <v>58</v>
      </c>
      <c r="B1308" t="s">
        <v>10756</v>
      </c>
      <c r="C1308" t="s">
        <v>10757</v>
      </c>
      <c r="D1308" t="s">
        <v>1729</v>
      </c>
      <c r="E1308" t="s">
        <v>1730</v>
      </c>
      <c r="F1308">
        <v>2006</v>
      </c>
      <c r="G1308" s="1">
        <v>42442</v>
      </c>
      <c r="H1308">
        <v>166</v>
      </c>
      <c r="I1308">
        <v>5</v>
      </c>
      <c r="J1308">
        <v>565</v>
      </c>
      <c r="K1308">
        <v>571</v>
      </c>
      <c r="L1308" t="s">
        <v>10758</v>
      </c>
      <c r="M1308" t="s">
        <v>10759</v>
      </c>
      <c r="N1308" t="s">
        <v>10760</v>
      </c>
      <c r="O1308" t="s">
        <v>61</v>
      </c>
      <c r="Q1308" t="s">
        <v>61</v>
      </c>
      <c r="R1308" t="s">
        <v>61</v>
      </c>
      <c r="S1308" t="s">
        <v>61</v>
      </c>
      <c r="T1308" t="s">
        <v>61</v>
      </c>
      <c r="X1308" t="s">
        <v>61</v>
      </c>
      <c r="Y1308" s="2">
        <v>2931497</v>
      </c>
      <c r="Z1308" t="s">
        <v>61</v>
      </c>
      <c r="AA1308" t="s">
        <v>10761</v>
      </c>
      <c r="AB1308">
        <v>16534045</v>
      </c>
      <c r="AC1308" t="s">
        <v>67</v>
      </c>
      <c r="AD1308" t="s">
        <v>61</v>
      </c>
      <c r="AE1308" t="s">
        <v>61</v>
      </c>
      <c r="AF1308" t="s">
        <v>61</v>
      </c>
      <c r="AG1308" t="s">
        <v>10762</v>
      </c>
      <c r="AH1308" t="s">
        <v>61</v>
      </c>
      <c r="AI1308" t="s">
        <v>61</v>
      </c>
      <c r="AJ1308" t="s">
        <v>61</v>
      </c>
      <c r="AK1308" t="s">
        <v>61</v>
      </c>
      <c r="AL1308" t="s">
        <v>61</v>
      </c>
      <c r="AM1308" t="s">
        <v>10763</v>
      </c>
      <c r="AN1308" t="s">
        <v>61</v>
      </c>
      <c r="AO1308" t="s">
        <v>61</v>
      </c>
      <c r="AP1308" t="s">
        <v>61</v>
      </c>
      <c r="AQ1308" t="s">
        <v>61</v>
      </c>
      <c r="AR1308" t="s">
        <v>61</v>
      </c>
      <c r="AS1308" t="s">
        <v>61</v>
      </c>
      <c r="AT1308" t="s">
        <v>61</v>
      </c>
      <c r="AU1308" t="s">
        <v>61</v>
      </c>
      <c r="AV1308" t="s">
        <v>61</v>
      </c>
      <c r="AW1308" t="s">
        <v>61</v>
      </c>
      <c r="AX1308" t="s">
        <v>61</v>
      </c>
      <c r="AY1308" t="s">
        <v>61</v>
      </c>
      <c r="AZ1308" t="s">
        <v>61</v>
      </c>
      <c r="BA1308" t="s">
        <v>61</v>
      </c>
      <c r="BB1308" t="s">
        <v>61</v>
      </c>
      <c r="BC1308" t="s">
        <v>61</v>
      </c>
      <c r="BD1308" t="s">
        <v>61</v>
      </c>
      <c r="BE1308" t="s">
        <v>61</v>
      </c>
      <c r="BF1308" t="s">
        <v>61</v>
      </c>
    </row>
    <row r="1309" spans="1:58">
      <c r="A1309" t="s">
        <v>58</v>
      </c>
      <c r="B1309" t="s">
        <v>10764</v>
      </c>
      <c r="C1309" t="s">
        <v>10765</v>
      </c>
      <c r="D1309" t="s">
        <v>60</v>
      </c>
      <c r="E1309" t="s">
        <v>61</v>
      </c>
      <c r="F1309">
        <v>2002</v>
      </c>
      <c r="G1309" s="1">
        <v>42430</v>
      </c>
      <c r="H1309">
        <v>59</v>
      </c>
      <c r="I1309">
        <v>5</v>
      </c>
      <c r="J1309">
        <v>423</v>
      </c>
      <c r="K1309">
        <v>428</v>
      </c>
      <c r="L1309" t="s">
        <v>10766</v>
      </c>
      <c r="M1309" t="s">
        <v>10767</v>
      </c>
      <c r="N1309" t="s">
        <v>10768</v>
      </c>
      <c r="O1309" t="s">
        <v>61</v>
      </c>
      <c r="Q1309" t="s">
        <v>61</v>
      </c>
      <c r="R1309" t="s">
        <v>61</v>
      </c>
      <c r="S1309" t="s">
        <v>61</v>
      </c>
      <c r="T1309" t="s">
        <v>61</v>
      </c>
      <c r="X1309" t="s">
        <v>61</v>
      </c>
      <c r="Y1309" t="s">
        <v>66</v>
      </c>
      <c r="Z1309" t="s">
        <v>61</v>
      </c>
      <c r="AA1309" t="s">
        <v>10769</v>
      </c>
      <c r="AB1309">
        <v>11887408</v>
      </c>
      <c r="AC1309" t="s">
        <v>67</v>
      </c>
      <c r="AD1309" t="s">
        <v>61</v>
      </c>
      <c r="AE1309" t="s">
        <v>61</v>
      </c>
      <c r="AF1309" t="s">
        <v>61</v>
      </c>
      <c r="AG1309" t="s">
        <v>10770</v>
      </c>
      <c r="AH1309" t="s">
        <v>61</v>
      </c>
      <c r="AI1309" t="s">
        <v>61</v>
      </c>
      <c r="AJ1309" t="s">
        <v>61</v>
      </c>
      <c r="AK1309" t="s">
        <v>61</v>
      </c>
      <c r="AL1309" t="s">
        <v>61</v>
      </c>
      <c r="AM1309" t="s">
        <v>10771</v>
      </c>
      <c r="AN1309" t="s">
        <v>61</v>
      </c>
      <c r="AO1309" t="s">
        <v>61</v>
      </c>
      <c r="AP1309" t="s">
        <v>61</v>
      </c>
      <c r="AQ1309" t="s">
        <v>61</v>
      </c>
      <c r="AR1309" t="s">
        <v>61</v>
      </c>
      <c r="AS1309" t="s">
        <v>61</v>
      </c>
      <c r="AT1309" t="s">
        <v>61</v>
      </c>
      <c r="AU1309" t="s">
        <v>61</v>
      </c>
      <c r="AV1309" t="s">
        <v>61</v>
      </c>
      <c r="AW1309" t="s">
        <v>61</v>
      </c>
      <c r="AX1309" t="s">
        <v>61</v>
      </c>
      <c r="AY1309" t="s">
        <v>61</v>
      </c>
      <c r="AZ1309" t="s">
        <v>61</v>
      </c>
      <c r="BA1309" t="s">
        <v>61</v>
      </c>
      <c r="BB1309" t="s">
        <v>61</v>
      </c>
      <c r="BC1309" t="s">
        <v>61</v>
      </c>
      <c r="BD1309" t="s">
        <v>61</v>
      </c>
      <c r="BE1309" t="s">
        <v>61</v>
      </c>
      <c r="BF1309" t="s">
        <v>61</v>
      </c>
    </row>
    <row r="1310" spans="1:58">
      <c r="A1310" t="s">
        <v>58</v>
      </c>
      <c r="B1310" t="s">
        <v>10772</v>
      </c>
      <c r="C1310" t="s">
        <v>10773</v>
      </c>
      <c r="D1310" t="s">
        <v>10774</v>
      </c>
      <c r="E1310" t="s">
        <v>10774</v>
      </c>
      <c r="F1310">
        <v>2014</v>
      </c>
      <c r="G1310" t="s">
        <v>429</v>
      </c>
      <c r="H1310">
        <v>69</v>
      </c>
      <c r="I1310">
        <v>4</v>
      </c>
      <c r="J1310">
        <v>316</v>
      </c>
      <c r="K1310">
        <v>320</v>
      </c>
      <c r="L1310" t="s">
        <v>10775</v>
      </c>
      <c r="M1310" t="s">
        <v>10776</v>
      </c>
      <c r="N1310" t="s">
        <v>10777</v>
      </c>
      <c r="O1310" t="s">
        <v>61</v>
      </c>
      <c r="Q1310" t="s">
        <v>61</v>
      </c>
      <c r="R1310" t="s">
        <v>61</v>
      </c>
      <c r="S1310" t="s">
        <v>61</v>
      </c>
      <c r="T1310" t="s">
        <v>61</v>
      </c>
      <c r="X1310" t="s">
        <v>61</v>
      </c>
      <c r="Y1310" t="s">
        <v>10778</v>
      </c>
      <c r="Z1310" t="s">
        <v>61</v>
      </c>
      <c r="AA1310" t="s">
        <v>61</v>
      </c>
      <c r="AB1310">
        <v>2014271707</v>
      </c>
      <c r="AC1310" t="s">
        <v>67</v>
      </c>
      <c r="AD1310" t="s">
        <v>61</v>
      </c>
      <c r="AE1310" t="s">
        <v>61</v>
      </c>
      <c r="AF1310" t="s">
        <v>61</v>
      </c>
      <c r="AG1310" t="s">
        <v>10779</v>
      </c>
      <c r="AH1310" t="s">
        <v>61</v>
      </c>
      <c r="AI1310" t="s">
        <v>61</v>
      </c>
      <c r="AJ1310" t="s">
        <v>61</v>
      </c>
      <c r="AK1310" t="s">
        <v>61</v>
      </c>
      <c r="AL1310" t="s">
        <v>61</v>
      </c>
      <c r="AM1310" t="s">
        <v>10780</v>
      </c>
      <c r="AN1310" t="s">
        <v>61</v>
      </c>
      <c r="AO1310" t="s">
        <v>61</v>
      </c>
      <c r="AP1310" t="s">
        <v>61</v>
      </c>
      <c r="AQ1310" t="s">
        <v>61</v>
      </c>
      <c r="AR1310" t="s">
        <v>61</v>
      </c>
      <c r="AS1310" t="s">
        <v>61</v>
      </c>
      <c r="AT1310" t="s">
        <v>61</v>
      </c>
      <c r="AU1310" t="s">
        <v>61</v>
      </c>
      <c r="AV1310" t="s">
        <v>61</v>
      </c>
      <c r="AW1310" t="s">
        <v>61</v>
      </c>
      <c r="AX1310" t="s">
        <v>61</v>
      </c>
      <c r="AY1310" t="s">
        <v>61</v>
      </c>
      <c r="AZ1310" t="s">
        <v>61</v>
      </c>
      <c r="BA1310" t="s">
        <v>61</v>
      </c>
      <c r="BB1310" t="s">
        <v>61</v>
      </c>
      <c r="BC1310" t="s">
        <v>61</v>
      </c>
      <c r="BD1310" t="s">
        <v>61</v>
      </c>
      <c r="BE1310" t="s">
        <v>61</v>
      </c>
      <c r="BF1310" t="s">
        <v>61</v>
      </c>
    </row>
    <row r="1311" spans="1:58">
      <c r="A1311" t="s">
        <v>58</v>
      </c>
      <c r="B1311" t="s">
        <v>10781</v>
      </c>
      <c r="C1311" t="s">
        <v>10782</v>
      </c>
      <c r="D1311" t="s">
        <v>271</v>
      </c>
      <c r="E1311" t="s">
        <v>272</v>
      </c>
      <c r="F1311">
        <v>1999</v>
      </c>
      <c r="G1311" t="s">
        <v>739</v>
      </c>
      <c r="H1311">
        <v>39</v>
      </c>
      <c r="I1311">
        <v>5</v>
      </c>
      <c r="J1311">
        <v>599</v>
      </c>
      <c r="K1311">
        <v>600</v>
      </c>
      <c r="L1311" t="s">
        <v>9725</v>
      </c>
      <c r="M1311" t="s">
        <v>61</v>
      </c>
      <c r="N1311" t="s">
        <v>10783</v>
      </c>
      <c r="O1311" t="s">
        <v>61</v>
      </c>
      <c r="Q1311" t="s">
        <v>61</v>
      </c>
      <c r="R1311" t="s">
        <v>61</v>
      </c>
      <c r="S1311" t="s">
        <v>61</v>
      </c>
      <c r="T1311" t="s">
        <v>61</v>
      </c>
      <c r="X1311" t="s">
        <v>61</v>
      </c>
      <c r="Y1311" t="s">
        <v>1661</v>
      </c>
      <c r="Z1311" t="s">
        <v>61</v>
      </c>
      <c r="AA1311" t="s">
        <v>10784</v>
      </c>
      <c r="AB1311">
        <v>10533338</v>
      </c>
      <c r="AC1311" t="s">
        <v>67</v>
      </c>
      <c r="AD1311" t="s">
        <v>61</v>
      </c>
      <c r="AE1311" t="s">
        <v>61</v>
      </c>
      <c r="AF1311" t="s">
        <v>61</v>
      </c>
      <c r="AG1311" t="s">
        <v>10785</v>
      </c>
      <c r="AH1311" t="s">
        <v>61</v>
      </c>
      <c r="AI1311" t="s">
        <v>61</v>
      </c>
      <c r="AJ1311" t="s">
        <v>61</v>
      </c>
      <c r="AK1311" t="s">
        <v>61</v>
      </c>
      <c r="AL1311" t="s">
        <v>61</v>
      </c>
      <c r="AM1311" t="s">
        <v>10786</v>
      </c>
      <c r="AN1311" t="s">
        <v>61</v>
      </c>
      <c r="AO1311" t="s">
        <v>61</v>
      </c>
      <c r="AP1311" t="s">
        <v>61</v>
      </c>
      <c r="AQ1311" t="s">
        <v>61</v>
      </c>
      <c r="AR1311" t="s">
        <v>61</v>
      </c>
      <c r="AS1311" t="s">
        <v>61</v>
      </c>
      <c r="AT1311" t="s">
        <v>61</v>
      </c>
      <c r="AU1311" t="s">
        <v>61</v>
      </c>
      <c r="AV1311" t="s">
        <v>61</v>
      </c>
      <c r="AW1311" t="s">
        <v>61</v>
      </c>
      <c r="AX1311" t="s">
        <v>61</v>
      </c>
      <c r="AY1311" t="s">
        <v>61</v>
      </c>
      <c r="AZ1311" t="s">
        <v>61</v>
      </c>
      <c r="BA1311" t="s">
        <v>61</v>
      </c>
      <c r="BB1311" t="s">
        <v>61</v>
      </c>
      <c r="BC1311" t="s">
        <v>61</v>
      </c>
      <c r="BD1311" t="s">
        <v>61</v>
      </c>
      <c r="BE1311" t="s">
        <v>61</v>
      </c>
      <c r="BF1311" t="s">
        <v>61</v>
      </c>
    </row>
    <row r="1312" spans="1:58">
      <c r="A1312" t="s">
        <v>58</v>
      </c>
      <c r="B1312" t="s">
        <v>10787</v>
      </c>
      <c r="C1312" t="s">
        <v>10788</v>
      </c>
      <c r="D1312" t="s">
        <v>1000</v>
      </c>
      <c r="E1312" t="s">
        <v>1000</v>
      </c>
      <c r="F1312">
        <v>1994</v>
      </c>
      <c r="G1312" t="s">
        <v>851</v>
      </c>
      <c r="H1312">
        <v>89</v>
      </c>
      <c r="I1312">
        <v>11</v>
      </c>
      <c r="J1312">
        <v>1559</v>
      </c>
      <c r="K1312">
        <v>1563</v>
      </c>
      <c r="L1312" t="s">
        <v>10789</v>
      </c>
      <c r="M1312" t="s">
        <v>10790</v>
      </c>
      <c r="N1312" t="s">
        <v>10791</v>
      </c>
      <c r="O1312" t="s">
        <v>61</v>
      </c>
      <c r="Q1312" t="s">
        <v>61</v>
      </c>
      <c r="R1312" t="s">
        <v>61</v>
      </c>
      <c r="S1312" t="s">
        <v>61</v>
      </c>
      <c r="T1312" t="s">
        <v>61</v>
      </c>
      <c r="X1312" t="s">
        <v>61</v>
      </c>
      <c r="Y1312" t="s">
        <v>1004</v>
      </c>
      <c r="Z1312" t="s">
        <v>61</v>
      </c>
      <c r="AA1312" t="s">
        <v>10792</v>
      </c>
      <c r="AB1312">
        <v>7841871</v>
      </c>
      <c r="AC1312" t="s">
        <v>67</v>
      </c>
      <c r="AD1312" t="s">
        <v>61</v>
      </c>
      <c r="AE1312" t="s">
        <v>61</v>
      </c>
      <c r="AF1312" t="s">
        <v>61</v>
      </c>
      <c r="AG1312" t="s">
        <v>10793</v>
      </c>
      <c r="AH1312" t="s">
        <v>61</v>
      </c>
      <c r="AI1312" t="s">
        <v>61</v>
      </c>
      <c r="AJ1312" t="s">
        <v>61</v>
      </c>
      <c r="AK1312" t="s">
        <v>61</v>
      </c>
      <c r="AL1312" t="s">
        <v>61</v>
      </c>
      <c r="AM1312" t="s">
        <v>10794</v>
      </c>
      <c r="AN1312" t="s">
        <v>61</v>
      </c>
      <c r="AO1312" t="s">
        <v>61</v>
      </c>
      <c r="AP1312" t="s">
        <v>61</v>
      </c>
      <c r="AQ1312" t="s">
        <v>61</v>
      </c>
      <c r="AR1312" t="s">
        <v>61</v>
      </c>
      <c r="AS1312" t="s">
        <v>61</v>
      </c>
      <c r="AT1312" t="s">
        <v>61</v>
      </c>
      <c r="AU1312" t="s">
        <v>61</v>
      </c>
      <c r="AV1312" t="s">
        <v>61</v>
      </c>
      <c r="AW1312" t="s">
        <v>61</v>
      </c>
      <c r="AX1312" t="s">
        <v>61</v>
      </c>
      <c r="AY1312" t="s">
        <v>61</v>
      </c>
      <c r="AZ1312" t="s">
        <v>61</v>
      </c>
      <c r="BA1312" t="s">
        <v>61</v>
      </c>
      <c r="BB1312" t="s">
        <v>61</v>
      </c>
      <c r="BC1312" t="s">
        <v>61</v>
      </c>
      <c r="BD1312" t="s">
        <v>61</v>
      </c>
      <c r="BE1312" t="s">
        <v>61</v>
      </c>
      <c r="BF1312" t="s">
        <v>61</v>
      </c>
    </row>
    <row r="1313" spans="1:58">
      <c r="A1313" t="s">
        <v>58</v>
      </c>
      <c r="B1313" t="s">
        <v>10795</v>
      </c>
      <c r="C1313" t="s">
        <v>10796</v>
      </c>
      <c r="D1313" t="s">
        <v>669</v>
      </c>
      <c r="E1313" t="s">
        <v>61</v>
      </c>
      <c r="F1313">
        <v>1981</v>
      </c>
      <c r="G1313" t="s">
        <v>61</v>
      </c>
      <c r="H1313">
        <v>5</v>
      </c>
      <c r="I1313">
        <v>3</v>
      </c>
      <c r="J1313">
        <v>315</v>
      </c>
      <c r="K1313">
        <v>323</v>
      </c>
      <c r="L1313" t="s">
        <v>10797</v>
      </c>
      <c r="M1313" t="s">
        <v>10798</v>
      </c>
      <c r="N1313" t="s">
        <v>10799</v>
      </c>
      <c r="O1313" t="s">
        <v>61</v>
      </c>
      <c r="Q1313" t="s">
        <v>61</v>
      </c>
      <c r="R1313" t="s">
        <v>61</v>
      </c>
      <c r="S1313" t="s">
        <v>61</v>
      </c>
      <c r="T1313" t="s">
        <v>61</v>
      </c>
      <c r="X1313" t="s">
        <v>61</v>
      </c>
      <c r="Y1313" t="s">
        <v>673</v>
      </c>
      <c r="Z1313" t="s">
        <v>61</v>
      </c>
      <c r="AA1313" t="s">
        <v>61</v>
      </c>
      <c r="AB1313">
        <v>7029360</v>
      </c>
      <c r="AC1313" t="s">
        <v>67</v>
      </c>
      <c r="AD1313" t="s">
        <v>61</v>
      </c>
      <c r="AE1313" t="s">
        <v>61</v>
      </c>
      <c r="AF1313" t="s">
        <v>61</v>
      </c>
      <c r="AG1313" t="s">
        <v>10800</v>
      </c>
      <c r="AH1313" t="s">
        <v>61</v>
      </c>
      <c r="AI1313" t="s">
        <v>61</v>
      </c>
      <c r="AJ1313" t="s">
        <v>61</v>
      </c>
      <c r="AK1313" t="s">
        <v>61</v>
      </c>
      <c r="AL1313" t="s">
        <v>61</v>
      </c>
      <c r="AM1313" t="s">
        <v>10801</v>
      </c>
      <c r="AN1313" t="s">
        <v>61</v>
      </c>
      <c r="AO1313" t="s">
        <v>61</v>
      </c>
      <c r="AP1313" t="s">
        <v>61</v>
      </c>
      <c r="AQ1313" t="s">
        <v>61</v>
      </c>
      <c r="AR1313" t="s">
        <v>61</v>
      </c>
      <c r="AS1313" t="s">
        <v>61</v>
      </c>
      <c r="AT1313" t="s">
        <v>61</v>
      </c>
      <c r="AU1313" t="s">
        <v>61</v>
      </c>
      <c r="AV1313" t="s">
        <v>61</v>
      </c>
      <c r="AW1313" t="s">
        <v>61</v>
      </c>
      <c r="AX1313" t="s">
        <v>61</v>
      </c>
      <c r="AY1313" t="s">
        <v>61</v>
      </c>
      <c r="AZ1313" t="s">
        <v>61</v>
      </c>
      <c r="BA1313" t="s">
        <v>61</v>
      </c>
      <c r="BB1313" t="s">
        <v>61</v>
      </c>
      <c r="BC1313" t="s">
        <v>61</v>
      </c>
      <c r="BD1313" t="s">
        <v>61</v>
      </c>
      <c r="BE1313" t="s">
        <v>61</v>
      </c>
      <c r="BF1313" t="s">
        <v>61</v>
      </c>
    </row>
    <row r="1314" spans="1:58">
      <c r="A1314" t="s">
        <v>58</v>
      </c>
      <c r="B1314" t="s">
        <v>10802</v>
      </c>
      <c r="C1314" t="s">
        <v>10803</v>
      </c>
      <c r="D1314" t="s">
        <v>9585</v>
      </c>
      <c r="E1314" t="s">
        <v>61</v>
      </c>
      <c r="F1314">
        <v>2008</v>
      </c>
      <c r="G1314" t="s">
        <v>61</v>
      </c>
      <c r="H1314">
        <v>11</v>
      </c>
      <c r="I1314">
        <v>2</v>
      </c>
      <c r="J1314">
        <v>46</v>
      </c>
      <c r="K1314" t="s">
        <v>10804</v>
      </c>
      <c r="L1314" t="s">
        <v>10805</v>
      </c>
      <c r="M1314" t="s">
        <v>10806</v>
      </c>
      <c r="N1314" t="s">
        <v>10807</v>
      </c>
      <c r="O1314" t="s">
        <v>61</v>
      </c>
      <c r="Q1314" t="s">
        <v>61</v>
      </c>
      <c r="R1314" t="s">
        <v>61</v>
      </c>
      <c r="S1314" t="s">
        <v>61</v>
      </c>
      <c r="T1314" t="s">
        <v>61</v>
      </c>
      <c r="X1314" t="s">
        <v>61</v>
      </c>
      <c r="Y1314" t="s">
        <v>9590</v>
      </c>
      <c r="Z1314" t="s">
        <v>61</v>
      </c>
      <c r="AA1314" t="s">
        <v>10808</v>
      </c>
      <c r="AB1314">
        <v>105794529</v>
      </c>
      <c r="AC1314" t="s">
        <v>67</v>
      </c>
      <c r="AD1314" t="s">
        <v>61</v>
      </c>
      <c r="AE1314" t="s">
        <v>61</v>
      </c>
      <c r="AF1314" t="s">
        <v>61</v>
      </c>
      <c r="AG1314" t="s">
        <v>10809</v>
      </c>
      <c r="AH1314" t="s">
        <v>61</v>
      </c>
      <c r="AI1314" t="s">
        <v>61</v>
      </c>
      <c r="AJ1314" t="s">
        <v>61</v>
      </c>
      <c r="AK1314" t="s">
        <v>61</v>
      </c>
      <c r="AL1314" t="s">
        <v>61</v>
      </c>
      <c r="AM1314" t="s">
        <v>10810</v>
      </c>
      <c r="AN1314" t="s">
        <v>61</v>
      </c>
      <c r="AO1314" t="s">
        <v>61</v>
      </c>
      <c r="AP1314" t="s">
        <v>61</v>
      </c>
      <c r="AQ1314" t="s">
        <v>61</v>
      </c>
      <c r="AR1314" t="s">
        <v>61</v>
      </c>
      <c r="AS1314" t="s">
        <v>61</v>
      </c>
      <c r="AT1314" t="s">
        <v>61</v>
      </c>
      <c r="AU1314" t="s">
        <v>61</v>
      </c>
      <c r="AV1314" t="s">
        <v>61</v>
      </c>
      <c r="AW1314" t="s">
        <v>61</v>
      </c>
      <c r="AX1314" t="s">
        <v>61</v>
      </c>
      <c r="AY1314" t="s">
        <v>61</v>
      </c>
      <c r="AZ1314" t="s">
        <v>61</v>
      </c>
      <c r="BA1314" t="s">
        <v>61</v>
      </c>
      <c r="BB1314" t="s">
        <v>61</v>
      </c>
      <c r="BC1314" t="s">
        <v>61</v>
      </c>
      <c r="BD1314" t="s">
        <v>61</v>
      </c>
      <c r="BE1314" t="s">
        <v>61</v>
      </c>
      <c r="BF1314" t="s">
        <v>61</v>
      </c>
    </row>
    <row r="1315" spans="1:58">
      <c r="A1315" t="s">
        <v>58</v>
      </c>
      <c r="B1315" t="s">
        <v>10811</v>
      </c>
      <c r="C1315" t="s">
        <v>10812</v>
      </c>
      <c r="D1315" t="s">
        <v>10813</v>
      </c>
      <c r="E1315" t="s">
        <v>61</v>
      </c>
      <c r="F1315">
        <v>2003</v>
      </c>
      <c r="G1315" t="s">
        <v>851</v>
      </c>
      <c r="H1315">
        <v>40</v>
      </c>
      <c r="I1315">
        <v>9</v>
      </c>
      <c r="J1315">
        <v>922</v>
      </c>
      <c r="K1315">
        <v>938</v>
      </c>
      <c r="L1315" t="s">
        <v>10814</v>
      </c>
      <c r="M1315" t="s">
        <v>10815</v>
      </c>
      <c r="N1315" t="s">
        <v>10816</v>
      </c>
      <c r="O1315" t="s">
        <v>61</v>
      </c>
      <c r="Q1315" t="s">
        <v>61</v>
      </c>
      <c r="R1315" t="s">
        <v>61</v>
      </c>
      <c r="S1315" t="s">
        <v>61</v>
      </c>
      <c r="T1315" t="s">
        <v>61</v>
      </c>
      <c r="X1315" t="s">
        <v>61</v>
      </c>
      <c r="Y1315" t="s">
        <v>10817</v>
      </c>
      <c r="Z1315" t="s">
        <v>61</v>
      </c>
      <c r="AA1315" t="s">
        <v>10818</v>
      </c>
      <c r="AB1315" t="s">
        <v>10819</v>
      </c>
      <c r="AC1315" t="s">
        <v>67</v>
      </c>
      <c r="AD1315" t="s">
        <v>61</v>
      </c>
      <c r="AE1315" t="s">
        <v>61</v>
      </c>
      <c r="AF1315" t="s">
        <v>61</v>
      </c>
      <c r="AG1315" t="s">
        <v>61</v>
      </c>
      <c r="AH1315" t="s">
        <v>61</v>
      </c>
      <c r="AI1315" t="s">
        <v>61</v>
      </c>
      <c r="AJ1315" t="s">
        <v>61</v>
      </c>
      <c r="AK1315" t="s">
        <v>61</v>
      </c>
      <c r="AL1315" t="s">
        <v>61</v>
      </c>
      <c r="AM1315" t="s">
        <v>10820</v>
      </c>
      <c r="AN1315" t="s">
        <v>61</v>
      </c>
      <c r="AO1315" t="s">
        <v>61</v>
      </c>
      <c r="AP1315" t="s">
        <v>61</v>
      </c>
      <c r="AQ1315" t="s">
        <v>61</v>
      </c>
      <c r="AR1315" t="s">
        <v>61</v>
      </c>
      <c r="AS1315" t="s">
        <v>61</v>
      </c>
      <c r="AT1315" t="s">
        <v>61</v>
      </c>
      <c r="AU1315" t="s">
        <v>61</v>
      </c>
      <c r="AV1315" t="s">
        <v>61</v>
      </c>
      <c r="AW1315" t="s">
        <v>61</v>
      </c>
      <c r="AX1315" t="s">
        <v>61</v>
      </c>
      <c r="AY1315" t="s">
        <v>61</v>
      </c>
      <c r="AZ1315" t="s">
        <v>61</v>
      </c>
      <c r="BA1315" t="s">
        <v>61</v>
      </c>
      <c r="BB1315" t="s">
        <v>61</v>
      </c>
      <c r="BC1315" t="s">
        <v>61</v>
      </c>
      <c r="BD1315" t="s">
        <v>61</v>
      </c>
      <c r="BE1315" t="s">
        <v>61</v>
      </c>
      <c r="BF1315" t="s">
        <v>61</v>
      </c>
    </row>
    <row r="1316" spans="1:58">
      <c r="A1316" t="s">
        <v>142</v>
      </c>
      <c r="B1316" t="s">
        <v>10821</v>
      </c>
      <c r="C1316" t="s">
        <v>10822</v>
      </c>
      <c r="D1316" t="s">
        <v>61</v>
      </c>
      <c r="E1316" t="s">
        <v>61</v>
      </c>
      <c r="F1316">
        <v>1994</v>
      </c>
      <c r="G1316" t="s">
        <v>61</v>
      </c>
      <c r="H1316" t="s">
        <v>61</v>
      </c>
      <c r="I1316" t="s">
        <v>61</v>
      </c>
      <c r="J1316">
        <v>47</v>
      </c>
      <c r="K1316" t="s">
        <v>61</v>
      </c>
      <c r="L1316" t="s">
        <v>10823</v>
      </c>
      <c r="M1316" t="s">
        <v>10824</v>
      </c>
      <c r="N1316" t="s">
        <v>10825</v>
      </c>
      <c r="O1316" t="s">
        <v>61</v>
      </c>
      <c r="Q1316" t="s">
        <v>61</v>
      </c>
      <c r="R1316" t="s">
        <v>61</v>
      </c>
      <c r="S1316" t="s">
        <v>61</v>
      </c>
      <c r="T1316" t="s">
        <v>61</v>
      </c>
      <c r="X1316" t="s">
        <v>61</v>
      </c>
      <c r="Y1316" t="s">
        <v>61</v>
      </c>
      <c r="Z1316" t="s">
        <v>61</v>
      </c>
      <c r="AA1316" t="s">
        <v>61</v>
      </c>
      <c r="AB1316" t="s">
        <v>10826</v>
      </c>
      <c r="AC1316" t="s">
        <v>67</v>
      </c>
      <c r="AD1316" t="s">
        <v>61</v>
      </c>
      <c r="AE1316" t="s">
        <v>61</v>
      </c>
      <c r="AF1316" t="s">
        <v>61</v>
      </c>
      <c r="AG1316" t="s">
        <v>61</v>
      </c>
      <c r="AH1316" t="s">
        <v>61</v>
      </c>
      <c r="AI1316" t="s">
        <v>61</v>
      </c>
      <c r="AJ1316" t="s">
        <v>61</v>
      </c>
      <c r="AK1316" t="s">
        <v>61</v>
      </c>
      <c r="AL1316" t="s">
        <v>61</v>
      </c>
      <c r="AM1316" t="s">
        <v>10827</v>
      </c>
      <c r="AN1316" t="s">
        <v>61</v>
      </c>
      <c r="AO1316" t="s">
        <v>61</v>
      </c>
      <c r="AP1316" t="s">
        <v>61</v>
      </c>
      <c r="AQ1316" t="s">
        <v>61</v>
      </c>
      <c r="AR1316" t="s">
        <v>61</v>
      </c>
      <c r="AS1316" t="s">
        <v>61</v>
      </c>
      <c r="AT1316" t="s">
        <v>61</v>
      </c>
      <c r="AU1316" t="s">
        <v>61</v>
      </c>
      <c r="AV1316" t="s">
        <v>61</v>
      </c>
      <c r="AW1316" t="s">
        <v>61</v>
      </c>
      <c r="AX1316" t="s">
        <v>61</v>
      </c>
      <c r="AY1316" t="s">
        <v>61</v>
      </c>
      <c r="AZ1316" t="s">
        <v>61</v>
      </c>
      <c r="BA1316" t="s">
        <v>61</v>
      </c>
      <c r="BB1316" t="s">
        <v>61</v>
      </c>
      <c r="BC1316" t="s">
        <v>61</v>
      </c>
      <c r="BD1316" t="s">
        <v>61</v>
      </c>
      <c r="BE1316" t="s">
        <v>61</v>
      </c>
      <c r="BF1316" t="s">
        <v>61</v>
      </c>
    </row>
    <row r="1317" spans="1:58">
      <c r="A1317" t="s">
        <v>58</v>
      </c>
      <c r="B1317" t="s">
        <v>10828</v>
      </c>
      <c r="C1317" t="s">
        <v>10829</v>
      </c>
      <c r="D1317" t="s">
        <v>1739</v>
      </c>
      <c r="E1317" t="s">
        <v>1740</v>
      </c>
      <c r="F1317">
        <v>1982</v>
      </c>
      <c r="G1317" t="s">
        <v>61</v>
      </c>
      <c r="H1317">
        <v>39</v>
      </c>
      <c r="I1317">
        <v>1</v>
      </c>
      <c r="J1317">
        <v>74</v>
      </c>
      <c r="K1317">
        <v>77</v>
      </c>
      <c r="L1317" t="s">
        <v>10830</v>
      </c>
      <c r="M1317" t="s">
        <v>10831</v>
      </c>
      <c r="N1317" t="s">
        <v>10832</v>
      </c>
      <c r="O1317" t="s">
        <v>61</v>
      </c>
      <c r="Q1317" t="s">
        <v>61</v>
      </c>
      <c r="R1317" t="s">
        <v>61</v>
      </c>
      <c r="S1317" t="s">
        <v>61</v>
      </c>
      <c r="T1317" t="s">
        <v>61</v>
      </c>
      <c r="X1317" t="s">
        <v>61</v>
      </c>
      <c r="Y1317" s="2">
        <v>2698811</v>
      </c>
      <c r="Z1317" t="s">
        <v>61</v>
      </c>
      <c r="AA1317" t="s">
        <v>61</v>
      </c>
      <c r="AB1317">
        <v>1982077418</v>
      </c>
      <c r="AC1317" t="s">
        <v>67</v>
      </c>
      <c r="AD1317" t="s">
        <v>61</v>
      </c>
      <c r="AE1317" t="s">
        <v>61</v>
      </c>
      <c r="AF1317" t="s">
        <v>61</v>
      </c>
      <c r="AG1317" t="s">
        <v>10833</v>
      </c>
      <c r="AH1317" t="s">
        <v>61</v>
      </c>
      <c r="AI1317" t="s">
        <v>61</v>
      </c>
      <c r="AJ1317" t="s">
        <v>61</v>
      </c>
      <c r="AK1317" t="s">
        <v>61</v>
      </c>
      <c r="AL1317" t="s">
        <v>61</v>
      </c>
      <c r="AM1317" t="s">
        <v>10834</v>
      </c>
      <c r="AN1317" t="s">
        <v>61</v>
      </c>
      <c r="AO1317" t="s">
        <v>61</v>
      </c>
      <c r="AP1317" t="s">
        <v>61</v>
      </c>
      <c r="AQ1317" t="s">
        <v>61</v>
      </c>
      <c r="AR1317" t="s">
        <v>61</v>
      </c>
      <c r="AS1317" t="s">
        <v>61</v>
      </c>
      <c r="AT1317" t="s">
        <v>61</v>
      </c>
      <c r="AU1317" t="s">
        <v>61</v>
      </c>
      <c r="AV1317" t="s">
        <v>61</v>
      </c>
      <c r="AW1317" t="s">
        <v>61</v>
      </c>
      <c r="AX1317" t="s">
        <v>61</v>
      </c>
      <c r="AY1317" t="s">
        <v>61</v>
      </c>
      <c r="AZ1317" t="s">
        <v>61</v>
      </c>
      <c r="BA1317" t="s">
        <v>61</v>
      </c>
      <c r="BB1317" t="s">
        <v>61</v>
      </c>
      <c r="BC1317" t="s">
        <v>61</v>
      </c>
      <c r="BD1317" t="s">
        <v>61</v>
      </c>
      <c r="BE1317" t="s">
        <v>61</v>
      </c>
      <c r="BF1317" t="s">
        <v>61</v>
      </c>
    </row>
    <row r="1318" spans="1:58">
      <c r="A1318" t="s">
        <v>58</v>
      </c>
      <c r="B1318" t="s">
        <v>10835</v>
      </c>
      <c r="C1318" t="s">
        <v>10836</v>
      </c>
      <c r="D1318" t="s">
        <v>5278</v>
      </c>
      <c r="E1318" t="s">
        <v>61</v>
      </c>
      <c r="F1318">
        <v>1998</v>
      </c>
      <c r="G1318" t="s">
        <v>1332</v>
      </c>
      <c r="H1318">
        <v>18</v>
      </c>
      <c r="I1318">
        <v>6</v>
      </c>
      <c r="J1318">
        <v>1308</v>
      </c>
      <c r="K1318">
        <v>1312</v>
      </c>
      <c r="L1318" t="s">
        <v>10837</v>
      </c>
      <c r="M1318" t="s">
        <v>10838</v>
      </c>
      <c r="N1318" t="s">
        <v>10839</v>
      </c>
      <c r="O1318" t="s">
        <v>61</v>
      </c>
      <c r="Q1318" t="s">
        <v>61</v>
      </c>
      <c r="R1318" t="s">
        <v>61</v>
      </c>
      <c r="S1318" t="s">
        <v>61</v>
      </c>
      <c r="T1318" t="s">
        <v>61</v>
      </c>
      <c r="X1318" t="s">
        <v>61</v>
      </c>
      <c r="Y1318" t="s">
        <v>414</v>
      </c>
      <c r="Z1318" t="s">
        <v>61</v>
      </c>
      <c r="AA1318" t="s">
        <v>10840</v>
      </c>
      <c r="AB1318">
        <v>9855332</v>
      </c>
      <c r="AC1318" t="s">
        <v>67</v>
      </c>
      <c r="AD1318" t="s">
        <v>61</v>
      </c>
      <c r="AE1318" t="s">
        <v>61</v>
      </c>
      <c r="AF1318" t="s">
        <v>61</v>
      </c>
      <c r="AG1318" t="s">
        <v>10841</v>
      </c>
      <c r="AH1318" t="s">
        <v>61</v>
      </c>
      <c r="AI1318" t="s">
        <v>61</v>
      </c>
      <c r="AJ1318" t="s">
        <v>61</v>
      </c>
      <c r="AK1318" t="s">
        <v>61</v>
      </c>
      <c r="AL1318" t="s">
        <v>61</v>
      </c>
      <c r="AM1318" t="s">
        <v>10842</v>
      </c>
      <c r="AN1318" t="s">
        <v>61</v>
      </c>
      <c r="AO1318" t="s">
        <v>61</v>
      </c>
      <c r="AP1318" t="s">
        <v>61</v>
      </c>
      <c r="AQ1318" t="s">
        <v>61</v>
      </c>
      <c r="AR1318" t="s">
        <v>61</v>
      </c>
      <c r="AS1318" t="s">
        <v>61</v>
      </c>
      <c r="AT1318" t="s">
        <v>61</v>
      </c>
      <c r="AU1318" t="s">
        <v>61</v>
      </c>
      <c r="AV1318" t="s">
        <v>61</v>
      </c>
      <c r="AW1318" t="s">
        <v>61</v>
      </c>
      <c r="AX1318" t="s">
        <v>61</v>
      </c>
      <c r="AY1318" t="s">
        <v>61</v>
      </c>
      <c r="AZ1318" t="s">
        <v>61</v>
      </c>
      <c r="BA1318" t="s">
        <v>61</v>
      </c>
      <c r="BB1318" t="s">
        <v>61</v>
      </c>
      <c r="BC1318" t="s">
        <v>61</v>
      </c>
      <c r="BD1318" t="s">
        <v>61</v>
      </c>
      <c r="BE1318" t="s">
        <v>61</v>
      </c>
      <c r="BF1318" t="s">
        <v>61</v>
      </c>
    </row>
    <row r="1319" spans="1:58">
      <c r="A1319" t="s">
        <v>58</v>
      </c>
      <c r="B1319" t="s">
        <v>10843</v>
      </c>
      <c r="C1319" t="s">
        <v>10844</v>
      </c>
      <c r="D1319" t="s">
        <v>862</v>
      </c>
      <c r="E1319" t="s">
        <v>61</v>
      </c>
      <c r="F1319">
        <v>2010</v>
      </c>
      <c r="G1319" t="s">
        <v>559</v>
      </c>
      <c r="H1319">
        <v>25</v>
      </c>
      <c r="I1319">
        <v>5</v>
      </c>
      <c r="J1319">
        <v>305</v>
      </c>
      <c r="K1319">
        <v>319</v>
      </c>
      <c r="L1319" t="s">
        <v>10845</v>
      </c>
      <c r="M1319" t="s">
        <v>10846</v>
      </c>
      <c r="N1319" t="s">
        <v>10847</v>
      </c>
      <c r="O1319" t="s">
        <v>61</v>
      </c>
      <c r="Q1319" t="s">
        <v>61</v>
      </c>
      <c r="R1319" t="s">
        <v>61</v>
      </c>
      <c r="S1319" t="s">
        <v>61</v>
      </c>
      <c r="T1319" t="s">
        <v>61</v>
      </c>
      <c r="X1319" t="s">
        <v>61</v>
      </c>
      <c r="Y1319" t="s">
        <v>866</v>
      </c>
      <c r="Z1319" t="s">
        <v>61</v>
      </c>
      <c r="AA1319" t="s">
        <v>10848</v>
      </c>
      <c r="AB1319">
        <v>20497929</v>
      </c>
      <c r="AC1319" t="s">
        <v>67</v>
      </c>
      <c r="AD1319" t="s">
        <v>61</v>
      </c>
      <c r="AE1319" t="s">
        <v>61</v>
      </c>
      <c r="AF1319" t="s">
        <v>61</v>
      </c>
      <c r="AG1319" t="s">
        <v>10849</v>
      </c>
      <c r="AH1319" t="s">
        <v>61</v>
      </c>
      <c r="AI1319" t="s">
        <v>10850</v>
      </c>
      <c r="AJ1319" t="s">
        <v>61</v>
      </c>
      <c r="AK1319" t="s">
        <v>61</v>
      </c>
      <c r="AL1319" t="s">
        <v>61</v>
      </c>
      <c r="AM1319" t="s">
        <v>10851</v>
      </c>
      <c r="AN1319" t="s">
        <v>61</v>
      </c>
      <c r="AO1319" t="s">
        <v>61</v>
      </c>
      <c r="AP1319" t="s">
        <v>61</v>
      </c>
      <c r="AQ1319" t="s">
        <v>61</v>
      </c>
      <c r="AR1319" t="s">
        <v>61</v>
      </c>
      <c r="AS1319" t="s">
        <v>61</v>
      </c>
      <c r="AT1319" t="s">
        <v>61</v>
      </c>
      <c r="AU1319" t="s">
        <v>61</v>
      </c>
      <c r="AV1319" t="s">
        <v>61</v>
      </c>
      <c r="AW1319" t="s">
        <v>61</v>
      </c>
      <c r="AX1319" t="s">
        <v>61</v>
      </c>
      <c r="AY1319" t="s">
        <v>61</v>
      </c>
      <c r="AZ1319" t="s">
        <v>61</v>
      </c>
      <c r="BA1319" t="s">
        <v>61</v>
      </c>
      <c r="BB1319" t="s">
        <v>61</v>
      </c>
      <c r="BC1319" t="s">
        <v>61</v>
      </c>
      <c r="BD1319" t="s">
        <v>61</v>
      </c>
      <c r="BE1319" t="s">
        <v>61</v>
      </c>
      <c r="BF1319" t="s">
        <v>61</v>
      </c>
    </row>
    <row r="1320" spans="1:58">
      <c r="A1320" t="s">
        <v>58</v>
      </c>
      <c r="B1320" t="s">
        <v>10852</v>
      </c>
      <c r="C1320" t="s">
        <v>10853</v>
      </c>
      <c r="D1320" t="s">
        <v>1739</v>
      </c>
      <c r="E1320" t="s">
        <v>1740</v>
      </c>
      <c r="F1320">
        <v>1980</v>
      </c>
      <c r="G1320" t="s">
        <v>129</v>
      </c>
      <c r="H1320">
        <v>37</v>
      </c>
      <c r="I1320">
        <v>10</v>
      </c>
      <c r="J1320">
        <v>1339</v>
      </c>
      <c r="K1320">
        <v>1342</v>
      </c>
      <c r="L1320" t="s">
        <v>10854</v>
      </c>
      <c r="M1320" t="s">
        <v>10855</v>
      </c>
      <c r="N1320" t="s">
        <v>10856</v>
      </c>
      <c r="O1320" t="s">
        <v>61</v>
      </c>
      <c r="Q1320" t="s">
        <v>61</v>
      </c>
      <c r="R1320" t="s">
        <v>61</v>
      </c>
      <c r="S1320" t="s">
        <v>61</v>
      </c>
      <c r="T1320" t="s">
        <v>61</v>
      </c>
      <c r="X1320" t="s">
        <v>61</v>
      </c>
      <c r="Y1320" s="2">
        <v>2698811</v>
      </c>
      <c r="Z1320" t="s">
        <v>61</v>
      </c>
      <c r="AA1320" t="s">
        <v>61</v>
      </c>
      <c r="AB1320">
        <v>7424930</v>
      </c>
      <c r="AC1320" t="s">
        <v>67</v>
      </c>
      <c r="AD1320" t="s">
        <v>61</v>
      </c>
      <c r="AE1320" t="s">
        <v>61</v>
      </c>
      <c r="AF1320" t="s">
        <v>61</v>
      </c>
      <c r="AG1320" t="s">
        <v>10857</v>
      </c>
      <c r="AH1320" t="s">
        <v>61</v>
      </c>
      <c r="AI1320" t="s">
        <v>61</v>
      </c>
      <c r="AJ1320" t="s">
        <v>61</v>
      </c>
      <c r="AK1320" t="s">
        <v>61</v>
      </c>
      <c r="AL1320" t="s">
        <v>61</v>
      </c>
      <c r="AM1320" t="s">
        <v>10858</v>
      </c>
      <c r="AN1320" t="s">
        <v>61</v>
      </c>
      <c r="AO1320" t="s">
        <v>61</v>
      </c>
      <c r="AP1320" t="s">
        <v>61</v>
      </c>
      <c r="AQ1320" t="s">
        <v>61</v>
      </c>
      <c r="AR1320" t="s">
        <v>61</v>
      </c>
      <c r="AS1320" t="s">
        <v>61</v>
      </c>
      <c r="AT1320" t="s">
        <v>61</v>
      </c>
      <c r="AU1320" t="s">
        <v>61</v>
      </c>
      <c r="AV1320" t="s">
        <v>61</v>
      </c>
      <c r="AW1320" t="s">
        <v>61</v>
      </c>
      <c r="AX1320" t="s">
        <v>61</v>
      </c>
      <c r="AY1320" t="s">
        <v>61</v>
      </c>
      <c r="AZ1320" t="s">
        <v>61</v>
      </c>
      <c r="BA1320" t="s">
        <v>61</v>
      </c>
      <c r="BB1320" t="s">
        <v>61</v>
      </c>
      <c r="BC1320" t="s">
        <v>61</v>
      </c>
      <c r="BD1320" t="s">
        <v>61</v>
      </c>
      <c r="BE1320" t="s">
        <v>61</v>
      </c>
      <c r="BF1320" t="s">
        <v>61</v>
      </c>
    </row>
    <row r="1321" spans="1:58">
      <c r="A1321" t="s">
        <v>58</v>
      </c>
      <c r="B1321" t="s">
        <v>10859</v>
      </c>
      <c r="C1321" t="s">
        <v>10860</v>
      </c>
      <c r="D1321" t="s">
        <v>10861</v>
      </c>
      <c r="E1321" t="s">
        <v>10862</v>
      </c>
      <c r="F1321">
        <v>2000</v>
      </c>
      <c r="G1321" t="s">
        <v>61</v>
      </c>
      <c r="H1321">
        <v>6</v>
      </c>
      <c r="I1321">
        <v>2</v>
      </c>
      <c r="J1321">
        <v>179</v>
      </c>
      <c r="K1321">
        <v>182</v>
      </c>
      <c r="L1321" t="s">
        <v>10863</v>
      </c>
      <c r="M1321" t="s">
        <v>61</v>
      </c>
      <c r="N1321" t="s">
        <v>10864</v>
      </c>
      <c r="O1321" t="s">
        <v>61</v>
      </c>
      <c r="Q1321" t="s">
        <v>61</v>
      </c>
      <c r="R1321" t="s">
        <v>61</v>
      </c>
      <c r="S1321" t="s">
        <v>61</v>
      </c>
      <c r="T1321" t="s">
        <v>61</v>
      </c>
      <c r="X1321" t="s">
        <v>61</v>
      </c>
      <c r="Y1321" t="s">
        <v>10865</v>
      </c>
      <c r="Z1321" t="s">
        <v>61</v>
      </c>
      <c r="AA1321" t="s">
        <v>61</v>
      </c>
      <c r="AB1321">
        <v>2000298245</v>
      </c>
      <c r="AC1321" t="s">
        <v>67</v>
      </c>
      <c r="AD1321" t="s">
        <v>61</v>
      </c>
      <c r="AE1321" t="s">
        <v>61</v>
      </c>
      <c r="AF1321" t="s">
        <v>61</v>
      </c>
      <c r="AG1321" t="s">
        <v>61</v>
      </c>
      <c r="AH1321" t="s">
        <v>61</v>
      </c>
      <c r="AI1321" t="s">
        <v>61</v>
      </c>
      <c r="AJ1321" t="s">
        <v>61</v>
      </c>
      <c r="AK1321" t="s">
        <v>61</v>
      </c>
      <c r="AL1321" t="s">
        <v>61</v>
      </c>
      <c r="AM1321" t="s">
        <v>10860</v>
      </c>
      <c r="AN1321" t="s">
        <v>61</v>
      </c>
      <c r="AO1321" t="s">
        <v>61</v>
      </c>
      <c r="AP1321" t="s">
        <v>61</v>
      </c>
      <c r="AQ1321" t="s">
        <v>61</v>
      </c>
      <c r="AR1321" t="s">
        <v>61</v>
      </c>
      <c r="AS1321" t="s">
        <v>61</v>
      </c>
      <c r="AT1321" t="s">
        <v>61</v>
      </c>
      <c r="AU1321" t="s">
        <v>61</v>
      </c>
      <c r="AV1321" t="s">
        <v>61</v>
      </c>
      <c r="AW1321" t="s">
        <v>61</v>
      </c>
      <c r="AX1321" t="s">
        <v>61</v>
      </c>
      <c r="AY1321" t="s">
        <v>61</v>
      </c>
      <c r="AZ1321" t="s">
        <v>61</v>
      </c>
      <c r="BA1321" t="s">
        <v>61</v>
      </c>
      <c r="BB1321" t="s">
        <v>61</v>
      </c>
      <c r="BC1321" t="s">
        <v>61</v>
      </c>
      <c r="BD1321" t="s">
        <v>61</v>
      </c>
      <c r="BE1321" t="s">
        <v>61</v>
      </c>
      <c r="BF1321" t="s">
        <v>61</v>
      </c>
    </row>
    <row r="1322" spans="1:58">
      <c r="A1322" t="s">
        <v>58</v>
      </c>
      <c r="B1322" t="s">
        <v>10859</v>
      </c>
      <c r="C1322" t="s">
        <v>10866</v>
      </c>
      <c r="D1322" t="s">
        <v>10867</v>
      </c>
      <c r="E1322" t="s">
        <v>10868</v>
      </c>
      <c r="F1322">
        <v>2000</v>
      </c>
      <c r="G1322" t="s">
        <v>61</v>
      </c>
      <c r="H1322">
        <v>18</v>
      </c>
      <c r="I1322">
        <v>1</v>
      </c>
      <c r="J1322">
        <v>89</v>
      </c>
      <c r="K1322">
        <v>92</v>
      </c>
      <c r="L1322" t="s">
        <v>10869</v>
      </c>
      <c r="M1322" t="s">
        <v>61</v>
      </c>
      <c r="N1322" t="s">
        <v>10870</v>
      </c>
      <c r="O1322" t="s">
        <v>61</v>
      </c>
      <c r="Q1322" t="s">
        <v>61</v>
      </c>
      <c r="R1322" t="s">
        <v>61</v>
      </c>
      <c r="S1322" t="s">
        <v>61</v>
      </c>
      <c r="T1322" t="s">
        <v>61</v>
      </c>
      <c r="X1322" t="s">
        <v>61</v>
      </c>
      <c r="Y1322" t="s">
        <v>10871</v>
      </c>
      <c r="Z1322" t="s">
        <v>61</v>
      </c>
      <c r="AA1322" t="s">
        <v>61</v>
      </c>
      <c r="AB1322">
        <v>2000199718</v>
      </c>
      <c r="AC1322" t="s">
        <v>67</v>
      </c>
      <c r="AD1322" t="s">
        <v>61</v>
      </c>
      <c r="AE1322" t="s">
        <v>61</v>
      </c>
      <c r="AF1322" t="s">
        <v>61</v>
      </c>
      <c r="AG1322" t="s">
        <v>61</v>
      </c>
      <c r="AH1322" t="s">
        <v>61</v>
      </c>
      <c r="AI1322" t="s">
        <v>61</v>
      </c>
      <c r="AJ1322" t="s">
        <v>61</v>
      </c>
      <c r="AK1322" t="s">
        <v>61</v>
      </c>
      <c r="AL1322" t="s">
        <v>61</v>
      </c>
      <c r="AM1322" t="s">
        <v>10866</v>
      </c>
      <c r="AN1322" t="s">
        <v>61</v>
      </c>
      <c r="AO1322" t="s">
        <v>61</v>
      </c>
      <c r="AP1322" t="s">
        <v>61</v>
      </c>
      <c r="AQ1322" t="s">
        <v>61</v>
      </c>
      <c r="AR1322" t="s">
        <v>61</v>
      </c>
      <c r="AS1322" t="s">
        <v>61</v>
      </c>
      <c r="AT1322" t="s">
        <v>61</v>
      </c>
      <c r="AU1322" t="s">
        <v>61</v>
      </c>
      <c r="AV1322" t="s">
        <v>61</v>
      </c>
      <c r="AW1322" t="s">
        <v>61</v>
      </c>
      <c r="AX1322" t="s">
        <v>61</v>
      </c>
      <c r="AY1322" t="s">
        <v>61</v>
      </c>
      <c r="AZ1322" t="s">
        <v>61</v>
      </c>
      <c r="BA1322" t="s">
        <v>61</v>
      </c>
      <c r="BB1322" t="s">
        <v>61</v>
      </c>
      <c r="BC1322" t="s">
        <v>61</v>
      </c>
      <c r="BD1322" t="s">
        <v>61</v>
      </c>
      <c r="BE1322" t="s">
        <v>61</v>
      </c>
      <c r="BF1322" t="s">
        <v>61</v>
      </c>
    </row>
    <row r="1323" spans="1:58">
      <c r="A1323" t="s">
        <v>58</v>
      </c>
      <c r="B1323" t="s">
        <v>10872</v>
      </c>
      <c r="C1323" t="s">
        <v>10873</v>
      </c>
      <c r="D1323" t="s">
        <v>2007</v>
      </c>
      <c r="E1323" t="s">
        <v>61</v>
      </c>
      <c r="F1323">
        <v>2000</v>
      </c>
      <c r="G1323">
        <v>1</v>
      </c>
      <c r="H1323">
        <v>11</v>
      </c>
      <c r="I1323">
        <v>3</v>
      </c>
      <c r="J1323">
        <v>203</v>
      </c>
      <c r="K1323">
        <v>215</v>
      </c>
      <c r="L1323" t="s">
        <v>10874</v>
      </c>
      <c r="M1323" t="s">
        <v>10875</v>
      </c>
      <c r="N1323" t="s">
        <v>10876</v>
      </c>
      <c r="O1323" t="s">
        <v>61</v>
      </c>
      <c r="Q1323" t="s">
        <v>61</v>
      </c>
      <c r="R1323" t="s">
        <v>61</v>
      </c>
      <c r="S1323" t="s">
        <v>61</v>
      </c>
      <c r="T1323" t="s">
        <v>61</v>
      </c>
      <c r="X1323" t="s">
        <v>61</v>
      </c>
      <c r="Y1323" t="s">
        <v>2012</v>
      </c>
      <c r="Z1323" t="s">
        <v>61</v>
      </c>
      <c r="AA1323" t="s">
        <v>61</v>
      </c>
      <c r="AB1323" t="s">
        <v>10877</v>
      </c>
      <c r="AC1323" t="s">
        <v>67</v>
      </c>
      <c r="AD1323" t="s">
        <v>61</v>
      </c>
      <c r="AE1323" t="s">
        <v>61</v>
      </c>
      <c r="AF1323" t="s">
        <v>61</v>
      </c>
      <c r="AG1323" t="s">
        <v>61</v>
      </c>
      <c r="AH1323" t="s">
        <v>61</v>
      </c>
      <c r="AI1323" t="s">
        <v>61</v>
      </c>
      <c r="AJ1323" t="s">
        <v>61</v>
      </c>
      <c r="AK1323" t="s">
        <v>61</v>
      </c>
      <c r="AL1323" t="s">
        <v>61</v>
      </c>
      <c r="AM1323" t="s">
        <v>10873</v>
      </c>
      <c r="AN1323" t="s">
        <v>61</v>
      </c>
      <c r="AO1323" t="s">
        <v>61</v>
      </c>
      <c r="AP1323" t="s">
        <v>61</v>
      </c>
      <c r="AQ1323" t="s">
        <v>61</v>
      </c>
      <c r="AR1323" t="s">
        <v>61</v>
      </c>
      <c r="AS1323" t="s">
        <v>61</v>
      </c>
      <c r="AT1323" t="s">
        <v>61</v>
      </c>
      <c r="AU1323" t="s">
        <v>61</v>
      </c>
      <c r="AV1323" t="s">
        <v>61</v>
      </c>
      <c r="AW1323" t="s">
        <v>61</v>
      </c>
      <c r="AX1323" t="s">
        <v>61</v>
      </c>
      <c r="AY1323" t="s">
        <v>61</v>
      </c>
      <c r="AZ1323" t="s">
        <v>61</v>
      </c>
      <c r="BA1323" t="s">
        <v>61</v>
      </c>
      <c r="BB1323" t="s">
        <v>61</v>
      </c>
      <c r="BC1323" t="s">
        <v>61</v>
      </c>
      <c r="BD1323" t="s">
        <v>61</v>
      </c>
      <c r="BE1323" t="s">
        <v>61</v>
      </c>
      <c r="BF1323" t="s">
        <v>61</v>
      </c>
    </row>
    <row r="1324" spans="1:58">
      <c r="A1324" t="s">
        <v>58</v>
      </c>
      <c r="B1324" t="s">
        <v>10878</v>
      </c>
      <c r="C1324" t="s">
        <v>10879</v>
      </c>
      <c r="D1324" t="s">
        <v>10880</v>
      </c>
      <c r="E1324" t="s">
        <v>61</v>
      </c>
      <c r="F1324">
        <v>2009</v>
      </c>
      <c r="G1324" t="s">
        <v>457</v>
      </c>
      <c r="H1324">
        <v>9</v>
      </c>
      <c r="I1324">
        <v>4</v>
      </c>
      <c r="J1324">
        <v>513</v>
      </c>
      <c r="K1324" t="s">
        <v>61</v>
      </c>
      <c r="L1324" t="s">
        <v>10881</v>
      </c>
      <c r="M1324" t="s">
        <v>10882</v>
      </c>
      <c r="N1324" t="s">
        <v>10883</v>
      </c>
      <c r="O1324" t="s">
        <v>61</v>
      </c>
      <c r="Q1324" t="s">
        <v>61</v>
      </c>
      <c r="R1324" t="s">
        <v>61</v>
      </c>
      <c r="S1324" t="s">
        <v>61</v>
      </c>
      <c r="T1324" t="s">
        <v>61</v>
      </c>
      <c r="X1324" t="s">
        <v>61</v>
      </c>
      <c r="Y1324" t="s">
        <v>10884</v>
      </c>
      <c r="Z1324" t="s">
        <v>61</v>
      </c>
      <c r="AA1324" t="s">
        <v>61</v>
      </c>
      <c r="AB1324" t="s">
        <v>61</v>
      </c>
      <c r="AC1324" t="s">
        <v>67</v>
      </c>
      <c r="AD1324" t="s">
        <v>61</v>
      </c>
      <c r="AE1324" t="s">
        <v>61</v>
      </c>
      <c r="AF1324" t="s">
        <v>61</v>
      </c>
      <c r="AG1324" t="s">
        <v>61</v>
      </c>
      <c r="AH1324" t="s">
        <v>61</v>
      </c>
      <c r="AI1324" t="s">
        <v>61</v>
      </c>
      <c r="AJ1324" t="s">
        <v>61</v>
      </c>
      <c r="AK1324" t="s">
        <v>61</v>
      </c>
      <c r="AL1324" t="s">
        <v>61</v>
      </c>
      <c r="AM1324" t="s">
        <v>10879</v>
      </c>
      <c r="AN1324" t="s">
        <v>61</v>
      </c>
      <c r="AO1324" t="s">
        <v>61</v>
      </c>
      <c r="AP1324" t="s">
        <v>61</v>
      </c>
      <c r="AQ1324" t="s">
        <v>61</v>
      </c>
      <c r="AR1324" t="s">
        <v>61</v>
      </c>
      <c r="AS1324" t="s">
        <v>61</v>
      </c>
      <c r="AT1324" t="s">
        <v>61</v>
      </c>
      <c r="AU1324" t="s">
        <v>61</v>
      </c>
      <c r="AV1324" t="s">
        <v>61</v>
      </c>
      <c r="AW1324" t="s">
        <v>61</v>
      </c>
      <c r="AX1324" t="s">
        <v>61</v>
      </c>
      <c r="AY1324" t="s">
        <v>61</v>
      </c>
      <c r="AZ1324" t="s">
        <v>61</v>
      </c>
      <c r="BA1324" t="s">
        <v>61</v>
      </c>
      <c r="BB1324" t="s">
        <v>61</v>
      </c>
      <c r="BC1324" t="s">
        <v>61</v>
      </c>
      <c r="BD1324" t="s">
        <v>61</v>
      </c>
      <c r="BE1324" t="s">
        <v>61</v>
      </c>
      <c r="BF1324" t="s">
        <v>61</v>
      </c>
    </row>
    <row r="1325" spans="1:58">
      <c r="A1325" t="s">
        <v>58</v>
      </c>
      <c r="B1325" t="s">
        <v>10885</v>
      </c>
      <c r="C1325" t="s">
        <v>10886</v>
      </c>
      <c r="D1325" t="s">
        <v>3824</v>
      </c>
      <c r="E1325" t="s">
        <v>3825</v>
      </c>
      <c r="F1325">
        <v>2009</v>
      </c>
      <c r="G1325" t="s">
        <v>363</v>
      </c>
      <c r="H1325">
        <v>202</v>
      </c>
      <c r="I1325" s="1">
        <v>42372</v>
      </c>
      <c r="J1325">
        <v>505</v>
      </c>
      <c r="K1325">
        <v>519</v>
      </c>
      <c r="L1325" t="s">
        <v>10887</v>
      </c>
      <c r="M1325" t="s">
        <v>10888</v>
      </c>
      <c r="N1325" t="s">
        <v>10889</v>
      </c>
      <c r="O1325" t="s">
        <v>61</v>
      </c>
      <c r="Q1325" t="s">
        <v>61</v>
      </c>
      <c r="R1325" t="s">
        <v>61</v>
      </c>
      <c r="S1325" t="s">
        <v>61</v>
      </c>
      <c r="T1325" t="s">
        <v>61</v>
      </c>
      <c r="X1325" t="s">
        <v>61</v>
      </c>
      <c r="Y1325" t="s">
        <v>10890</v>
      </c>
      <c r="Z1325" t="s">
        <v>61</v>
      </c>
      <c r="AA1325" t="s">
        <v>10891</v>
      </c>
      <c r="AB1325">
        <v>18604598</v>
      </c>
      <c r="AC1325" t="s">
        <v>67</v>
      </c>
      <c r="AD1325" t="s">
        <v>61</v>
      </c>
      <c r="AE1325" t="s">
        <v>61</v>
      </c>
      <c r="AF1325" t="s">
        <v>61</v>
      </c>
      <c r="AG1325" t="s">
        <v>10892</v>
      </c>
      <c r="AH1325" t="s">
        <v>61</v>
      </c>
      <c r="AI1325" t="s">
        <v>10893</v>
      </c>
      <c r="AJ1325" t="s">
        <v>61</v>
      </c>
      <c r="AK1325" t="s">
        <v>61</v>
      </c>
      <c r="AL1325" t="s">
        <v>61</v>
      </c>
      <c r="AM1325" t="s">
        <v>10894</v>
      </c>
      <c r="AN1325" t="s">
        <v>61</v>
      </c>
      <c r="AO1325" t="s">
        <v>61</v>
      </c>
      <c r="AP1325" t="s">
        <v>61</v>
      </c>
      <c r="AQ1325" t="s">
        <v>61</v>
      </c>
      <c r="AR1325" t="s">
        <v>61</v>
      </c>
      <c r="AS1325" t="s">
        <v>61</v>
      </c>
      <c r="AT1325" t="s">
        <v>61</v>
      </c>
      <c r="AU1325" t="s">
        <v>61</v>
      </c>
      <c r="AV1325" t="s">
        <v>61</v>
      </c>
      <c r="AW1325" t="s">
        <v>61</v>
      </c>
      <c r="AX1325" t="s">
        <v>61</v>
      </c>
      <c r="AY1325" t="s">
        <v>61</v>
      </c>
      <c r="AZ1325" t="s">
        <v>61</v>
      </c>
      <c r="BA1325" t="s">
        <v>61</v>
      </c>
      <c r="BB1325" t="s">
        <v>61</v>
      </c>
      <c r="BC1325" t="s">
        <v>61</v>
      </c>
      <c r="BD1325" t="s">
        <v>61</v>
      </c>
      <c r="BE1325" t="s">
        <v>61</v>
      </c>
      <c r="BF1325" t="s">
        <v>61</v>
      </c>
    </row>
    <row r="1326" spans="1:58">
      <c r="A1326" t="s">
        <v>58</v>
      </c>
      <c r="B1326" t="s">
        <v>10895</v>
      </c>
      <c r="C1326" t="s">
        <v>10896</v>
      </c>
      <c r="D1326" t="s">
        <v>408</v>
      </c>
      <c r="E1326" t="s">
        <v>408</v>
      </c>
      <c r="F1326">
        <v>2015</v>
      </c>
      <c r="G1326" t="s">
        <v>409</v>
      </c>
      <c r="H1326">
        <v>35</v>
      </c>
      <c r="I1326">
        <v>11</v>
      </c>
      <c r="J1326" t="s">
        <v>10897</v>
      </c>
      <c r="K1326" t="s">
        <v>61</v>
      </c>
      <c r="L1326" t="s">
        <v>10898</v>
      </c>
      <c r="M1326" t="s">
        <v>10899</v>
      </c>
      <c r="N1326" t="s">
        <v>10900</v>
      </c>
      <c r="O1326" t="s">
        <v>61</v>
      </c>
      <c r="Q1326" t="s">
        <v>61</v>
      </c>
      <c r="R1326" t="s">
        <v>61</v>
      </c>
      <c r="S1326" t="s">
        <v>61</v>
      </c>
      <c r="T1326" t="s">
        <v>61</v>
      </c>
      <c r="X1326" t="s">
        <v>61</v>
      </c>
      <c r="Y1326" t="s">
        <v>414</v>
      </c>
      <c r="Z1326" t="s">
        <v>61</v>
      </c>
      <c r="AA1326" t="s">
        <v>61</v>
      </c>
      <c r="AB1326" t="s">
        <v>61</v>
      </c>
      <c r="AC1326" t="s">
        <v>67</v>
      </c>
      <c r="AD1326" t="s">
        <v>61</v>
      </c>
      <c r="AE1326" t="s">
        <v>61</v>
      </c>
      <c r="AF1326" t="s">
        <v>61</v>
      </c>
      <c r="AG1326" t="s">
        <v>61</v>
      </c>
      <c r="AH1326" t="s">
        <v>61</v>
      </c>
      <c r="AI1326" t="s">
        <v>61</v>
      </c>
      <c r="AJ1326" t="s">
        <v>61</v>
      </c>
      <c r="AK1326" t="s">
        <v>61</v>
      </c>
      <c r="AL1326" t="s">
        <v>61</v>
      </c>
      <c r="AM1326" t="s">
        <v>10896</v>
      </c>
      <c r="AN1326" t="s">
        <v>61</v>
      </c>
      <c r="AO1326" t="s">
        <v>61</v>
      </c>
      <c r="AP1326" t="s">
        <v>61</v>
      </c>
      <c r="AQ1326" t="s">
        <v>61</v>
      </c>
      <c r="AR1326" t="s">
        <v>61</v>
      </c>
      <c r="AS1326" t="s">
        <v>61</v>
      </c>
      <c r="AT1326" t="s">
        <v>61</v>
      </c>
      <c r="AU1326" t="s">
        <v>61</v>
      </c>
      <c r="AV1326" t="s">
        <v>61</v>
      </c>
      <c r="AW1326" t="s">
        <v>61</v>
      </c>
      <c r="AX1326" t="s">
        <v>61</v>
      </c>
      <c r="AY1326" t="s">
        <v>61</v>
      </c>
      <c r="AZ1326" t="s">
        <v>61</v>
      </c>
      <c r="BA1326" t="s">
        <v>61</v>
      </c>
      <c r="BB1326" t="s">
        <v>61</v>
      </c>
      <c r="BC1326" t="s">
        <v>61</v>
      </c>
      <c r="BD1326" t="s">
        <v>61</v>
      </c>
      <c r="BE1326" t="s">
        <v>61</v>
      </c>
      <c r="BF1326" t="s">
        <v>61</v>
      </c>
    </row>
    <row r="1327" spans="1:58">
      <c r="A1327" t="s">
        <v>58</v>
      </c>
      <c r="B1327" t="s">
        <v>10901</v>
      </c>
      <c r="C1327" t="s">
        <v>10902</v>
      </c>
      <c r="D1327" t="s">
        <v>373</v>
      </c>
      <c r="E1327" t="s">
        <v>61</v>
      </c>
      <c r="F1327">
        <v>2011</v>
      </c>
      <c r="G1327" t="s">
        <v>344</v>
      </c>
      <c r="H1327">
        <v>10</v>
      </c>
      <c r="I1327">
        <v>3</v>
      </c>
      <c r="J1327">
        <v>647</v>
      </c>
      <c r="K1327">
        <v>652</v>
      </c>
      <c r="L1327" t="s">
        <v>10903</v>
      </c>
      <c r="M1327" t="s">
        <v>10904</v>
      </c>
      <c r="N1327" t="s">
        <v>10905</v>
      </c>
      <c r="O1327" t="s">
        <v>61</v>
      </c>
      <c r="Q1327" t="s">
        <v>61</v>
      </c>
      <c r="R1327" t="s">
        <v>61</v>
      </c>
      <c r="S1327" t="s">
        <v>61</v>
      </c>
      <c r="T1327" t="s">
        <v>61</v>
      </c>
      <c r="X1327" t="s">
        <v>61</v>
      </c>
      <c r="Y1327" t="s">
        <v>377</v>
      </c>
      <c r="Z1327" t="s">
        <v>61</v>
      </c>
      <c r="AA1327" t="s">
        <v>61</v>
      </c>
      <c r="AB1327">
        <v>2012085286</v>
      </c>
      <c r="AC1327" t="s">
        <v>67</v>
      </c>
      <c r="AD1327" t="s">
        <v>61</v>
      </c>
      <c r="AE1327" t="s">
        <v>61</v>
      </c>
      <c r="AF1327" t="s">
        <v>61</v>
      </c>
      <c r="AG1327" t="s">
        <v>61</v>
      </c>
      <c r="AH1327" t="s">
        <v>61</v>
      </c>
      <c r="AI1327" t="s">
        <v>61</v>
      </c>
      <c r="AJ1327" t="s">
        <v>61</v>
      </c>
      <c r="AK1327" t="s">
        <v>61</v>
      </c>
      <c r="AL1327" t="s">
        <v>61</v>
      </c>
      <c r="AM1327" t="s">
        <v>10902</v>
      </c>
      <c r="AN1327" t="s">
        <v>61</v>
      </c>
      <c r="AO1327" t="s">
        <v>61</v>
      </c>
      <c r="AP1327" t="s">
        <v>61</v>
      </c>
      <c r="AQ1327" t="s">
        <v>61</v>
      </c>
      <c r="AR1327" t="s">
        <v>61</v>
      </c>
      <c r="AS1327" t="s">
        <v>61</v>
      </c>
      <c r="AT1327" t="s">
        <v>61</v>
      </c>
      <c r="AU1327" t="s">
        <v>61</v>
      </c>
      <c r="AV1327" t="s">
        <v>61</v>
      </c>
      <c r="AW1327" t="s">
        <v>61</v>
      </c>
      <c r="AX1327" t="s">
        <v>61</v>
      </c>
      <c r="AY1327" t="s">
        <v>61</v>
      </c>
      <c r="AZ1327" t="s">
        <v>61</v>
      </c>
      <c r="BA1327" t="s">
        <v>61</v>
      </c>
      <c r="BB1327" t="s">
        <v>61</v>
      </c>
      <c r="BC1327" t="s">
        <v>61</v>
      </c>
      <c r="BD1327" t="s">
        <v>61</v>
      </c>
      <c r="BE1327" t="s">
        <v>61</v>
      </c>
      <c r="BF1327" t="s">
        <v>61</v>
      </c>
    </row>
    <row r="1328" spans="1:58">
      <c r="A1328" t="s">
        <v>58</v>
      </c>
      <c r="B1328" t="s">
        <v>10906</v>
      </c>
      <c r="C1328" t="s">
        <v>10907</v>
      </c>
      <c r="D1328" t="s">
        <v>501</v>
      </c>
      <c r="E1328" t="s">
        <v>61</v>
      </c>
      <c r="F1328">
        <v>2015</v>
      </c>
      <c r="G1328" t="s">
        <v>154</v>
      </c>
      <c r="H1328">
        <v>5</v>
      </c>
      <c r="I1328">
        <v>4</v>
      </c>
      <c r="J1328">
        <v>327</v>
      </c>
      <c r="K1328">
        <v>333</v>
      </c>
      <c r="L1328" t="s">
        <v>61</v>
      </c>
      <c r="M1328" t="s">
        <v>10908</v>
      </c>
      <c r="N1328" t="s">
        <v>10909</v>
      </c>
      <c r="O1328" t="s">
        <v>61</v>
      </c>
      <c r="Q1328" t="s">
        <v>61</v>
      </c>
      <c r="R1328" t="s">
        <v>61</v>
      </c>
      <c r="S1328" t="s">
        <v>61</v>
      </c>
      <c r="T1328" t="s">
        <v>61</v>
      </c>
      <c r="X1328" t="s">
        <v>61</v>
      </c>
      <c r="Y1328" t="s">
        <v>505</v>
      </c>
      <c r="Z1328" t="s">
        <v>61</v>
      </c>
      <c r="AA1328" t="s">
        <v>10910</v>
      </c>
      <c r="AB1328">
        <v>26312233</v>
      </c>
      <c r="AC1328" t="s">
        <v>67</v>
      </c>
      <c r="AD1328" t="s">
        <v>61</v>
      </c>
      <c r="AE1328" t="s">
        <v>61</v>
      </c>
      <c r="AF1328" t="s">
        <v>61</v>
      </c>
      <c r="AG1328" t="s">
        <v>10911</v>
      </c>
      <c r="AH1328" t="s">
        <v>61</v>
      </c>
      <c r="AI1328" t="s">
        <v>10912</v>
      </c>
      <c r="AJ1328" t="s">
        <v>61</v>
      </c>
      <c r="AK1328" t="s">
        <v>61</v>
      </c>
      <c r="AL1328" t="s">
        <v>61</v>
      </c>
      <c r="AM1328" t="s">
        <v>10913</v>
      </c>
      <c r="AN1328" t="s">
        <v>61</v>
      </c>
      <c r="AO1328" t="s">
        <v>61</v>
      </c>
      <c r="AP1328" t="s">
        <v>61</v>
      </c>
      <c r="AQ1328" t="s">
        <v>61</v>
      </c>
      <c r="AR1328" t="s">
        <v>61</v>
      </c>
      <c r="AS1328" t="s">
        <v>61</v>
      </c>
      <c r="AT1328" t="s">
        <v>61</v>
      </c>
      <c r="AU1328" t="s">
        <v>61</v>
      </c>
      <c r="AV1328" t="s">
        <v>61</v>
      </c>
      <c r="AW1328" t="s">
        <v>61</v>
      </c>
      <c r="AX1328" t="s">
        <v>61</v>
      </c>
      <c r="AY1328" t="s">
        <v>61</v>
      </c>
      <c r="AZ1328" t="s">
        <v>61</v>
      </c>
      <c r="BA1328" t="s">
        <v>61</v>
      </c>
      <c r="BB1328" t="s">
        <v>61</v>
      </c>
      <c r="BC1328" t="s">
        <v>61</v>
      </c>
      <c r="BD1328" t="s">
        <v>61</v>
      </c>
      <c r="BE1328" t="s">
        <v>61</v>
      </c>
      <c r="BF1328" t="s">
        <v>61</v>
      </c>
    </row>
    <row r="1329" spans="1:58">
      <c r="A1329" t="s">
        <v>58</v>
      </c>
      <c r="B1329" t="s">
        <v>10914</v>
      </c>
      <c r="C1329" t="s">
        <v>10915</v>
      </c>
      <c r="D1329" t="s">
        <v>8899</v>
      </c>
      <c r="E1329" t="s">
        <v>61</v>
      </c>
      <c r="F1329">
        <v>2014</v>
      </c>
      <c r="G1329" t="s">
        <v>61</v>
      </c>
      <c r="H1329">
        <v>61</v>
      </c>
      <c r="I1329">
        <v>3</v>
      </c>
      <c r="J1329">
        <v>56</v>
      </c>
      <c r="K1329" t="s">
        <v>10916</v>
      </c>
      <c r="L1329" t="s">
        <v>10917</v>
      </c>
      <c r="M1329" t="s">
        <v>61</v>
      </c>
      <c r="N1329" t="s">
        <v>10918</v>
      </c>
      <c r="O1329" t="s">
        <v>61</v>
      </c>
      <c r="Q1329" t="s">
        <v>61</v>
      </c>
      <c r="R1329" t="s">
        <v>61</v>
      </c>
      <c r="S1329" t="s">
        <v>61</v>
      </c>
      <c r="T1329" t="s">
        <v>61</v>
      </c>
      <c r="X1329" t="s">
        <v>61</v>
      </c>
      <c r="Y1329" t="s">
        <v>8903</v>
      </c>
      <c r="Z1329" t="s">
        <v>61</v>
      </c>
      <c r="AA1329" t="s">
        <v>61</v>
      </c>
      <c r="AB1329">
        <v>99148564</v>
      </c>
      <c r="AC1329" t="s">
        <v>67</v>
      </c>
      <c r="AD1329" t="s">
        <v>61</v>
      </c>
      <c r="AE1329" t="s">
        <v>61</v>
      </c>
      <c r="AF1329" t="s">
        <v>61</v>
      </c>
      <c r="AG1329" t="s">
        <v>10919</v>
      </c>
      <c r="AH1329" t="s">
        <v>61</v>
      </c>
      <c r="AI1329" t="s">
        <v>61</v>
      </c>
      <c r="AJ1329" t="s">
        <v>61</v>
      </c>
      <c r="AK1329" t="s">
        <v>61</v>
      </c>
      <c r="AL1329" t="s">
        <v>61</v>
      </c>
      <c r="AM1329" t="s">
        <v>10920</v>
      </c>
      <c r="AN1329" t="s">
        <v>61</v>
      </c>
      <c r="AO1329" t="s">
        <v>61</v>
      </c>
      <c r="AP1329" t="s">
        <v>61</v>
      </c>
      <c r="AQ1329" t="s">
        <v>61</v>
      </c>
      <c r="AR1329" t="s">
        <v>61</v>
      </c>
      <c r="AS1329" t="s">
        <v>61</v>
      </c>
      <c r="AT1329" t="s">
        <v>61</v>
      </c>
      <c r="AU1329" t="s">
        <v>61</v>
      </c>
      <c r="AV1329" t="s">
        <v>61</v>
      </c>
      <c r="AW1329" t="s">
        <v>61</v>
      </c>
      <c r="AX1329" t="s">
        <v>61</v>
      </c>
      <c r="AY1329" t="s">
        <v>61</v>
      </c>
      <c r="AZ1329" t="s">
        <v>61</v>
      </c>
      <c r="BA1329" t="s">
        <v>61</v>
      </c>
      <c r="BB1329" t="s">
        <v>61</v>
      </c>
      <c r="BC1329" t="s">
        <v>61</v>
      </c>
      <c r="BD1329" t="s">
        <v>61</v>
      </c>
      <c r="BE1329" t="s">
        <v>61</v>
      </c>
      <c r="BF1329" t="s">
        <v>61</v>
      </c>
    </row>
    <row r="1330" spans="1:58">
      <c r="A1330" t="s">
        <v>58</v>
      </c>
      <c r="B1330" t="s">
        <v>10921</v>
      </c>
      <c r="C1330" t="s">
        <v>10922</v>
      </c>
      <c r="D1330" t="s">
        <v>10923</v>
      </c>
      <c r="E1330" t="s">
        <v>61</v>
      </c>
      <c r="F1330">
        <v>2013</v>
      </c>
      <c r="G1330" t="s">
        <v>61</v>
      </c>
      <c r="H1330">
        <v>29</v>
      </c>
      <c r="I1330">
        <v>11</v>
      </c>
      <c r="J1330">
        <v>360</v>
      </c>
      <c r="K1330" t="s">
        <v>10924</v>
      </c>
      <c r="L1330" t="s">
        <v>10925</v>
      </c>
      <c r="M1330" t="s">
        <v>10926</v>
      </c>
      <c r="N1330" t="s">
        <v>10927</v>
      </c>
      <c r="O1330" t="s">
        <v>61</v>
      </c>
      <c r="Q1330" t="s">
        <v>61</v>
      </c>
      <c r="R1330" t="s">
        <v>61</v>
      </c>
      <c r="S1330" t="s">
        <v>61</v>
      </c>
      <c r="T1330" t="s">
        <v>61</v>
      </c>
      <c r="X1330" t="s">
        <v>61</v>
      </c>
      <c r="Y1330" t="s">
        <v>10928</v>
      </c>
      <c r="Z1330" t="s">
        <v>61</v>
      </c>
      <c r="AA1330" t="s">
        <v>10929</v>
      </c>
      <c r="AB1330">
        <v>104143482</v>
      </c>
      <c r="AC1330" t="s">
        <v>67</v>
      </c>
      <c r="AD1330" t="s">
        <v>61</v>
      </c>
      <c r="AE1330" t="s">
        <v>61</v>
      </c>
      <c r="AF1330" t="s">
        <v>61</v>
      </c>
      <c r="AG1330" t="s">
        <v>10930</v>
      </c>
      <c r="AH1330" t="s">
        <v>61</v>
      </c>
      <c r="AI1330" t="s">
        <v>10931</v>
      </c>
      <c r="AJ1330" t="s">
        <v>61</v>
      </c>
      <c r="AK1330" t="s">
        <v>61</v>
      </c>
      <c r="AL1330" t="s">
        <v>61</v>
      </c>
      <c r="AM1330" t="s">
        <v>10932</v>
      </c>
      <c r="AN1330" t="s">
        <v>61</v>
      </c>
      <c r="AO1330" t="s">
        <v>61</v>
      </c>
      <c r="AP1330" t="s">
        <v>61</v>
      </c>
      <c r="AQ1330" t="s">
        <v>61</v>
      </c>
      <c r="AR1330" t="s">
        <v>61</v>
      </c>
      <c r="AS1330" t="s">
        <v>61</v>
      </c>
      <c r="AT1330" t="s">
        <v>61</v>
      </c>
      <c r="AU1330" t="s">
        <v>61</v>
      </c>
      <c r="AV1330" t="s">
        <v>61</v>
      </c>
      <c r="AW1330" t="s">
        <v>61</v>
      </c>
      <c r="AX1330" t="s">
        <v>61</v>
      </c>
      <c r="AY1330" t="s">
        <v>61</v>
      </c>
      <c r="AZ1330" t="s">
        <v>61</v>
      </c>
      <c r="BA1330" t="s">
        <v>61</v>
      </c>
      <c r="BB1330" t="s">
        <v>61</v>
      </c>
      <c r="BC1330" t="s">
        <v>61</v>
      </c>
      <c r="BD1330" t="s">
        <v>61</v>
      </c>
      <c r="BE1330" t="s">
        <v>61</v>
      </c>
      <c r="BF1330" t="s">
        <v>61</v>
      </c>
    </row>
    <row r="1331" spans="1:58">
      <c r="A1331" t="s">
        <v>58</v>
      </c>
      <c r="B1331" t="s">
        <v>10933</v>
      </c>
      <c r="C1331" t="s">
        <v>10934</v>
      </c>
      <c r="D1331" t="s">
        <v>1894</v>
      </c>
      <c r="E1331" t="s">
        <v>1895</v>
      </c>
      <c r="F1331">
        <v>2003</v>
      </c>
      <c r="G1331" t="s">
        <v>61</v>
      </c>
      <c r="H1331">
        <v>136</v>
      </c>
      <c r="I1331">
        <v>2</v>
      </c>
      <c r="J1331">
        <v>28</v>
      </c>
      <c r="K1331">
        <v>32</v>
      </c>
      <c r="L1331" t="s">
        <v>10935</v>
      </c>
      <c r="M1331" t="s">
        <v>10936</v>
      </c>
      <c r="N1331" t="s">
        <v>10937</v>
      </c>
      <c r="O1331" t="s">
        <v>61</v>
      </c>
      <c r="Q1331" t="s">
        <v>61</v>
      </c>
      <c r="R1331" t="s">
        <v>61</v>
      </c>
      <c r="S1331" t="s">
        <v>61</v>
      </c>
      <c r="T1331" t="s">
        <v>61</v>
      </c>
      <c r="X1331" t="s">
        <v>61</v>
      </c>
      <c r="Y1331" t="s">
        <v>1899</v>
      </c>
      <c r="Z1331" t="s">
        <v>61</v>
      </c>
      <c r="AA1331" t="s">
        <v>61</v>
      </c>
      <c r="AB1331">
        <v>2003196511</v>
      </c>
      <c r="AC1331" t="s">
        <v>67</v>
      </c>
      <c r="AD1331" t="s">
        <v>61</v>
      </c>
      <c r="AE1331" t="s">
        <v>61</v>
      </c>
      <c r="AF1331" t="s">
        <v>61</v>
      </c>
      <c r="AG1331" t="s">
        <v>61</v>
      </c>
      <c r="AH1331" t="s">
        <v>61</v>
      </c>
      <c r="AI1331" t="s">
        <v>61</v>
      </c>
      <c r="AJ1331" t="s">
        <v>61</v>
      </c>
      <c r="AK1331" t="s">
        <v>61</v>
      </c>
      <c r="AL1331" t="s">
        <v>61</v>
      </c>
      <c r="AM1331" t="s">
        <v>10934</v>
      </c>
      <c r="AN1331" t="s">
        <v>61</v>
      </c>
      <c r="AO1331" t="s">
        <v>61</v>
      </c>
      <c r="AP1331" t="s">
        <v>61</v>
      </c>
      <c r="AQ1331" t="s">
        <v>61</v>
      </c>
      <c r="AR1331" t="s">
        <v>61</v>
      </c>
      <c r="AS1331" t="s">
        <v>61</v>
      </c>
      <c r="AT1331" t="s">
        <v>61</v>
      </c>
      <c r="AU1331" t="s">
        <v>61</v>
      </c>
      <c r="AV1331" t="s">
        <v>61</v>
      </c>
      <c r="AW1331" t="s">
        <v>61</v>
      </c>
      <c r="AX1331" t="s">
        <v>61</v>
      </c>
      <c r="AY1331" t="s">
        <v>61</v>
      </c>
      <c r="AZ1331" t="s">
        <v>61</v>
      </c>
      <c r="BA1331" t="s">
        <v>61</v>
      </c>
      <c r="BB1331" t="s">
        <v>61</v>
      </c>
      <c r="BC1331" t="s">
        <v>61</v>
      </c>
      <c r="BD1331" t="s">
        <v>61</v>
      </c>
      <c r="BE1331" t="s">
        <v>61</v>
      </c>
      <c r="BF1331" t="s">
        <v>61</v>
      </c>
    </row>
    <row r="1332" spans="1:58">
      <c r="A1332" t="s">
        <v>58</v>
      </c>
      <c r="B1332" t="s">
        <v>10938</v>
      </c>
      <c r="C1332" t="s">
        <v>10939</v>
      </c>
      <c r="D1332" t="s">
        <v>1287</v>
      </c>
      <c r="E1332" t="s">
        <v>1288</v>
      </c>
      <c r="F1332">
        <v>2001</v>
      </c>
      <c r="G1332" t="s">
        <v>1152</v>
      </c>
      <c r="H1332">
        <v>23</v>
      </c>
      <c r="I1332">
        <v>9</v>
      </c>
      <c r="J1332">
        <v>1355</v>
      </c>
      <c r="K1332">
        <v>1390</v>
      </c>
      <c r="L1332" t="s">
        <v>10940</v>
      </c>
      <c r="M1332" t="s">
        <v>10941</v>
      </c>
      <c r="N1332" t="s">
        <v>10942</v>
      </c>
      <c r="O1332" t="s">
        <v>61</v>
      </c>
      <c r="Q1332" t="s">
        <v>61</v>
      </c>
      <c r="R1332" t="s">
        <v>61</v>
      </c>
      <c r="S1332" t="s">
        <v>61</v>
      </c>
      <c r="T1332" t="s">
        <v>61</v>
      </c>
      <c r="X1332" t="s">
        <v>61</v>
      </c>
      <c r="Y1332" t="s">
        <v>1293</v>
      </c>
      <c r="Z1332" t="s">
        <v>61</v>
      </c>
      <c r="AA1332" t="s">
        <v>10943</v>
      </c>
      <c r="AB1332">
        <v>11589254</v>
      </c>
      <c r="AC1332" t="s">
        <v>67</v>
      </c>
      <c r="AD1332" t="s">
        <v>61</v>
      </c>
      <c r="AE1332" t="s">
        <v>61</v>
      </c>
      <c r="AF1332" t="s">
        <v>61</v>
      </c>
      <c r="AG1332" t="s">
        <v>10944</v>
      </c>
      <c r="AH1332" t="s">
        <v>61</v>
      </c>
      <c r="AI1332" t="s">
        <v>61</v>
      </c>
      <c r="AJ1332" t="s">
        <v>61</v>
      </c>
      <c r="AK1332" t="s">
        <v>61</v>
      </c>
      <c r="AL1332" t="s">
        <v>61</v>
      </c>
      <c r="AM1332" t="s">
        <v>10945</v>
      </c>
      <c r="AN1332" t="s">
        <v>61</v>
      </c>
      <c r="AO1332" t="s">
        <v>61</v>
      </c>
      <c r="AP1332" t="s">
        <v>61</v>
      </c>
      <c r="AQ1332" t="s">
        <v>61</v>
      </c>
      <c r="AR1332" t="s">
        <v>61</v>
      </c>
      <c r="AS1332" t="s">
        <v>61</v>
      </c>
      <c r="AT1332" t="s">
        <v>61</v>
      </c>
      <c r="AU1332" t="s">
        <v>61</v>
      </c>
      <c r="AV1332" t="s">
        <v>61</v>
      </c>
      <c r="AW1332" t="s">
        <v>61</v>
      </c>
      <c r="AX1332" t="s">
        <v>61</v>
      </c>
      <c r="AY1332" t="s">
        <v>61</v>
      </c>
      <c r="AZ1332" t="s">
        <v>61</v>
      </c>
      <c r="BA1332" t="s">
        <v>61</v>
      </c>
      <c r="BB1332" t="s">
        <v>61</v>
      </c>
      <c r="BC1332" t="s">
        <v>61</v>
      </c>
      <c r="BD1332" t="s">
        <v>61</v>
      </c>
      <c r="BE1332" t="s">
        <v>61</v>
      </c>
      <c r="BF1332" t="s">
        <v>61</v>
      </c>
    </row>
    <row r="1333" spans="1:58">
      <c r="A1333" t="s">
        <v>58</v>
      </c>
      <c r="B1333" t="s">
        <v>10946</v>
      </c>
      <c r="C1333" t="s">
        <v>10947</v>
      </c>
      <c r="D1333" t="s">
        <v>10948</v>
      </c>
      <c r="E1333" t="s">
        <v>61</v>
      </c>
      <c r="F1333">
        <v>2014</v>
      </c>
      <c r="G1333" t="s">
        <v>391</v>
      </c>
      <c r="H1333">
        <v>11</v>
      </c>
      <c r="I1333">
        <v>3</v>
      </c>
      <c r="J1333" t="s">
        <v>10949</v>
      </c>
      <c r="K1333" t="s">
        <v>61</v>
      </c>
      <c r="L1333" t="s">
        <v>10950</v>
      </c>
      <c r="M1333" t="s">
        <v>10951</v>
      </c>
      <c r="N1333" t="s">
        <v>10952</v>
      </c>
      <c r="O1333" t="s">
        <v>61</v>
      </c>
      <c r="Q1333" t="s">
        <v>61</v>
      </c>
      <c r="R1333" t="s">
        <v>61</v>
      </c>
      <c r="S1333" t="s">
        <v>61</v>
      </c>
      <c r="T1333" t="s">
        <v>61</v>
      </c>
      <c r="X1333" t="s">
        <v>61</v>
      </c>
      <c r="Y1333" t="s">
        <v>10953</v>
      </c>
      <c r="Z1333" t="s">
        <v>61</v>
      </c>
      <c r="AA1333" t="s">
        <v>10954</v>
      </c>
      <c r="AB1333">
        <v>24618831</v>
      </c>
      <c r="AC1333" t="s">
        <v>67</v>
      </c>
      <c r="AD1333" t="s">
        <v>61</v>
      </c>
      <c r="AE1333" t="s">
        <v>61</v>
      </c>
      <c r="AF1333" t="s">
        <v>61</v>
      </c>
      <c r="AG1333" t="s">
        <v>10955</v>
      </c>
      <c r="AH1333" t="s">
        <v>61</v>
      </c>
      <c r="AI1333" t="s">
        <v>10956</v>
      </c>
      <c r="AJ1333" t="s">
        <v>61</v>
      </c>
      <c r="AK1333" t="s">
        <v>61</v>
      </c>
      <c r="AL1333" t="s">
        <v>61</v>
      </c>
      <c r="AM1333" t="s">
        <v>10957</v>
      </c>
      <c r="AN1333" t="s">
        <v>61</v>
      </c>
      <c r="AO1333" t="s">
        <v>61</v>
      </c>
      <c r="AP1333" t="s">
        <v>61</v>
      </c>
      <c r="AQ1333" t="s">
        <v>61</v>
      </c>
      <c r="AR1333" t="s">
        <v>61</v>
      </c>
      <c r="AS1333" t="s">
        <v>61</v>
      </c>
      <c r="AT1333" t="s">
        <v>61</v>
      </c>
      <c r="AU1333" t="s">
        <v>61</v>
      </c>
      <c r="AV1333" t="s">
        <v>61</v>
      </c>
      <c r="AW1333" t="s">
        <v>61</v>
      </c>
      <c r="AX1333" t="s">
        <v>61</v>
      </c>
      <c r="AY1333" t="s">
        <v>61</v>
      </c>
      <c r="AZ1333" t="s">
        <v>61</v>
      </c>
      <c r="BA1333" t="s">
        <v>61</v>
      </c>
      <c r="BB1333" t="s">
        <v>61</v>
      </c>
      <c r="BC1333" t="s">
        <v>61</v>
      </c>
      <c r="BD1333" t="s">
        <v>61</v>
      </c>
      <c r="BE1333" t="s">
        <v>61</v>
      </c>
      <c r="BF1333" t="s">
        <v>61</v>
      </c>
    </row>
    <row r="1334" spans="1:58">
      <c r="A1334" t="s">
        <v>58</v>
      </c>
      <c r="B1334" t="s">
        <v>10958</v>
      </c>
      <c r="C1334" t="s">
        <v>10959</v>
      </c>
      <c r="D1334" t="s">
        <v>1637</v>
      </c>
      <c r="E1334" t="s">
        <v>1638</v>
      </c>
      <c r="F1334">
        <v>1996</v>
      </c>
      <c r="G1334" t="s">
        <v>280</v>
      </c>
      <c r="H1334">
        <v>49</v>
      </c>
      <c r="I1334">
        <v>6</v>
      </c>
      <c r="J1334">
        <v>282</v>
      </c>
      <c r="K1334">
        <v>288</v>
      </c>
      <c r="L1334" t="s">
        <v>10960</v>
      </c>
      <c r="M1334" t="s">
        <v>10961</v>
      </c>
      <c r="N1334" t="s">
        <v>10962</v>
      </c>
      <c r="O1334" t="s">
        <v>61</v>
      </c>
      <c r="Q1334" t="s">
        <v>61</v>
      </c>
      <c r="R1334" t="s">
        <v>61</v>
      </c>
      <c r="S1334" t="s">
        <v>61</v>
      </c>
      <c r="T1334" t="s">
        <v>61</v>
      </c>
      <c r="X1334" t="s">
        <v>61</v>
      </c>
      <c r="Y1334" s="2">
        <v>812148</v>
      </c>
      <c r="Z1334" t="s">
        <v>61</v>
      </c>
      <c r="AA1334" t="s">
        <v>61</v>
      </c>
      <c r="AB1334">
        <v>1997051460</v>
      </c>
      <c r="AC1334" t="s">
        <v>67</v>
      </c>
      <c r="AD1334" t="s">
        <v>61</v>
      </c>
      <c r="AE1334" t="s">
        <v>61</v>
      </c>
      <c r="AF1334" t="s">
        <v>61</v>
      </c>
      <c r="AG1334" t="s">
        <v>61</v>
      </c>
      <c r="AH1334" t="s">
        <v>61</v>
      </c>
      <c r="AI1334" t="s">
        <v>61</v>
      </c>
      <c r="AJ1334" t="s">
        <v>61</v>
      </c>
      <c r="AK1334" t="s">
        <v>61</v>
      </c>
      <c r="AL1334" t="s">
        <v>61</v>
      </c>
      <c r="AM1334" t="s">
        <v>10959</v>
      </c>
      <c r="AN1334" t="s">
        <v>61</v>
      </c>
      <c r="AO1334" t="s">
        <v>61</v>
      </c>
      <c r="AP1334" t="s">
        <v>61</v>
      </c>
      <c r="AQ1334" t="s">
        <v>61</v>
      </c>
      <c r="AR1334" t="s">
        <v>61</v>
      </c>
      <c r="AS1334" t="s">
        <v>61</v>
      </c>
      <c r="AT1334" t="s">
        <v>61</v>
      </c>
      <c r="AU1334" t="s">
        <v>61</v>
      </c>
      <c r="AV1334" t="s">
        <v>61</v>
      </c>
      <c r="AW1334" t="s">
        <v>61</v>
      </c>
      <c r="AX1334" t="s">
        <v>61</v>
      </c>
      <c r="AY1334" t="s">
        <v>61</v>
      </c>
      <c r="AZ1334" t="s">
        <v>61</v>
      </c>
      <c r="BA1334" t="s">
        <v>61</v>
      </c>
      <c r="BB1334" t="s">
        <v>61</v>
      </c>
      <c r="BC1334" t="s">
        <v>61</v>
      </c>
      <c r="BD1334" t="s">
        <v>61</v>
      </c>
      <c r="BE1334" t="s">
        <v>61</v>
      </c>
      <c r="BF1334" t="s">
        <v>61</v>
      </c>
    </row>
    <row r="1335" spans="1:58">
      <c r="A1335" t="s">
        <v>58</v>
      </c>
      <c r="B1335" t="s">
        <v>10963</v>
      </c>
      <c r="C1335" t="s">
        <v>10964</v>
      </c>
      <c r="D1335" t="s">
        <v>8851</v>
      </c>
      <c r="E1335" t="s">
        <v>8851</v>
      </c>
      <c r="F1335">
        <v>2013</v>
      </c>
      <c r="G1335" t="s">
        <v>645</v>
      </c>
      <c r="H1335" t="s">
        <v>10965</v>
      </c>
      <c r="I1335" t="s">
        <v>61</v>
      </c>
      <c r="J1335" t="s">
        <v>61</v>
      </c>
      <c r="K1335" t="s">
        <v>61</v>
      </c>
      <c r="L1335" t="s">
        <v>10966</v>
      </c>
      <c r="M1335" t="s">
        <v>10967</v>
      </c>
      <c r="N1335" t="s">
        <v>10968</v>
      </c>
      <c r="O1335" t="s">
        <v>61</v>
      </c>
      <c r="Q1335" t="s">
        <v>61</v>
      </c>
      <c r="R1335" t="s">
        <v>61</v>
      </c>
      <c r="S1335" t="s">
        <v>61</v>
      </c>
      <c r="T1335" t="s">
        <v>61</v>
      </c>
      <c r="X1335" t="s">
        <v>61</v>
      </c>
      <c r="Y1335" s="2">
        <v>654852</v>
      </c>
      <c r="Z1335" t="s">
        <v>61</v>
      </c>
      <c r="AA1335" t="s">
        <v>61</v>
      </c>
      <c r="AB1335" t="s">
        <v>61</v>
      </c>
      <c r="AC1335" t="s">
        <v>67</v>
      </c>
      <c r="AD1335" t="s">
        <v>61</v>
      </c>
      <c r="AE1335" t="s">
        <v>61</v>
      </c>
      <c r="AF1335" t="s">
        <v>61</v>
      </c>
      <c r="AG1335" t="s">
        <v>61</v>
      </c>
      <c r="AH1335" t="s">
        <v>61</v>
      </c>
      <c r="AI1335" t="s">
        <v>61</v>
      </c>
      <c r="AJ1335" t="s">
        <v>61</v>
      </c>
      <c r="AK1335" t="s">
        <v>61</v>
      </c>
      <c r="AL1335" t="s">
        <v>61</v>
      </c>
      <c r="AM1335" t="s">
        <v>10964</v>
      </c>
      <c r="AN1335" t="s">
        <v>61</v>
      </c>
      <c r="AO1335" t="s">
        <v>61</v>
      </c>
      <c r="AP1335" t="s">
        <v>61</v>
      </c>
      <c r="AQ1335" t="s">
        <v>61</v>
      </c>
      <c r="AR1335" t="s">
        <v>61</v>
      </c>
      <c r="AS1335" t="s">
        <v>61</v>
      </c>
      <c r="AT1335" t="s">
        <v>61</v>
      </c>
      <c r="AU1335" t="s">
        <v>61</v>
      </c>
      <c r="AV1335" t="s">
        <v>61</v>
      </c>
      <c r="AW1335" t="s">
        <v>61</v>
      </c>
      <c r="AX1335" t="s">
        <v>61</v>
      </c>
      <c r="AY1335" t="s">
        <v>61</v>
      </c>
      <c r="AZ1335" t="s">
        <v>61</v>
      </c>
      <c r="BA1335" t="s">
        <v>61</v>
      </c>
      <c r="BB1335" t="s">
        <v>61</v>
      </c>
      <c r="BC1335" t="s">
        <v>61</v>
      </c>
      <c r="BD1335" t="s">
        <v>61</v>
      </c>
      <c r="BE1335" t="s">
        <v>61</v>
      </c>
      <c r="BF1335" t="s">
        <v>61</v>
      </c>
    </row>
    <row r="1336" spans="1:58">
      <c r="A1336" t="s">
        <v>58</v>
      </c>
      <c r="B1336" t="s">
        <v>10969</v>
      </c>
      <c r="C1336" t="s">
        <v>10970</v>
      </c>
      <c r="D1336" t="s">
        <v>2716</v>
      </c>
      <c r="E1336" t="s">
        <v>61</v>
      </c>
      <c r="F1336">
        <v>2015</v>
      </c>
      <c r="G1336" t="s">
        <v>559</v>
      </c>
      <c r="H1336">
        <v>18</v>
      </c>
      <c r="I1336">
        <v>3</v>
      </c>
      <c r="J1336" t="s">
        <v>10971</v>
      </c>
      <c r="K1336" t="s">
        <v>61</v>
      </c>
      <c r="L1336" t="s">
        <v>10972</v>
      </c>
      <c r="M1336" t="s">
        <v>10973</v>
      </c>
      <c r="N1336" t="s">
        <v>10974</v>
      </c>
      <c r="O1336" t="s">
        <v>61</v>
      </c>
      <c r="Q1336" t="s">
        <v>61</v>
      </c>
      <c r="R1336" t="s">
        <v>61</v>
      </c>
      <c r="S1336" t="s">
        <v>61</v>
      </c>
      <c r="T1336" t="s">
        <v>61</v>
      </c>
      <c r="X1336" t="s">
        <v>61</v>
      </c>
      <c r="Y1336" t="s">
        <v>2721</v>
      </c>
      <c r="Z1336" t="s">
        <v>61</v>
      </c>
      <c r="AA1336" t="s">
        <v>61</v>
      </c>
      <c r="AB1336" t="s">
        <v>61</v>
      </c>
      <c r="AC1336" t="s">
        <v>67</v>
      </c>
      <c r="AD1336" t="s">
        <v>61</v>
      </c>
      <c r="AE1336" t="s">
        <v>61</v>
      </c>
      <c r="AF1336" t="s">
        <v>61</v>
      </c>
      <c r="AG1336" t="s">
        <v>61</v>
      </c>
      <c r="AH1336" t="s">
        <v>61</v>
      </c>
      <c r="AI1336" t="s">
        <v>61</v>
      </c>
      <c r="AJ1336" t="s">
        <v>61</v>
      </c>
      <c r="AK1336" t="s">
        <v>61</v>
      </c>
      <c r="AL1336" t="s">
        <v>61</v>
      </c>
      <c r="AM1336" t="s">
        <v>10970</v>
      </c>
      <c r="AN1336" t="s">
        <v>61</v>
      </c>
      <c r="AO1336" t="s">
        <v>61</v>
      </c>
      <c r="AP1336" t="s">
        <v>61</v>
      </c>
      <c r="AQ1336" t="s">
        <v>61</v>
      </c>
      <c r="AR1336" t="s">
        <v>61</v>
      </c>
      <c r="AS1336" t="s">
        <v>61</v>
      </c>
      <c r="AT1336" t="s">
        <v>61</v>
      </c>
      <c r="AU1336" t="s">
        <v>61</v>
      </c>
      <c r="AV1336" t="s">
        <v>61</v>
      </c>
      <c r="AW1336" t="s">
        <v>61</v>
      </c>
      <c r="AX1336" t="s">
        <v>61</v>
      </c>
      <c r="AY1336" t="s">
        <v>61</v>
      </c>
      <c r="AZ1336" t="s">
        <v>61</v>
      </c>
      <c r="BA1336" t="s">
        <v>61</v>
      </c>
      <c r="BB1336" t="s">
        <v>61</v>
      </c>
      <c r="BC1336" t="s">
        <v>61</v>
      </c>
      <c r="BD1336" t="s">
        <v>61</v>
      </c>
      <c r="BE1336" t="s">
        <v>61</v>
      </c>
      <c r="BF1336" t="s">
        <v>61</v>
      </c>
    </row>
    <row r="1337" spans="1:58">
      <c r="A1337" t="s">
        <v>58</v>
      </c>
      <c r="B1337" t="s">
        <v>10975</v>
      </c>
      <c r="C1337" t="s">
        <v>10976</v>
      </c>
      <c r="D1337" t="s">
        <v>5500</v>
      </c>
      <c r="E1337" t="s">
        <v>61</v>
      </c>
      <c r="F1337">
        <v>2007</v>
      </c>
      <c r="G1337" t="s">
        <v>61</v>
      </c>
      <c r="H1337">
        <v>2</v>
      </c>
      <c r="I1337">
        <v>6</v>
      </c>
      <c r="J1337" t="s">
        <v>10977</v>
      </c>
      <c r="K1337" t="s">
        <v>61</v>
      </c>
      <c r="L1337" t="s">
        <v>10978</v>
      </c>
      <c r="M1337" t="s">
        <v>10979</v>
      </c>
      <c r="N1337" t="s">
        <v>10980</v>
      </c>
      <c r="O1337" t="s">
        <v>61</v>
      </c>
      <c r="Q1337" t="s">
        <v>61</v>
      </c>
      <c r="R1337" t="s">
        <v>61</v>
      </c>
      <c r="S1337" t="s">
        <v>61</v>
      </c>
      <c r="T1337" t="s">
        <v>61</v>
      </c>
      <c r="X1337" t="s">
        <v>61</v>
      </c>
      <c r="Y1337" t="s">
        <v>5505</v>
      </c>
      <c r="Z1337" t="s">
        <v>61</v>
      </c>
      <c r="AA1337" t="s">
        <v>10981</v>
      </c>
      <c r="AB1337">
        <v>17565377</v>
      </c>
      <c r="AC1337" t="s">
        <v>67</v>
      </c>
      <c r="AD1337" t="s">
        <v>61</v>
      </c>
      <c r="AE1337" t="s">
        <v>61</v>
      </c>
      <c r="AF1337" t="s">
        <v>61</v>
      </c>
      <c r="AG1337" t="s">
        <v>10982</v>
      </c>
      <c r="AH1337" t="s">
        <v>61</v>
      </c>
      <c r="AI1337" t="s">
        <v>61</v>
      </c>
      <c r="AJ1337" t="s">
        <v>61</v>
      </c>
      <c r="AK1337" t="s">
        <v>61</v>
      </c>
      <c r="AL1337" t="s">
        <v>61</v>
      </c>
      <c r="AM1337" t="s">
        <v>10983</v>
      </c>
      <c r="AN1337" t="s">
        <v>61</v>
      </c>
      <c r="AO1337" t="s">
        <v>61</v>
      </c>
      <c r="AP1337" t="s">
        <v>61</v>
      </c>
      <c r="AQ1337" t="s">
        <v>61</v>
      </c>
      <c r="AR1337" t="s">
        <v>61</v>
      </c>
      <c r="AS1337" t="s">
        <v>61</v>
      </c>
      <c r="AT1337" t="s">
        <v>61</v>
      </c>
      <c r="AU1337" t="s">
        <v>61</v>
      </c>
      <c r="AV1337" t="s">
        <v>61</v>
      </c>
      <c r="AW1337" t="s">
        <v>61</v>
      </c>
      <c r="AX1337" t="s">
        <v>61</v>
      </c>
      <c r="AY1337" t="s">
        <v>61</v>
      </c>
      <c r="AZ1337" t="s">
        <v>61</v>
      </c>
      <c r="BA1337" t="s">
        <v>61</v>
      </c>
      <c r="BB1337" t="s">
        <v>61</v>
      </c>
      <c r="BC1337" t="s">
        <v>61</v>
      </c>
      <c r="BD1337" t="s">
        <v>61</v>
      </c>
      <c r="BE1337" t="s">
        <v>61</v>
      </c>
      <c r="BF1337" t="s">
        <v>61</v>
      </c>
    </row>
    <row r="1338" spans="1:58">
      <c r="A1338" t="s">
        <v>58</v>
      </c>
      <c r="B1338" t="s">
        <v>10984</v>
      </c>
      <c r="C1338" t="s">
        <v>10985</v>
      </c>
      <c r="D1338" t="s">
        <v>821</v>
      </c>
      <c r="E1338" t="s">
        <v>61</v>
      </c>
      <c r="F1338">
        <v>2006</v>
      </c>
      <c r="G1338" t="s">
        <v>1152</v>
      </c>
      <c r="H1338">
        <v>38</v>
      </c>
      <c r="I1338">
        <v>5</v>
      </c>
      <c r="J1338">
        <v>316</v>
      </c>
      <c r="K1338">
        <v>319</v>
      </c>
      <c r="L1338" t="s">
        <v>10986</v>
      </c>
      <c r="M1338" t="s">
        <v>10987</v>
      </c>
      <c r="N1338" t="s">
        <v>10988</v>
      </c>
      <c r="O1338" t="s">
        <v>61</v>
      </c>
      <c r="Q1338" t="s">
        <v>61</v>
      </c>
      <c r="R1338" t="s">
        <v>61</v>
      </c>
      <c r="S1338" t="s">
        <v>61</v>
      </c>
      <c r="T1338" t="s">
        <v>61</v>
      </c>
      <c r="X1338" t="s">
        <v>61</v>
      </c>
      <c r="Y1338" t="s">
        <v>827</v>
      </c>
      <c r="Z1338" t="s">
        <v>61</v>
      </c>
      <c r="AA1338" t="s">
        <v>61</v>
      </c>
      <c r="AB1338">
        <v>2006500452</v>
      </c>
      <c r="AC1338" t="s">
        <v>67</v>
      </c>
      <c r="AD1338" t="s">
        <v>61</v>
      </c>
      <c r="AE1338" t="s">
        <v>61</v>
      </c>
      <c r="AF1338" t="s">
        <v>61</v>
      </c>
      <c r="AG1338" t="s">
        <v>61</v>
      </c>
      <c r="AH1338" t="s">
        <v>61</v>
      </c>
      <c r="AI1338" t="s">
        <v>61</v>
      </c>
      <c r="AJ1338" t="s">
        <v>61</v>
      </c>
      <c r="AK1338" t="s">
        <v>61</v>
      </c>
      <c r="AL1338" t="s">
        <v>61</v>
      </c>
      <c r="AM1338" t="s">
        <v>10985</v>
      </c>
      <c r="AN1338" t="s">
        <v>61</v>
      </c>
      <c r="AO1338" t="s">
        <v>61</v>
      </c>
      <c r="AP1338" t="s">
        <v>61</v>
      </c>
      <c r="AQ1338" t="s">
        <v>61</v>
      </c>
      <c r="AR1338" t="s">
        <v>61</v>
      </c>
      <c r="AS1338" t="s">
        <v>61</v>
      </c>
      <c r="AT1338" t="s">
        <v>61</v>
      </c>
      <c r="AU1338" t="s">
        <v>61</v>
      </c>
      <c r="AV1338" t="s">
        <v>61</v>
      </c>
      <c r="AW1338" t="s">
        <v>61</v>
      </c>
      <c r="AX1338" t="s">
        <v>61</v>
      </c>
      <c r="AY1338" t="s">
        <v>61</v>
      </c>
      <c r="AZ1338" t="s">
        <v>61</v>
      </c>
      <c r="BA1338" t="s">
        <v>61</v>
      </c>
      <c r="BB1338" t="s">
        <v>61</v>
      </c>
      <c r="BC1338" t="s">
        <v>61</v>
      </c>
      <c r="BD1338" t="s">
        <v>61</v>
      </c>
      <c r="BE1338" t="s">
        <v>61</v>
      </c>
      <c r="BF1338" t="s">
        <v>61</v>
      </c>
    </row>
    <row r="1339" spans="1:58">
      <c r="A1339" t="s">
        <v>58</v>
      </c>
      <c r="B1339" t="s">
        <v>10989</v>
      </c>
      <c r="C1339" t="s">
        <v>10990</v>
      </c>
      <c r="D1339" t="s">
        <v>1600</v>
      </c>
      <c r="E1339" t="s">
        <v>1601</v>
      </c>
      <c r="F1339">
        <v>2010</v>
      </c>
      <c r="G1339" s="1">
        <v>42475</v>
      </c>
      <c r="H1339">
        <v>67</v>
      </c>
      <c r="I1339">
        <v>8</v>
      </c>
      <c r="J1339">
        <v>753</v>
      </c>
      <c r="K1339">
        <v>760</v>
      </c>
      <c r="L1339" t="s">
        <v>10991</v>
      </c>
      <c r="M1339" t="s">
        <v>10992</v>
      </c>
      <c r="N1339" t="s">
        <v>10993</v>
      </c>
      <c r="O1339" t="s">
        <v>61</v>
      </c>
      <c r="Q1339" t="s">
        <v>61</v>
      </c>
      <c r="R1339" t="s">
        <v>61</v>
      </c>
      <c r="S1339" t="s">
        <v>61</v>
      </c>
      <c r="T1339" t="s">
        <v>61</v>
      </c>
      <c r="X1339" t="s">
        <v>61</v>
      </c>
      <c r="Y1339" t="s">
        <v>10994</v>
      </c>
      <c r="Z1339" t="s">
        <v>61</v>
      </c>
      <c r="AA1339" t="s">
        <v>10995</v>
      </c>
      <c r="AB1339">
        <v>20189166</v>
      </c>
      <c r="AC1339" t="s">
        <v>67</v>
      </c>
      <c r="AD1339" t="s">
        <v>61</v>
      </c>
      <c r="AE1339" t="s">
        <v>61</v>
      </c>
      <c r="AF1339" t="s">
        <v>61</v>
      </c>
      <c r="AG1339" t="s">
        <v>10996</v>
      </c>
      <c r="AH1339" t="s">
        <v>61</v>
      </c>
      <c r="AI1339" t="s">
        <v>10997</v>
      </c>
      <c r="AJ1339" t="s">
        <v>61</v>
      </c>
      <c r="AK1339" t="s">
        <v>61</v>
      </c>
      <c r="AL1339" t="s">
        <v>61</v>
      </c>
      <c r="AM1339" t="s">
        <v>10998</v>
      </c>
      <c r="AN1339" t="s">
        <v>61</v>
      </c>
      <c r="AO1339" t="s">
        <v>61</v>
      </c>
      <c r="AP1339" t="s">
        <v>61</v>
      </c>
      <c r="AQ1339" t="s">
        <v>61</v>
      </c>
      <c r="AR1339" t="s">
        <v>61</v>
      </c>
      <c r="AS1339" t="s">
        <v>61</v>
      </c>
      <c r="AT1339" t="s">
        <v>61</v>
      </c>
      <c r="AU1339" t="s">
        <v>61</v>
      </c>
      <c r="AV1339" t="s">
        <v>61</v>
      </c>
      <c r="AW1339" t="s">
        <v>61</v>
      </c>
      <c r="AX1339" t="s">
        <v>61</v>
      </c>
      <c r="AY1339" t="s">
        <v>61</v>
      </c>
      <c r="AZ1339" t="s">
        <v>61</v>
      </c>
      <c r="BA1339" t="s">
        <v>61</v>
      </c>
      <c r="BB1339" t="s">
        <v>61</v>
      </c>
      <c r="BC1339" t="s">
        <v>61</v>
      </c>
      <c r="BD1339" t="s">
        <v>61</v>
      </c>
      <c r="BE1339" t="s">
        <v>61</v>
      </c>
      <c r="BF1339" t="s">
        <v>61</v>
      </c>
    </row>
    <row r="1340" spans="1:58">
      <c r="A1340" t="s">
        <v>58</v>
      </c>
      <c r="B1340" t="s">
        <v>10999</v>
      </c>
      <c r="C1340" t="s">
        <v>11000</v>
      </c>
      <c r="D1340" t="s">
        <v>11001</v>
      </c>
      <c r="E1340" t="s">
        <v>61</v>
      </c>
      <c r="F1340">
        <v>2012</v>
      </c>
      <c r="G1340">
        <v>15</v>
      </c>
      <c r="H1340">
        <v>7</v>
      </c>
      <c r="I1340">
        <v>4</v>
      </c>
      <c r="J1340">
        <v>135</v>
      </c>
      <c r="K1340">
        <v>140</v>
      </c>
      <c r="L1340" t="s">
        <v>11002</v>
      </c>
      <c r="M1340" t="s">
        <v>11003</v>
      </c>
      <c r="N1340" t="s">
        <v>11004</v>
      </c>
      <c r="O1340" t="s">
        <v>61</v>
      </c>
      <c r="Q1340" t="s">
        <v>61</v>
      </c>
      <c r="R1340" t="s">
        <v>61</v>
      </c>
      <c r="S1340" t="s">
        <v>61</v>
      </c>
      <c r="T1340" t="s">
        <v>61</v>
      </c>
      <c r="X1340" t="s">
        <v>61</v>
      </c>
      <c r="Y1340" t="s">
        <v>11005</v>
      </c>
      <c r="Z1340" t="s">
        <v>61</v>
      </c>
      <c r="AA1340" t="s">
        <v>61</v>
      </c>
      <c r="AB1340" t="s">
        <v>11006</v>
      </c>
      <c r="AC1340" t="s">
        <v>67</v>
      </c>
      <c r="AD1340" t="s">
        <v>61</v>
      </c>
      <c r="AE1340" t="s">
        <v>61</v>
      </c>
      <c r="AF1340" t="s">
        <v>61</v>
      </c>
      <c r="AG1340" t="s">
        <v>61</v>
      </c>
      <c r="AH1340" t="s">
        <v>61</v>
      </c>
      <c r="AI1340" t="s">
        <v>61</v>
      </c>
      <c r="AJ1340" t="s">
        <v>61</v>
      </c>
      <c r="AK1340" t="s">
        <v>61</v>
      </c>
      <c r="AL1340" t="s">
        <v>61</v>
      </c>
      <c r="AM1340" t="s">
        <v>11000</v>
      </c>
      <c r="AN1340" t="s">
        <v>61</v>
      </c>
      <c r="AO1340" t="s">
        <v>61</v>
      </c>
      <c r="AP1340" t="s">
        <v>61</v>
      </c>
      <c r="AQ1340" t="s">
        <v>61</v>
      </c>
      <c r="AR1340" t="s">
        <v>61</v>
      </c>
      <c r="AS1340" t="s">
        <v>61</v>
      </c>
      <c r="AT1340" t="s">
        <v>61</v>
      </c>
      <c r="AU1340" t="s">
        <v>61</v>
      </c>
      <c r="AV1340" t="s">
        <v>61</v>
      </c>
      <c r="AW1340" t="s">
        <v>61</v>
      </c>
      <c r="AX1340" t="s">
        <v>61</v>
      </c>
      <c r="AY1340" t="s">
        <v>61</v>
      </c>
      <c r="AZ1340" t="s">
        <v>61</v>
      </c>
      <c r="BA1340" t="s">
        <v>61</v>
      </c>
      <c r="BB1340" t="s">
        <v>61</v>
      </c>
      <c r="BC1340" t="s">
        <v>61</v>
      </c>
      <c r="BD1340" t="s">
        <v>61</v>
      </c>
      <c r="BE1340" t="s">
        <v>61</v>
      </c>
      <c r="BF1340" t="s">
        <v>61</v>
      </c>
    </row>
    <row r="1341" spans="1:58">
      <c r="A1341" t="s">
        <v>58</v>
      </c>
      <c r="B1341" t="s">
        <v>11007</v>
      </c>
      <c r="C1341" t="s">
        <v>11008</v>
      </c>
      <c r="D1341" t="s">
        <v>408</v>
      </c>
      <c r="E1341" t="s">
        <v>408</v>
      </c>
      <c r="F1341">
        <v>2013</v>
      </c>
      <c r="G1341" t="s">
        <v>645</v>
      </c>
      <c r="H1341">
        <v>33</v>
      </c>
      <c r="I1341">
        <v>10</v>
      </c>
      <c r="J1341" t="s">
        <v>11009</v>
      </c>
      <c r="K1341" t="s">
        <v>11010</v>
      </c>
      <c r="L1341" t="s">
        <v>11011</v>
      </c>
      <c r="M1341" t="s">
        <v>11012</v>
      </c>
      <c r="N1341" t="s">
        <v>11013</v>
      </c>
      <c r="O1341" t="s">
        <v>61</v>
      </c>
      <c r="Q1341" t="s">
        <v>61</v>
      </c>
      <c r="R1341" t="s">
        <v>61</v>
      </c>
      <c r="S1341" t="s">
        <v>61</v>
      </c>
      <c r="T1341" t="s">
        <v>61</v>
      </c>
      <c r="X1341" t="s">
        <v>61</v>
      </c>
      <c r="Y1341" t="s">
        <v>414</v>
      </c>
      <c r="Z1341" t="s">
        <v>61</v>
      </c>
      <c r="AA1341" t="s">
        <v>61</v>
      </c>
      <c r="AB1341" t="s">
        <v>61</v>
      </c>
      <c r="AC1341" t="s">
        <v>67</v>
      </c>
      <c r="AD1341" t="s">
        <v>61</v>
      </c>
      <c r="AE1341" t="s">
        <v>61</v>
      </c>
      <c r="AF1341" t="s">
        <v>61</v>
      </c>
      <c r="AG1341" t="s">
        <v>61</v>
      </c>
      <c r="AH1341" t="s">
        <v>61</v>
      </c>
      <c r="AI1341" t="s">
        <v>61</v>
      </c>
      <c r="AJ1341" t="s">
        <v>61</v>
      </c>
      <c r="AK1341" t="s">
        <v>61</v>
      </c>
      <c r="AL1341" t="s">
        <v>61</v>
      </c>
      <c r="AM1341" t="s">
        <v>11008</v>
      </c>
      <c r="AN1341" t="s">
        <v>61</v>
      </c>
      <c r="AO1341" t="s">
        <v>61</v>
      </c>
      <c r="AP1341" t="s">
        <v>61</v>
      </c>
      <c r="AQ1341" t="s">
        <v>61</v>
      </c>
      <c r="AR1341" t="s">
        <v>61</v>
      </c>
      <c r="AS1341" t="s">
        <v>61</v>
      </c>
      <c r="AT1341" t="s">
        <v>61</v>
      </c>
      <c r="AU1341" t="s">
        <v>61</v>
      </c>
      <c r="AV1341" t="s">
        <v>61</v>
      </c>
      <c r="AW1341" t="s">
        <v>61</v>
      </c>
      <c r="AX1341" t="s">
        <v>61</v>
      </c>
      <c r="AY1341" t="s">
        <v>61</v>
      </c>
      <c r="AZ1341" t="s">
        <v>61</v>
      </c>
      <c r="BA1341" t="s">
        <v>61</v>
      </c>
      <c r="BB1341" t="s">
        <v>61</v>
      </c>
      <c r="BC1341" t="s">
        <v>61</v>
      </c>
      <c r="BD1341" t="s">
        <v>61</v>
      </c>
      <c r="BE1341" t="s">
        <v>61</v>
      </c>
      <c r="BF1341" t="s">
        <v>61</v>
      </c>
    </row>
    <row r="1342" spans="1:58">
      <c r="A1342" t="s">
        <v>58</v>
      </c>
      <c r="B1342" t="s">
        <v>11014</v>
      </c>
      <c r="C1342" t="s">
        <v>11015</v>
      </c>
      <c r="D1342" t="s">
        <v>1621</v>
      </c>
      <c r="E1342" t="s">
        <v>1622</v>
      </c>
      <c r="F1342">
        <v>1981</v>
      </c>
      <c r="G1342" t="s">
        <v>61</v>
      </c>
      <c r="H1342">
        <v>28</v>
      </c>
      <c r="I1342" t="s">
        <v>61</v>
      </c>
      <c r="J1342">
        <v>194</v>
      </c>
      <c r="K1342">
        <v>213</v>
      </c>
      <c r="L1342" t="s">
        <v>11016</v>
      </c>
      <c r="M1342" t="s">
        <v>11017</v>
      </c>
      <c r="N1342" t="s">
        <v>11018</v>
      </c>
      <c r="O1342" t="s">
        <v>61</v>
      </c>
      <c r="Q1342" t="s">
        <v>61</v>
      </c>
      <c r="R1342" t="s">
        <v>61</v>
      </c>
      <c r="S1342" t="s">
        <v>61</v>
      </c>
      <c r="T1342" t="s">
        <v>61</v>
      </c>
      <c r="X1342" t="s">
        <v>61</v>
      </c>
      <c r="Y1342" t="s">
        <v>1625</v>
      </c>
      <c r="Z1342" t="s">
        <v>61</v>
      </c>
      <c r="AA1342" t="s">
        <v>61</v>
      </c>
      <c r="AB1342">
        <v>6791005</v>
      </c>
      <c r="AC1342" t="s">
        <v>67</v>
      </c>
      <c r="AD1342" t="s">
        <v>61</v>
      </c>
      <c r="AE1342" t="s">
        <v>61</v>
      </c>
      <c r="AF1342" t="s">
        <v>61</v>
      </c>
      <c r="AG1342" t="s">
        <v>11019</v>
      </c>
      <c r="AH1342" t="s">
        <v>61</v>
      </c>
      <c r="AI1342" t="s">
        <v>61</v>
      </c>
      <c r="AJ1342" t="s">
        <v>61</v>
      </c>
      <c r="AK1342" t="s">
        <v>61</v>
      </c>
      <c r="AL1342" t="s">
        <v>61</v>
      </c>
      <c r="AM1342" t="s">
        <v>11020</v>
      </c>
      <c r="AN1342" t="s">
        <v>61</v>
      </c>
      <c r="AO1342" t="s">
        <v>61</v>
      </c>
      <c r="AP1342" t="s">
        <v>61</v>
      </c>
      <c r="AQ1342" t="s">
        <v>61</v>
      </c>
      <c r="AR1342" t="s">
        <v>61</v>
      </c>
      <c r="AS1342" t="s">
        <v>61</v>
      </c>
      <c r="AT1342" t="s">
        <v>61</v>
      </c>
      <c r="AU1342" t="s">
        <v>61</v>
      </c>
      <c r="AV1342" t="s">
        <v>61</v>
      </c>
      <c r="AW1342" t="s">
        <v>61</v>
      </c>
      <c r="AX1342" t="s">
        <v>61</v>
      </c>
      <c r="AY1342" t="s">
        <v>61</v>
      </c>
      <c r="AZ1342" t="s">
        <v>61</v>
      </c>
      <c r="BA1342" t="s">
        <v>61</v>
      </c>
      <c r="BB1342" t="s">
        <v>61</v>
      </c>
      <c r="BC1342" t="s">
        <v>61</v>
      </c>
      <c r="BD1342" t="s">
        <v>61</v>
      </c>
      <c r="BE1342" t="s">
        <v>61</v>
      </c>
      <c r="BF1342" t="s">
        <v>61</v>
      </c>
    </row>
    <row r="1343" spans="1:58">
      <c r="A1343" t="s">
        <v>58</v>
      </c>
      <c r="B1343" t="s">
        <v>11021</v>
      </c>
      <c r="C1343" t="s">
        <v>11022</v>
      </c>
      <c r="D1343" t="s">
        <v>8887</v>
      </c>
      <c r="E1343" t="s">
        <v>61</v>
      </c>
      <c r="F1343">
        <v>2016</v>
      </c>
      <c r="G1343">
        <v>1</v>
      </c>
      <c r="H1343">
        <v>41</v>
      </c>
      <c r="I1343">
        <v>2</v>
      </c>
      <c r="J1343">
        <v>39</v>
      </c>
      <c r="K1343">
        <v>42</v>
      </c>
      <c r="L1343" t="s">
        <v>11023</v>
      </c>
      <c r="M1343" t="s">
        <v>11024</v>
      </c>
      <c r="N1343" t="s">
        <v>11025</v>
      </c>
      <c r="O1343" t="s">
        <v>61</v>
      </c>
      <c r="Q1343" t="s">
        <v>61</v>
      </c>
      <c r="R1343" t="s">
        <v>61</v>
      </c>
      <c r="S1343" t="s">
        <v>61</v>
      </c>
      <c r="T1343" t="s">
        <v>61</v>
      </c>
      <c r="X1343" t="s">
        <v>61</v>
      </c>
      <c r="Y1343" t="s">
        <v>8891</v>
      </c>
      <c r="Z1343" t="s">
        <v>61</v>
      </c>
      <c r="AA1343" t="s">
        <v>61</v>
      </c>
      <c r="AB1343">
        <v>20160148978</v>
      </c>
      <c r="AC1343" t="s">
        <v>67</v>
      </c>
      <c r="AD1343" t="s">
        <v>61</v>
      </c>
      <c r="AE1343" t="s">
        <v>61</v>
      </c>
      <c r="AF1343" t="s">
        <v>61</v>
      </c>
      <c r="AG1343" t="s">
        <v>61</v>
      </c>
      <c r="AH1343" t="s">
        <v>61</v>
      </c>
      <c r="AI1343" t="s">
        <v>61</v>
      </c>
      <c r="AJ1343" t="s">
        <v>61</v>
      </c>
      <c r="AK1343" t="s">
        <v>61</v>
      </c>
      <c r="AL1343" t="s">
        <v>61</v>
      </c>
      <c r="AM1343" t="s">
        <v>11022</v>
      </c>
      <c r="AN1343" t="s">
        <v>61</v>
      </c>
      <c r="AO1343" t="s">
        <v>61</v>
      </c>
      <c r="AP1343" t="s">
        <v>61</v>
      </c>
      <c r="AQ1343" t="s">
        <v>61</v>
      </c>
      <c r="AR1343" t="s">
        <v>61</v>
      </c>
      <c r="AS1343" t="s">
        <v>61</v>
      </c>
      <c r="AT1343" t="s">
        <v>61</v>
      </c>
      <c r="AU1343" t="s">
        <v>61</v>
      </c>
      <c r="AV1343" t="s">
        <v>61</v>
      </c>
      <c r="AW1343" t="s">
        <v>61</v>
      </c>
      <c r="AX1343" t="s">
        <v>61</v>
      </c>
      <c r="AY1343" t="s">
        <v>61</v>
      </c>
      <c r="AZ1343" t="s">
        <v>61</v>
      </c>
      <c r="BA1343" t="s">
        <v>61</v>
      </c>
      <c r="BB1343" t="s">
        <v>61</v>
      </c>
      <c r="BC1343" t="s">
        <v>61</v>
      </c>
      <c r="BD1343" t="s">
        <v>61</v>
      </c>
      <c r="BE1343" t="s">
        <v>61</v>
      </c>
      <c r="BF1343" t="s">
        <v>61</v>
      </c>
    </row>
    <row r="1344" spans="1:58">
      <c r="A1344" t="s">
        <v>58</v>
      </c>
      <c r="B1344" t="s">
        <v>11026</v>
      </c>
      <c r="C1344" t="s">
        <v>11027</v>
      </c>
      <c r="D1344" t="s">
        <v>1739</v>
      </c>
      <c r="E1344" t="s">
        <v>1740</v>
      </c>
      <c r="F1344">
        <v>1988</v>
      </c>
      <c r="G1344" t="s">
        <v>129</v>
      </c>
      <c r="H1344">
        <v>45</v>
      </c>
      <c r="I1344">
        <v>10</v>
      </c>
      <c r="J1344">
        <v>2092</v>
      </c>
      <c r="K1344">
        <v>2098</v>
      </c>
      <c r="L1344" t="s">
        <v>11028</v>
      </c>
      <c r="M1344" t="s">
        <v>11029</v>
      </c>
      <c r="N1344" t="s">
        <v>11030</v>
      </c>
      <c r="O1344" t="s">
        <v>61</v>
      </c>
      <c r="Q1344" t="s">
        <v>61</v>
      </c>
      <c r="R1344" t="s">
        <v>61</v>
      </c>
      <c r="S1344" t="s">
        <v>61</v>
      </c>
      <c r="T1344" t="s">
        <v>61</v>
      </c>
      <c r="X1344" t="s">
        <v>61</v>
      </c>
      <c r="Y1344" s="2">
        <v>2698811</v>
      </c>
      <c r="Z1344" t="s">
        <v>61</v>
      </c>
      <c r="AA1344" t="s">
        <v>11031</v>
      </c>
      <c r="AB1344">
        <v>3228080</v>
      </c>
      <c r="AC1344" t="s">
        <v>67</v>
      </c>
      <c r="AD1344" t="s">
        <v>61</v>
      </c>
      <c r="AE1344" t="s">
        <v>61</v>
      </c>
      <c r="AF1344" t="s">
        <v>61</v>
      </c>
      <c r="AG1344" t="s">
        <v>11032</v>
      </c>
      <c r="AH1344" t="s">
        <v>61</v>
      </c>
      <c r="AI1344" t="s">
        <v>61</v>
      </c>
      <c r="AJ1344" t="s">
        <v>61</v>
      </c>
      <c r="AK1344" t="s">
        <v>61</v>
      </c>
      <c r="AL1344" t="s">
        <v>61</v>
      </c>
      <c r="AM1344" t="s">
        <v>11033</v>
      </c>
      <c r="AN1344" t="s">
        <v>61</v>
      </c>
      <c r="AO1344" t="s">
        <v>61</v>
      </c>
      <c r="AP1344" t="s">
        <v>61</v>
      </c>
      <c r="AQ1344" t="s">
        <v>61</v>
      </c>
      <c r="AR1344" t="s">
        <v>61</v>
      </c>
      <c r="AS1344" t="s">
        <v>61</v>
      </c>
      <c r="AT1344" t="s">
        <v>61</v>
      </c>
      <c r="AU1344" t="s">
        <v>61</v>
      </c>
      <c r="AV1344" t="s">
        <v>61</v>
      </c>
      <c r="AW1344" t="s">
        <v>61</v>
      </c>
      <c r="AX1344" t="s">
        <v>61</v>
      </c>
      <c r="AY1344" t="s">
        <v>61</v>
      </c>
      <c r="AZ1344" t="s">
        <v>61</v>
      </c>
      <c r="BA1344" t="s">
        <v>61</v>
      </c>
      <c r="BB1344" t="s">
        <v>61</v>
      </c>
      <c r="BC1344" t="s">
        <v>61</v>
      </c>
      <c r="BD1344" t="s">
        <v>61</v>
      </c>
      <c r="BE1344" t="s">
        <v>61</v>
      </c>
      <c r="BF1344" t="s">
        <v>61</v>
      </c>
    </row>
    <row r="1345" spans="1:58">
      <c r="A1345" t="s">
        <v>58</v>
      </c>
      <c r="B1345" t="s">
        <v>11034</v>
      </c>
      <c r="C1345" t="s">
        <v>11035</v>
      </c>
      <c r="D1345" t="s">
        <v>4114</v>
      </c>
      <c r="E1345" t="s">
        <v>61</v>
      </c>
      <c r="F1345">
        <v>2014</v>
      </c>
      <c r="G1345" t="s">
        <v>119</v>
      </c>
      <c r="H1345">
        <v>20</v>
      </c>
      <c r="I1345">
        <v>6</v>
      </c>
      <c r="J1345">
        <v>579</v>
      </c>
      <c r="K1345">
        <v>587</v>
      </c>
      <c r="L1345" t="s">
        <v>11036</v>
      </c>
      <c r="M1345" t="s">
        <v>11037</v>
      </c>
      <c r="N1345" t="s">
        <v>11038</v>
      </c>
      <c r="O1345" t="s">
        <v>61</v>
      </c>
      <c r="Q1345" t="s">
        <v>61</v>
      </c>
      <c r="R1345" t="s">
        <v>61</v>
      </c>
      <c r="S1345" t="s">
        <v>61</v>
      </c>
      <c r="T1345" t="s">
        <v>61</v>
      </c>
      <c r="X1345" t="s">
        <v>61</v>
      </c>
      <c r="Y1345" t="s">
        <v>4117</v>
      </c>
      <c r="Z1345" t="s">
        <v>61</v>
      </c>
      <c r="AA1345" t="s">
        <v>11039</v>
      </c>
      <c r="AB1345">
        <v>24856596</v>
      </c>
      <c r="AC1345" t="s">
        <v>67</v>
      </c>
      <c r="AD1345" t="s">
        <v>61</v>
      </c>
      <c r="AE1345" t="s">
        <v>61</v>
      </c>
      <c r="AF1345" t="s">
        <v>61</v>
      </c>
      <c r="AG1345" t="s">
        <v>11040</v>
      </c>
      <c r="AH1345" t="s">
        <v>61</v>
      </c>
      <c r="AI1345" t="s">
        <v>61</v>
      </c>
      <c r="AJ1345" t="s">
        <v>61</v>
      </c>
      <c r="AK1345" t="s">
        <v>61</v>
      </c>
      <c r="AL1345" t="s">
        <v>61</v>
      </c>
      <c r="AM1345" t="s">
        <v>11041</v>
      </c>
      <c r="AN1345" t="s">
        <v>61</v>
      </c>
      <c r="AO1345" t="s">
        <v>61</v>
      </c>
      <c r="AP1345" t="s">
        <v>61</v>
      </c>
      <c r="AQ1345" t="s">
        <v>61</v>
      </c>
      <c r="AR1345" t="s">
        <v>61</v>
      </c>
      <c r="AS1345" t="s">
        <v>61</v>
      </c>
      <c r="AT1345" t="s">
        <v>61</v>
      </c>
      <c r="AU1345" t="s">
        <v>61</v>
      </c>
      <c r="AV1345" t="s">
        <v>61</v>
      </c>
      <c r="AW1345" t="s">
        <v>61</v>
      </c>
      <c r="AX1345" t="s">
        <v>61</v>
      </c>
      <c r="AY1345" t="s">
        <v>61</v>
      </c>
      <c r="AZ1345" t="s">
        <v>61</v>
      </c>
      <c r="BA1345" t="s">
        <v>61</v>
      </c>
      <c r="BB1345" t="s">
        <v>61</v>
      </c>
      <c r="BC1345" t="s">
        <v>61</v>
      </c>
      <c r="BD1345" t="s">
        <v>61</v>
      </c>
      <c r="BE1345" t="s">
        <v>61</v>
      </c>
      <c r="BF1345" t="s">
        <v>61</v>
      </c>
    </row>
    <row r="1346" spans="1:58">
      <c r="A1346" t="s">
        <v>58</v>
      </c>
      <c r="B1346" t="s">
        <v>11042</v>
      </c>
      <c r="C1346" t="s">
        <v>11043</v>
      </c>
      <c r="D1346" t="s">
        <v>3798</v>
      </c>
      <c r="E1346" t="s">
        <v>61</v>
      </c>
      <c r="F1346">
        <v>1993</v>
      </c>
      <c r="G1346" t="s">
        <v>61</v>
      </c>
      <c r="H1346">
        <v>10</v>
      </c>
      <c r="I1346">
        <v>4</v>
      </c>
      <c r="J1346">
        <v>163</v>
      </c>
      <c r="K1346">
        <v>170</v>
      </c>
      <c r="L1346" t="s">
        <v>11044</v>
      </c>
      <c r="M1346" t="s">
        <v>11045</v>
      </c>
      <c r="N1346" t="s">
        <v>11046</v>
      </c>
      <c r="O1346" t="s">
        <v>61</v>
      </c>
      <c r="Q1346" t="s">
        <v>61</v>
      </c>
      <c r="R1346" t="s">
        <v>61</v>
      </c>
      <c r="S1346" t="s">
        <v>61</v>
      </c>
      <c r="T1346" t="s">
        <v>61</v>
      </c>
      <c r="X1346" t="s">
        <v>61</v>
      </c>
      <c r="Y1346" t="s">
        <v>3802</v>
      </c>
      <c r="Z1346" t="s">
        <v>61</v>
      </c>
      <c r="AA1346" t="s">
        <v>61</v>
      </c>
      <c r="AB1346">
        <v>1994089904</v>
      </c>
      <c r="AC1346" t="s">
        <v>67</v>
      </c>
      <c r="AD1346" t="s">
        <v>61</v>
      </c>
      <c r="AE1346" t="s">
        <v>61</v>
      </c>
      <c r="AF1346" t="s">
        <v>61</v>
      </c>
      <c r="AG1346" t="s">
        <v>61</v>
      </c>
      <c r="AH1346" t="s">
        <v>61</v>
      </c>
      <c r="AI1346" t="s">
        <v>61</v>
      </c>
      <c r="AJ1346" t="s">
        <v>61</v>
      </c>
      <c r="AK1346" t="s">
        <v>61</v>
      </c>
      <c r="AL1346" t="s">
        <v>61</v>
      </c>
      <c r="AM1346" t="s">
        <v>11043</v>
      </c>
      <c r="AN1346" t="s">
        <v>61</v>
      </c>
      <c r="AO1346" t="s">
        <v>61</v>
      </c>
      <c r="AP1346" t="s">
        <v>61</v>
      </c>
      <c r="AQ1346" t="s">
        <v>61</v>
      </c>
      <c r="AR1346" t="s">
        <v>61</v>
      </c>
      <c r="AS1346" t="s">
        <v>61</v>
      </c>
      <c r="AT1346" t="s">
        <v>61</v>
      </c>
      <c r="AU1346" t="s">
        <v>61</v>
      </c>
      <c r="AV1346" t="s">
        <v>61</v>
      </c>
      <c r="AW1346" t="s">
        <v>61</v>
      </c>
      <c r="AX1346" t="s">
        <v>61</v>
      </c>
      <c r="AY1346" t="s">
        <v>61</v>
      </c>
      <c r="AZ1346" t="s">
        <v>61</v>
      </c>
      <c r="BA1346" t="s">
        <v>61</v>
      </c>
      <c r="BB1346" t="s">
        <v>61</v>
      </c>
      <c r="BC1346" t="s">
        <v>61</v>
      </c>
      <c r="BD1346" t="s">
        <v>61</v>
      </c>
      <c r="BE1346" t="s">
        <v>61</v>
      </c>
      <c r="BF1346" t="s">
        <v>61</v>
      </c>
    </row>
    <row r="1347" spans="1:58">
      <c r="A1347" t="s">
        <v>58</v>
      </c>
      <c r="B1347" t="s">
        <v>11047</v>
      </c>
      <c r="C1347" t="s">
        <v>11048</v>
      </c>
      <c r="D1347" t="s">
        <v>3422</v>
      </c>
      <c r="E1347" t="s">
        <v>3423</v>
      </c>
      <c r="F1347">
        <v>1994</v>
      </c>
      <c r="G1347" t="s">
        <v>851</v>
      </c>
      <c r="H1347">
        <v>28</v>
      </c>
      <c r="I1347">
        <v>6</v>
      </c>
      <c r="J1347">
        <v>492</v>
      </c>
      <c r="K1347">
        <v>500</v>
      </c>
      <c r="L1347" t="s">
        <v>11049</v>
      </c>
      <c r="M1347" t="s">
        <v>11050</v>
      </c>
      <c r="N1347" t="s">
        <v>11051</v>
      </c>
      <c r="O1347" t="s">
        <v>61</v>
      </c>
      <c r="Q1347" t="s">
        <v>61</v>
      </c>
      <c r="R1347" t="s">
        <v>61</v>
      </c>
      <c r="S1347" t="s">
        <v>61</v>
      </c>
      <c r="T1347" t="s">
        <v>61</v>
      </c>
      <c r="X1347" t="s">
        <v>61</v>
      </c>
      <c r="Y1347" t="s">
        <v>3428</v>
      </c>
      <c r="Z1347" t="s">
        <v>61</v>
      </c>
      <c r="AA1347" t="s">
        <v>11052</v>
      </c>
      <c r="AB1347">
        <v>7862010</v>
      </c>
      <c r="AC1347" t="s">
        <v>67</v>
      </c>
      <c r="AD1347" t="s">
        <v>61</v>
      </c>
      <c r="AE1347" t="s">
        <v>61</v>
      </c>
      <c r="AF1347" t="s">
        <v>61</v>
      </c>
      <c r="AG1347" t="s">
        <v>11053</v>
      </c>
      <c r="AH1347" t="s">
        <v>61</v>
      </c>
      <c r="AI1347" t="s">
        <v>61</v>
      </c>
      <c r="AJ1347" t="s">
        <v>61</v>
      </c>
      <c r="AK1347" t="s">
        <v>61</v>
      </c>
      <c r="AL1347" t="s">
        <v>61</v>
      </c>
      <c r="AM1347" t="s">
        <v>11054</v>
      </c>
      <c r="AN1347" t="s">
        <v>61</v>
      </c>
      <c r="AO1347" t="s">
        <v>61</v>
      </c>
      <c r="AP1347" t="s">
        <v>61</v>
      </c>
      <c r="AQ1347" t="s">
        <v>61</v>
      </c>
      <c r="AR1347" t="s">
        <v>61</v>
      </c>
      <c r="AS1347" t="s">
        <v>61</v>
      </c>
      <c r="AT1347" t="s">
        <v>61</v>
      </c>
      <c r="AU1347" t="s">
        <v>61</v>
      </c>
      <c r="AV1347" t="s">
        <v>61</v>
      </c>
      <c r="AW1347" t="s">
        <v>61</v>
      </c>
      <c r="AX1347" t="s">
        <v>61</v>
      </c>
      <c r="AY1347" t="s">
        <v>61</v>
      </c>
      <c r="AZ1347" t="s">
        <v>61</v>
      </c>
      <c r="BA1347" t="s">
        <v>61</v>
      </c>
      <c r="BB1347" t="s">
        <v>61</v>
      </c>
      <c r="BC1347" t="s">
        <v>61</v>
      </c>
      <c r="BD1347" t="s">
        <v>61</v>
      </c>
      <c r="BE1347" t="s">
        <v>61</v>
      </c>
      <c r="BF1347" t="s">
        <v>61</v>
      </c>
    </row>
    <row r="1348" spans="1:58">
      <c r="A1348" t="s">
        <v>58</v>
      </c>
      <c r="B1348" t="s">
        <v>11055</v>
      </c>
      <c r="C1348" t="s">
        <v>11056</v>
      </c>
      <c r="D1348" t="s">
        <v>11057</v>
      </c>
      <c r="E1348" t="s">
        <v>61</v>
      </c>
      <c r="F1348">
        <v>1998</v>
      </c>
      <c r="G1348" t="s">
        <v>61</v>
      </c>
      <c r="H1348">
        <v>7</v>
      </c>
      <c r="I1348">
        <v>2</v>
      </c>
      <c r="J1348">
        <v>203</v>
      </c>
      <c r="K1348" t="s">
        <v>11058</v>
      </c>
      <c r="L1348" t="s">
        <v>11059</v>
      </c>
      <c r="M1348" t="s">
        <v>11060</v>
      </c>
      <c r="N1348" t="s">
        <v>11061</v>
      </c>
      <c r="O1348" t="s">
        <v>61</v>
      </c>
      <c r="Q1348" t="s">
        <v>61</v>
      </c>
      <c r="R1348" t="s">
        <v>61</v>
      </c>
      <c r="S1348" t="s">
        <v>61</v>
      </c>
      <c r="T1348" t="s">
        <v>61</v>
      </c>
      <c r="X1348" t="s">
        <v>61</v>
      </c>
      <c r="Y1348" t="s">
        <v>11062</v>
      </c>
      <c r="Z1348" t="s">
        <v>61</v>
      </c>
      <c r="AA1348" t="s">
        <v>61</v>
      </c>
      <c r="AB1348">
        <v>107166483</v>
      </c>
      <c r="AC1348" t="s">
        <v>67</v>
      </c>
      <c r="AD1348" t="s">
        <v>61</v>
      </c>
      <c r="AE1348" t="s">
        <v>61</v>
      </c>
      <c r="AF1348" t="s">
        <v>61</v>
      </c>
      <c r="AG1348" t="s">
        <v>11063</v>
      </c>
      <c r="AH1348" t="s">
        <v>61</v>
      </c>
      <c r="AI1348" t="s">
        <v>61</v>
      </c>
      <c r="AJ1348" t="s">
        <v>61</v>
      </c>
      <c r="AK1348" t="s">
        <v>61</v>
      </c>
      <c r="AL1348" t="s">
        <v>61</v>
      </c>
      <c r="AM1348" t="s">
        <v>11064</v>
      </c>
      <c r="AN1348" t="s">
        <v>61</v>
      </c>
      <c r="AO1348" t="s">
        <v>61</v>
      </c>
      <c r="AP1348" t="s">
        <v>61</v>
      </c>
      <c r="AQ1348" t="s">
        <v>61</v>
      </c>
      <c r="AR1348" t="s">
        <v>61</v>
      </c>
      <c r="AS1348" t="s">
        <v>61</v>
      </c>
      <c r="AT1348" t="s">
        <v>61</v>
      </c>
      <c r="AU1348" t="s">
        <v>61</v>
      </c>
      <c r="AV1348" t="s">
        <v>61</v>
      </c>
      <c r="AW1348" t="s">
        <v>61</v>
      </c>
      <c r="AX1348" t="s">
        <v>61</v>
      </c>
      <c r="AY1348" t="s">
        <v>61</v>
      </c>
      <c r="AZ1348" t="s">
        <v>61</v>
      </c>
      <c r="BA1348" t="s">
        <v>61</v>
      </c>
      <c r="BB1348" t="s">
        <v>61</v>
      </c>
      <c r="BC1348" t="s">
        <v>61</v>
      </c>
      <c r="BD1348" t="s">
        <v>61</v>
      </c>
      <c r="BE1348" t="s">
        <v>61</v>
      </c>
      <c r="BF1348" t="s">
        <v>61</v>
      </c>
    </row>
    <row r="1349" spans="1:58">
      <c r="A1349" t="s">
        <v>58</v>
      </c>
      <c r="B1349" t="s">
        <v>11065</v>
      </c>
      <c r="C1349" t="s">
        <v>11066</v>
      </c>
      <c r="D1349" t="s">
        <v>1000</v>
      </c>
      <c r="E1349" t="s">
        <v>1000</v>
      </c>
      <c r="F1349">
        <v>1997</v>
      </c>
      <c r="G1349" t="s">
        <v>280</v>
      </c>
      <c r="H1349">
        <v>92</v>
      </c>
      <c r="I1349">
        <v>12</v>
      </c>
      <c r="J1349">
        <v>1737</v>
      </c>
      <c r="K1349">
        <v>1748</v>
      </c>
      <c r="L1349" t="s">
        <v>11067</v>
      </c>
      <c r="M1349" t="s">
        <v>11068</v>
      </c>
      <c r="N1349" t="s">
        <v>11069</v>
      </c>
      <c r="O1349" t="s">
        <v>61</v>
      </c>
      <c r="Q1349" t="s">
        <v>61</v>
      </c>
      <c r="R1349" t="s">
        <v>61</v>
      </c>
      <c r="S1349" t="s">
        <v>61</v>
      </c>
      <c r="T1349" t="s">
        <v>61</v>
      </c>
      <c r="X1349" t="s">
        <v>61</v>
      </c>
      <c r="Y1349" t="s">
        <v>1004</v>
      </c>
      <c r="Z1349" t="s">
        <v>61</v>
      </c>
      <c r="AA1349" t="s">
        <v>11070</v>
      </c>
      <c r="AB1349">
        <v>9581006</v>
      </c>
      <c r="AC1349" t="s">
        <v>67</v>
      </c>
      <c r="AD1349" t="s">
        <v>61</v>
      </c>
      <c r="AE1349" t="s">
        <v>61</v>
      </c>
      <c r="AF1349" t="s">
        <v>61</v>
      </c>
      <c r="AG1349" t="s">
        <v>11071</v>
      </c>
      <c r="AH1349" t="s">
        <v>61</v>
      </c>
      <c r="AI1349" t="s">
        <v>61</v>
      </c>
      <c r="AJ1349" t="s">
        <v>61</v>
      </c>
      <c r="AK1349" t="s">
        <v>61</v>
      </c>
      <c r="AL1349" t="s">
        <v>61</v>
      </c>
      <c r="AM1349" t="s">
        <v>11072</v>
      </c>
      <c r="AN1349" t="s">
        <v>61</v>
      </c>
      <c r="AO1349" t="s">
        <v>61</v>
      </c>
      <c r="AP1349" t="s">
        <v>61</v>
      </c>
      <c r="AQ1349" t="s">
        <v>61</v>
      </c>
      <c r="AR1349" t="s">
        <v>61</v>
      </c>
      <c r="AS1349" t="s">
        <v>61</v>
      </c>
      <c r="AT1349" t="s">
        <v>61</v>
      </c>
      <c r="AU1349" t="s">
        <v>61</v>
      </c>
      <c r="AV1349" t="s">
        <v>61</v>
      </c>
      <c r="AW1349" t="s">
        <v>61</v>
      </c>
      <c r="AX1349" t="s">
        <v>61</v>
      </c>
      <c r="AY1349" t="s">
        <v>61</v>
      </c>
      <c r="AZ1349" t="s">
        <v>61</v>
      </c>
      <c r="BA1349" t="s">
        <v>61</v>
      </c>
      <c r="BB1349" t="s">
        <v>61</v>
      </c>
      <c r="BC1349" t="s">
        <v>61</v>
      </c>
      <c r="BD1349" t="s">
        <v>61</v>
      </c>
      <c r="BE1349" t="s">
        <v>61</v>
      </c>
      <c r="BF1349" t="s">
        <v>61</v>
      </c>
    </row>
    <row r="1350" spans="1:58">
      <c r="A1350" t="s">
        <v>58</v>
      </c>
      <c r="B1350" t="s">
        <v>11073</v>
      </c>
      <c r="C1350" t="s">
        <v>11074</v>
      </c>
      <c r="D1350" t="s">
        <v>1986</v>
      </c>
      <c r="E1350" t="s">
        <v>1987</v>
      </c>
      <c r="F1350">
        <v>2008</v>
      </c>
      <c r="G1350" t="s">
        <v>119</v>
      </c>
      <c r="H1350">
        <v>10</v>
      </c>
      <c r="I1350">
        <v>6</v>
      </c>
      <c r="J1350">
        <v>1037</v>
      </c>
      <c r="K1350">
        <v>1045</v>
      </c>
      <c r="L1350" t="s">
        <v>11075</v>
      </c>
      <c r="M1350" t="s">
        <v>11076</v>
      </c>
      <c r="N1350" t="s">
        <v>11077</v>
      </c>
      <c r="O1350" t="s">
        <v>61</v>
      </c>
      <c r="Q1350" t="s">
        <v>61</v>
      </c>
      <c r="R1350" t="s">
        <v>61</v>
      </c>
      <c r="S1350" t="s">
        <v>61</v>
      </c>
      <c r="T1350" t="s">
        <v>61</v>
      </c>
      <c r="X1350" t="s">
        <v>61</v>
      </c>
      <c r="Y1350" t="s">
        <v>5553</v>
      </c>
      <c r="Z1350" t="s">
        <v>61</v>
      </c>
      <c r="AA1350" t="s">
        <v>11078</v>
      </c>
      <c r="AB1350">
        <v>18584467</v>
      </c>
      <c r="AC1350" t="s">
        <v>67</v>
      </c>
      <c r="AD1350" t="s">
        <v>61</v>
      </c>
      <c r="AE1350" t="s">
        <v>61</v>
      </c>
      <c r="AF1350" t="s">
        <v>61</v>
      </c>
      <c r="AG1350" t="s">
        <v>11079</v>
      </c>
      <c r="AH1350" t="s">
        <v>61</v>
      </c>
      <c r="AI1350" t="s">
        <v>11080</v>
      </c>
      <c r="AJ1350" t="s">
        <v>61</v>
      </c>
      <c r="AK1350" t="s">
        <v>61</v>
      </c>
      <c r="AL1350" t="s">
        <v>61</v>
      </c>
      <c r="AM1350" t="s">
        <v>11081</v>
      </c>
      <c r="AN1350" t="s">
        <v>61</v>
      </c>
      <c r="AO1350" t="s">
        <v>61</v>
      </c>
      <c r="AP1350" t="s">
        <v>61</v>
      </c>
      <c r="AQ1350" t="s">
        <v>61</v>
      </c>
      <c r="AR1350" t="s">
        <v>61</v>
      </c>
      <c r="AS1350" t="s">
        <v>61</v>
      </c>
      <c r="AT1350" t="s">
        <v>61</v>
      </c>
      <c r="AU1350" t="s">
        <v>61</v>
      </c>
      <c r="AV1350" t="s">
        <v>61</v>
      </c>
      <c r="AW1350" t="s">
        <v>61</v>
      </c>
      <c r="AX1350" t="s">
        <v>61</v>
      </c>
      <c r="AY1350" t="s">
        <v>61</v>
      </c>
      <c r="AZ1350" t="s">
        <v>61</v>
      </c>
      <c r="BA1350" t="s">
        <v>61</v>
      </c>
      <c r="BB1350" t="s">
        <v>61</v>
      </c>
      <c r="BC1350" t="s">
        <v>61</v>
      </c>
      <c r="BD1350" t="s">
        <v>61</v>
      </c>
      <c r="BE1350" t="s">
        <v>61</v>
      </c>
      <c r="BF1350" t="s">
        <v>61</v>
      </c>
    </row>
    <row r="1351" spans="1:58">
      <c r="A1351" t="s">
        <v>58</v>
      </c>
      <c r="B1351" t="s">
        <v>11082</v>
      </c>
      <c r="C1351" t="s">
        <v>11083</v>
      </c>
      <c r="D1351" t="s">
        <v>482</v>
      </c>
      <c r="E1351" t="s">
        <v>61</v>
      </c>
      <c r="F1351">
        <v>2008</v>
      </c>
      <c r="G1351" s="1">
        <v>42380</v>
      </c>
      <c r="H1351">
        <v>93</v>
      </c>
      <c r="I1351" s="1">
        <v>42371</v>
      </c>
      <c r="J1351">
        <v>121</v>
      </c>
      <c r="K1351">
        <v>131</v>
      </c>
      <c r="L1351" t="s">
        <v>11084</v>
      </c>
      <c r="M1351" t="s">
        <v>11085</v>
      </c>
      <c r="N1351" t="s">
        <v>11086</v>
      </c>
      <c r="O1351" t="s">
        <v>61</v>
      </c>
      <c r="Q1351" t="s">
        <v>61</v>
      </c>
      <c r="R1351" t="s">
        <v>61</v>
      </c>
      <c r="S1351" t="s">
        <v>61</v>
      </c>
      <c r="T1351" t="s">
        <v>61</v>
      </c>
      <c r="X1351" t="s">
        <v>61</v>
      </c>
      <c r="Y1351" t="s">
        <v>486</v>
      </c>
      <c r="Z1351" t="s">
        <v>61</v>
      </c>
      <c r="AA1351" t="s">
        <v>11087</v>
      </c>
      <c r="AB1351">
        <v>17996399</v>
      </c>
      <c r="AC1351" t="s">
        <v>67</v>
      </c>
      <c r="AD1351" t="s">
        <v>61</v>
      </c>
      <c r="AE1351" t="s">
        <v>61</v>
      </c>
      <c r="AF1351" t="s">
        <v>61</v>
      </c>
      <c r="AG1351" t="s">
        <v>11088</v>
      </c>
      <c r="AH1351" t="s">
        <v>61</v>
      </c>
      <c r="AI1351" t="s">
        <v>61</v>
      </c>
      <c r="AJ1351" t="s">
        <v>61</v>
      </c>
      <c r="AK1351" t="s">
        <v>61</v>
      </c>
      <c r="AL1351" t="s">
        <v>61</v>
      </c>
      <c r="AM1351" t="s">
        <v>11089</v>
      </c>
      <c r="AN1351" t="s">
        <v>61</v>
      </c>
      <c r="AO1351" t="s">
        <v>61</v>
      </c>
      <c r="AP1351" t="s">
        <v>61</v>
      </c>
      <c r="AQ1351" t="s">
        <v>61</v>
      </c>
      <c r="AR1351" t="s">
        <v>61</v>
      </c>
      <c r="AS1351" t="s">
        <v>61</v>
      </c>
      <c r="AT1351" t="s">
        <v>61</v>
      </c>
      <c r="AU1351" t="s">
        <v>61</v>
      </c>
      <c r="AV1351" t="s">
        <v>61</v>
      </c>
      <c r="AW1351" t="s">
        <v>61</v>
      </c>
      <c r="AX1351" t="s">
        <v>61</v>
      </c>
      <c r="AY1351" t="s">
        <v>61</v>
      </c>
      <c r="AZ1351" t="s">
        <v>61</v>
      </c>
      <c r="BA1351" t="s">
        <v>61</v>
      </c>
      <c r="BB1351" t="s">
        <v>61</v>
      </c>
      <c r="BC1351" t="s">
        <v>61</v>
      </c>
      <c r="BD1351" t="s">
        <v>61</v>
      </c>
      <c r="BE1351" t="s">
        <v>61</v>
      </c>
      <c r="BF1351" t="s">
        <v>61</v>
      </c>
    </row>
    <row r="1352" spans="1:58">
      <c r="A1352" t="s">
        <v>58</v>
      </c>
      <c r="B1352" t="s">
        <v>11090</v>
      </c>
      <c r="C1352" t="s">
        <v>11091</v>
      </c>
      <c r="D1352" t="s">
        <v>609</v>
      </c>
      <c r="E1352" t="s">
        <v>61</v>
      </c>
      <c r="F1352">
        <v>2014</v>
      </c>
      <c r="G1352" t="s">
        <v>559</v>
      </c>
      <c r="H1352">
        <v>13</v>
      </c>
      <c r="I1352">
        <v>5</v>
      </c>
      <c r="J1352">
        <v>769</v>
      </c>
      <c r="K1352">
        <v>772</v>
      </c>
      <c r="L1352" t="s">
        <v>11092</v>
      </c>
      <c r="M1352" t="s">
        <v>11093</v>
      </c>
      <c r="N1352" t="s">
        <v>11094</v>
      </c>
      <c r="O1352" t="s">
        <v>61</v>
      </c>
      <c r="Q1352" t="s">
        <v>61</v>
      </c>
      <c r="R1352" t="s">
        <v>61</v>
      </c>
      <c r="S1352" t="s">
        <v>61</v>
      </c>
      <c r="T1352" t="s">
        <v>61</v>
      </c>
      <c r="X1352" t="s">
        <v>61</v>
      </c>
      <c r="Y1352" t="s">
        <v>3360</v>
      </c>
      <c r="Z1352" t="s">
        <v>61</v>
      </c>
      <c r="AA1352" t="s">
        <v>61</v>
      </c>
      <c r="AB1352" t="s">
        <v>11095</v>
      </c>
      <c r="AC1352" t="s">
        <v>67</v>
      </c>
      <c r="AD1352" t="s">
        <v>61</v>
      </c>
      <c r="AE1352" t="s">
        <v>61</v>
      </c>
      <c r="AF1352" t="s">
        <v>61</v>
      </c>
      <c r="AG1352" t="s">
        <v>61</v>
      </c>
      <c r="AH1352" t="s">
        <v>61</v>
      </c>
      <c r="AI1352" t="s">
        <v>61</v>
      </c>
      <c r="AJ1352" t="s">
        <v>61</v>
      </c>
      <c r="AK1352" t="s">
        <v>61</v>
      </c>
      <c r="AL1352" t="s">
        <v>61</v>
      </c>
      <c r="AM1352" t="s">
        <v>11091</v>
      </c>
      <c r="AN1352" t="s">
        <v>61</v>
      </c>
      <c r="AO1352" t="s">
        <v>61</v>
      </c>
      <c r="AP1352" t="s">
        <v>61</v>
      </c>
      <c r="AQ1352" t="s">
        <v>61</v>
      </c>
      <c r="AR1352" t="s">
        <v>61</v>
      </c>
      <c r="AS1352" t="s">
        <v>61</v>
      </c>
      <c r="AT1352" t="s">
        <v>61</v>
      </c>
      <c r="AU1352" t="s">
        <v>61</v>
      </c>
      <c r="AV1352" t="s">
        <v>61</v>
      </c>
      <c r="AW1352" t="s">
        <v>61</v>
      </c>
      <c r="AX1352" t="s">
        <v>61</v>
      </c>
      <c r="AY1352" t="s">
        <v>61</v>
      </c>
      <c r="AZ1352" t="s">
        <v>61</v>
      </c>
      <c r="BA1352" t="s">
        <v>61</v>
      </c>
      <c r="BB1352" t="s">
        <v>61</v>
      </c>
      <c r="BC1352" t="s">
        <v>61</v>
      </c>
      <c r="BD1352" t="s">
        <v>61</v>
      </c>
      <c r="BE1352" t="s">
        <v>61</v>
      </c>
      <c r="BF1352" t="s">
        <v>61</v>
      </c>
    </row>
    <row r="1353" spans="1:58">
      <c r="A1353" t="s">
        <v>58</v>
      </c>
      <c r="B1353" t="s">
        <v>11096</v>
      </c>
      <c r="C1353" t="s">
        <v>11097</v>
      </c>
      <c r="D1353" t="s">
        <v>3469</v>
      </c>
      <c r="E1353" t="s">
        <v>61</v>
      </c>
      <c r="F1353">
        <v>2011</v>
      </c>
      <c r="G1353" t="s">
        <v>61</v>
      </c>
      <c r="H1353">
        <v>83</v>
      </c>
      <c r="I1353">
        <v>3</v>
      </c>
      <c r="J1353">
        <v>443</v>
      </c>
      <c r="K1353" t="s">
        <v>11098</v>
      </c>
      <c r="L1353" t="s">
        <v>11099</v>
      </c>
      <c r="M1353" t="s">
        <v>11100</v>
      </c>
      <c r="N1353" t="s">
        <v>11101</v>
      </c>
      <c r="O1353" t="s">
        <v>61</v>
      </c>
      <c r="Q1353" t="s">
        <v>61</v>
      </c>
      <c r="R1353" t="s">
        <v>61</v>
      </c>
      <c r="S1353" t="s">
        <v>61</v>
      </c>
      <c r="T1353" t="s">
        <v>61</v>
      </c>
      <c r="X1353" t="s">
        <v>61</v>
      </c>
      <c r="Y1353" t="s">
        <v>9206</v>
      </c>
      <c r="Z1353" t="s">
        <v>61</v>
      </c>
      <c r="AA1353" t="s">
        <v>11102</v>
      </c>
      <c r="AB1353">
        <v>104645698</v>
      </c>
      <c r="AC1353" t="s">
        <v>67</v>
      </c>
      <c r="AD1353" t="s">
        <v>61</v>
      </c>
      <c r="AE1353" t="s">
        <v>61</v>
      </c>
      <c r="AF1353" t="s">
        <v>61</v>
      </c>
      <c r="AG1353" t="s">
        <v>11103</v>
      </c>
      <c r="AH1353" t="s">
        <v>61</v>
      </c>
      <c r="AI1353" t="s">
        <v>11104</v>
      </c>
      <c r="AJ1353" t="s">
        <v>61</v>
      </c>
      <c r="AK1353" t="s">
        <v>61</v>
      </c>
      <c r="AL1353" t="s">
        <v>61</v>
      </c>
      <c r="AM1353" t="s">
        <v>11105</v>
      </c>
      <c r="AN1353" t="s">
        <v>61</v>
      </c>
      <c r="AO1353" t="s">
        <v>61</v>
      </c>
      <c r="AP1353" t="s">
        <v>61</v>
      </c>
      <c r="AQ1353" t="s">
        <v>61</v>
      </c>
      <c r="AR1353" t="s">
        <v>61</v>
      </c>
      <c r="AS1353" t="s">
        <v>61</v>
      </c>
      <c r="AT1353" t="s">
        <v>61</v>
      </c>
      <c r="AU1353" t="s">
        <v>61</v>
      </c>
      <c r="AV1353" t="s">
        <v>61</v>
      </c>
      <c r="AW1353" t="s">
        <v>61</v>
      </c>
      <c r="AX1353" t="s">
        <v>61</v>
      </c>
      <c r="AY1353" t="s">
        <v>61</v>
      </c>
      <c r="AZ1353" t="s">
        <v>61</v>
      </c>
      <c r="BA1353" t="s">
        <v>61</v>
      </c>
      <c r="BB1353" t="s">
        <v>61</v>
      </c>
      <c r="BC1353" t="s">
        <v>61</v>
      </c>
      <c r="BD1353" t="s">
        <v>61</v>
      </c>
      <c r="BE1353" t="s">
        <v>61</v>
      </c>
      <c r="BF1353" t="s">
        <v>61</v>
      </c>
    </row>
    <row r="1354" spans="1:58">
      <c r="A1354" t="s">
        <v>58</v>
      </c>
      <c r="B1354" t="s">
        <v>11106</v>
      </c>
      <c r="C1354" t="s">
        <v>11107</v>
      </c>
      <c r="D1354" t="s">
        <v>11108</v>
      </c>
      <c r="E1354" t="s">
        <v>11109</v>
      </c>
      <c r="F1354">
        <v>2010</v>
      </c>
      <c r="G1354" t="s">
        <v>11110</v>
      </c>
      <c r="H1354">
        <v>14</v>
      </c>
      <c r="I1354">
        <v>3</v>
      </c>
      <c r="J1354">
        <v>9</v>
      </c>
      <c r="K1354">
        <v>20</v>
      </c>
      <c r="L1354" t="s">
        <v>11111</v>
      </c>
      <c r="M1354" t="s">
        <v>11112</v>
      </c>
      <c r="N1354" t="s">
        <v>11113</v>
      </c>
      <c r="O1354" t="s">
        <v>61</v>
      </c>
      <c r="Q1354" t="s">
        <v>61</v>
      </c>
      <c r="R1354" t="s">
        <v>61</v>
      </c>
      <c r="S1354" t="s">
        <v>61</v>
      </c>
      <c r="T1354" t="s">
        <v>61</v>
      </c>
      <c r="X1354" t="s">
        <v>61</v>
      </c>
      <c r="Y1354" t="s">
        <v>11114</v>
      </c>
      <c r="Z1354" t="s">
        <v>61</v>
      </c>
      <c r="AA1354" t="s">
        <v>61</v>
      </c>
      <c r="AB1354" t="s">
        <v>11115</v>
      </c>
      <c r="AC1354" t="s">
        <v>67</v>
      </c>
      <c r="AD1354" t="s">
        <v>61</v>
      </c>
      <c r="AE1354" t="s">
        <v>61</v>
      </c>
      <c r="AF1354" t="s">
        <v>61</v>
      </c>
      <c r="AG1354" t="s">
        <v>61</v>
      </c>
      <c r="AH1354" t="s">
        <v>61</v>
      </c>
      <c r="AI1354" t="s">
        <v>61</v>
      </c>
      <c r="AJ1354" t="s">
        <v>61</v>
      </c>
      <c r="AK1354" t="s">
        <v>61</v>
      </c>
      <c r="AL1354" t="s">
        <v>61</v>
      </c>
      <c r="AM1354" t="s">
        <v>11107</v>
      </c>
      <c r="AN1354" t="s">
        <v>61</v>
      </c>
      <c r="AO1354" t="s">
        <v>61</v>
      </c>
      <c r="AP1354" t="s">
        <v>61</v>
      </c>
      <c r="AQ1354" t="s">
        <v>61</v>
      </c>
      <c r="AR1354" t="s">
        <v>61</v>
      </c>
      <c r="AS1354" t="s">
        <v>61</v>
      </c>
      <c r="AT1354" t="s">
        <v>61</v>
      </c>
      <c r="AU1354" t="s">
        <v>61</v>
      </c>
      <c r="AV1354" t="s">
        <v>61</v>
      </c>
      <c r="AW1354" t="s">
        <v>61</v>
      </c>
      <c r="AX1354" t="s">
        <v>61</v>
      </c>
      <c r="AY1354" t="s">
        <v>61</v>
      </c>
      <c r="AZ1354" t="s">
        <v>61</v>
      </c>
      <c r="BA1354" t="s">
        <v>61</v>
      </c>
      <c r="BB1354" t="s">
        <v>61</v>
      </c>
      <c r="BC1354" t="s">
        <v>61</v>
      </c>
      <c r="BD1354" t="s">
        <v>61</v>
      </c>
      <c r="BE1354" t="s">
        <v>61</v>
      </c>
      <c r="BF1354" t="s">
        <v>61</v>
      </c>
    </row>
    <row r="1355" spans="1:58">
      <c r="A1355" t="s">
        <v>58</v>
      </c>
      <c r="B1355" t="s">
        <v>11116</v>
      </c>
      <c r="C1355" t="s">
        <v>11117</v>
      </c>
      <c r="D1355" t="s">
        <v>1000</v>
      </c>
      <c r="E1355" t="s">
        <v>1000</v>
      </c>
      <c r="F1355">
        <v>1999</v>
      </c>
      <c r="G1355" t="s">
        <v>61</v>
      </c>
      <c r="H1355">
        <v>94</v>
      </c>
      <c r="I1355">
        <v>8</v>
      </c>
      <c r="J1355">
        <v>1113</v>
      </c>
      <c r="K1355" t="s">
        <v>11118</v>
      </c>
      <c r="L1355" t="s">
        <v>11119</v>
      </c>
      <c r="M1355" t="s">
        <v>11120</v>
      </c>
      <c r="N1355" t="s">
        <v>11121</v>
      </c>
      <c r="O1355" t="s">
        <v>61</v>
      </c>
      <c r="Q1355" t="s">
        <v>61</v>
      </c>
      <c r="R1355" t="s">
        <v>61</v>
      </c>
      <c r="S1355" t="s">
        <v>61</v>
      </c>
      <c r="T1355" t="s">
        <v>61</v>
      </c>
      <c r="X1355" t="s">
        <v>61</v>
      </c>
      <c r="Y1355" t="s">
        <v>1004</v>
      </c>
      <c r="Z1355" t="s">
        <v>61</v>
      </c>
      <c r="AA1355" t="s">
        <v>11122</v>
      </c>
      <c r="AB1355">
        <v>104719015</v>
      </c>
      <c r="AC1355" t="s">
        <v>67</v>
      </c>
      <c r="AD1355" t="s">
        <v>61</v>
      </c>
      <c r="AE1355" t="s">
        <v>61</v>
      </c>
      <c r="AF1355" t="s">
        <v>61</v>
      </c>
      <c r="AG1355" t="s">
        <v>11123</v>
      </c>
      <c r="AH1355" t="s">
        <v>61</v>
      </c>
      <c r="AI1355" t="s">
        <v>11124</v>
      </c>
      <c r="AJ1355" t="s">
        <v>61</v>
      </c>
      <c r="AK1355" t="s">
        <v>61</v>
      </c>
      <c r="AL1355" t="s">
        <v>61</v>
      </c>
      <c r="AM1355" t="s">
        <v>11125</v>
      </c>
      <c r="AN1355" t="s">
        <v>61</v>
      </c>
      <c r="AO1355" t="s">
        <v>61</v>
      </c>
      <c r="AP1355" t="s">
        <v>61</v>
      </c>
      <c r="AQ1355" t="s">
        <v>61</v>
      </c>
      <c r="AR1355" t="s">
        <v>61</v>
      </c>
      <c r="AS1355" t="s">
        <v>61</v>
      </c>
      <c r="AT1355" t="s">
        <v>61</v>
      </c>
      <c r="AU1355" t="s">
        <v>61</v>
      </c>
      <c r="AV1355" t="s">
        <v>61</v>
      </c>
      <c r="AW1355" t="s">
        <v>61</v>
      </c>
      <c r="AX1355" t="s">
        <v>61</v>
      </c>
      <c r="AY1355" t="s">
        <v>61</v>
      </c>
      <c r="AZ1355" t="s">
        <v>61</v>
      </c>
      <c r="BA1355" t="s">
        <v>61</v>
      </c>
      <c r="BB1355" t="s">
        <v>61</v>
      </c>
      <c r="BC1355" t="s">
        <v>61</v>
      </c>
      <c r="BD1355" t="s">
        <v>61</v>
      </c>
      <c r="BE1355" t="s">
        <v>61</v>
      </c>
      <c r="BF1355" t="s">
        <v>61</v>
      </c>
    </row>
    <row r="1356" spans="1:58">
      <c r="A1356" t="s">
        <v>58</v>
      </c>
      <c r="B1356" t="s">
        <v>11126</v>
      </c>
      <c r="C1356" t="s">
        <v>11127</v>
      </c>
      <c r="D1356" t="s">
        <v>1739</v>
      </c>
      <c r="E1356" t="s">
        <v>1740</v>
      </c>
      <c r="F1356">
        <v>1980</v>
      </c>
      <c r="G1356" t="s">
        <v>1152</v>
      </c>
      <c r="H1356">
        <v>37</v>
      </c>
      <c r="I1356">
        <v>9</v>
      </c>
      <c r="J1356">
        <v>1206</v>
      </c>
      <c r="K1356">
        <v>1210</v>
      </c>
      <c r="L1356" t="s">
        <v>11128</v>
      </c>
      <c r="M1356" t="s">
        <v>11129</v>
      </c>
      <c r="N1356" t="s">
        <v>11130</v>
      </c>
      <c r="O1356" t="s">
        <v>61</v>
      </c>
      <c r="Q1356" t="s">
        <v>61</v>
      </c>
      <c r="R1356" t="s">
        <v>61</v>
      </c>
      <c r="S1356" t="s">
        <v>61</v>
      </c>
      <c r="T1356" t="s">
        <v>61</v>
      </c>
      <c r="X1356" t="s">
        <v>61</v>
      </c>
      <c r="Y1356" s="2">
        <v>2698811</v>
      </c>
      <c r="Z1356" t="s">
        <v>61</v>
      </c>
      <c r="AA1356" t="s">
        <v>61</v>
      </c>
      <c r="AB1356">
        <v>7416175</v>
      </c>
      <c r="AC1356" t="s">
        <v>67</v>
      </c>
      <c r="AD1356" t="s">
        <v>61</v>
      </c>
      <c r="AE1356" t="s">
        <v>61</v>
      </c>
      <c r="AF1356" t="s">
        <v>61</v>
      </c>
      <c r="AG1356" t="s">
        <v>11131</v>
      </c>
      <c r="AH1356" t="s">
        <v>61</v>
      </c>
      <c r="AI1356" t="s">
        <v>61</v>
      </c>
      <c r="AJ1356" t="s">
        <v>61</v>
      </c>
      <c r="AK1356" t="s">
        <v>61</v>
      </c>
      <c r="AL1356" t="s">
        <v>61</v>
      </c>
      <c r="AM1356" t="s">
        <v>11132</v>
      </c>
      <c r="AN1356" t="s">
        <v>61</v>
      </c>
      <c r="AO1356" t="s">
        <v>61</v>
      </c>
      <c r="AP1356" t="s">
        <v>61</v>
      </c>
      <c r="AQ1356" t="s">
        <v>61</v>
      </c>
      <c r="AR1356" t="s">
        <v>61</v>
      </c>
      <c r="AS1356" t="s">
        <v>61</v>
      </c>
      <c r="AT1356" t="s">
        <v>61</v>
      </c>
      <c r="AU1356" t="s">
        <v>61</v>
      </c>
      <c r="AV1356" t="s">
        <v>61</v>
      </c>
      <c r="AW1356" t="s">
        <v>61</v>
      </c>
      <c r="AX1356" t="s">
        <v>61</v>
      </c>
      <c r="AY1356" t="s">
        <v>61</v>
      </c>
      <c r="AZ1356" t="s">
        <v>61</v>
      </c>
      <c r="BA1356" t="s">
        <v>61</v>
      </c>
      <c r="BB1356" t="s">
        <v>61</v>
      </c>
      <c r="BC1356" t="s">
        <v>61</v>
      </c>
      <c r="BD1356" t="s">
        <v>61</v>
      </c>
      <c r="BE1356" t="s">
        <v>61</v>
      </c>
      <c r="BF1356" t="s">
        <v>61</v>
      </c>
    </row>
    <row r="1357" spans="1:58">
      <c r="A1357" t="s">
        <v>58</v>
      </c>
      <c r="B1357" t="s">
        <v>11133</v>
      </c>
      <c r="C1357" t="s">
        <v>11134</v>
      </c>
      <c r="D1357" t="s">
        <v>11135</v>
      </c>
      <c r="E1357" t="s">
        <v>61</v>
      </c>
      <c r="F1357">
        <v>2014</v>
      </c>
      <c r="G1357" t="s">
        <v>538</v>
      </c>
      <c r="H1357">
        <v>10</v>
      </c>
      <c r="I1357">
        <v>1</v>
      </c>
      <c r="J1357">
        <v>92</v>
      </c>
      <c r="K1357" t="s">
        <v>61</v>
      </c>
      <c r="L1357" t="s">
        <v>11136</v>
      </c>
      <c r="M1357" t="s">
        <v>11137</v>
      </c>
      <c r="N1357" t="s">
        <v>11138</v>
      </c>
      <c r="O1357" t="s">
        <v>61</v>
      </c>
      <c r="Q1357" t="s">
        <v>61</v>
      </c>
      <c r="R1357" t="s">
        <v>61</v>
      </c>
      <c r="S1357" t="s">
        <v>61</v>
      </c>
      <c r="T1357" t="s">
        <v>61</v>
      </c>
      <c r="X1357" t="s">
        <v>61</v>
      </c>
      <c r="Y1357" t="s">
        <v>11139</v>
      </c>
      <c r="Z1357" t="s">
        <v>61</v>
      </c>
      <c r="AA1357" t="s">
        <v>61</v>
      </c>
      <c r="AB1357" t="s">
        <v>61</v>
      </c>
      <c r="AC1357" t="s">
        <v>67</v>
      </c>
      <c r="AD1357" t="s">
        <v>61</v>
      </c>
      <c r="AE1357" t="s">
        <v>61</v>
      </c>
      <c r="AF1357" t="s">
        <v>61</v>
      </c>
      <c r="AG1357" t="s">
        <v>61</v>
      </c>
      <c r="AH1357" t="s">
        <v>61</v>
      </c>
      <c r="AI1357" t="s">
        <v>61</v>
      </c>
      <c r="AJ1357" t="s">
        <v>61</v>
      </c>
      <c r="AK1357" t="s">
        <v>61</v>
      </c>
      <c r="AL1357" t="s">
        <v>61</v>
      </c>
      <c r="AM1357" t="s">
        <v>11134</v>
      </c>
      <c r="AN1357" t="s">
        <v>61</v>
      </c>
      <c r="AO1357" t="s">
        <v>61</v>
      </c>
      <c r="AP1357" t="s">
        <v>61</v>
      </c>
      <c r="AQ1357" t="s">
        <v>61</v>
      </c>
      <c r="AR1357" t="s">
        <v>61</v>
      </c>
      <c r="AS1357" t="s">
        <v>61</v>
      </c>
      <c r="AT1357" t="s">
        <v>61</v>
      </c>
      <c r="AU1357" t="s">
        <v>61</v>
      </c>
      <c r="AV1357" t="s">
        <v>61</v>
      </c>
      <c r="AW1357" t="s">
        <v>61</v>
      </c>
      <c r="AX1357" t="s">
        <v>61</v>
      </c>
      <c r="AY1357" t="s">
        <v>61</v>
      </c>
      <c r="AZ1357" t="s">
        <v>61</v>
      </c>
      <c r="BA1357" t="s">
        <v>61</v>
      </c>
      <c r="BB1357" t="s">
        <v>61</v>
      </c>
      <c r="BC1357" t="s">
        <v>61</v>
      </c>
      <c r="BD1357" t="s">
        <v>61</v>
      </c>
      <c r="BE1357" t="s">
        <v>61</v>
      </c>
      <c r="BF1357" t="s">
        <v>61</v>
      </c>
    </row>
    <row r="1358" spans="1:58">
      <c r="A1358" t="s">
        <v>58</v>
      </c>
      <c r="B1358" t="s">
        <v>11140</v>
      </c>
      <c r="C1358" t="s">
        <v>11141</v>
      </c>
      <c r="D1358" t="s">
        <v>1203</v>
      </c>
      <c r="E1358" t="s">
        <v>1204</v>
      </c>
      <c r="F1358">
        <v>1998</v>
      </c>
      <c r="G1358" t="s">
        <v>119</v>
      </c>
      <c r="H1358" t="s">
        <v>1205</v>
      </c>
      <c r="I1358" t="s">
        <v>61</v>
      </c>
      <c r="J1358">
        <v>81</v>
      </c>
      <c r="K1358">
        <v>89</v>
      </c>
      <c r="L1358" t="s">
        <v>11142</v>
      </c>
      <c r="M1358" t="s">
        <v>11143</v>
      </c>
      <c r="N1358" t="s">
        <v>11144</v>
      </c>
      <c r="O1358" t="s">
        <v>61</v>
      </c>
      <c r="Q1358" t="s">
        <v>61</v>
      </c>
      <c r="R1358" t="s">
        <v>61</v>
      </c>
      <c r="S1358" t="s">
        <v>61</v>
      </c>
      <c r="T1358" t="s">
        <v>61</v>
      </c>
      <c r="X1358" t="s">
        <v>61</v>
      </c>
      <c r="Y1358" t="s">
        <v>1209</v>
      </c>
      <c r="Z1358" t="s">
        <v>61</v>
      </c>
      <c r="AA1358" t="s">
        <v>11145</v>
      </c>
      <c r="AB1358">
        <v>9722813</v>
      </c>
      <c r="AC1358" t="s">
        <v>67</v>
      </c>
      <c r="AD1358" t="s">
        <v>61</v>
      </c>
      <c r="AE1358" t="s">
        <v>61</v>
      </c>
      <c r="AF1358" t="s">
        <v>61</v>
      </c>
      <c r="AG1358" t="s">
        <v>11146</v>
      </c>
      <c r="AH1358" t="s">
        <v>61</v>
      </c>
      <c r="AI1358" t="s">
        <v>61</v>
      </c>
      <c r="AJ1358" t="s">
        <v>61</v>
      </c>
      <c r="AK1358" t="s">
        <v>61</v>
      </c>
      <c r="AL1358" t="s">
        <v>61</v>
      </c>
      <c r="AM1358" t="s">
        <v>11147</v>
      </c>
      <c r="AN1358" t="s">
        <v>61</v>
      </c>
      <c r="AO1358" t="s">
        <v>61</v>
      </c>
      <c r="AP1358" t="s">
        <v>61</v>
      </c>
      <c r="AQ1358" t="s">
        <v>61</v>
      </c>
      <c r="AR1358" t="s">
        <v>61</v>
      </c>
      <c r="AS1358" t="s">
        <v>61</v>
      </c>
      <c r="AT1358" t="s">
        <v>61</v>
      </c>
      <c r="AU1358" t="s">
        <v>61</v>
      </c>
      <c r="AV1358" t="s">
        <v>61</v>
      </c>
      <c r="AW1358" t="s">
        <v>61</v>
      </c>
      <c r="AX1358" t="s">
        <v>61</v>
      </c>
      <c r="AY1358" t="s">
        <v>61</v>
      </c>
      <c r="AZ1358" t="s">
        <v>61</v>
      </c>
      <c r="BA1358" t="s">
        <v>61</v>
      </c>
      <c r="BB1358" t="s">
        <v>61</v>
      </c>
      <c r="BC1358" t="s">
        <v>61</v>
      </c>
      <c r="BD1358" t="s">
        <v>61</v>
      </c>
      <c r="BE1358" t="s">
        <v>61</v>
      </c>
      <c r="BF1358" t="s">
        <v>61</v>
      </c>
    </row>
    <row r="1359" spans="1:58">
      <c r="A1359" t="s">
        <v>58</v>
      </c>
      <c r="B1359" t="s">
        <v>11148</v>
      </c>
      <c r="C1359" t="s">
        <v>11149</v>
      </c>
      <c r="D1359" t="s">
        <v>11150</v>
      </c>
      <c r="E1359" t="s">
        <v>61</v>
      </c>
      <c r="F1359">
        <v>2011</v>
      </c>
      <c r="G1359" t="s">
        <v>363</v>
      </c>
      <c r="H1359">
        <v>2</v>
      </c>
      <c r="I1359">
        <v>1</v>
      </c>
      <c r="J1359">
        <v>17</v>
      </c>
      <c r="K1359">
        <v>20</v>
      </c>
      <c r="L1359" t="s">
        <v>61</v>
      </c>
      <c r="M1359" t="s">
        <v>11151</v>
      </c>
      <c r="N1359" t="s">
        <v>11152</v>
      </c>
      <c r="O1359" t="s">
        <v>61</v>
      </c>
      <c r="Q1359" t="s">
        <v>61</v>
      </c>
      <c r="R1359" t="s">
        <v>61</v>
      </c>
      <c r="S1359" t="s">
        <v>61</v>
      </c>
      <c r="T1359" t="s">
        <v>61</v>
      </c>
      <c r="X1359" t="s">
        <v>61</v>
      </c>
      <c r="Y1359" t="s">
        <v>11153</v>
      </c>
      <c r="Z1359" t="s">
        <v>61</v>
      </c>
      <c r="AA1359" t="s">
        <v>11154</v>
      </c>
      <c r="AB1359">
        <v>21701641</v>
      </c>
      <c r="AC1359" t="s">
        <v>67</v>
      </c>
      <c r="AD1359" t="s">
        <v>61</v>
      </c>
      <c r="AE1359" t="s">
        <v>61</v>
      </c>
      <c r="AF1359" t="s">
        <v>61</v>
      </c>
      <c r="AG1359" t="s">
        <v>11155</v>
      </c>
      <c r="AH1359" t="s">
        <v>61</v>
      </c>
      <c r="AI1359" t="s">
        <v>11156</v>
      </c>
      <c r="AJ1359" t="s">
        <v>61</v>
      </c>
      <c r="AK1359" t="s">
        <v>61</v>
      </c>
      <c r="AL1359" t="s">
        <v>61</v>
      </c>
      <c r="AM1359" t="s">
        <v>11157</v>
      </c>
      <c r="AN1359" t="s">
        <v>61</v>
      </c>
      <c r="AO1359" t="s">
        <v>61</v>
      </c>
      <c r="AP1359" t="s">
        <v>61</v>
      </c>
      <c r="AQ1359" t="s">
        <v>61</v>
      </c>
      <c r="AR1359" t="s">
        <v>61</v>
      </c>
      <c r="AS1359" t="s">
        <v>61</v>
      </c>
      <c r="AT1359" t="s">
        <v>61</v>
      </c>
      <c r="AU1359" t="s">
        <v>61</v>
      </c>
      <c r="AV1359" t="s">
        <v>61</v>
      </c>
      <c r="AW1359" t="s">
        <v>61</v>
      </c>
      <c r="AX1359" t="s">
        <v>61</v>
      </c>
      <c r="AY1359" t="s">
        <v>61</v>
      </c>
      <c r="AZ1359" t="s">
        <v>61</v>
      </c>
      <c r="BA1359" t="s">
        <v>61</v>
      </c>
      <c r="BB1359" t="s">
        <v>61</v>
      </c>
      <c r="BC1359" t="s">
        <v>61</v>
      </c>
      <c r="BD1359" t="s">
        <v>61</v>
      </c>
      <c r="BE1359" t="s">
        <v>61</v>
      </c>
      <c r="BF1359" t="s">
        <v>61</v>
      </c>
    </row>
    <row r="1360" spans="1:58">
      <c r="A1360" t="s">
        <v>58</v>
      </c>
      <c r="B1360" t="s">
        <v>11158</v>
      </c>
      <c r="C1360" t="s">
        <v>11159</v>
      </c>
      <c r="D1360" t="s">
        <v>7661</v>
      </c>
      <c r="E1360" t="s">
        <v>61</v>
      </c>
      <c r="F1360">
        <v>2014</v>
      </c>
      <c r="G1360" t="s">
        <v>61</v>
      </c>
      <c r="H1360" t="s">
        <v>11160</v>
      </c>
      <c r="I1360" t="s">
        <v>61</v>
      </c>
      <c r="J1360" t="s">
        <v>61</v>
      </c>
      <c r="K1360" t="s">
        <v>61</v>
      </c>
      <c r="L1360" t="s">
        <v>11161</v>
      </c>
      <c r="M1360" t="s">
        <v>11162</v>
      </c>
      <c r="N1360" t="s">
        <v>11163</v>
      </c>
      <c r="O1360" t="s">
        <v>61</v>
      </c>
      <c r="Q1360" t="s">
        <v>61</v>
      </c>
      <c r="R1360" t="s">
        <v>61</v>
      </c>
      <c r="S1360" t="s">
        <v>61</v>
      </c>
      <c r="T1360" t="s">
        <v>61</v>
      </c>
      <c r="X1360" t="s">
        <v>61</v>
      </c>
      <c r="Y1360" t="s">
        <v>7666</v>
      </c>
      <c r="Z1360" t="s">
        <v>61</v>
      </c>
      <c r="AA1360" t="s">
        <v>61</v>
      </c>
      <c r="AB1360">
        <v>2014891095</v>
      </c>
      <c r="AC1360" t="s">
        <v>67</v>
      </c>
      <c r="AD1360" t="s">
        <v>61</v>
      </c>
      <c r="AE1360" t="s">
        <v>61</v>
      </c>
      <c r="AF1360" t="s">
        <v>61</v>
      </c>
      <c r="AG1360" t="s">
        <v>11164</v>
      </c>
      <c r="AH1360" t="s">
        <v>61</v>
      </c>
      <c r="AI1360" t="s">
        <v>61</v>
      </c>
      <c r="AJ1360" t="s">
        <v>61</v>
      </c>
      <c r="AK1360" t="s">
        <v>61</v>
      </c>
      <c r="AL1360" t="s">
        <v>61</v>
      </c>
      <c r="AM1360" t="s">
        <v>11165</v>
      </c>
      <c r="AN1360" t="s">
        <v>61</v>
      </c>
      <c r="AO1360" t="s">
        <v>61</v>
      </c>
      <c r="AP1360" t="s">
        <v>61</v>
      </c>
      <c r="AQ1360" t="s">
        <v>61</v>
      </c>
      <c r="AR1360" t="s">
        <v>61</v>
      </c>
      <c r="AS1360" t="s">
        <v>61</v>
      </c>
      <c r="AT1360" t="s">
        <v>61</v>
      </c>
      <c r="AU1360" t="s">
        <v>61</v>
      </c>
      <c r="AV1360" t="s">
        <v>61</v>
      </c>
      <c r="AW1360" t="s">
        <v>61</v>
      </c>
      <c r="AX1360" t="s">
        <v>61</v>
      </c>
      <c r="AY1360" t="s">
        <v>61</v>
      </c>
      <c r="AZ1360" t="s">
        <v>61</v>
      </c>
      <c r="BA1360" t="s">
        <v>61</v>
      </c>
      <c r="BB1360" t="s">
        <v>61</v>
      </c>
      <c r="BC1360" t="s">
        <v>61</v>
      </c>
      <c r="BD1360" t="s">
        <v>61</v>
      </c>
      <c r="BE1360" t="s">
        <v>61</v>
      </c>
      <c r="BF1360" t="s">
        <v>61</v>
      </c>
    </row>
    <row r="1361" spans="1:58">
      <c r="A1361" t="s">
        <v>58</v>
      </c>
      <c r="B1361" t="s">
        <v>11166</v>
      </c>
      <c r="C1361" t="s">
        <v>11167</v>
      </c>
      <c r="D1361" t="s">
        <v>11168</v>
      </c>
      <c r="E1361" t="s">
        <v>11169</v>
      </c>
      <c r="F1361">
        <v>2010</v>
      </c>
      <c r="G1361" t="s">
        <v>237</v>
      </c>
      <c r="H1361" t="s">
        <v>11170</v>
      </c>
      <c r="I1361" t="s">
        <v>61</v>
      </c>
      <c r="J1361">
        <v>30</v>
      </c>
      <c r="K1361">
        <v>34</v>
      </c>
      <c r="L1361" t="s">
        <v>11171</v>
      </c>
      <c r="M1361" t="s">
        <v>11172</v>
      </c>
      <c r="N1361" t="s">
        <v>11173</v>
      </c>
      <c r="O1361" t="s">
        <v>61</v>
      </c>
      <c r="Q1361" t="s">
        <v>61</v>
      </c>
      <c r="R1361" t="s">
        <v>61</v>
      </c>
      <c r="S1361" t="s">
        <v>61</v>
      </c>
      <c r="T1361" t="s">
        <v>61</v>
      </c>
      <c r="X1361" t="s">
        <v>61</v>
      </c>
      <c r="Y1361" t="s">
        <v>11174</v>
      </c>
      <c r="Z1361" t="s">
        <v>61</v>
      </c>
      <c r="AA1361" t="s">
        <v>11175</v>
      </c>
      <c r="AB1361">
        <v>20622411</v>
      </c>
      <c r="AC1361" t="s">
        <v>67</v>
      </c>
      <c r="AD1361" t="s">
        <v>61</v>
      </c>
      <c r="AE1361" t="s">
        <v>61</v>
      </c>
      <c r="AF1361" t="s">
        <v>61</v>
      </c>
      <c r="AG1361" t="s">
        <v>11176</v>
      </c>
      <c r="AH1361" t="s">
        <v>61</v>
      </c>
      <c r="AI1361" t="s">
        <v>11177</v>
      </c>
      <c r="AJ1361" t="s">
        <v>61</v>
      </c>
      <c r="AK1361" t="s">
        <v>61</v>
      </c>
      <c r="AL1361" t="s">
        <v>61</v>
      </c>
      <c r="AM1361" t="s">
        <v>11178</v>
      </c>
      <c r="AN1361" t="s">
        <v>61</v>
      </c>
      <c r="AO1361" t="s">
        <v>61</v>
      </c>
      <c r="AP1361" t="s">
        <v>61</v>
      </c>
      <c r="AQ1361" t="s">
        <v>61</v>
      </c>
      <c r="AR1361" t="s">
        <v>61</v>
      </c>
      <c r="AS1361" t="s">
        <v>61</v>
      </c>
      <c r="AT1361" t="s">
        <v>61</v>
      </c>
      <c r="AU1361" t="s">
        <v>61</v>
      </c>
      <c r="AV1361" t="s">
        <v>61</v>
      </c>
      <c r="AW1361" t="s">
        <v>61</v>
      </c>
      <c r="AX1361" t="s">
        <v>61</v>
      </c>
      <c r="AY1361" t="s">
        <v>61</v>
      </c>
      <c r="AZ1361" t="s">
        <v>61</v>
      </c>
      <c r="BA1361" t="s">
        <v>61</v>
      </c>
      <c r="BB1361" t="s">
        <v>61</v>
      </c>
      <c r="BC1361" t="s">
        <v>61</v>
      </c>
      <c r="BD1361" t="s">
        <v>61</v>
      </c>
      <c r="BE1361" t="s">
        <v>61</v>
      </c>
      <c r="BF1361" t="s">
        <v>61</v>
      </c>
    </row>
    <row r="1362" spans="1:58">
      <c r="A1362" t="s">
        <v>58</v>
      </c>
      <c r="B1362" t="s">
        <v>11179</v>
      </c>
      <c r="C1362" t="s">
        <v>11180</v>
      </c>
      <c r="D1362" t="s">
        <v>408</v>
      </c>
      <c r="E1362" t="s">
        <v>408</v>
      </c>
      <c r="F1362">
        <v>2012</v>
      </c>
      <c r="G1362" t="s">
        <v>645</v>
      </c>
      <c r="H1362">
        <v>32</v>
      </c>
      <c r="I1362">
        <v>10</v>
      </c>
      <c r="J1362" t="s">
        <v>11181</v>
      </c>
      <c r="K1362" t="s">
        <v>61</v>
      </c>
      <c r="L1362" t="s">
        <v>11182</v>
      </c>
      <c r="M1362" t="s">
        <v>11183</v>
      </c>
      <c r="N1362" t="s">
        <v>11184</v>
      </c>
      <c r="O1362" t="s">
        <v>61</v>
      </c>
      <c r="Q1362" t="s">
        <v>61</v>
      </c>
      <c r="R1362" t="s">
        <v>61</v>
      </c>
      <c r="S1362" t="s">
        <v>61</v>
      </c>
      <c r="T1362" t="s">
        <v>61</v>
      </c>
      <c r="X1362" t="s">
        <v>61</v>
      </c>
      <c r="Y1362" t="s">
        <v>414</v>
      </c>
      <c r="Z1362" t="s">
        <v>61</v>
      </c>
      <c r="AA1362" t="s">
        <v>61</v>
      </c>
      <c r="AB1362" t="s">
        <v>61</v>
      </c>
      <c r="AC1362" t="s">
        <v>67</v>
      </c>
      <c r="AD1362" t="s">
        <v>61</v>
      </c>
      <c r="AE1362" t="s">
        <v>61</v>
      </c>
      <c r="AF1362" t="s">
        <v>61</v>
      </c>
      <c r="AG1362" t="s">
        <v>61</v>
      </c>
      <c r="AH1362" t="s">
        <v>61</v>
      </c>
      <c r="AI1362" t="s">
        <v>61</v>
      </c>
      <c r="AJ1362" t="s">
        <v>61</v>
      </c>
      <c r="AK1362" t="s">
        <v>61</v>
      </c>
      <c r="AL1362" t="s">
        <v>61</v>
      </c>
      <c r="AM1362" t="s">
        <v>11180</v>
      </c>
      <c r="AN1362" t="s">
        <v>61</v>
      </c>
      <c r="AO1362" t="s">
        <v>61</v>
      </c>
      <c r="AP1362" t="s">
        <v>61</v>
      </c>
      <c r="AQ1362" t="s">
        <v>61</v>
      </c>
      <c r="AR1362" t="s">
        <v>61</v>
      </c>
      <c r="AS1362" t="s">
        <v>61</v>
      </c>
      <c r="AT1362" t="s">
        <v>61</v>
      </c>
      <c r="AU1362" t="s">
        <v>61</v>
      </c>
      <c r="AV1362" t="s">
        <v>61</v>
      </c>
      <c r="AW1362" t="s">
        <v>61</v>
      </c>
      <c r="AX1362" t="s">
        <v>61</v>
      </c>
      <c r="AY1362" t="s">
        <v>61</v>
      </c>
      <c r="AZ1362" t="s">
        <v>61</v>
      </c>
      <c r="BA1362" t="s">
        <v>61</v>
      </c>
      <c r="BB1362" t="s">
        <v>61</v>
      </c>
      <c r="BC1362" t="s">
        <v>61</v>
      </c>
      <c r="BD1362" t="s">
        <v>61</v>
      </c>
      <c r="BE1362" t="s">
        <v>61</v>
      </c>
      <c r="BF1362" t="s">
        <v>61</v>
      </c>
    </row>
    <row r="1363" spans="1:58">
      <c r="A1363" t="s">
        <v>58</v>
      </c>
      <c r="B1363" t="s">
        <v>11185</v>
      </c>
      <c r="C1363" t="s">
        <v>11186</v>
      </c>
      <c r="D1363" t="s">
        <v>11187</v>
      </c>
      <c r="E1363" t="s">
        <v>11188</v>
      </c>
      <c r="F1363">
        <v>2001</v>
      </c>
      <c r="G1363" t="s">
        <v>119</v>
      </c>
      <c r="H1363">
        <v>43</v>
      </c>
      <c r="I1363">
        <v>2</v>
      </c>
      <c r="J1363">
        <v>119</v>
      </c>
      <c r="K1363">
        <v>121</v>
      </c>
      <c r="L1363" t="s">
        <v>11189</v>
      </c>
      <c r="M1363" t="s">
        <v>11190</v>
      </c>
      <c r="N1363" t="s">
        <v>11191</v>
      </c>
      <c r="O1363" t="s">
        <v>61</v>
      </c>
      <c r="Q1363" t="s">
        <v>61</v>
      </c>
      <c r="R1363" t="s">
        <v>61</v>
      </c>
      <c r="S1363" t="s">
        <v>61</v>
      </c>
      <c r="T1363" t="s">
        <v>61</v>
      </c>
      <c r="X1363" t="s">
        <v>61</v>
      </c>
      <c r="Y1363" t="s">
        <v>11192</v>
      </c>
      <c r="Z1363" t="s">
        <v>61</v>
      </c>
      <c r="AA1363" t="s">
        <v>11193</v>
      </c>
      <c r="AB1363">
        <v>11449183</v>
      </c>
      <c r="AC1363" t="s">
        <v>67</v>
      </c>
      <c r="AD1363" t="s">
        <v>61</v>
      </c>
      <c r="AE1363" t="s">
        <v>61</v>
      </c>
      <c r="AF1363" t="s">
        <v>61</v>
      </c>
      <c r="AG1363" t="s">
        <v>11194</v>
      </c>
      <c r="AH1363" t="s">
        <v>61</v>
      </c>
      <c r="AI1363" t="s">
        <v>61</v>
      </c>
      <c r="AJ1363" t="s">
        <v>61</v>
      </c>
      <c r="AK1363" t="s">
        <v>61</v>
      </c>
      <c r="AL1363" t="s">
        <v>61</v>
      </c>
      <c r="AM1363" t="s">
        <v>11195</v>
      </c>
      <c r="AN1363" t="s">
        <v>61</v>
      </c>
      <c r="AO1363" t="s">
        <v>61</v>
      </c>
      <c r="AP1363" t="s">
        <v>61</v>
      </c>
      <c r="AQ1363" t="s">
        <v>61</v>
      </c>
      <c r="AR1363" t="s">
        <v>61</v>
      </c>
      <c r="AS1363" t="s">
        <v>61</v>
      </c>
      <c r="AT1363" t="s">
        <v>61</v>
      </c>
      <c r="AU1363" t="s">
        <v>61</v>
      </c>
      <c r="AV1363" t="s">
        <v>61</v>
      </c>
      <c r="AW1363" t="s">
        <v>61</v>
      </c>
      <c r="AX1363" t="s">
        <v>61</v>
      </c>
      <c r="AY1363" t="s">
        <v>61</v>
      </c>
      <c r="AZ1363" t="s">
        <v>61</v>
      </c>
      <c r="BA1363" t="s">
        <v>61</v>
      </c>
      <c r="BB1363" t="s">
        <v>61</v>
      </c>
      <c r="BC1363" t="s">
        <v>61</v>
      </c>
      <c r="BD1363" t="s">
        <v>61</v>
      </c>
      <c r="BE1363" t="s">
        <v>61</v>
      </c>
      <c r="BF1363" t="s">
        <v>61</v>
      </c>
    </row>
    <row r="1364" spans="1:58">
      <c r="A1364" t="s">
        <v>58</v>
      </c>
      <c r="B1364" t="s">
        <v>11196</v>
      </c>
      <c r="C1364" t="s">
        <v>11197</v>
      </c>
      <c r="D1364" t="s">
        <v>475</v>
      </c>
      <c r="E1364" t="s">
        <v>61</v>
      </c>
      <c r="F1364">
        <v>2012</v>
      </c>
      <c r="G1364" t="s">
        <v>381</v>
      </c>
      <c r="H1364">
        <v>34</v>
      </c>
      <c r="I1364">
        <v>1</v>
      </c>
      <c r="J1364">
        <v>200</v>
      </c>
      <c r="K1364" t="s">
        <v>61</v>
      </c>
      <c r="L1364" t="s">
        <v>11198</v>
      </c>
      <c r="M1364" t="s">
        <v>11199</v>
      </c>
      <c r="N1364" t="s">
        <v>11200</v>
      </c>
      <c r="O1364" t="s">
        <v>61</v>
      </c>
      <c r="Q1364" t="s">
        <v>61</v>
      </c>
      <c r="R1364" t="s">
        <v>61</v>
      </c>
      <c r="S1364" t="s">
        <v>61</v>
      </c>
      <c r="T1364" t="s">
        <v>61</v>
      </c>
      <c r="X1364" t="s">
        <v>61</v>
      </c>
      <c r="Y1364" t="s">
        <v>308</v>
      </c>
      <c r="Z1364" t="s">
        <v>61</v>
      </c>
      <c r="AA1364" t="s">
        <v>61</v>
      </c>
      <c r="AB1364" t="s">
        <v>61</v>
      </c>
      <c r="AC1364" t="s">
        <v>67</v>
      </c>
      <c r="AD1364" t="s">
        <v>61</v>
      </c>
      <c r="AE1364" t="s">
        <v>61</v>
      </c>
      <c r="AF1364" t="s">
        <v>61</v>
      </c>
      <c r="AG1364" t="s">
        <v>61</v>
      </c>
      <c r="AH1364" t="s">
        <v>61</v>
      </c>
      <c r="AI1364" t="s">
        <v>61</v>
      </c>
      <c r="AJ1364" t="s">
        <v>61</v>
      </c>
      <c r="AK1364" t="s">
        <v>61</v>
      </c>
      <c r="AL1364" t="s">
        <v>61</v>
      </c>
      <c r="AM1364" t="s">
        <v>11197</v>
      </c>
      <c r="AN1364" t="s">
        <v>61</v>
      </c>
      <c r="AO1364" t="s">
        <v>61</v>
      </c>
      <c r="AP1364" t="s">
        <v>61</v>
      </c>
      <c r="AQ1364" t="s">
        <v>61</v>
      </c>
      <c r="AR1364" t="s">
        <v>61</v>
      </c>
      <c r="AS1364" t="s">
        <v>61</v>
      </c>
      <c r="AT1364" t="s">
        <v>61</v>
      </c>
      <c r="AU1364" t="s">
        <v>61</v>
      </c>
      <c r="AV1364" t="s">
        <v>61</v>
      </c>
      <c r="AW1364" t="s">
        <v>61</v>
      </c>
      <c r="AX1364" t="s">
        <v>61</v>
      </c>
      <c r="AY1364" t="s">
        <v>61</v>
      </c>
      <c r="AZ1364" t="s">
        <v>61</v>
      </c>
      <c r="BA1364" t="s">
        <v>61</v>
      </c>
      <c r="BB1364" t="s">
        <v>61</v>
      </c>
      <c r="BC1364" t="s">
        <v>61</v>
      </c>
      <c r="BD1364" t="s">
        <v>61</v>
      </c>
      <c r="BE1364" t="s">
        <v>61</v>
      </c>
      <c r="BF1364" t="s">
        <v>61</v>
      </c>
    </row>
    <row r="1365" spans="1:58">
      <c r="A1365" t="s">
        <v>58</v>
      </c>
      <c r="B1365" t="s">
        <v>11201</v>
      </c>
      <c r="C1365" t="s">
        <v>11202</v>
      </c>
      <c r="D1365" t="s">
        <v>475</v>
      </c>
      <c r="E1365" t="s">
        <v>61</v>
      </c>
      <c r="F1365">
        <v>2014</v>
      </c>
      <c r="G1365" t="s">
        <v>637</v>
      </c>
      <c r="H1365">
        <v>36</v>
      </c>
      <c r="I1365">
        <v>4</v>
      </c>
      <c r="J1365">
        <v>848</v>
      </c>
      <c r="K1365" t="s">
        <v>61</v>
      </c>
      <c r="L1365" t="s">
        <v>11203</v>
      </c>
      <c r="M1365" t="s">
        <v>11204</v>
      </c>
      <c r="N1365" t="s">
        <v>11205</v>
      </c>
      <c r="O1365" t="s">
        <v>61</v>
      </c>
      <c r="Q1365" t="s">
        <v>61</v>
      </c>
      <c r="R1365" t="s">
        <v>61</v>
      </c>
      <c r="S1365" t="s">
        <v>61</v>
      </c>
      <c r="T1365" t="s">
        <v>61</v>
      </c>
      <c r="X1365" t="s">
        <v>61</v>
      </c>
      <c r="Y1365" t="s">
        <v>308</v>
      </c>
      <c r="Z1365" t="s">
        <v>61</v>
      </c>
      <c r="AA1365" t="s">
        <v>61</v>
      </c>
      <c r="AB1365" t="s">
        <v>61</v>
      </c>
      <c r="AC1365" t="s">
        <v>67</v>
      </c>
      <c r="AD1365" t="s">
        <v>61</v>
      </c>
      <c r="AE1365" t="s">
        <v>61</v>
      </c>
      <c r="AF1365" t="s">
        <v>61</v>
      </c>
      <c r="AG1365" t="s">
        <v>61</v>
      </c>
      <c r="AH1365" t="s">
        <v>61</v>
      </c>
      <c r="AI1365" t="s">
        <v>61</v>
      </c>
      <c r="AJ1365" t="s">
        <v>61</v>
      </c>
      <c r="AK1365" t="s">
        <v>61</v>
      </c>
      <c r="AL1365" t="s">
        <v>61</v>
      </c>
      <c r="AM1365" t="s">
        <v>11202</v>
      </c>
      <c r="AN1365" t="s">
        <v>61</v>
      </c>
      <c r="AO1365" t="s">
        <v>61</v>
      </c>
      <c r="AP1365" t="s">
        <v>61</v>
      </c>
      <c r="AQ1365" t="s">
        <v>61</v>
      </c>
      <c r="AR1365" t="s">
        <v>61</v>
      </c>
      <c r="AS1365" t="s">
        <v>61</v>
      </c>
      <c r="AT1365" t="s">
        <v>61</v>
      </c>
      <c r="AU1365" t="s">
        <v>61</v>
      </c>
      <c r="AV1365" t="s">
        <v>61</v>
      </c>
      <c r="AW1365" t="s">
        <v>61</v>
      </c>
      <c r="AX1365" t="s">
        <v>61</v>
      </c>
      <c r="AY1365" t="s">
        <v>61</v>
      </c>
      <c r="AZ1365" t="s">
        <v>61</v>
      </c>
      <c r="BA1365" t="s">
        <v>61</v>
      </c>
      <c r="BB1365" t="s">
        <v>61</v>
      </c>
      <c r="BC1365" t="s">
        <v>61</v>
      </c>
      <c r="BD1365" t="s">
        <v>61</v>
      </c>
      <c r="BE1365" t="s">
        <v>61</v>
      </c>
      <c r="BF1365" t="s">
        <v>61</v>
      </c>
    </row>
    <row r="1366" spans="1:58">
      <c r="A1366" t="s">
        <v>58</v>
      </c>
      <c r="B1366" t="s">
        <v>11206</v>
      </c>
      <c r="C1366" t="s">
        <v>11207</v>
      </c>
      <c r="D1366" t="s">
        <v>3742</v>
      </c>
      <c r="E1366" t="s">
        <v>61</v>
      </c>
      <c r="F1366">
        <v>2011</v>
      </c>
      <c r="G1366" t="s">
        <v>85</v>
      </c>
      <c r="H1366">
        <v>9</v>
      </c>
      <c r="I1366">
        <v>2</v>
      </c>
      <c r="J1366">
        <v>110</v>
      </c>
      <c r="K1366">
        <v>115</v>
      </c>
      <c r="L1366" t="s">
        <v>61</v>
      </c>
      <c r="M1366" t="s">
        <v>11208</v>
      </c>
      <c r="N1366" t="s">
        <v>11209</v>
      </c>
      <c r="O1366" t="s">
        <v>61</v>
      </c>
      <c r="Q1366" t="s">
        <v>61</v>
      </c>
      <c r="R1366" t="s">
        <v>61</v>
      </c>
      <c r="S1366" t="s">
        <v>61</v>
      </c>
      <c r="T1366" t="s">
        <v>61</v>
      </c>
      <c r="X1366" t="s">
        <v>61</v>
      </c>
      <c r="Y1366" t="s">
        <v>3745</v>
      </c>
      <c r="Z1366" t="s">
        <v>61</v>
      </c>
      <c r="AA1366" t="s">
        <v>11210</v>
      </c>
      <c r="AB1366">
        <v>24688618</v>
      </c>
      <c r="AC1366" t="s">
        <v>67</v>
      </c>
      <c r="AD1366" t="s">
        <v>61</v>
      </c>
      <c r="AE1366" t="s">
        <v>61</v>
      </c>
      <c r="AF1366" t="s">
        <v>61</v>
      </c>
      <c r="AG1366" t="s">
        <v>11211</v>
      </c>
      <c r="AH1366" t="s">
        <v>61</v>
      </c>
      <c r="AI1366" t="s">
        <v>61</v>
      </c>
      <c r="AJ1366" t="s">
        <v>61</v>
      </c>
      <c r="AK1366" t="s">
        <v>61</v>
      </c>
      <c r="AL1366" t="s">
        <v>61</v>
      </c>
      <c r="AM1366" t="s">
        <v>11212</v>
      </c>
      <c r="AN1366" t="s">
        <v>61</v>
      </c>
      <c r="AO1366" t="s">
        <v>61</v>
      </c>
      <c r="AP1366" t="s">
        <v>61</v>
      </c>
      <c r="AQ1366" t="s">
        <v>61</v>
      </c>
      <c r="AR1366" t="s">
        <v>61</v>
      </c>
      <c r="AS1366" t="s">
        <v>61</v>
      </c>
      <c r="AT1366" t="s">
        <v>61</v>
      </c>
      <c r="AU1366" t="s">
        <v>61</v>
      </c>
      <c r="AV1366" t="s">
        <v>61</v>
      </c>
      <c r="AW1366" t="s">
        <v>61</v>
      </c>
      <c r="AX1366" t="s">
        <v>61</v>
      </c>
      <c r="AY1366" t="s">
        <v>61</v>
      </c>
      <c r="AZ1366" t="s">
        <v>61</v>
      </c>
      <c r="BA1366" t="s">
        <v>61</v>
      </c>
      <c r="BB1366" t="s">
        <v>61</v>
      </c>
      <c r="BC1366" t="s">
        <v>61</v>
      </c>
      <c r="BD1366" t="s">
        <v>61</v>
      </c>
      <c r="BE1366" t="s">
        <v>61</v>
      </c>
      <c r="BF1366" t="s">
        <v>61</v>
      </c>
    </row>
    <row r="1367" spans="1:58">
      <c r="A1367" t="s">
        <v>58</v>
      </c>
      <c r="B1367" t="s">
        <v>11213</v>
      </c>
      <c r="C1367" t="s">
        <v>11214</v>
      </c>
      <c r="D1367" t="s">
        <v>2564</v>
      </c>
      <c r="E1367" t="s">
        <v>61</v>
      </c>
      <c r="F1367">
        <v>1998</v>
      </c>
      <c r="G1367" t="s">
        <v>119</v>
      </c>
      <c r="H1367">
        <v>15</v>
      </c>
      <c r="I1367">
        <v>6</v>
      </c>
      <c r="J1367">
        <v>359</v>
      </c>
      <c r="K1367">
        <v>364</v>
      </c>
      <c r="L1367" t="s">
        <v>11215</v>
      </c>
      <c r="M1367" t="s">
        <v>11216</v>
      </c>
      <c r="N1367" t="s">
        <v>11217</v>
      </c>
      <c r="O1367" t="s">
        <v>61</v>
      </c>
      <c r="Q1367" t="s">
        <v>61</v>
      </c>
      <c r="R1367" t="s">
        <v>61</v>
      </c>
      <c r="S1367" t="s">
        <v>61</v>
      </c>
      <c r="T1367" t="s">
        <v>61</v>
      </c>
      <c r="X1367" t="s">
        <v>61</v>
      </c>
      <c r="Y1367" t="s">
        <v>11218</v>
      </c>
      <c r="Z1367" t="s">
        <v>61</v>
      </c>
      <c r="AA1367" t="s">
        <v>11219</v>
      </c>
      <c r="AB1367">
        <v>9670636</v>
      </c>
      <c r="AC1367" t="s">
        <v>67</v>
      </c>
      <c r="AD1367" t="s">
        <v>61</v>
      </c>
      <c r="AE1367" t="s">
        <v>61</v>
      </c>
      <c r="AF1367" t="s">
        <v>61</v>
      </c>
      <c r="AG1367" t="s">
        <v>11220</v>
      </c>
      <c r="AH1367" t="s">
        <v>61</v>
      </c>
      <c r="AI1367" t="s">
        <v>61</v>
      </c>
      <c r="AJ1367" t="s">
        <v>61</v>
      </c>
      <c r="AK1367" t="s">
        <v>61</v>
      </c>
      <c r="AL1367" t="s">
        <v>61</v>
      </c>
      <c r="AM1367" t="s">
        <v>11221</v>
      </c>
      <c r="AN1367" t="s">
        <v>61</v>
      </c>
      <c r="AO1367" t="s">
        <v>61</v>
      </c>
      <c r="AP1367" t="s">
        <v>61</v>
      </c>
      <c r="AQ1367" t="s">
        <v>61</v>
      </c>
      <c r="AR1367" t="s">
        <v>61</v>
      </c>
      <c r="AS1367" t="s">
        <v>61</v>
      </c>
      <c r="AT1367" t="s">
        <v>61</v>
      </c>
      <c r="AU1367" t="s">
        <v>61</v>
      </c>
      <c r="AV1367" t="s">
        <v>61</v>
      </c>
      <c r="AW1367" t="s">
        <v>61</v>
      </c>
      <c r="AX1367" t="s">
        <v>61</v>
      </c>
      <c r="AY1367" t="s">
        <v>61</v>
      </c>
      <c r="AZ1367" t="s">
        <v>61</v>
      </c>
      <c r="BA1367" t="s">
        <v>61</v>
      </c>
      <c r="BB1367" t="s">
        <v>61</v>
      </c>
      <c r="BC1367" t="s">
        <v>61</v>
      </c>
      <c r="BD1367" t="s">
        <v>61</v>
      </c>
      <c r="BE1367" t="s">
        <v>61</v>
      </c>
      <c r="BF1367" t="s">
        <v>61</v>
      </c>
    </row>
    <row r="1368" spans="1:58">
      <c r="A1368" t="s">
        <v>58</v>
      </c>
      <c r="B1368" t="s">
        <v>11222</v>
      </c>
      <c r="C1368" t="s">
        <v>11223</v>
      </c>
      <c r="D1368" t="s">
        <v>153</v>
      </c>
      <c r="E1368" t="s">
        <v>61</v>
      </c>
      <c r="F1368">
        <v>2003</v>
      </c>
      <c r="G1368" t="s">
        <v>739</v>
      </c>
      <c r="H1368">
        <v>43</v>
      </c>
      <c r="I1368">
        <v>5</v>
      </c>
      <c r="J1368" t="s">
        <v>3922</v>
      </c>
      <c r="K1368">
        <v>7</v>
      </c>
      <c r="L1368" t="s">
        <v>11224</v>
      </c>
      <c r="M1368" t="s">
        <v>11225</v>
      </c>
      <c r="N1368" t="s">
        <v>11226</v>
      </c>
      <c r="O1368" t="s">
        <v>61</v>
      </c>
      <c r="Q1368" t="s">
        <v>61</v>
      </c>
      <c r="R1368" t="s">
        <v>61</v>
      </c>
      <c r="S1368" t="s">
        <v>61</v>
      </c>
      <c r="T1368" t="s">
        <v>61</v>
      </c>
      <c r="X1368" t="s">
        <v>61</v>
      </c>
      <c r="Y1368" t="s">
        <v>632</v>
      </c>
      <c r="Z1368" t="s">
        <v>61</v>
      </c>
      <c r="AA1368" t="s">
        <v>11227</v>
      </c>
      <c r="AB1368">
        <v>14626521</v>
      </c>
      <c r="AC1368" t="s">
        <v>67</v>
      </c>
      <c r="AD1368" t="s">
        <v>61</v>
      </c>
      <c r="AE1368" t="s">
        <v>61</v>
      </c>
      <c r="AF1368" t="s">
        <v>61</v>
      </c>
      <c r="AG1368" t="s">
        <v>11228</v>
      </c>
      <c r="AH1368" t="s">
        <v>61</v>
      </c>
      <c r="AI1368" t="s">
        <v>61</v>
      </c>
      <c r="AJ1368" t="s">
        <v>61</v>
      </c>
      <c r="AK1368" t="s">
        <v>61</v>
      </c>
      <c r="AL1368" t="s">
        <v>61</v>
      </c>
      <c r="AM1368" t="s">
        <v>11229</v>
      </c>
      <c r="AN1368" t="s">
        <v>61</v>
      </c>
      <c r="AO1368" t="s">
        <v>61</v>
      </c>
      <c r="AP1368" t="s">
        <v>61</v>
      </c>
      <c r="AQ1368" t="s">
        <v>61</v>
      </c>
      <c r="AR1368" t="s">
        <v>61</v>
      </c>
      <c r="AS1368" t="s">
        <v>61</v>
      </c>
      <c r="AT1368" t="s">
        <v>61</v>
      </c>
      <c r="AU1368" t="s">
        <v>61</v>
      </c>
      <c r="AV1368" t="s">
        <v>61</v>
      </c>
      <c r="AW1368" t="s">
        <v>61</v>
      </c>
      <c r="AX1368" t="s">
        <v>61</v>
      </c>
      <c r="AY1368" t="s">
        <v>61</v>
      </c>
      <c r="AZ1368" t="s">
        <v>61</v>
      </c>
      <c r="BA1368" t="s">
        <v>61</v>
      </c>
      <c r="BB1368" t="s">
        <v>61</v>
      </c>
      <c r="BC1368" t="s">
        <v>61</v>
      </c>
      <c r="BD1368" t="s">
        <v>61</v>
      </c>
      <c r="BE1368" t="s">
        <v>61</v>
      </c>
      <c r="BF1368" t="s">
        <v>61</v>
      </c>
    </row>
    <row r="1369" spans="1:58">
      <c r="A1369" t="s">
        <v>58</v>
      </c>
      <c r="B1369" t="s">
        <v>11230</v>
      </c>
      <c r="C1369" t="s">
        <v>11231</v>
      </c>
      <c r="D1369" t="s">
        <v>428</v>
      </c>
      <c r="E1369" t="s">
        <v>61</v>
      </c>
      <c r="F1369">
        <v>2013</v>
      </c>
      <c r="G1369" t="s">
        <v>457</v>
      </c>
      <c r="H1369">
        <v>26</v>
      </c>
      <c r="I1369">
        <v>3</v>
      </c>
      <c r="J1369">
        <v>322</v>
      </c>
      <c r="K1369" t="s">
        <v>61</v>
      </c>
      <c r="L1369" t="s">
        <v>11232</v>
      </c>
      <c r="M1369" t="s">
        <v>11233</v>
      </c>
      <c r="N1369" t="s">
        <v>11234</v>
      </c>
      <c r="O1369" t="s">
        <v>61</v>
      </c>
      <c r="Q1369" t="s">
        <v>61</v>
      </c>
      <c r="R1369" t="s">
        <v>61</v>
      </c>
      <c r="S1369" t="s">
        <v>61</v>
      </c>
      <c r="T1369" t="s">
        <v>61</v>
      </c>
      <c r="X1369" t="s">
        <v>61</v>
      </c>
      <c r="Y1369" t="s">
        <v>433</v>
      </c>
      <c r="Z1369" t="s">
        <v>61</v>
      </c>
      <c r="AA1369" t="s">
        <v>61</v>
      </c>
      <c r="AB1369" t="s">
        <v>61</v>
      </c>
      <c r="AC1369" t="s">
        <v>67</v>
      </c>
      <c r="AD1369" t="s">
        <v>61</v>
      </c>
      <c r="AE1369" t="s">
        <v>61</v>
      </c>
      <c r="AF1369" t="s">
        <v>61</v>
      </c>
      <c r="AG1369" t="s">
        <v>61</v>
      </c>
      <c r="AH1369" t="s">
        <v>61</v>
      </c>
      <c r="AI1369" t="s">
        <v>61</v>
      </c>
      <c r="AJ1369" t="s">
        <v>61</v>
      </c>
      <c r="AK1369" t="s">
        <v>61</v>
      </c>
      <c r="AL1369" t="s">
        <v>61</v>
      </c>
      <c r="AM1369" t="s">
        <v>11231</v>
      </c>
      <c r="AN1369" t="s">
        <v>61</v>
      </c>
      <c r="AO1369" t="s">
        <v>61</v>
      </c>
      <c r="AP1369" t="s">
        <v>61</v>
      </c>
      <c r="AQ1369" t="s">
        <v>61</v>
      </c>
      <c r="AR1369" t="s">
        <v>61</v>
      </c>
      <c r="AS1369" t="s">
        <v>61</v>
      </c>
      <c r="AT1369" t="s">
        <v>61</v>
      </c>
      <c r="AU1369" t="s">
        <v>61</v>
      </c>
      <c r="AV1369" t="s">
        <v>61</v>
      </c>
      <c r="AW1369" t="s">
        <v>61</v>
      </c>
      <c r="AX1369" t="s">
        <v>61</v>
      </c>
      <c r="AY1369" t="s">
        <v>61</v>
      </c>
      <c r="AZ1369" t="s">
        <v>61</v>
      </c>
      <c r="BA1369" t="s">
        <v>61</v>
      </c>
      <c r="BB1369" t="s">
        <v>61</v>
      </c>
      <c r="BC1369" t="s">
        <v>61</v>
      </c>
      <c r="BD1369" t="s">
        <v>61</v>
      </c>
      <c r="BE1369" t="s">
        <v>61</v>
      </c>
      <c r="BF1369" t="s">
        <v>61</v>
      </c>
    </row>
    <row r="1370" spans="1:58">
      <c r="A1370" t="s">
        <v>58</v>
      </c>
      <c r="B1370" t="s">
        <v>11235</v>
      </c>
      <c r="C1370" t="s">
        <v>11236</v>
      </c>
      <c r="D1370" t="s">
        <v>408</v>
      </c>
      <c r="E1370" t="s">
        <v>408</v>
      </c>
      <c r="F1370">
        <v>2014</v>
      </c>
      <c r="G1370" t="s">
        <v>645</v>
      </c>
      <c r="H1370">
        <v>34</v>
      </c>
      <c r="I1370">
        <v>10</v>
      </c>
      <c r="J1370" t="s">
        <v>11237</v>
      </c>
      <c r="K1370" t="s">
        <v>11238</v>
      </c>
      <c r="L1370" t="s">
        <v>11239</v>
      </c>
      <c r="M1370" t="s">
        <v>11240</v>
      </c>
      <c r="N1370" t="s">
        <v>11241</v>
      </c>
      <c r="O1370" t="s">
        <v>61</v>
      </c>
      <c r="Q1370" t="s">
        <v>61</v>
      </c>
      <c r="R1370" t="s">
        <v>61</v>
      </c>
      <c r="S1370" t="s">
        <v>61</v>
      </c>
      <c r="T1370" t="s">
        <v>61</v>
      </c>
      <c r="X1370" t="s">
        <v>61</v>
      </c>
      <c r="Y1370" t="s">
        <v>414</v>
      </c>
      <c r="Z1370" t="s">
        <v>61</v>
      </c>
      <c r="AA1370" t="s">
        <v>61</v>
      </c>
      <c r="AB1370" t="s">
        <v>61</v>
      </c>
      <c r="AC1370" t="s">
        <v>67</v>
      </c>
      <c r="AD1370" t="s">
        <v>61</v>
      </c>
      <c r="AE1370" t="s">
        <v>61</v>
      </c>
      <c r="AF1370" t="s">
        <v>61</v>
      </c>
      <c r="AG1370" t="s">
        <v>61</v>
      </c>
      <c r="AH1370" t="s">
        <v>61</v>
      </c>
      <c r="AI1370" t="s">
        <v>61</v>
      </c>
      <c r="AJ1370" t="s">
        <v>61</v>
      </c>
      <c r="AK1370" t="s">
        <v>61</v>
      </c>
      <c r="AL1370" t="s">
        <v>61</v>
      </c>
      <c r="AM1370" t="s">
        <v>11236</v>
      </c>
      <c r="AN1370" t="s">
        <v>61</v>
      </c>
      <c r="AO1370" t="s">
        <v>61</v>
      </c>
      <c r="AP1370" t="s">
        <v>61</v>
      </c>
      <c r="AQ1370" t="s">
        <v>61</v>
      </c>
      <c r="AR1370" t="s">
        <v>61</v>
      </c>
      <c r="AS1370" t="s">
        <v>61</v>
      </c>
      <c r="AT1370" t="s">
        <v>61</v>
      </c>
      <c r="AU1370" t="s">
        <v>61</v>
      </c>
      <c r="AV1370" t="s">
        <v>61</v>
      </c>
      <c r="AW1370" t="s">
        <v>61</v>
      </c>
      <c r="AX1370" t="s">
        <v>61</v>
      </c>
      <c r="AY1370" t="s">
        <v>61</v>
      </c>
      <c r="AZ1370" t="s">
        <v>61</v>
      </c>
      <c r="BA1370" t="s">
        <v>61</v>
      </c>
      <c r="BB1370" t="s">
        <v>61</v>
      </c>
      <c r="BC1370" t="s">
        <v>61</v>
      </c>
      <c r="BD1370" t="s">
        <v>61</v>
      </c>
      <c r="BE1370" t="s">
        <v>61</v>
      </c>
      <c r="BF1370" t="s">
        <v>61</v>
      </c>
    </row>
    <row r="1371" spans="1:58">
      <c r="A1371" t="s">
        <v>58</v>
      </c>
      <c r="B1371" t="s">
        <v>11242</v>
      </c>
      <c r="C1371" t="s">
        <v>11243</v>
      </c>
      <c r="D1371" t="s">
        <v>7167</v>
      </c>
      <c r="E1371" t="s">
        <v>7168</v>
      </c>
      <c r="F1371">
        <v>2006</v>
      </c>
      <c r="G1371" t="s">
        <v>61</v>
      </c>
      <c r="H1371">
        <v>26</v>
      </c>
      <c r="I1371">
        <v>4</v>
      </c>
      <c r="J1371">
        <v>302</v>
      </c>
      <c r="K1371">
        <v>312</v>
      </c>
      <c r="L1371" t="s">
        <v>11244</v>
      </c>
      <c r="M1371" t="s">
        <v>11245</v>
      </c>
      <c r="N1371" t="s">
        <v>11246</v>
      </c>
      <c r="O1371" t="s">
        <v>61</v>
      </c>
      <c r="Q1371" t="s">
        <v>61</v>
      </c>
      <c r="R1371" t="s">
        <v>61</v>
      </c>
      <c r="S1371" t="s">
        <v>61</v>
      </c>
      <c r="T1371" t="s">
        <v>61</v>
      </c>
      <c r="X1371" t="s">
        <v>61</v>
      </c>
      <c r="Y1371" t="s">
        <v>11247</v>
      </c>
      <c r="Z1371" t="s">
        <v>61</v>
      </c>
      <c r="AA1371" t="s">
        <v>11248</v>
      </c>
      <c r="AB1371">
        <v>17163494</v>
      </c>
      <c r="AC1371" t="s">
        <v>67</v>
      </c>
      <c r="AD1371" t="s">
        <v>61</v>
      </c>
      <c r="AE1371" t="s">
        <v>61</v>
      </c>
      <c r="AF1371" t="s">
        <v>61</v>
      </c>
      <c r="AG1371" t="s">
        <v>11249</v>
      </c>
      <c r="AH1371" t="s">
        <v>61</v>
      </c>
      <c r="AI1371" t="s">
        <v>61</v>
      </c>
      <c r="AJ1371" t="s">
        <v>61</v>
      </c>
      <c r="AK1371" t="s">
        <v>61</v>
      </c>
      <c r="AL1371" t="s">
        <v>61</v>
      </c>
      <c r="AM1371" t="s">
        <v>11250</v>
      </c>
      <c r="AN1371" t="s">
        <v>61</v>
      </c>
      <c r="AO1371" t="s">
        <v>61</v>
      </c>
      <c r="AP1371" t="s">
        <v>61</v>
      </c>
      <c r="AQ1371" t="s">
        <v>61</v>
      </c>
      <c r="AR1371" t="s">
        <v>61</v>
      </c>
      <c r="AS1371" t="s">
        <v>61</v>
      </c>
      <c r="AT1371" t="s">
        <v>61</v>
      </c>
      <c r="AU1371" t="s">
        <v>61</v>
      </c>
      <c r="AV1371" t="s">
        <v>61</v>
      </c>
      <c r="AW1371" t="s">
        <v>61</v>
      </c>
      <c r="AX1371" t="s">
        <v>61</v>
      </c>
      <c r="AY1371" t="s">
        <v>61</v>
      </c>
      <c r="AZ1371" t="s">
        <v>61</v>
      </c>
      <c r="BA1371" t="s">
        <v>61</v>
      </c>
      <c r="BB1371" t="s">
        <v>61</v>
      </c>
      <c r="BC1371" t="s">
        <v>61</v>
      </c>
      <c r="BD1371" t="s">
        <v>61</v>
      </c>
      <c r="BE1371" t="s">
        <v>61</v>
      </c>
      <c r="BF1371" t="s">
        <v>61</v>
      </c>
    </row>
    <row r="1372" spans="1:58">
      <c r="A1372" t="s">
        <v>58</v>
      </c>
      <c r="B1372" t="s">
        <v>11251</v>
      </c>
      <c r="C1372" t="s">
        <v>11252</v>
      </c>
      <c r="D1372" t="s">
        <v>153</v>
      </c>
      <c r="E1372" t="s">
        <v>61</v>
      </c>
      <c r="F1372">
        <v>2005</v>
      </c>
      <c r="G1372" t="s">
        <v>2798</v>
      </c>
      <c r="H1372">
        <v>45</v>
      </c>
      <c r="I1372">
        <v>1</v>
      </c>
      <c r="J1372">
        <v>63</v>
      </c>
      <c r="K1372" t="s">
        <v>11253</v>
      </c>
      <c r="L1372" t="s">
        <v>11254</v>
      </c>
      <c r="M1372" t="s">
        <v>11255</v>
      </c>
      <c r="N1372" t="s">
        <v>11256</v>
      </c>
      <c r="O1372" t="s">
        <v>61</v>
      </c>
      <c r="Q1372" t="s">
        <v>61</v>
      </c>
      <c r="R1372" t="s">
        <v>61</v>
      </c>
      <c r="S1372" t="s">
        <v>61</v>
      </c>
      <c r="T1372" t="s">
        <v>61</v>
      </c>
      <c r="X1372" t="s">
        <v>61</v>
      </c>
      <c r="Y1372" t="s">
        <v>632</v>
      </c>
      <c r="Z1372" t="s">
        <v>61</v>
      </c>
      <c r="AA1372" t="s">
        <v>11257</v>
      </c>
      <c r="AB1372">
        <v>15730119</v>
      </c>
      <c r="AC1372" t="s">
        <v>67</v>
      </c>
      <c r="AD1372" t="s">
        <v>61</v>
      </c>
      <c r="AE1372" t="s">
        <v>61</v>
      </c>
      <c r="AF1372" t="s">
        <v>61</v>
      </c>
      <c r="AG1372" t="s">
        <v>11258</v>
      </c>
      <c r="AH1372" t="s">
        <v>61</v>
      </c>
      <c r="AI1372" t="s">
        <v>61</v>
      </c>
      <c r="AJ1372" t="s">
        <v>61</v>
      </c>
      <c r="AK1372" t="s">
        <v>61</v>
      </c>
      <c r="AL1372" t="s">
        <v>61</v>
      </c>
      <c r="AM1372" t="s">
        <v>11259</v>
      </c>
      <c r="AN1372" t="s">
        <v>61</v>
      </c>
      <c r="AO1372" t="s">
        <v>61</v>
      </c>
      <c r="AP1372" t="s">
        <v>61</v>
      </c>
      <c r="AQ1372" t="s">
        <v>61</v>
      </c>
      <c r="AR1372" t="s">
        <v>61</v>
      </c>
      <c r="AS1372" t="s">
        <v>61</v>
      </c>
      <c r="AT1372" t="s">
        <v>61</v>
      </c>
      <c r="AU1372" t="s">
        <v>61</v>
      </c>
      <c r="AV1372" t="s">
        <v>61</v>
      </c>
      <c r="AW1372" t="s">
        <v>61</v>
      </c>
      <c r="AX1372" t="s">
        <v>61</v>
      </c>
      <c r="AY1372" t="s">
        <v>61</v>
      </c>
      <c r="AZ1372" t="s">
        <v>61</v>
      </c>
      <c r="BA1372" t="s">
        <v>61</v>
      </c>
      <c r="BB1372" t="s">
        <v>61</v>
      </c>
      <c r="BC1372" t="s">
        <v>61</v>
      </c>
      <c r="BD1372" t="s">
        <v>61</v>
      </c>
      <c r="BE1372" t="s">
        <v>61</v>
      </c>
      <c r="BF1372" t="s">
        <v>61</v>
      </c>
    </row>
    <row r="1373" spans="1:58">
      <c r="A1373" t="s">
        <v>58</v>
      </c>
      <c r="B1373" t="s">
        <v>11260</v>
      </c>
      <c r="C1373" t="s">
        <v>11261</v>
      </c>
      <c r="D1373" t="s">
        <v>428</v>
      </c>
      <c r="E1373" t="s">
        <v>61</v>
      </c>
      <c r="F1373">
        <v>2010</v>
      </c>
      <c r="G1373" t="s">
        <v>429</v>
      </c>
      <c r="H1373">
        <v>23</v>
      </c>
      <c r="I1373">
        <v>2</v>
      </c>
      <c r="J1373">
        <v>170</v>
      </c>
      <c r="K1373" t="s">
        <v>61</v>
      </c>
      <c r="L1373" t="s">
        <v>11262</v>
      </c>
      <c r="M1373" t="s">
        <v>11263</v>
      </c>
      <c r="N1373" t="s">
        <v>11264</v>
      </c>
      <c r="O1373" t="s">
        <v>61</v>
      </c>
      <c r="Q1373" t="s">
        <v>61</v>
      </c>
      <c r="R1373" t="s">
        <v>61</v>
      </c>
      <c r="S1373" t="s">
        <v>61</v>
      </c>
      <c r="T1373" t="s">
        <v>61</v>
      </c>
      <c r="X1373" t="s">
        <v>61</v>
      </c>
      <c r="Y1373" t="s">
        <v>433</v>
      </c>
      <c r="Z1373" t="s">
        <v>61</v>
      </c>
      <c r="AA1373" t="s">
        <v>61</v>
      </c>
      <c r="AB1373" t="s">
        <v>61</v>
      </c>
      <c r="AC1373" t="s">
        <v>67</v>
      </c>
      <c r="AD1373" t="s">
        <v>61</v>
      </c>
      <c r="AE1373" t="s">
        <v>61</v>
      </c>
      <c r="AF1373" t="s">
        <v>61</v>
      </c>
      <c r="AG1373" t="s">
        <v>61</v>
      </c>
      <c r="AH1373" t="s">
        <v>61</v>
      </c>
      <c r="AI1373" t="s">
        <v>61</v>
      </c>
      <c r="AJ1373" t="s">
        <v>61</v>
      </c>
      <c r="AK1373" t="s">
        <v>61</v>
      </c>
      <c r="AL1373" t="s">
        <v>61</v>
      </c>
      <c r="AM1373" t="s">
        <v>11261</v>
      </c>
      <c r="AN1373" t="s">
        <v>61</v>
      </c>
      <c r="AO1373" t="s">
        <v>61</v>
      </c>
      <c r="AP1373" t="s">
        <v>61</v>
      </c>
      <c r="AQ1373" t="s">
        <v>61</v>
      </c>
      <c r="AR1373" t="s">
        <v>61</v>
      </c>
      <c r="AS1373" t="s">
        <v>61</v>
      </c>
      <c r="AT1373" t="s">
        <v>61</v>
      </c>
      <c r="AU1373" t="s">
        <v>61</v>
      </c>
      <c r="AV1373" t="s">
        <v>61</v>
      </c>
      <c r="AW1373" t="s">
        <v>61</v>
      </c>
      <c r="AX1373" t="s">
        <v>61</v>
      </c>
      <c r="AY1373" t="s">
        <v>61</v>
      </c>
      <c r="AZ1373" t="s">
        <v>61</v>
      </c>
      <c r="BA1373" t="s">
        <v>61</v>
      </c>
      <c r="BB1373" t="s">
        <v>61</v>
      </c>
      <c r="BC1373" t="s">
        <v>61</v>
      </c>
      <c r="BD1373" t="s">
        <v>61</v>
      </c>
      <c r="BE1373" t="s">
        <v>61</v>
      </c>
      <c r="BF1373" t="s">
        <v>61</v>
      </c>
    </row>
    <row r="1374" spans="1:58">
      <c r="A1374" t="s">
        <v>58</v>
      </c>
      <c r="B1374" t="s">
        <v>11265</v>
      </c>
      <c r="C1374" t="s">
        <v>11266</v>
      </c>
      <c r="D1374" t="s">
        <v>862</v>
      </c>
      <c r="E1374" t="s">
        <v>61</v>
      </c>
      <c r="F1374">
        <v>2004</v>
      </c>
      <c r="G1374" t="s">
        <v>119</v>
      </c>
      <c r="H1374">
        <v>19</v>
      </c>
      <c r="I1374">
        <v>6</v>
      </c>
      <c r="J1374">
        <v>524</v>
      </c>
      <c r="K1374">
        <v>532</v>
      </c>
      <c r="L1374" t="s">
        <v>61</v>
      </c>
      <c r="M1374" t="s">
        <v>11267</v>
      </c>
      <c r="N1374" t="s">
        <v>11268</v>
      </c>
      <c r="O1374" t="s">
        <v>61</v>
      </c>
      <c r="Q1374" t="s">
        <v>61</v>
      </c>
      <c r="R1374" t="s">
        <v>61</v>
      </c>
      <c r="S1374" t="s">
        <v>61</v>
      </c>
      <c r="T1374" t="s">
        <v>61</v>
      </c>
      <c r="X1374" t="s">
        <v>61</v>
      </c>
      <c r="Y1374" t="s">
        <v>866</v>
      </c>
      <c r="Z1374" t="s">
        <v>61</v>
      </c>
      <c r="AA1374" t="s">
        <v>11269</v>
      </c>
      <c r="AB1374">
        <v>16553469</v>
      </c>
      <c r="AC1374" t="s">
        <v>67</v>
      </c>
      <c r="AD1374" t="s">
        <v>61</v>
      </c>
      <c r="AE1374" t="s">
        <v>61</v>
      </c>
      <c r="AF1374" t="s">
        <v>61</v>
      </c>
      <c r="AG1374" t="s">
        <v>11270</v>
      </c>
      <c r="AH1374" t="s">
        <v>61</v>
      </c>
      <c r="AI1374" t="s">
        <v>61</v>
      </c>
      <c r="AJ1374" t="s">
        <v>61</v>
      </c>
      <c r="AK1374" t="s">
        <v>61</v>
      </c>
      <c r="AL1374" t="s">
        <v>61</v>
      </c>
      <c r="AM1374" t="s">
        <v>11271</v>
      </c>
      <c r="AN1374" t="s">
        <v>61</v>
      </c>
      <c r="AO1374" t="s">
        <v>61</v>
      </c>
      <c r="AP1374" t="s">
        <v>61</v>
      </c>
      <c r="AQ1374" t="s">
        <v>61</v>
      </c>
      <c r="AR1374" t="s">
        <v>61</v>
      </c>
      <c r="AS1374" t="s">
        <v>61</v>
      </c>
      <c r="AT1374" t="s">
        <v>61</v>
      </c>
      <c r="AU1374" t="s">
        <v>61</v>
      </c>
      <c r="AV1374" t="s">
        <v>61</v>
      </c>
      <c r="AW1374" t="s">
        <v>61</v>
      </c>
      <c r="AX1374" t="s">
        <v>61</v>
      </c>
      <c r="AY1374" t="s">
        <v>61</v>
      </c>
      <c r="AZ1374" t="s">
        <v>61</v>
      </c>
      <c r="BA1374" t="s">
        <v>61</v>
      </c>
      <c r="BB1374" t="s">
        <v>61</v>
      </c>
      <c r="BC1374" t="s">
        <v>61</v>
      </c>
      <c r="BD1374" t="s">
        <v>61</v>
      </c>
      <c r="BE1374" t="s">
        <v>61</v>
      </c>
      <c r="BF1374" t="s">
        <v>61</v>
      </c>
    </row>
    <row r="1375" spans="1:58">
      <c r="A1375" t="s">
        <v>58</v>
      </c>
      <c r="B1375" t="s">
        <v>11272</v>
      </c>
      <c r="C1375" t="s">
        <v>11273</v>
      </c>
      <c r="D1375" t="s">
        <v>1739</v>
      </c>
      <c r="E1375" t="s">
        <v>1740</v>
      </c>
      <c r="F1375">
        <v>1983</v>
      </c>
      <c r="G1375" t="s">
        <v>61</v>
      </c>
      <c r="H1375">
        <v>40</v>
      </c>
      <c r="I1375">
        <v>2</v>
      </c>
      <c r="J1375">
        <v>223</v>
      </c>
      <c r="K1375">
        <v>229</v>
      </c>
      <c r="L1375" t="s">
        <v>11274</v>
      </c>
      <c r="M1375" t="s">
        <v>11275</v>
      </c>
      <c r="N1375" t="s">
        <v>11276</v>
      </c>
      <c r="O1375" t="s">
        <v>61</v>
      </c>
      <c r="Q1375" t="s">
        <v>61</v>
      </c>
      <c r="R1375" t="s">
        <v>61</v>
      </c>
      <c r="S1375" t="s">
        <v>61</v>
      </c>
      <c r="T1375" t="s">
        <v>61</v>
      </c>
      <c r="X1375" t="s">
        <v>61</v>
      </c>
      <c r="Y1375" s="2">
        <v>2698811</v>
      </c>
      <c r="Z1375" t="s">
        <v>61</v>
      </c>
      <c r="AA1375" t="s">
        <v>61</v>
      </c>
      <c r="AB1375">
        <v>1983080595</v>
      </c>
      <c r="AC1375" t="s">
        <v>67</v>
      </c>
      <c r="AD1375" t="s">
        <v>61</v>
      </c>
      <c r="AE1375" t="s">
        <v>61</v>
      </c>
      <c r="AF1375" t="s">
        <v>61</v>
      </c>
      <c r="AG1375" t="s">
        <v>11277</v>
      </c>
      <c r="AH1375" t="s">
        <v>61</v>
      </c>
      <c r="AI1375" t="s">
        <v>61</v>
      </c>
      <c r="AJ1375" t="s">
        <v>61</v>
      </c>
      <c r="AK1375" t="s">
        <v>61</v>
      </c>
      <c r="AL1375" t="s">
        <v>61</v>
      </c>
      <c r="AM1375" t="s">
        <v>11278</v>
      </c>
      <c r="AN1375" t="s">
        <v>61</v>
      </c>
      <c r="AO1375" t="s">
        <v>61</v>
      </c>
      <c r="AP1375" t="s">
        <v>61</v>
      </c>
      <c r="AQ1375" t="s">
        <v>61</v>
      </c>
      <c r="AR1375" t="s">
        <v>61</v>
      </c>
      <c r="AS1375" t="s">
        <v>61</v>
      </c>
      <c r="AT1375" t="s">
        <v>61</v>
      </c>
      <c r="AU1375" t="s">
        <v>61</v>
      </c>
      <c r="AV1375" t="s">
        <v>61</v>
      </c>
      <c r="AW1375" t="s">
        <v>61</v>
      </c>
      <c r="AX1375" t="s">
        <v>61</v>
      </c>
      <c r="AY1375" t="s">
        <v>61</v>
      </c>
      <c r="AZ1375" t="s">
        <v>61</v>
      </c>
      <c r="BA1375" t="s">
        <v>61</v>
      </c>
      <c r="BB1375" t="s">
        <v>61</v>
      </c>
      <c r="BC1375" t="s">
        <v>61</v>
      </c>
      <c r="BD1375" t="s">
        <v>61</v>
      </c>
      <c r="BE1375" t="s">
        <v>61</v>
      </c>
      <c r="BF1375" t="s">
        <v>61</v>
      </c>
    </row>
    <row r="1376" spans="1:58">
      <c r="A1376" t="s">
        <v>58</v>
      </c>
      <c r="B1376" t="s">
        <v>11279</v>
      </c>
      <c r="C1376" t="s">
        <v>11280</v>
      </c>
      <c r="D1376" t="s">
        <v>627</v>
      </c>
      <c r="E1376" t="s">
        <v>61</v>
      </c>
      <c r="F1376">
        <v>2013</v>
      </c>
      <c r="G1376" t="s">
        <v>628</v>
      </c>
      <c r="H1376">
        <v>53</v>
      </c>
      <c r="I1376">
        <v>2</v>
      </c>
      <c r="J1376" t="s">
        <v>11281</v>
      </c>
      <c r="K1376" t="s">
        <v>61</v>
      </c>
      <c r="L1376" t="s">
        <v>11282</v>
      </c>
      <c r="M1376" t="s">
        <v>11283</v>
      </c>
      <c r="N1376" t="s">
        <v>11284</v>
      </c>
      <c r="O1376" t="s">
        <v>61</v>
      </c>
      <c r="Q1376" t="s">
        <v>61</v>
      </c>
      <c r="R1376" t="s">
        <v>61</v>
      </c>
      <c r="S1376" t="s">
        <v>61</v>
      </c>
      <c r="T1376" t="s">
        <v>61</v>
      </c>
      <c r="X1376" t="s">
        <v>61</v>
      </c>
      <c r="Y1376" t="s">
        <v>632</v>
      </c>
      <c r="Z1376" t="s">
        <v>61</v>
      </c>
      <c r="AA1376" t="s">
        <v>61</v>
      </c>
      <c r="AB1376" t="s">
        <v>61</v>
      </c>
      <c r="AC1376" t="s">
        <v>67</v>
      </c>
      <c r="AD1376" t="s">
        <v>61</v>
      </c>
      <c r="AE1376" t="s">
        <v>61</v>
      </c>
      <c r="AF1376" t="s">
        <v>61</v>
      </c>
      <c r="AG1376" t="s">
        <v>61</v>
      </c>
      <c r="AH1376" t="s">
        <v>61</v>
      </c>
      <c r="AI1376" t="s">
        <v>61</v>
      </c>
      <c r="AJ1376" t="s">
        <v>61</v>
      </c>
      <c r="AK1376" t="s">
        <v>61</v>
      </c>
      <c r="AL1376" t="s">
        <v>61</v>
      </c>
      <c r="AM1376" t="s">
        <v>11280</v>
      </c>
      <c r="AN1376" t="s">
        <v>61</v>
      </c>
      <c r="AO1376" t="s">
        <v>61</v>
      </c>
      <c r="AP1376" t="s">
        <v>61</v>
      </c>
      <c r="AQ1376" t="s">
        <v>61</v>
      </c>
      <c r="AR1376" t="s">
        <v>61</v>
      </c>
      <c r="AS1376" t="s">
        <v>61</v>
      </c>
      <c r="AT1376" t="s">
        <v>61</v>
      </c>
      <c r="AU1376" t="s">
        <v>61</v>
      </c>
      <c r="AV1376" t="s">
        <v>61</v>
      </c>
      <c r="AW1376" t="s">
        <v>61</v>
      </c>
      <c r="AX1376" t="s">
        <v>61</v>
      </c>
      <c r="AY1376" t="s">
        <v>61</v>
      </c>
      <c r="AZ1376" t="s">
        <v>61</v>
      </c>
      <c r="BA1376" t="s">
        <v>61</v>
      </c>
      <c r="BB1376" t="s">
        <v>61</v>
      </c>
      <c r="BC1376" t="s">
        <v>61</v>
      </c>
      <c r="BD1376" t="s">
        <v>61</v>
      </c>
      <c r="BE1376" t="s">
        <v>61</v>
      </c>
      <c r="BF1376" t="s">
        <v>61</v>
      </c>
    </row>
    <row r="1377" spans="1:58">
      <c r="A1377" t="s">
        <v>58</v>
      </c>
      <c r="B1377" t="s">
        <v>11285</v>
      </c>
      <c r="C1377" t="s">
        <v>11286</v>
      </c>
      <c r="D1377" t="s">
        <v>11287</v>
      </c>
      <c r="E1377" t="s">
        <v>61</v>
      </c>
      <c r="F1377">
        <v>2001</v>
      </c>
      <c r="G1377" t="s">
        <v>85</v>
      </c>
      <c r="H1377">
        <v>297</v>
      </c>
      <c r="I1377">
        <v>1</v>
      </c>
      <c r="J1377">
        <v>189</v>
      </c>
      <c r="K1377">
        <v>197</v>
      </c>
      <c r="L1377" t="s">
        <v>11288</v>
      </c>
      <c r="M1377" t="s">
        <v>11289</v>
      </c>
      <c r="N1377" t="s">
        <v>11290</v>
      </c>
      <c r="O1377" t="s">
        <v>61</v>
      </c>
      <c r="Q1377" t="s">
        <v>61</v>
      </c>
      <c r="R1377" t="s">
        <v>61</v>
      </c>
      <c r="S1377" t="s">
        <v>61</v>
      </c>
      <c r="T1377" t="s">
        <v>61</v>
      </c>
      <c r="X1377" t="s">
        <v>61</v>
      </c>
      <c r="Y1377" t="s">
        <v>11291</v>
      </c>
      <c r="Z1377" t="s">
        <v>61</v>
      </c>
      <c r="AA1377" t="s">
        <v>11292</v>
      </c>
      <c r="AB1377">
        <v>11259544</v>
      </c>
      <c r="AC1377" t="s">
        <v>67</v>
      </c>
      <c r="AD1377" t="s">
        <v>61</v>
      </c>
      <c r="AE1377" t="s">
        <v>61</v>
      </c>
      <c r="AF1377" t="s">
        <v>61</v>
      </c>
      <c r="AG1377" t="s">
        <v>11293</v>
      </c>
      <c r="AH1377" t="s">
        <v>61</v>
      </c>
      <c r="AI1377" t="s">
        <v>61</v>
      </c>
      <c r="AJ1377" t="s">
        <v>61</v>
      </c>
      <c r="AK1377" t="s">
        <v>61</v>
      </c>
      <c r="AL1377" t="s">
        <v>61</v>
      </c>
      <c r="AM1377" t="s">
        <v>11294</v>
      </c>
      <c r="AN1377" t="s">
        <v>61</v>
      </c>
      <c r="AO1377" t="s">
        <v>61</v>
      </c>
      <c r="AP1377" t="s">
        <v>61</v>
      </c>
      <c r="AQ1377" t="s">
        <v>61</v>
      </c>
      <c r="AR1377" t="s">
        <v>61</v>
      </c>
      <c r="AS1377" t="s">
        <v>61</v>
      </c>
      <c r="AT1377" t="s">
        <v>61</v>
      </c>
      <c r="AU1377" t="s">
        <v>61</v>
      </c>
      <c r="AV1377" t="s">
        <v>61</v>
      </c>
      <c r="AW1377" t="s">
        <v>61</v>
      </c>
      <c r="AX1377" t="s">
        <v>61</v>
      </c>
      <c r="AY1377" t="s">
        <v>61</v>
      </c>
      <c r="AZ1377" t="s">
        <v>61</v>
      </c>
      <c r="BA1377" t="s">
        <v>61</v>
      </c>
      <c r="BB1377" t="s">
        <v>61</v>
      </c>
      <c r="BC1377" t="s">
        <v>61</v>
      </c>
      <c r="BD1377" t="s">
        <v>61</v>
      </c>
      <c r="BE1377" t="s">
        <v>61</v>
      </c>
      <c r="BF1377" t="s">
        <v>61</v>
      </c>
    </row>
    <row r="1378" spans="1:58">
      <c r="A1378" t="s">
        <v>58</v>
      </c>
      <c r="B1378" t="s">
        <v>11295</v>
      </c>
      <c r="C1378" t="s">
        <v>11296</v>
      </c>
      <c r="D1378" t="s">
        <v>8158</v>
      </c>
      <c r="E1378" t="s">
        <v>8159</v>
      </c>
      <c r="F1378">
        <v>2010</v>
      </c>
      <c r="G1378" t="s">
        <v>273</v>
      </c>
      <c r="H1378">
        <v>45</v>
      </c>
      <c r="I1378">
        <v>3</v>
      </c>
      <c r="J1378">
        <v>354</v>
      </c>
      <c r="K1378">
        <v>367</v>
      </c>
      <c r="L1378" t="s">
        <v>11297</v>
      </c>
      <c r="M1378" t="s">
        <v>11298</v>
      </c>
      <c r="N1378" t="s">
        <v>11299</v>
      </c>
      <c r="O1378" t="s">
        <v>61</v>
      </c>
      <c r="Q1378" t="s">
        <v>61</v>
      </c>
      <c r="R1378" t="s">
        <v>61</v>
      </c>
      <c r="S1378" t="s">
        <v>61</v>
      </c>
      <c r="T1378" t="s">
        <v>61</v>
      </c>
      <c r="X1378" t="s">
        <v>61</v>
      </c>
      <c r="Y1378" t="s">
        <v>11300</v>
      </c>
      <c r="Z1378" t="s">
        <v>61</v>
      </c>
      <c r="AA1378" t="s">
        <v>11301</v>
      </c>
      <c r="AB1378">
        <v>20141452</v>
      </c>
      <c r="AC1378" t="s">
        <v>67</v>
      </c>
      <c r="AD1378" t="s">
        <v>61</v>
      </c>
      <c r="AE1378" t="s">
        <v>61</v>
      </c>
      <c r="AF1378" t="s">
        <v>61</v>
      </c>
      <c r="AG1378" t="s">
        <v>11302</v>
      </c>
      <c r="AH1378" t="s">
        <v>61</v>
      </c>
      <c r="AI1378" t="s">
        <v>11303</v>
      </c>
      <c r="AJ1378" t="s">
        <v>61</v>
      </c>
      <c r="AK1378" t="s">
        <v>61</v>
      </c>
      <c r="AL1378" t="s">
        <v>61</v>
      </c>
      <c r="AM1378" t="s">
        <v>11304</v>
      </c>
      <c r="AN1378" t="s">
        <v>61</v>
      </c>
      <c r="AO1378" t="s">
        <v>61</v>
      </c>
      <c r="AP1378" t="s">
        <v>61</v>
      </c>
      <c r="AQ1378" t="s">
        <v>61</v>
      </c>
      <c r="AR1378" t="s">
        <v>61</v>
      </c>
      <c r="AS1378" t="s">
        <v>61</v>
      </c>
      <c r="AT1378" t="s">
        <v>61</v>
      </c>
      <c r="AU1378" t="s">
        <v>61</v>
      </c>
      <c r="AV1378" t="s">
        <v>61</v>
      </c>
      <c r="AW1378" t="s">
        <v>61</v>
      </c>
      <c r="AX1378" t="s">
        <v>61</v>
      </c>
      <c r="AY1378" t="s">
        <v>61</v>
      </c>
      <c r="AZ1378" t="s">
        <v>61</v>
      </c>
      <c r="BA1378" t="s">
        <v>61</v>
      </c>
      <c r="BB1378" t="s">
        <v>61</v>
      </c>
      <c r="BC1378" t="s">
        <v>61</v>
      </c>
      <c r="BD1378" t="s">
        <v>61</v>
      </c>
      <c r="BE1378" t="s">
        <v>61</v>
      </c>
      <c r="BF1378" t="s">
        <v>61</v>
      </c>
    </row>
    <row r="1379" spans="1:58">
      <c r="A1379" t="s">
        <v>58</v>
      </c>
      <c r="B1379" t="s">
        <v>11305</v>
      </c>
      <c r="C1379" t="s">
        <v>11306</v>
      </c>
      <c r="D1379" t="s">
        <v>3957</v>
      </c>
      <c r="E1379" t="s">
        <v>61</v>
      </c>
      <c r="F1379">
        <v>2012</v>
      </c>
      <c r="G1379" t="s">
        <v>85</v>
      </c>
      <c r="H1379">
        <v>10</v>
      </c>
      <c r="I1379">
        <v>2</v>
      </c>
      <c r="J1379">
        <v>101</v>
      </c>
      <c r="K1379">
        <v>109</v>
      </c>
      <c r="L1379" t="s">
        <v>11307</v>
      </c>
      <c r="M1379" t="s">
        <v>11308</v>
      </c>
      <c r="N1379" t="s">
        <v>11309</v>
      </c>
      <c r="O1379" t="s">
        <v>61</v>
      </c>
      <c r="Q1379" t="s">
        <v>61</v>
      </c>
      <c r="R1379" t="s">
        <v>61</v>
      </c>
      <c r="S1379" t="s">
        <v>61</v>
      </c>
      <c r="T1379" t="s">
        <v>61</v>
      </c>
      <c r="X1379" t="s">
        <v>61</v>
      </c>
      <c r="Y1379" t="s">
        <v>11310</v>
      </c>
      <c r="Z1379" t="s">
        <v>61</v>
      </c>
      <c r="AA1379" t="s">
        <v>11311</v>
      </c>
      <c r="AB1379">
        <v>22304791</v>
      </c>
      <c r="AC1379" t="s">
        <v>67</v>
      </c>
      <c r="AD1379" t="s">
        <v>61</v>
      </c>
      <c r="AE1379" t="s">
        <v>61</v>
      </c>
      <c r="AF1379" t="s">
        <v>61</v>
      </c>
      <c r="AG1379" t="s">
        <v>11312</v>
      </c>
      <c r="AH1379" t="s">
        <v>61</v>
      </c>
      <c r="AI1379" t="s">
        <v>11313</v>
      </c>
      <c r="AJ1379" t="s">
        <v>61</v>
      </c>
      <c r="AK1379" t="s">
        <v>61</v>
      </c>
      <c r="AL1379" t="s">
        <v>61</v>
      </c>
      <c r="AM1379" t="s">
        <v>11314</v>
      </c>
      <c r="AN1379" t="s">
        <v>61</v>
      </c>
      <c r="AO1379" t="s">
        <v>61</v>
      </c>
      <c r="AP1379" t="s">
        <v>61</v>
      </c>
      <c r="AQ1379" t="s">
        <v>61</v>
      </c>
      <c r="AR1379" t="s">
        <v>61</v>
      </c>
      <c r="AS1379" t="s">
        <v>61</v>
      </c>
      <c r="AT1379" t="s">
        <v>61</v>
      </c>
      <c r="AU1379" t="s">
        <v>61</v>
      </c>
      <c r="AV1379" t="s">
        <v>61</v>
      </c>
      <c r="AW1379" t="s">
        <v>61</v>
      </c>
      <c r="AX1379" t="s">
        <v>61</v>
      </c>
      <c r="AY1379" t="s">
        <v>61</v>
      </c>
      <c r="AZ1379" t="s">
        <v>61</v>
      </c>
      <c r="BA1379" t="s">
        <v>61</v>
      </c>
      <c r="BB1379" t="s">
        <v>61</v>
      </c>
      <c r="BC1379" t="s">
        <v>61</v>
      </c>
      <c r="BD1379" t="s">
        <v>61</v>
      </c>
      <c r="BE1379" t="s">
        <v>61</v>
      </c>
      <c r="BF1379" t="s">
        <v>61</v>
      </c>
    </row>
    <row r="1380" spans="1:58">
      <c r="A1380" t="s">
        <v>58</v>
      </c>
      <c r="B1380" t="s">
        <v>11315</v>
      </c>
      <c r="C1380" t="s">
        <v>11316</v>
      </c>
      <c r="D1380" t="s">
        <v>11317</v>
      </c>
      <c r="E1380" t="s">
        <v>61</v>
      </c>
      <c r="F1380">
        <v>2013</v>
      </c>
      <c r="G1380" t="s">
        <v>61</v>
      </c>
      <c r="H1380">
        <v>8</v>
      </c>
      <c r="I1380" t="s">
        <v>61</v>
      </c>
      <c r="J1380">
        <v>703</v>
      </c>
      <c r="K1380">
        <v>709</v>
      </c>
      <c r="L1380" t="s">
        <v>11318</v>
      </c>
      <c r="M1380" t="s">
        <v>11319</v>
      </c>
      <c r="N1380" t="s">
        <v>11320</v>
      </c>
      <c r="O1380" t="s">
        <v>61</v>
      </c>
      <c r="Q1380" t="s">
        <v>61</v>
      </c>
      <c r="R1380" t="s">
        <v>61</v>
      </c>
      <c r="S1380" t="s">
        <v>61</v>
      </c>
      <c r="T1380" t="s">
        <v>61</v>
      </c>
      <c r="X1380" t="s">
        <v>61</v>
      </c>
      <c r="Y1380" t="s">
        <v>11321</v>
      </c>
      <c r="Z1380" t="s">
        <v>61</v>
      </c>
      <c r="AA1380" t="s">
        <v>11322</v>
      </c>
      <c r="AB1380">
        <v>23807844</v>
      </c>
      <c r="AC1380" t="s">
        <v>67</v>
      </c>
      <c r="AD1380" t="s">
        <v>61</v>
      </c>
      <c r="AE1380" t="s">
        <v>61</v>
      </c>
      <c r="AF1380" t="s">
        <v>61</v>
      </c>
      <c r="AG1380" t="s">
        <v>11323</v>
      </c>
      <c r="AH1380" t="s">
        <v>61</v>
      </c>
      <c r="AI1380" t="s">
        <v>11324</v>
      </c>
      <c r="AJ1380" t="s">
        <v>61</v>
      </c>
      <c r="AK1380" t="s">
        <v>61</v>
      </c>
      <c r="AL1380" t="s">
        <v>61</v>
      </c>
      <c r="AM1380" t="s">
        <v>11325</v>
      </c>
      <c r="AN1380" t="s">
        <v>61</v>
      </c>
      <c r="AO1380" t="s">
        <v>61</v>
      </c>
      <c r="AP1380" t="s">
        <v>61</v>
      </c>
      <c r="AQ1380" t="s">
        <v>61</v>
      </c>
      <c r="AR1380" t="s">
        <v>61</v>
      </c>
      <c r="AS1380" t="s">
        <v>61</v>
      </c>
      <c r="AT1380" t="s">
        <v>61</v>
      </c>
      <c r="AU1380" t="s">
        <v>61</v>
      </c>
      <c r="AV1380" t="s">
        <v>61</v>
      </c>
      <c r="AW1380" t="s">
        <v>61</v>
      </c>
      <c r="AX1380" t="s">
        <v>61</v>
      </c>
      <c r="AY1380" t="s">
        <v>61</v>
      </c>
      <c r="AZ1380" t="s">
        <v>61</v>
      </c>
      <c r="BA1380" t="s">
        <v>61</v>
      </c>
      <c r="BB1380" t="s">
        <v>61</v>
      </c>
      <c r="BC1380" t="s">
        <v>61</v>
      </c>
      <c r="BD1380" t="s">
        <v>61</v>
      </c>
      <c r="BE1380" t="s">
        <v>61</v>
      </c>
      <c r="BF1380" t="s">
        <v>61</v>
      </c>
    </row>
    <row r="1381" spans="1:58">
      <c r="A1381" t="s">
        <v>58</v>
      </c>
      <c r="B1381" t="s">
        <v>11326</v>
      </c>
      <c r="C1381" t="s">
        <v>11327</v>
      </c>
      <c r="D1381" t="s">
        <v>408</v>
      </c>
      <c r="E1381" t="s">
        <v>408</v>
      </c>
      <c r="F1381">
        <v>2013</v>
      </c>
      <c r="G1381" t="s">
        <v>645</v>
      </c>
      <c r="H1381">
        <v>33</v>
      </c>
      <c r="I1381">
        <v>10</v>
      </c>
      <c r="J1381" t="s">
        <v>5039</v>
      </c>
      <c r="K1381" t="s">
        <v>61</v>
      </c>
      <c r="L1381" t="s">
        <v>11328</v>
      </c>
      <c r="M1381" t="s">
        <v>11329</v>
      </c>
      <c r="N1381" t="s">
        <v>11330</v>
      </c>
      <c r="O1381" t="s">
        <v>61</v>
      </c>
      <c r="Q1381" t="s">
        <v>61</v>
      </c>
      <c r="R1381" t="s">
        <v>61</v>
      </c>
      <c r="S1381" t="s">
        <v>61</v>
      </c>
      <c r="T1381" t="s">
        <v>61</v>
      </c>
      <c r="X1381" t="s">
        <v>61</v>
      </c>
      <c r="Y1381" t="s">
        <v>414</v>
      </c>
      <c r="Z1381" t="s">
        <v>61</v>
      </c>
      <c r="AA1381" t="s">
        <v>61</v>
      </c>
      <c r="AB1381" t="s">
        <v>61</v>
      </c>
      <c r="AC1381" t="s">
        <v>67</v>
      </c>
      <c r="AD1381" t="s">
        <v>61</v>
      </c>
      <c r="AE1381" t="s">
        <v>61</v>
      </c>
      <c r="AF1381" t="s">
        <v>61</v>
      </c>
      <c r="AG1381" t="s">
        <v>61</v>
      </c>
      <c r="AH1381" t="s">
        <v>61</v>
      </c>
      <c r="AI1381" t="s">
        <v>61</v>
      </c>
      <c r="AJ1381" t="s">
        <v>61</v>
      </c>
      <c r="AK1381" t="s">
        <v>61</v>
      </c>
      <c r="AL1381" t="s">
        <v>61</v>
      </c>
      <c r="AM1381" t="s">
        <v>11327</v>
      </c>
      <c r="AN1381" t="s">
        <v>61</v>
      </c>
      <c r="AO1381" t="s">
        <v>61</v>
      </c>
      <c r="AP1381" t="s">
        <v>61</v>
      </c>
      <c r="AQ1381" t="s">
        <v>61</v>
      </c>
      <c r="AR1381" t="s">
        <v>61</v>
      </c>
      <c r="AS1381" t="s">
        <v>61</v>
      </c>
      <c r="AT1381" t="s">
        <v>61</v>
      </c>
      <c r="AU1381" t="s">
        <v>61</v>
      </c>
      <c r="AV1381" t="s">
        <v>61</v>
      </c>
      <c r="AW1381" t="s">
        <v>61</v>
      </c>
      <c r="AX1381" t="s">
        <v>61</v>
      </c>
      <c r="AY1381" t="s">
        <v>61</v>
      </c>
      <c r="AZ1381" t="s">
        <v>61</v>
      </c>
      <c r="BA1381" t="s">
        <v>61</v>
      </c>
      <c r="BB1381" t="s">
        <v>61</v>
      </c>
      <c r="BC1381" t="s">
        <v>61</v>
      </c>
      <c r="BD1381" t="s">
        <v>61</v>
      </c>
      <c r="BE1381" t="s">
        <v>61</v>
      </c>
      <c r="BF1381" t="s">
        <v>61</v>
      </c>
    </row>
    <row r="1382" spans="1:58">
      <c r="A1382" t="s">
        <v>58</v>
      </c>
      <c r="B1382" t="s">
        <v>11331</v>
      </c>
      <c r="C1382" t="s">
        <v>11332</v>
      </c>
      <c r="D1382" t="s">
        <v>11333</v>
      </c>
      <c r="E1382" t="s">
        <v>11334</v>
      </c>
      <c r="F1382">
        <v>2006</v>
      </c>
      <c r="G1382" t="s">
        <v>391</v>
      </c>
      <c r="H1382">
        <v>24</v>
      </c>
      <c r="I1382">
        <v>1</v>
      </c>
      <c r="J1382">
        <v>16</v>
      </c>
      <c r="K1382">
        <v>21</v>
      </c>
      <c r="L1382" t="s">
        <v>11335</v>
      </c>
      <c r="M1382" t="s">
        <v>11336</v>
      </c>
      <c r="N1382" t="s">
        <v>11337</v>
      </c>
      <c r="O1382" t="s">
        <v>61</v>
      </c>
      <c r="Q1382" t="s">
        <v>61</v>
      </c>
      <c r="R1382" t="s">
        <v>61</v>
      </c>
      <c r="S1382" t="s">
        <v>61</v>
      </c>
      <c r="T1382" t="s">
        <v>61</v>
      </c>
      <c r="X1382" t="s">
        <v>61</v>
      </c>
      <c r="Y1382" t="s">
        <v>11338</v>
      </c>
      <c r="Z1382" t="s">
        <v>61</v>
      </c>
      <c r="AA1382" t="s">
        <v>11339</v>
      </c>
      <c r="AB1382">
        <v>16464810</v>
      </c>
      <c r="AC1382" t="s">
        <v>67</v>
      </c>
      <c r="AD1382" t="s">
        <v>61</v>
      </c>
      <c r="AE1382" t="s">
        <v>61</v>
      </c>
      <c r="AF1382" t="s">
        <v>61</v>
      </c>
      <c r="AG1382" t="s">
        <v>11340</v>
      </c>
      <c r="AH1382" t="s">
        <v>61</v>
      </c>
      <c r="AI1382" t="s">
        <v>61</v>
      </c>
      <c r="AJ1382" t="s">
        <v>61</v>
      </c>
      <c r="AK1382" t="s">
        <v>61</v>
      </c>
      <c r="AL1382" t="s">
        <v>61</v>
      </c>
      <c r="AM1382" t="s">
        <v>11341</v>
      </c>
      <c r="AN1382" t="s">
        <v>61</v>
      </c>
      <c r="AO1382" t="s">
        <v>61</v>
      </c>
      <c r="AP1382" t="s">
        <v>61</v>
      </c>
      <c r="AQ1382" t="s">
        <v>61</v>
      </c>
      <c r="AR1382" t="s">
        <v>61</v>
      </c>
      <c r="AS1382" t="s">
        <v>61</v>
      </c>
      <c r="AT1382" t="s">
        <v>61</v>
      </c>
      <c r="AU1382" t="s">
        <v>61</v>
      </c>
      <c r="AV1382" t="s">
        <v>61</v>
      </c>
      <c r="AW1382" t="s">
        <v>61</v>
      </c>
      <c r="AX1382" t="s">
        <v>61</v>
      </c>
      <c r="AY1382" t="s">
        <v>61</v>
      </c>
      <c r="AZ1382" t="s">
        <v>61</v>
      </c>
      <c r="BA1382" t="s">
        <v>61</v>
      </c>
      <c r="BB1382" t="s">
        <v>61</v>
      </c>
      <c r="BC1382" t="s">
        <v>61</v>
      </c>
      <c r="BD1382" t="s">
        <v>61</v>
      </c>
      <c r="BE1382" t="s">
        <v>61</v>
      </c>
      <c r="BF1382" t="s">
        <v>61</v>
      </c>
    </row>
    <row r="1383" spans="1:58">
      <c r="A1383" t="s">
        <v>58</v>
      </c>
      <c r="B1383" t="s">
        <v>11342</v>
      </c>
      <c r="C1383" t="s">
        <v>11343</v>
      </c>
      <c r="D1383" t="s">
        <v>2935</v>
      </c>
      <c r="E1383" t="s">
        <v>61</v>
      </c>
      <c r="F1383">
        <v>2014</v>
      </c>
      <c r="G1383" t="s">
        <v>61</v>
      </c>
      <c r="H1383">
        <v>15</v>
      </c>
      <c r="I1383" t="s">
        <v>61</v>
      </c>
      <c r="J1383">
        <v>8</v>
      </c>
      <c r="K1383" t="s">
        <v>61</v>
      </c>
      <c r="L1383" t="s">
        <v>11344</v>
      </c>
      <c r="M1383" t="s">
        <v>11345</v>
      </c>
      <c r="N1383" t="s">
        <v>11346</v>
      </c>
      <c r="O1383" t="s">
        <v>61</v>
      </c>
      <c r="Q1383" t="s">
        <v>61</v>
      </c>
      <c r="R1383" t="s">
        <v>61</v>
      </c>
      <c r="S1383" t="s">
        <v>61</v>
      </c>
      <c r="T1383" t="s">
        <v>61</v>
      </c>
      <c r="X1383" t="s">
        <v>61</v>
      </c>
      <c r="Y1383" t="s">
        <v>2939</v>
      </c>
      <c r="Z1383" t="s">
        <v>61</v>
      </c>
      <c r="AA1383" t="s">
        <v>11347</v>
      </c>
      <c r="AB1383">
        <v>24568120</v>
      </c>
      <c r="AC1383" t="s">
        <v>67</v>
      </c>
      <c r="AD1383" t="s">
        <v>61</v>
      </c>
      <c r="AE1383" t="s">
        <v>61</v>
      </c>
      <c r="AF1383" t="s">
        <v>61</v>
      </c>
      <c r="AG1383" t="s">
        <v>11348</v>
      </c>
      <c r="AH1383" t="s">
        <v>61</v>
      </c>
      <c r="AI1383" t="s">
        <v>11349</v>
      </c>
      <c r="AJ1383" t="s">
        <v>61</v>
      </c>
      <c r="AK1383" t="s">
        <v>61</v>
      </c>
      <c r="AL1383" t="s">
        <v>61</v>
      </c>
      <c r="AM1383" t="s">
        <v>11350</v>
      </c>
      <c r="AN1383" t="s">
        <v>61</v>
      </c>
      <c r="AO1383" t="s">
        <v>61</v>
      </c>
      <c r="AP1383" t="s">
        <v>61</v>
      </c>
      <c r="AQ1383" t="s">
        <v>61</v>
      </c>
      <c r="AR1383" t="s">
        <v>61</v>
      </c>
      <c r="AS1383" t="s">
        <v>61</v>
      </c>
      <c r="AT1383" t="s">
        <v>61</v>
      </c>
      <c r="AU1383" t="s">
        <v>61</v>
      </c>
      <c r="AV1383" t="s">
        <v>61</v>
      </c>
      <c r="AW1383" t="s">
        <v>61</v>
      </c>
      <c r="AX1383" t="s">
        <v>61</v>
      </c>
      <c r="AY1383" t="s">
        <v>61</v>
      </c>
      <c r="AZ1383" t="s">
        <v>61</v>
      </c>
      <c r="BA1383" t="s">
        <v>61</v>
      </c>
      <c r="BB1383" t="s">
        <v>61</v>
      </c>
      <c r="BC1383" t="s">
        <v>61</v>
      </c>
      <c r="BD1383" t="s">
        <v>61</v>
      </c>
      <c r="BE1383" t="s">
        <v>61</v>
      </c>
      <c r="BF1383" t="s">
        <v>61</v>
      </c>
    </row>
    <row r="1384" spans="1:58">
      <c r="A1384" t="s">
        <v>58</v>
      </c>
      <c r="B1384" t="s">
        <v>11351</v>
      </c>
      <c r="C1384" t="s">
        <v>11352</v>
      </c>
      <c r="D1384" t="s">
        <v>408</v>
      </c>
      <c r="E1384" t="s">
        <v>408</v>
      </c>
      <c r="F1384">
        <v>2011</v>
      </c>
      <c r="G1384" t="s">
        <v>645</v>
      </c>
      <c r="H1384">
        <v>31</v>
      </c>
      <c r="I1384">
        <v>10</v>
      </c>
      <c r="J1384" t="s">
        <v>11353</v>
      </c>
      <c r="K1384" t="s">
        <v>61</v>
      </c>
      <c r="L1384" t="s">
        <v>11354</v>
      </c>
      <c r="M1384" t="s">
        <v>11355</v>
      </c>
      <c r="N1384" t="s">
        <v>11356</v>
      </c>
      <c r="O1384" t="s">
        <v>61</v>
      </c>
      <c r="Q1384" t="s">
        <v>61</v>
      </c>
      <c r="R1384" t="s">
        <v>61</v>
      </c>
      <c r="S1384" t="s">
        <v>61</v>
      </c>
      <c r="T1384" t="s">
        <v>61</v>
      </c>
      <c r="X1384" t="s">
        <v>61</v>
      </c>
      <c r="Y1384" t="s">
        <v>414</v>
      </c>
      <c r="Z1384" t="s">
        <v>61</v>
      </c>
      <c r="AA1384" t="s">
        <v>61</v>
      </c>
      <c r="AB1384" t="s">
        <v>61</v>
      </c>
      <c r="AC1384" t="s">
        <v>67</v>
      </c>
      <c r="AD1384" t="s">
        <v>61</v>
      </c>
      <c r="AE1384" t="s">
        <v>61</v>
      </c>
      <c r="AF1384" t="s">
        <v>61</v>
      </c>
      <c r="AG1384" t="s">
        <v>61</v>
      </c>
      <c r="AH1384" t="s">
        <v>61</v>
      </c>
      <c r="AI1384" t="s">
        <v>61</v>
      </c>
      <c r="AJ1384" t="s">
        <v>61</v>
      </c>
      <c r="AK1384" t="s">
        <v>61</v>
      </c>
      <c r="AL1384" t="s">
        <v>61</v>
      </c>
      <c r="AM1384" t="s">
        <v>11352</v>
      </c>
      <c r="AN1384" t="s">
        <v>61</v>
      </c>
      <c r="AO1384" t="s">
        <v>61</v>
      </c>
      <c r="AP1384" t="s">
        <v>61</v>
      </c>
      <c r="AQ1384" t="s">
        <v>61</v>
      </c>
      <c r="AR1384" t="s">
        <v>61</v>
      </c>
      <c r="AS1384" t="s">
        <v>61</v>
      </c>
      <c r="AT1384" t="s">
        <v>61</v>
      </c>
      <c r="AU1384" t="s">
        <v>61</v>
      </c>
      <c r="AV1384" t="s">
        <v>61</v>
      </c>
      <c r="AW1384" t="s">
        <v>61</v>
      </c>
      <c r="AX1384" t="s">
        <v>61</v>
      </c>
      <c r="AY1384" t="s">
        <v>61</v>
      </c>
      <c r="AZ1384" t="s">
        <v>61</v>
      </c>
      <c r="BA1384" t="s">
        <v>61</v>
      </c>
      <c r="BB1384" t="s">
        <v>61</v>
      </c>
      <c r="BC1384" t="s">
        <v>61</v>
      </c>
      <c r="BD1384" t="s">
        <v>61</v>
      </c>
      <c r="BE1384" t="s">
        <v>61</v>
      </c>
      <c r="BF1384" t="s">
        <v>61</v>
      </c>
    </row>
    <row r="1385" spans="1:58">
      <c r="A1385" t="s">
        <v>58</v>
      </c>
      <c r="B1385" t="s">
        <v>11357</v>
      </c>
      <c r="C1385" t="s">
        <v>11358</v>
      </c>
      <c r="D1385" t="s">
        <v>11359</v>
      </c>
      <c r="E1385" t="s">
        <v>61</v>
      </c>
      <c r="F1385">
        <v>1994</v>
      </c>
      <c r="G1385" t="s">
        <v>61</v>
      </c>
      <c r="H1385">
        <v>25</v>
      </c>
      <c r="I1385">
        <v>2</v>
      </c>
      <c r="J1385">
        <v>21</v>
      </c>
      <c r="K1385">
        <v>30</v>
      </c>
      <c r="L1385" t="s">
        <v>11360</v>
      </c>
      <c r="M1385" t="s">
        <v>11361</v>
      </c>
      <c r="N1385" t="s">
        <v>11362</v>
      </c>
      <c r="O1385" t="s">
        <v>61</v>
      </c>
      <c r="Q1385" t="s">
        <v>61</v>
      </c>
      <c r="R1385" t="s">
        <v>61</v>
      </c>
      <c r="S1385" t="s">
        <v>61</v>
      </c>
      <c r="T1385" t="s">
        <v>61</v>
      </c>
      <c r="X1385" t="s">
        <v>61</v>
      </c>
      <c r="Y1385" t="s">
        <v>11363</v>
      </c>
      <c r="Z1385" t="s">
        <v>61</v>
      </c>
      <c r="AA1385" t="s">
        <v>61</v>
      </c>
      <c r="AB1385" t="s">
        <v>11364</v>
      </c>
      <c r="AC1385" t="s">
        <v>67</v>
      </c>
      <c r="AD1385" t="s">
        <v>61</v>
      </c>
      <c r="AE1385" t="s">
        <v>61</v>
      </c>
      <c r="AF1385" t="s">
        <v>61</v>
      </c>
      <c r="AG1385" t="s">
        <v>61</v>
      </c>
      <c r="AH1385" t="s">
        <v>61</v>
      </c>
      <c r="AI1385" t="s">
        <v>61</v>
      </c>
      <c r="AJ1385" t="s">
        <v>61</v>
      </c>
      <c r="AK1385" t="s">
        <v>61</v>
      </c>
      <c r="AL1385" t="s">
        <v>61</v>
      </c>
      <c r="AM1385" t="s">
        <v>11365</v>
      </c>
      <c r="AN1385" t="s">
        <v>61</v>
      </c>
      <c r="AO1385" t="s">
        <v>61</v>
      </c>
      <c r="AP1385" t="s">
        <v>61</v>
      </c>
      <c r="AQ1385" t="s">
        <v>61</v>
      </c>
      <c r="AR1385" t="s">
        <v>61</v>
      </c>
      <c r="AS1385" t="s">
        <v>61</v>
      </c>
      <c r="AT1385" t="s">
        <v>61</v>
      </c>
      <c r="AU1385" t="s">
        <v>61</v>
      </c>
      <c r="AV1385" t="s">
        <v>61</v>
      </c>
      <c r="AW1385" t="s">
        <v>61</v>
      </c>
      <c r="AX1385" t="s">
        <v>61</v>
      </c>
      <c r="AY1385" t="s">
        <v>61</v>
      </c>
      <c r="AZ1385" t="s">
        <v>61</v>
      </c>
      <c r="BA1385" t="s">
        <v>61</v>
      </c>
      <c r="BB1385" t="s">
        <v>61</v>
      </c>
      <c r="BC1385" t="s">
        <v>61</v>
      </c>
      <c r="BD1385" t="s">
        <v>61</v>
      </c>
      <c r="BE1385" t="s">
        <v>61</v>
      </c>
      <c r="BF1385" t="s">
        <v>61</v>
      </c>
    </row>
    <row r="1386" spans="1:58">
      <c r="A1386" t="s">
        <v>58</v>
      </c>
      <c r="B1386" t="s">
        <v>11366</v>
      </c>
      <c r="C1386" t="s">
        <v>11367</v>
      </c>
      <c r="D1386" t="s">
        <v>11368</v>
      </c>
      <c r="E1386" t="s">
        <v>61</v>
      </c>
      <c r="F1386">
        <v>1990</v>
      </c>
      <c r="G1386" t="s">
        <v>61</v>
      </c>
      <c r="H1386">
        <v>2</v>
      </c>
      <c r="I1386">
        <v>1</v>
      </c>
      <c r="J1386">
        <v>37</v>
      </c>
      <c r="K1386">
        <v>58</v>
      </c>
      <c r="L1386" t="s">
        <v>11369</v>
      </c>
      <c r="M1386" t="s">
        <v>11370</v>
      </c>
      <c r="N1386" t="s">
        <v>11371</v>
      </c>
      <c r="O1386" t="s">
        <v>61</v>
      </c>
      <c r="Q1386" t="s">
        <v>61</v>
      </c>
      <c r="R1386" t="s">
        <v>61</v>
      </c>
      <c r="S1386" t="s">
        <v>61</v>
      </c>
      <c r="T1386" t="s">
        <v>61</v>
      </c>
      <c r="X1386" t="s">
        <v>61</v>
      </c>
      <c r="Y1386" t="s">
        <v>11372</v>
      </c>
      <c r="Z1386" t="s">
        <v>61</v>
      </c>
      <c r="AA1386" t="s">
        <v>11373</v>
      </c>
      <c r="AB1386">
        <v>2103870</v>
      </c>
      <c r="AC1386" t="s">
        <v>67</v>
      </c>
      <c r="AD1386" t="s">
        <v>61</v>
      </c>
      <c r="AE1386" t="s">
        <v>61</v>
      </c>
      <c r="AF1386" t="s">
        <v>61</v>
      </c>
      <c r="AG1386" t="s">
        <v>11374</v>
      </c>
      <c r="AH1386" t="s">
        <v>61</v>
      </c>
      <c r="AI1386" t="s">
        <v>61</v>
      </c>
      <c r="AJ1386" t="s">
        <v>61</v>
      </c>
      <c r="AK1386" t="s">
        <v>61</v>
      </c>
      <c r="AL1386" t="s">
        <v>61</v>
      </c>
      <c r="AM1386" t="s">
        <v>11375</v>
      </c>
      <c r="AN1386" t="s">
        <v>61</v>
      </c>
      <c r="AO1386" t="s">
        <v>61</v>
      </c>
      <c r="AP1386" t="s">
        <v>61</v>
      </c>
      <c r="AQ1386" t="s">
        <v>61</v>
      </c>
      <c r="AR1386" t="s">
        <v>61</v>
      </c>
      <c r="AS1386" t="s">
        <v>61</v>
      </c>
      <c r="AT1386" t="s">
        <v>61</v>
      </c>
      <c r="AU1386" t="s">
        <v>61</v>
      </c>
      <c r="AV1386" t="s">
        <v>61</v>
      </c>
      <c r="AW1386" t="s">
        <v>61</v>
      </c>
      <c r="AX1386" t="s">
        <v>61</v>
      </c>
      <c r="AY1386" t="s">
        <v>61</v>
      </c>
      <c r="AZ1386" t="s">
        <v>61</v>
      </c>
      <c r="BA1386" t="s">
        <v>61</v>
      </c>
      <c r="BB1386" t="s">
        <v>61</v>
      </c>
      <c r="BC1386" t="s">
        <v>61</v>
      </c>
      <c r="BD1386" t="s">
        <v>61</v>
      </c>
      <c r="BE1386" t="s">
        <v>61</v>
      </c>
      <c r="BF1386" t="s">
        <v>61</v>
      </c>
    </row>
    <row r="1387" spans="1:58">
      <c r="A1387" t="s">
        <v>58</v>
      </c>
      <c r="B1387" t="s">
        <v>11376</v>
      </c>
      <c r="C1387" t="s">
        <v>11377</v>
      </c>
      <c r="D1387" t="s">
        <v>428</v>
      </c>
      <c r="E1387" t="s">
        <v>61</v>
      </c>
      <c r="F1387">
        <v>2012</v>
      </c>
      <c r="G1387" t="s">
        <v>129</v>
      </c>
      <c r="H1387">
        <v>25</v>
      </c>
      <c r="I1387">
        <v>5</v>
      </c>
      <c r="J1387">
        <v>541</v>
      </c>
      <c r="K1387">
        <v>551</v>
      </c>
      <c r="L1387" t="s">
        <v>11378</v>
      </c>
      <c r="M1387" t="s">
        <v>11379</v>
      </c>
      <c r="N1387" t="s">
        <v>11380</v>
      </c>
      <c r="O1387" t="s">
        <v>61</v>
      </c>
      <c r="Q1387" t="s">
        <v>61</v>
      </c>
      <c r="R1387" t="s">
        <v>61</v>
      </c>
      <c r="S1387" t="s">
        <v>61</v>
      </c>
      <c r="T1387" t="s">
        <v>61</v>
      </c>
      <c r="X1387" t="s">
        <v>61</v>
      </c>
      <c r="Y1387" t="s">
        <v>11381</v>
      </c>
      <c r="Z1387" t="s">
        <v>61</v>
      </c>
      <c r="AA1387" t="s">
        <v>11382</v>
      </c>
      <c r="AB1387">
        <v>22544623</v>
      </c>
      <c r="AC1387" t="s">
        <v>67</v>
      </c>
      <c r="AD1387" t="s">
        <v>61</v>
      </c>
      <c r="AE1387" t="s">
        <v>61</v>
      </c>
      <c r="AF1387" t="s">
        <v>61</v>
      </c>
      <c r="AG1387" t="s">
        <v>11383</v>
      </c>
      <c r="AH1387" t="s">
        <v>61</v>
      </c>
      <c r="AI1387" t="s">
        <v>61</v>
      </c>
      <c r="AJ1387" t="s">
        <v>61</v>
      </c>
      <c r="AK1387" t="s">
        <v>61</v>
      </c>
      <c r="AL1387" t="s">
        <v>61</v>
      </c>
      <c r="AM1387" t="s">
        <v>11384</v>
      </c>
      <c r="AN1387" t="s">
        <v>61</v>
      </c>
      <c r="AO1387" t="s">
        <v>61</v>
      </c>
      <c r="AP1387" t="s">
        <v>61</v>
      </c>
      <c r="AQ1387" t="s">
        <v>61</v>
      </c>
      <c r="AR1387" t="s">
        <v>61</v>
      </c>
      <c r="AS1387" t="s">
        <v>61</v>
      </c>
      <c r="AT1387" t="s">
        <v>61</v>
      </c>
      <c r="AU1387" t="s">
        <v>61</v>
      </c>
      <c r="AV1387" t="s">
        <v>61</v>
      </c>
      <c r="AW1387" t="s">
        <v>61</v>
      </c>
      <c r="AX1387" t="s">
        <v>61</v>
      </c>
      <c r="AY1387" t="s">
        <v>61</v>
      </c>
      <c r="AZ1387" t="s">
        <v>61</v>
      </c>
      <c r="BA1387" t="s">
        <v>61</v>
      </c>
      <c r="BB1387" t="s">
        <v>61</v>
      </c>
      <c r="BC1387" t="s">
        <v>61</v>
      </c>
      <c r="BD1387" t="s">
        <v>61</v>
      </c>
      <c r="BE1387" t="s">
        <v>61</v>
      </c>
      <c r="BF1387" t="s">
        <v>61</v>
      </c>
    </row>
    <row r="1388" spans="1:58">
      <c r="A1388" t="s">
        <v>58</v>
      </c>
      <c r="B1388" t="s">
        <v>11385</v>
      </c>
      <c r="C1388" t="s">
        <v>11386</v>
      </c>
      <c r="D1388" t="s">
        <v>11387</v>
      </c>
      <c r="E1388" t="s">
        <v>61</v>
      </c>
      <c r="F1388">
        <v>1996</v>
      </c>
      <c r="G1388" t="s">
        <v>61</v>
      </c>
      <c r="H1388" t="s">
        <v>61</v>
      </c>
      <c r="I1388" t="s">
        <v>61</v>
      </c>
      <c r="J1388" t="s">
        <v>11388</v>
      </c>
      <c r="K1388" t="s">
        <v>11389</v>
      </c>
      <c r="L1388" t="s">
        <v>11390</v>
      </c>
      <c r="M1388" t="s">
        <v>11391</v>
      </c>
      <c r="N1388" t="s">
        <v>11392</v>
      </c>
      <c r="O1388" t="s">
        <v>61</v>
      </c>
      <c r="Q1388" t="s">
        <v>61</v>
      </c>
      <c r="R1388" t="s">
        <v>61</v>
      </c>
      <c r="S1388" t="s">
        <v>61</v>
      </c>
      <c r="T1388" t="s">
        <v>61</v>
      </c>
      <c r="X1388" t="s">
        <v>61</v>
      </c>
      <c r="Y1388" t="s">
        <v>11393</v>
      </c>
      <c r="Z1388" t="s">
        <v>61</v>
      </c>
      <c r="AA1388" t="s">
        <v>11394</v>
      </c>
      <c r="AB1388">
        <v>106550305</v>
      </c>
      <c r="AC1388" t="s">
        <v>67</v>
      </c>
      <c r="AD1388" t="s">
        <v>61</v>
      </c>
      <c r="AE1388" t="s">
        <v>61</v>
      </c>
      <c r="AF1388" t="s">
        <v>61</v>
      </c>
      <c r="AG1388" t="s">
        <v>11395</v>
      </c>
      <c r="AH1388" t="s">
        <v>61</v>
      </c>
      <c r="AI1388" t="s">
        <v>61</v>
      </c>
      <c r="AJ1388" t="s">
        <v>61</v>
      </c>
      <c r="AK1388" t="s">
        <v>61</v>
      </c>
      <c r="AL1388" t="s">
        <v>61</v>
      </c>
      <c r="AM1388" t="s">
        <v>11396</v>
      </c>
      <c r="AN1388" t="s">
        <v>61</v>
      </c>
      <c r="AO1388" t="s">
        <v>61</v>
      </c>
      <c r="AP1388" t="s">
        <v>61</v>
      </c>
      <c r="AQ1388" t="s">
        <v>61</v>
      </c>
      <c r="AR1388" t="s">
        <v>61</v>
      </c>
      <c r="AS1388" t="s">
        <v>61</v>
      </c>
      <c r="AT1388" t="s">
        <v>61</v>
      </c>
      <c r="AU1388" t="s">
        <v>61</v>
      </c>
      <c r="AV1388" t="s">
        <v>61</v>
      </c>
      <c r="AW1388" t="s">
        <v>61</v>
      </c>
      <c r="AX1388" t="s">
        <v>61</v>
      </c>
      <c r="AY1388" t="s">
        <v>61</v>
      </c>
      <c r="AZ1388" t="s">
        <v>61</v>
      </c>
      <c r="BA1388" t="s">
        <v>61</v>
      </c>
      <c r="BB1388" t="s">
        <v>61</v>
      </c>
      <c r="BC1388" t="s">
        <v>61</v>
      </c>
      <c r="BD1388" t="s">
        <v>61</v>
      </c>
      <c r="BE1388" t="s">
        <v>61</v>
      </c>
      <c r="BF1388" t="s">
        <v>61</v>
      </c>
    </row>
    <row r="1389" spans="1:58">
      <c r="A1389" t="s">
        <v>58</v>
      </c>
      <c r="B1389" t="s">
        <v>11397</v>
      </c>
      <c r="C1389" t="s">
        <v>11398</v>
      </c>
      <c r="D1389" t="s">
        <v>11399</v>
      </c>
      <c r="E1389" t="s">
        <v>61</v>
      </c>
      <c r="F1389">
        <v>2012</v>
      </c>
      <c r="G1389" t="s">
        <v>11400</v>
      </c>
      <c r="H1389">
        <v>17</v>
      </c>
      <c r="I1389">
        <v>3</v>
      </c>
      <c r="J1389">
        <v>201</v>
      </c>
      <c r="K1389" t="s">
        <v>61</v>
      </c>
      <c r="L1389" t="s">
        <v>11401</v>
      </c>
      <c r="M1389" t="s">
        <v>11402</v>
      </c>
      <c r="N1389" t="s">
        <v>11403</v>
      </c>
      <c r="O1389" t="s">
        <v>61</v>
      </c>
      <c r="Q1389" t="s">
        <v>61</v>
      </c>
      <c r="R1389" t="s">
        <v>61</v>
      </c>
      <c r="S1389" t="s">
        <v>61</v>
      </c>
      <c r="T1389" t="s">
        <v>61</v>
      </c>
      <c r="X1389" t="s">
        <v>61</v>
      </c>
      <c r="Y1389" t="s">
        <v>11404</v>
      </c>
      <c r="Z1389" t="s">
        <v>61</v>
      </c>
      <c r="AA1389" t="s">
        <v>61</v>
      </c>
      <c r="AB1389" t="s">
        <v>61</v>
      </c>
      <c r="AC1389" t="s">
        <v>67</v>
      </c>
      <c r="AD1389" t="s">
        <v>61</v>
      </c>
      <c r="AE1389" t="s">
        <v>61</v>
      </c>
      <c r="AF1389" t="s">
        <v>61</v>
      </c>
      <c r="AG1389" t="s">
        <v>61</v>
      </c>
      <c r="AH1389" t="s">
        <v>61</v>
      </c>
      <c r="AI1389" t="s">
        <v>61</v>
      </c>
      <c r="AJ1389" t="s">
        <v>61</v>
      </c>
      <c r="AK1389" t="s">
        <v>61</v>
      </c>
      <c r="AL1389" t="s">
        <v>61</v>
      </c>
      <c r="AM1389" t="s">
        <v>11398</v>
      </c>
      <c r="AN1389" t="s">
        <v>61</v>
      </c>
      <c r="AO1389" t="s">
        <v>61</v>
      </c>
      <c r="AP1389" t="s">
        <v>61</v>
      </c>
      <c r="AQ1389" t="s">
        <v>61</v>
      </c>
      <c r="AR1389" t="s">
        <v>61</v>
      </c>
      <c r="AS1389" t="s">
        <v>61</v>
      </c>
      <c r="AT1389" t="s">
        <v>61</v>
      </c>
      <c r="AU1389" t="s">
        <v>61</v>
      </c>
      <c r="AV1389" t="s">
        <v>61</v>
      </c>
      <c r="AW1389" t="s">
        <v>61</v>
      </c>
      <c r="AX1389" t="s">
        <v>61</v>
      </c>
      <c r="AY1389" t="s">
        <v>61</v>
      </c>
      <c r="AZ1389" t="s">
        <v>61</v>
      </c>
      <c r="BA1389" t="s">
        <v>61</v>
      </c>
      <c r="BB1389" t="s">
        <v>61</v>
      </c>
      <c r="BC1389" t="s">
        <v>61</v>
      </c>
      <c r="BD1389" t="s">
        <v>61</v>
      </c>
      <c r="BE1389" t="s">
        <v>61</v>
      </c>
      <c r="BF1389" t="s">
        <v>61</v>
      </c>
    </row>
    <row r="1390" spans="1:58">
      <c r="A1390" t="s">
        <v>58</v>
      </c>
      <c r="B1390" t="s">
        <v>11405</v>
      </c>
      <c r="C1390" t="s">
        <v>11406</v>
      </c>
      <c r="D1390" t="s">
        <v>4658</v>
      </c>
      <c r="E1390" t="s">
        <v>4659</v>
      </c>
      <c r="F1390">
        <v>2015</v>
      </c>
      <c r="G1390">
        <v>1</v>
      </c>
      <c r="H1390">
        <v>146</v>
      </c>
      <c r="I1390" t="s">
        <v>61</v>
      </c>
      <c r="J1390" t="s">
        <v>11407</v>
      </c>
      <c r="K1390" t="s">
        <v>61</v>
      </c>
      <c r="L1390" t="s">
        <v>11408</v>
      </c>
      <c r="M1390" t="s">
        <v>11409</v>
      </c>
      <c r="N1390" t="s">
        <v>11410</v>
      </c>
      <c r="O1390" t="s">
        <v>61</v>
      </c>
      <c r="Q1390" t="s">
        <v>61</v>
      </c>
      <c r="R1390" t="s">
        <v>61</v>
      </c>
      <c r="S1390" t="s">
        <v>61</v>
      </c>
      <c r="T1390" t="s">
        <v>61</v>
      </c>
      <c r="X1390" t="s">
        <v>61</v>
      </c>
      <c r="Y1390" t="s">
        <v>486</v>
      </c>
      <c r="Z1390" t="s">
        <v>61</v>
      </c>
      <c r="AA1390" t="s">
        <v>61</v>
      </c>
      <c r="AB1390" t="s">
        <v>61</v>
      </c>
      <c r="AC1390" t="s">
        <v>67</v>
      </c>
      <c r="AD1390" t="s">
        <v>61</v>
      </c>
      <c r="AE1390" t="s">
        <v>61</v>
      </c>
      <c r="AF1390" t="s">
        <v>61</v>
      </c>
      <c r="AG1390" t="s">
        <v>61</v>
      </c>
      <c r="AH1390" t="s">
        <v>61</v>
      </c>
      <c r="AI1390" t="s">
        <v>61</v>
      </c>
      <c r="AJ1390" t="s">
        <v>61</v>
      </c>
      <c r="AK1390" t="s">
        <v>61</v>
      </c>
      <c r="AL1390" t="s">
        <v>61</v>
      </c>
      <c r="AM1390" t="s">
        <v>11406</v>
      </c>
      <c r="AN1390" t="s">
        <v>61</v>
      </c>
      <c r="AO1390" t="s">
        <v>61</v>
      </c>
      <c r="AP1390" t="s">
        <v>61</v>
      </c>
      <c r="AQ1390" t="s">
        <v>61</v>
      </c>
      <c r="AR1390" t="s">
        <v>61</v>
      </c>
      <c r="AS1390" t="s">
        <v>61</v>
      </c>
      <c r="AT1390" t="s">
        <v>61</v>
      </c>
      <c r="AU1390" t="s">
        <v>61</v>
      </c>
      <c r="AV1390" t="s">
        <v>61</v>
      </c>
      <c r="AW1390" t="s">
        <v>61</v>
      </c>
      <c r="AX1390" t="s">
        <v>61</v>
      </c>
      <c r="AY1390" t="s">
        <v>61</v>
      </c>
      <c r="AZ1390" t="s">
        <v>61</v>
      </c>
      <c r="BA1390" t="s">
        <v>61</v>
      </c>
      <c r="BB1390" t="s">
        <v>61</v>
      </c>
      <c r="BC1390" t="s">
        <v>61</v>
      </c>
      <c r="BD1390" t="s">
        <v>61</v>
      </c>
      <c r="BE1390" t="s">
        <v>61</v>
      </c>
      <c r="BF1390" t="s">
        <v>61</v>
      </c>
    </row>
    <row r="1391" spans="1:58">
      <c r="A1391" t="s">
        <v>58</v>
      </c>
      <c r="B1391" t="s">
        <v>11411</v>
      </c>
      <c r="C1391" t="s">
        <v>11412</v>
      </c>
      <c r="D1391" t="s">
        <v>11413</v>
      </c>
      <c r="E1391" t="s">
        <v>11414</v>
      </c>
      <c r="F1391">
        <v>2013</v>
      </c>
      <c r="G1391" t="s">
        <v>61</v>
      </c>
      <c r="H1391">
        <v>57</v>
      </c>
      <c r="I1391">
        <v>5</v>
      </c>
      <c r="J1391">
        <v>260</v>
      </c>
      <c r="K1391" t="s">
        <v>61</v>
      </c>
      <c r="L1391" t="s">
        <v>11415</v>
      </c>
      <c r="M1391" t="s">
        <v>11416</v>
      </c>
      <c r="N1391" t="s">
        <v>11417</v>
      </c>
      <c r="O1391" t="s">
        <v>61</v>
      </c>
      <c r="Q1391" t="s">
        <v>61</v>
      </c>
      <c r="R1391" t="s">
        <v>61</v>
      </c>
      <c r="S1391" t="s">
        <v>61</v>
      </c>
      <c r="T1391" t="s">
        <v>61</v>
      </c>
      <c r="X1391" t="s">
        <v>61</v>
      </c>
      <c r="Y1391" t="s">
        <v>11418</v>
      </c>
      <c r="Z1391" t="s">
        <v>61</v>
      </c>
      <c r="AA1391" t="s">
        <v>61</v>
      </c>
      <c r="AB1391" t="s">
        <v>61</v>
      </c>
      <c r="AC1391" t="s">
        <v>67</v>
      </c>
      <c r="AD1391" t="s">
        <v>61</v>
      </c>
      <c r="AE1391" t="s">
        <v>61</v>
      </c>
      <c r="AF1391" t="s">
        <v>61</v>
      </c>
      <c r="AG1391" t="s">
        <v>61</v>
      </c>
      <c r="AH1391" t="s">
        <v>61</v>
      </c>
      <c r="AI1391" t="s">
        <v>61</v>
      </c>
      <c r="AJ1391" t="s">
        <v>61</v>
      </c>
      <c r="AK1391" t="s">
        <v>61</v>
      </c>
      <c r="AL1391" t="s">
        <v>61</v>
      </c>
      <c r="AM1391" t="s">
        <v>11412</v>
      </c>
      <c r="AN1391" t="s">
        <v>61</v>
      </c>
      <c r="AO1391" t="s">
        <v>61</v>
      </c>
      <c r="AP1391" t="s">
        <v>61</v>
      </c>
      <c r="AQ1391" t="s">
        <v>61</v>
      </c>
      <c r="AR1391" t="s">
        <v>61</v>
      </c>
      <c r="AS1391" t="s">
        <v>61</v>
      </c>
      <c r="AT1391" t="s">
        <v>61</v>
      </c>
      <c r="AU1391" t="s">
        <v>61</v>
      </c>
      <c r="AV1391" t="s">
        <v>61</v>
      </c>
      <c r="AW1391" t="s">
        <v>61</v>
      </c>
      <c r="AX1391" t="s">
        <v>61</v>
      </c>
      <c r="AY1391" t="s">
        <v>61</v>
      </c>
      <c r="AZ1391" t="s">
        <v>61</v>
      </c>
      <c r="BA1391" t="s">
        <v>61</v>
      </c>
      <c r="BB1391" t="s">
        <v>61</v>
      </c>
      <c r="BC1391" t="s">
        <v>61</v>
      </c>
      <c r="BD1391" t="s">
        <v>61</v>
      </c>
      <c r="BE1391" t="s">
        <v>61</v>
      </c>
      <c r="BF1391" t="s">
        <v>61</v>
      </c>
    </row>
    <row r="1392" spans="1:58">
      <c r="A1392" t="s">
        <v>58</v>
      </c>
      <c r="B1392" t="s">
        <v>11419</v>
      </c>
      <c r="C1392" t="s">
        <v>11420</v>
      </c>
      <c r="D1392" t="s">
        <v>876</v>
      </c>
      <c r="E1392" t="s">
        <v>877</v>
      </c>
      <c r="F1392">
        <v>1975</v>
      </c>
      <c r="G1392" t="s">
        <v>418</v>
      </c>
      <c r="H1392">
        <v>39</v>
      </c>
      <c r="I1392">
        <v>3</v>
      </c>
      <c r="J1392">
        <v>245</v>
      </c>
      <c r="K1392">
        <v>251</v>
      </c>
      <c r="L1392" t="s">
        <v>11421</v>
      </c>
      <c r="M1392" t="s">
        <v>61</v>
      </c>
      <c r="N1392" t="s">
        <v>11422</v>
      </c>
      <c r="O1392" t="s">
        <v>61</v>
      </c>
      <c r="Q1392" t="s">
        <v>61</v>
      </c>
      <c r="R1392" t="s">
        <v>61</v>
      </c>
      <c r="S1392" t="s">
        <v>61</v>
      </c>
      <c r="T1392" t="s">
        <v>61</v>
      </c>
      <c r="X1392" t="s">
        <v>61</v>
      </c>
      <c r="Y1392" s="2">
        <v>2760901</v>
      </c>
      <c r="Z1392" t="s">
        <v>61</v>
      </c>
      <c r="AA1392" t="s">
        <v>61</v>
      </c>
      <c r="AB1392">
        <v>10316657</v>
      </c>
      <c r="AC1392" t="s">
        <v>67</v>
      </c>
      <c r="AD1392" t="s">
        <v>61</v>
      </c>
      <c r="AE1392" t="s">
        <v>61</v>
      </c>
      <c r="AF1392" t="s">
        <v>61</v>
      </c>
      <c r="AG1392" t="s">
        <v>11423</v>
      </c>
      <c r="AH1392" t="s">
        <v>61</v>
      </c>
      <c r="AI1392" t="s">
        <v>61</v>
      </c>
      <c r="AJ1392" t="s">
        <v>61</v>
      </c>
      <c r="AK1392" t="s">
        <v>61</v>
      </c>
      <c r="AL1392" t="s">
        <v>61</v>
      </c>
      <c r="AM1392" t="s">
        <v>11424</v>
      </c>
      <c r="AN1392" t="s">
        <v>61</v>
      </c>
      <c r="AO1392" t="s">
        <v>61</v>
      </c>
      <c r="AP1392" t="s">
        <v>61</v>
      </c>
      <c r="AQ1392" t="s">
        <v>61</v>
      </c>
      <c r="AR1392" t="s">
        <v>61</v>
      </c>
      <c r="AS1392" t="s">
        <v>61</v>
      </c>
      <c r="AT1392" t="s">
        <v>61</v>
      </c>
      <c r="AU1392" t="s">
        <v>61</v>
      </c>
      <c r="AV1392" t="s">
        <v>61</v>
      </c>
      <c r="AW1392" t="s">
        <v>61</v>
      </c>
      <c r="AX1392" t="s">
        <v>61</v>
      </c>
      <c r="AY1392" t="s">
        <v>61</v>
      </c>
      <c r="AZ1392" t="s">
        <v>61</v>
      </c>
      <c r="BA1392" t="s">
        <v>61</v>
      </c>
      <c r="BB1392" t="s">
        <v>61</v>
      </c>
      <c r="BC1392" t="s">
        <v>61</v>
      </c>
      <c r="BD1392" t="s">
        <v>61</v>
      </c>
      <c r="BE1392" t="s">
        <v>61</v>
      </c>
      <c r="BF1392" t="s">
        <v>61</v>
      </c>
    </row>
    <row r="1393" spans="1:58">
      <c r="A1393" t="s">
        <v>58</v>
      </c>
      <c r="B1393" t="s">
        <v>11425</v>
      </c>
      <c r="C1393" t="s">
        <v>11426</v>
      </c>
      <c r="D1393" t="s">
        <v>475</v>
      </c>
      <c r="E1393" t="s">
        <v>61</v>
      </c>
      <c r="F1393">
        <v>2011</v>
      </c>
      <c r="G1393" t="s">
        <v>418</v>
      </c>
      <c r="H1393">
        <v>33</v>
      </c>
      <c r="I1393">
        <v>4</v>
      </c>
      <c r="J1393">
        <v>621</v>
      </c>
      <c r="K1393">
        <v>626</v>
      </c>
      <c r="L1393" t="s">
        <v>11427</v>
      </c>
      <c r="M1393" t="s">
        <v>11428</v>
      </c>
      <c r="N1393" t="s">
        <v>11429</v>
      </c>
      <c r="O1393" t="s">
        <v>61</v>
      </c>
      <c r="Q1393" t="s">
        <v>61</v>
      </c>
      <c r="R1393" t="s">
        <v>61</v>
      </c>
      <c r="S1393" t="s">
        <v>61</v>
      </c>
      <c r="T1393" t="s">
        <v>61</v>
      </c>
      <c r="X1393" t="s">
        <v>61</v>
      </c>
      <c r="Y1393" t="s">
        <v>3663</v>
      </c>
      <c r="Z1393" t="s">
        <v>61</v>
      </c>
      <c r="AA1393" t="s">
        <v>11430</v>
      </c>
      <c r="AB1393">
        <v>21594591</v>
      </c>
      <c r="AC1393" t="s">
        <v>67</v>
      </c>
      <c r="AD1393" t="s">
        <v>61</v>
      </c>
      <c r="AE1393" t="s">
        <v>61</v>
      </c>
      <c r="AF1393" t="s">
        <v>61</v>
      </c>
      <c r="AG1393" t="s">
        <v>11431</v>
      </c>
      <c r="AH1393" t="s">
        <v>61</v>
      </c>
      <c r="AI1393" t="s">
        <v>11432</v>
      </c>
      <c r="AJ1393" t="s">
        <v>61</v>
      </c>
      <c r="AK1393" t="s">
        <v>61</v>
      </c>
      <c r="AL1393" t="s">
        <v>61</v>
      </c>
      <c r="AM1393" t="s">
        <v>11433</v>
      </c>
      <c r="AN1393" t="s">
        <v>61</v>
      </c>
      <c r="AO1393" t="s">
        <v>61</v>
      </c>
      <c r="AP1393" t="s">
        <v>61</v>
      </c>
      <c r="AQ1393" t="s">
        <v>61</v>
      </c>
      <c r="AR1393" t="s">
        <v>61</v>
      </c>
      <c r="AS1393" t="s">
        <v>61</v>
      </c>
      <c r="AT1393" t="s">
        <v>61</v>
      </c>
      <c r="AU1393" t="s">
        <v>61</v>
      </c>
      <c r="AV1393" t="s">
        <v>61</v>
      </c>
      <c r="AW1393" t="s">
        <v>61</v>
      </c>
      <c r="AX1393" t="s">
        <v>61</v>
      </c>
      <c r="AY1393" t="s">
        <v>61</v>
      </c>
      <c r="AZ1393" t="s">
        <v>61</v>
      </c>
      <c r="BA1393" t="s">
        <v>61</v>
      </c>
      <c r="BB1393" t="s">
        <v>61</v>
      </c>
      <c r="BC1393" t="s">
        <v>61</v>
      </c>
      <c r="BD1393" t="s">
        <v>61</v>
      </c>
      <c r="BE1393" t="s">
        <v>61</v>
      </c>
      <c r="BF1393" t="s">
        <v>61</v>
      </c>
    </row>
    <row r="1394" spans="1:58">
      <c r="A1394" t="s">
        <v>58</v>
      </c>
      <c r="B1394" t="s">
        <v>11434</v>
      </c>
      <c r="C1394" t="s">
        <v>11435</v>
      </c>
      <c r="D1394" t="s">
        <v>3873</v>
      </c>
      <c r="E1394" t="s">
        <v>61</v>
      </c>
      <c r="F1394">
        <v>2013</v>
      </c>
      <c r="G1394" t="s">
        <v>61</v>
      </c>
      <c r="H1394">
        <v>8</v>
      </c>
      <c r="I1394" t="s">
        <v>61</v>
      </c>
      <c r="J1394" t="s">
        <v>11436</v>
      </c>
      <c r="K1394" t="s">
        <v>61</v>
      </c>
      <c r="L1394" t="s">
        <v>11437</v>
      </c>
      <c r="M1394" t="s">
        <v>11438</v>
      </c>
      <c r="N1394" t="s">
        <v>11439</v>
      </c>
      <c r="O1394" t="s">
        <v>61</v>
      </c>
      <c r="Q1394" t="s">
        <v>61</v>
      </c>
      <c r="R1394" t="s">
        <v>61</v>
      </c>
      <c r="S1394" t="s">
        <v>61</v>
      </c>
      <c r="T1394" t="s">
        <v>61</v>
      </c>
      <c r="X1394" t="s">
        <v>61</v>
      </c>
      <c r="Y1394" t="s">
        <v>3878</v>
      </c>
      <c r="Z1394" t="s">
        <v>61</v>
      </c>
      <c r="AA1394" t="s">
        <v>11440</v>
      </c>
      <c r="AB1394">
        <v>23975659</v>
      </c>
      <c r="AC1394" t="s">
        <v>67</v>
      </c>
      <c r="AD1394" t="s">
        <v>61</v>
      </c>
      <c r="AE1394" t="s">
        <v>61</v>
      </c>
      <c r="AF1394" t="s">
        <v>61</v>
      </c>
      <c r="AG1394" t="s">
        <v>11441</v>
      </c>
      <c r="AH1394" t="s">
        <v>61</v>
      </c>
      <c r="AI1394" t="s">
        <v>11442</v>
      </c>
      <c r="AJ1394" t="s">
        <v>61</v>
      </c>
      <c r="AK1394" t="s">
        <v>61</v>
      </c>
      <c r="AL1394" t="s">
        <v>61</v>
      </c>
      <c r="AM1394" t="s">
        <v>11443</v>
      </c>
      <c r="AN1394" t="s">
        <v>61</v>
      </c>
      <c r="AO1394" t="s">
        <v>61</v>
      </c>
      <c r="AP1394" t="s">
        <v>61</v>
      </c>
      <c r="AQ1394" t="s">
        <v>61</v>
      </c>
      <c r="AR1394" t="s">
        <v>61</v>
      </c>
      <c r="AS1394" t="s">
        <v>61</v>
      </c>
      <c r="AT1394" t="s">
        <v>61</v>
      </c>
      <c r="AU1394" t="s">
        <v>61</v>
      </c>
      <c r="AV1394" t="s">
        <v>61</v>
      </c>
      <c r="AW1394" t="s">
        <v>61</v>
      </c>
      <c r="AX1394" t="s">
        <v>61</v>
      </c>
      <c r="AY1394" t="s">
        <v>61</v>
      </c>
      <c r="AZ1394" t="s">
        <v>61</v>
      </c>
      <c r="BA1394" t="s">
        <v>61</v>
      </c>
      <c r="BB1394" t="s">
        <v>61</v>
      </c>
      <c r="BC1394" t="s">
        <v>61</v>
      </c>
      <c r="BD1394" t="s">
        <v>61</v>
      </c>
      <c r="BE1394" t="s">
        <v>61</v>
      </c>
      <c r="BF1394" t="s">
        <v>61</v>
      </c>
    </row>
    <row r="1395" spans="1:58">
      <c r="A1395" t="s">
        <v>58</v>
      </c>
      <c r="B1395" t="s">
        <v>11444</v>
      </c>
      <c r="C1395" t="s">
        <v>11445</v>
      </c>
      <c r="D1395" t="s">
        <v>11446</v>
      </c>
      <c r="E1395" t="s">
        <v>11447</v>
      </c>
      <c r="F1395">
        <v>2000</v>
      </c>
      <c r="G1395" t="s">
        <v>363</v>
      </c>
      <c r="H1395">
        <v>58</v>
      </c>
      <c r="I1395">
        <v>1</v>
      </c>
      <c r="J1395">
        <v>53</v>
      </c>
      <c r="K1395">
        <v>57</v>
      </c>
      <c r="L1395" t="s">
        <v>11448</v>
      </c>
      <c r="M1395" t="s">
        <v>11449</v>
      </c>
      <c r="N1395" t="s">
        <v>11450</v>
      </c>
      <c r="O1395" t="s">
        <v>61</v>
      </c>
      <c r="Q1395" t="s">
        <v>61</v>
      </c>
      <c r="R1395" t="s">
        <v>61</v>
      </c>
      <c r="S1395" t="s">
        <v>61</v>
      </c>
      <c r="T1395" t="s">
        <v>61</v>
      </c>
      <c r="X1395" t="s">
        <v>61</v>
      </c>
      <c r="Y1395" t="s">
        <v>11451</v>
      </c>
      <c r="Z1395" t="s">
        <v>61</v>
      </c>
      <c r="AA1395" t="s">
        <v>11452</v>
      </c>
      <c r="AB1395">
        <v>12813853</v>
      </c>
      <c r="AC1395" t="s">
        <v>67</v>
      </c>
      <c r="AD1395" t="s">
        <v>61</v>
      </c>
      <c r="AE1395" t="s">
        <v>61</v>
      </c>
      <c r="AF1395" t="s">
        <v>61</v>
      </c>
      <c r="AG1395" t="s">
        <v>11453</v>
      </c>
      <c r="AH1395" t="s">
        <v>61</v>
      </c>
      <c r="AI1395" t="s">
        <v>61</v>
      </c>
      <c r="AJ1395" t="s">
        <v>61</v>
      </c>
      <c r="AK1395" t="s">
        <v>61</v>
      </c>
      <c r="AL1395" t="s">
        <v>61</v>
      </c>
      <c r="AM1395" t="s">
        <v>11454</v>
      </c>
      <c r="AN1395" t="s">
        <v>61</v>
      </c>
      <c r="AO1395" t="s">
        <v>61</v>
      </c>
      <c r="AP1395" t="s">
        <v>61</v>
      </c>
      <c r="AQ1395" t="s">
        <v>61</v>
      </c>
      <c r="AR1395" t="s">
        <v>61</v>
      </c>
      <c r="AS1395" t="s">
        <v>61</v>
      </c>
      <c r="AT1395" t="s">
        <v>61</v>
      </c>
      <c r="AU1395" t="s">
        <v>61</v>
      </c>
      <c r="AV1395" t="s">
        <v>61</v>
      </c>
      <c r="AW1395" t="s">
        <v>61</v>
      </c>
      <c r="AX1395" t="s">
        <v>61</v>
      </c>
      <c r="AY1395" t="s">
        <v>61</v>
      </c>
      <c r="AZ1395" t="s">
        <v>61</v>
      </c>
      <c r="BA1395" t="s">
        <v>61</v>
      </c>
      <c r="BB1395" t="s">
        <v>61</v>
      </c>
      <c r="BC1395" t="s">
        <v>61</v>
      </c>
      <c r="BD1395" t="s">
        <v>61</v>
      </c>
      <c r="BE1395" t="s">
        <v>61</v>
      </c>
      <c r="BF1395" t="s">
        <v>61</v>
      </c>
    </row>
    <row r="1396" spans="1:58">
      <c r="A1396" t="s">
        <v>58</v>
      </c>
      <c r="B1396" t="s">
        <v>11455</v>
      </c>
      <c r="C1396" t="s">
        <v>11456</v>
      </c>
      <c r="D1396" t="s">
        <v>11457</v>
      </c>
      <c r="E1396" t="s">
        <v>61</v>
      </c>
      <c r="F1396">
        <v>2011</v>
      </c>
      <c r="G1396" t="s">
        <v>61</v>
      </c>
      <c r="H1396">
        <v>12</v>
      </c>
      <c r="I1396" t="s">
        <v>61</v>
      </c>
      <c r="J1396">
        <v>35</v>
      </c>
      <c r="K1396" t="s">
        <v>61</v>
      </c>
      <c r="L1396" t="s">
        <v>11458</v>
      </c>
      <c r="M1396" t="s">
        <v>11459</v>
      </c>
      <c r="N1396" t="s">
        <v>11460</v>
      </c>
      <c r="O1396" t="s">
        <v>61</v>
      </c>
      <c r="Q1396" t="s">
        <v>61</v>
      </c>
      <c r="R1396" t="s">
        <v>61</v>
      </c>
      <c r="S1396" t="s">
        <v>61</v>
      </c>
      <c r="T1396" t="s">
        <v>61</v>
      </c>
      <c r="X1396" t="s">
        <v>61</v>
      </c>
      <c r="Y1396" t="s">
        <v>11461</v>
      </c>
      <c r="Z1396" t="s">
        <v>61</v>
      </c>
      <c r="AA1396" t="s">
        <v>11462</v>
      </c>
      <c r="AB1396">
        <v>21777480</v>
      </c>
      <c r="AC1396" t="s">
        <v>67</v>
      </c>
      <c r="AD1396" t="s">
        <v>61</v>
      </c>
      <c r="AE1396" t="s">
        <v>61</v>
      </c>
      <c r="AF1396" t="s">
        <v>61</v>
      </c>
      <c r="AG1396" t="s">
        <v>11463</v>
      </c>
      <c r="AH1396" t="s">
        <v>61</v>
      </c>
      <c r="AI1396" t="s">
        <v>11464</v>
      </c>
      <c r="AJ1396" t="s">
        <v>61</v>
      </c>
      <c r="AK1396" t="s">
        <v>61</v>
      </c>
      <c r="AL1396" t="s">
        <v>61</v>
      </c>
      <c r="AM1396" t="s">
        <v>11465</v>
      </c>
      <c r="AN1396" t="s">
        <v>61</v>
      </c>
      <c r="AO1396" t="s">
        <v>61</v>
      </c>
      <c r="AP1396" t="s">
        <v>61</v>
      </c>
      <c r="AQ1396" t="s">
        <v>61</v>
      </c>
      <c r="AR1396" t="s">
        <v>61</v>
      </c>
      <c r="AS1396" t="s">
        <v>61</v>
      </c>
      <c r="AT1396" t="s">
        <v>61</v>
      </c>
      <c r="AU1396" t="s">
        <v>61</v>
      </c>
      <c r="AV1396" t="s">
        <v>61</v>
      </c>
      <c r="AW1396" t="s">
        <v>61</v>
      </c>
      <c r="AX1396" t="s">
        <v>61</v>
      </c>
      <c r="AY1396" t="s">
        <v>61</v>
      </c>
      <c r="AZ1396" t="s">
        <v>61</v>
      </c>
      <c r="BA1396" t="s">
        <v>61</v>
      </c>
      <c r="BB1396" t="s">
        <v>61</v>
      </c>
      <c r="BC1396" t="s">
        <v>61</v>
      </c>
      <c r="BD1396" t="s">
        <v>61</v>
      </c>
      <c r="BE1396" t="s">
        <v>61</v>
      </c>
      <c r="BF1396" t="s">
        <v>61</v>
      </c>
    </row>
    <row r="1397" spans="1:58">
      <c r="A1397" t="s">
        <v>58</v>
      </c>
      <c r="B1397" t="s">
        <v>11466</v>
      </c>
      <c r="C1397" t="s">
        <v>11467</v>
      </c>
      <c r="D1397" t="s">
        <v>3679</v>
      </c>
      <c r="E1397" t="s">
        <v>3680</v>
      </c>
      <c r="F1397">
        <v>1977</v>
      </c>
      <c r="G1397" t="s">
        <v>61</v>
      </c>
      <c r="H1397">
        <v>12</v>
      </c>
      <c r="I1397">
        <v>1</v>
      </c>
      <c r="J1397">
        <v>153</v>
      </c>
      <c r="K1397">
        <v>160</v>
      </c>
      <c r="L1397" t="s">
        <v>11468</v>
      </c>
      <c r="M1397" t="s">
        <v>11469</v>
      </c>
      <c r="N1397" t="s">
        <v>11470</v>
      </c>
      <c r="O1397" t="s">
        <v>61</v>
      </c>
      <c r="Q1397" t="s">
        <v>61</v>
      </c>
      <c r="R1397" t="s">
        <v>61</v>
      </c>
      <c r="S1397" t="s">
        <v>61</v>
      </c>
      <c r="T1397" t="s">
        <v>61</v>
      </c>
      <c r="X1397" t="s">
        <v>61</v>
      </c>
      <c r="Y1397" t="s">
        <v>3684</v>
      </c>
      <c r="Z1397" t="s">
        <v>61</v>
      </c>
      <c r="AA1397" t="s">
        <v>61</v>
      </c>
      <c r="AB1397">
        <v>1978109820</v>
      </c>
      <c r="AC1397" t="s">
        <v>67</v>
      </c>
      <c r="AD1397" t="s">
        <v>61</v>
      </c>
      <c r="AE1397" t="s">
        <v>61</v>
      </c>
      <c r="AF1397" t="s">
        <v>61</v>
      </c>
      <c r="AG1397" t="s">
        <v>11471</v>
      </c>
      <c r="AH1397" t="s">
        <v>61</v>
      </c>
      <c r="AI1397" t="s">
        <v>61</v>
      </c>
      <c r="AJ1397" t="s">
        <v>61</v>
      </c>
      <c r="AK1397" t="s">
        <v>61</v>
      </c>
      <c r="AL1397" t="s">
        <v>61</v>
      </c>
      <c r="AM1397" t="s">
        <v>11472</v>
      </c>
      <c r="AN1397" t="s">
        <v>61</v>
      </c>
      <c r="AO1397" t="s">
        <v>61</v>
      </c>
      <c r="AP1397" t="s">
        <v>61</v>
      </c>
      <c r="AQ1397" t="s">
        <v>61</v>
      </c>
      <c r="AR1397" t="s">
        <v>61</v>
      </c>
      <c r="AS1397" t="s">
        <v>61</v>
      </c>
      <c r="AT1397" t="s">
        <v>61</v>
      </c>
      <c r="AU1397" t="s">
        <v>61</v>
      </c>
      <c r="AV1397" t="s">
        <v>61</v>
      </c>
      <c r="AW1397" t="s">
        <v>61</v>
      </c>
      <c r="AX1397" t="s">
        <v>61</v>
      </c>
      <c r="AY1397" t="s">
        <v>61</v>
      </c>
      <c r="AZ1397" t="s">
        <v>61</v>
      </c>
      <c r="BA1397" t="s">
        <v>61</v>
      </c>
      <c r="BB1397" t="s">
        <v>61</v>
      </c>
      <c r="BC1397" t="s">
        <v>61</v>
      </c>
      <c r="BD1397" t="s">
        <v>61</v>
      </c>
      <c r="BE1397" t="s">
        <v>61</v>
      </c>
      <c r="BF1397" t="s">
        <v>61</v>
      </c>
    </row>
    <row r="1398" spans="1:58">
      <c r="A1398" t="s">
        <v>58</v>
      </c>
      <c r="B1398" t="s">
        <v>11473</v>
      </c>
      <c r="C1398" t="s">
        <v>11474</v>
      </c>
      <c r="D1398" t="s">
        <v>627</v>
      </c>
      <c r="E1398" t="s">
        <v>61</v>
      </c>
      <c r="F1398">
        <v>2015</v>
      </c>
      <c r="G1398" t="s">
        <v>628</v>
      </c>
      <c r="H1398">
        <v>55</v>
      </c>
      <c r="I1398">
        <v>2</v>
      </c>
      <c r="J1398" t="s">
        <v>11475</v>
      </c>
      <c r="K1398" t="s">
        <v>7161</v>
      </c>
      <c r="L1398" t="s">
        <v>11476</v>
      </c>
      <c r="M1398" t="s">
        <v>11477</v>
      </c>
      <c r="N1398" t="s">
        <v>11478</v>
      </c>
      <c r="O1398" t="s">
        <v>61</v>
      </c>
      <c r="Q1398" t="s">
        <v>61</v>
      </c>
      <c r="R1398" t="s">
        <v>61</v>
      </c>
      <c r="S1398" t="s">
        <v>61</v>
      </c>
      <c r="T1398" t="s">
        <v>61</v>
      </c>
      <c r="X1398" t="s">
        <v>61</v>
      </c>
      <c r="Y1398" t="s">
        <v>632</v>
      </c>
      <c r="Z1398" t="s">
        <v>61</v>
      </c>
      <c r="AA1398" t="s">
        <v>61</v>
      </c>
      <c r="AB1398" t="s">
        <v>61</v>
      </c>
      <c r="AC1398" t="s">
        <v>67</v>
      </c>
      <c r="AD1398" t="s">
        <v>61</v>
      </c>
      <c r="AE1398" t="s">
        <v>61</v>
      </c>
      <c r="AF1398" t="s">
        <v>61</v>
      </c>
      <c r="AG1398" t="s">
        <v>61</v>
      </c>
      <c r="AH1398" t="s">
        <v>61</v>
      </c>
      <c r="AI1398" t="s">
        <v>61</v>
      </c>
      <c r="AJ1398" t="s">
        <v>61</v>
      </c>
      <c r="AK1398" t="s">
        <v>61</v>
      </c>
      <c r="AL1398" t="s">
        <v>61</v>
      </c>
      <c r="AM1398" t="s">
        <v>11474</v>
      </c>
      <c r="AN1398" t="s">
        <v>61</v>
      </c>
      <c r="AO1398" t="s">
        <v>61</v>
      </c>
      <c r="AP1398" t="s">
        <v>61</v>
      </c>
      <c r="AQ1398" t="s">
        <v>61</v>
      </c>
      <c r="AR1398" t="s">
        <v>61</v>
      </c>
      <c r="AS1398" t="s">
        <v>61</v>
      </c>
      <c r="AT1398" t="s">
        <v>61</v>
      </c>
      <c r="AU1398" t="s">
        <v>61</v>
      </c>
      <c r="AV1398" t="s">
        <v>61</v>
      </c>
      <c r="AW1398" t="s">
        <v>61</v>
      </c>
      <c r="AX1398" t="s">
        <v>61</v>
      </c>
      <c r="AY1398" t="s">
        <v>61</v>
      </c>
      <c r="AZ1398" t="s">
        <v>61</v>
      </c>
      <c r="BA1398" t="s">
        <v>61</v>
      </c>
      <c r="BB1398" t="s">
        <v>61</v>
      </c>
      <c r="BC1398" t="s">
        <v>61</v>
      </c>
      <c r="BD1398" t="s">
        <v>61</v>
      </c>
      <c r="BE1398" t="s">
        <v>61</v>
      </c>
      <c r="BF1398" t="s">
        <v>61</v>
      </c>
    </row>
    <row r="1399" spans="1:58">
      <c r="A1399" t="s">
        <v>58</v>
      </c>
      <c r="B1399" t="s">
        <v>11479</v>
      </c>
      <c r="C1399" t="s">
        <v>11480</v>
      </c>
      <c r="D1399" t="s">
        <v>1813</v>
      </c>
      <c r="E1399" t="s">
        <v>61</v>
      </c>
      <c r="F1399">
        <v>2015</v>
      </c>
      <c r="G1399">
        <v>1</v>
      </c>
      <c r="H1399">
        <v>7</v>
      </c>
      <c r="I1399">
        <v>5</v>
      </c>
      <c r="J1399">
        <v>575</v>
      </c>
      <c r="K1399">
        <v>583</v>
      </c>
      <c r="L1399" t="s">
        <v>11481</v>
      </c>
      <c r="M1399" t="s">
        <v>11482</v>
      </c>
      <c r="N1399" t="s">
        <v>11483</v>
      </c>
      <c r="O1399" t="s">
        <v>61</v>
      </c>
      <c r="Q1399" t="s">
        <v>61</v>
      </c>
      <c r="R1399" t="s">
        <v>61</v>
      </c>
      <c r="S1399" t="s">
        <v>61</v>
      </c>
      <c r="T1399" t="s">
        <v>61</v>
      </c>
      <c r="X1399" t="s">
        <v>61</v>
      </c>
      <c r="Y1399" t="s">
        <v>1817</v>
      </c>
      <c r="Z1399" t="s">
        <v>61</v>
      </c>
      <c r="AA1399" t="s">
        <v>61</v>
      </c>
      <c r="AB1399" t="s">
        <v>11484</v>
      </c>
      <c r="AC1399" t="s">
        <v>67</v>
      </c>
      <c r="AD1399" t="s">
        <v>61</v>
      </c>
      <c r="AE1399" t="s">
        <v>61</v>
      </c>
      <c r="AF1399" t="s">
        <v>61</v>
      </c>
      <c r="AG1399" t="s">
        <v>61</v>
      </c>
      <c r="AH1399" t="s">
        <v>61</v>
      </c>
      <c r="AI1399" t="s">
        <v>61</v>
      </c>
      <c r="AJ1399" t="s">
        <v>61</v>
      </c>
      <c r="AK1399" t="s">
        <v>61</v>
      </c>
      <c r="AL1399" t="s">
        <v>61</v>
      </c>
      <c r="AM1399" t="s">
        <v>11480</v>
      </c>
      <c r="AN1399" t="s">
        <v>61</v>
      </c>
      <c r="AO1399" t="s">
        <v>61</v>
      </c>
      <c r="AP1399" t="s">
        <v>61</v>
      </c>
      <c r="AQ1399" t="s">
        <v>61</v>
      </c>
      <c r="AR1399" t="s">
        <v>61</v>
      </c>
      <c r="AS1399" t="s">
        <v>61</v>
      </c>
      <c r="AT1399" t="s">
        <v>61</v>
      </c>
      <c r="AU1399" t="s">
        <v>61</v>
      </c>
      <c r="AV1399" t="s">
        <v>61</v>
      </c>
      <c r="AW1399" t="s">
        <v>61</v>
      </c>
      <c r="AX1399" t="s">
        <v>61</v>
      </c>
      <c r="AY1399" t="s">
        <v>61</v>
      </c>
      <c r="AZ1399" t="s">
        <v>61</v>
      </c>
      <c r="BA1399" t="s">
        <v>61</v>
      </c>
      <c r="BB1399" t="s">
        <v>61</v>
      </c>
      <c r="BC1399" t="s">
        <v>61</v>
      </c>
      <c r="BD1399" t="s">
        <v>61</v>
      </c>
      <c r="BE1399" t="s">
        <v>61</v>
      </c>
      <c r="BF1399" t="s">
        <v>61</v>
      </c>
    </row>
    <row r="1400" spans="1:58">
      <c r="A1400" t="s">
        <v>58</v>
      </c>
      <c r="B1400" t="s">
        <v>11485</v>
      </c>
      <c r="C1400" t="s">
        <v>11486</v>
      </c>
      <c r="D1400" t="s">
        <v>11487</v>
      </c>
      <c r="E1400" t="s">
        <v>61</v>
      </c>
      <c r="F1400">
        <v>1978</v>
      </c>
      <c r="G1400" t="s">
        <v>61</v>
      </c>
      <c r="H1400">
        <v>5</v>
      </c>
      <c r="I1400">
        <v>1</v>
      </c>
      <c r="J1400">
        <v>7</v>
      </c>
      <c r="K1400">
        <v>14</v>
      </c>
      <c r="L1400" t="s">
        <v>11488</v>
      </c>
      <c r="M1400" t="s">
        <v>61</v>
      </c>
      <c r="N1400" t="s">
        <v>11489</v>
      </c>
      <c r="O1400" t="s">
        <v>61</v>
      </c>
      <c r="Q1400" t="s">
        <v>61</v>
      </c>
      <c r="R1400" t="s">
        <v>61</v>
      </c>
      <c r="S1400" t="s">
        <v>61</v>
      </c>
      <c r="T1400" t="s">
        <v>61</v>
      </c>
      <c r="X1400" t="s">
        <v>61</v>
      </c>
      <c r="Y1400" t="s">
        <v>11490</v>
      </c>
      <c r="Z1400" t="s">
        <v>61</v>
      </c>
      <c r="AA1400" t="s">
        <v>61</v>
      </c>
      <c r="AB1400">
        <v>1978399744</v>
      </c>
      <c r="AC1400" t="s">
        <v>67</v>
      </c>
      <c r="AD1400" t="s">
        <v>61</v>
      </c>
      <c r="AE1400" t="s">
        <v>61</v>
      </c>
      <c r="AF1400" t="s">
        <v>61</v>
      </c>
      <c r="AG1400" t="s">
        <v>61</v>
      </c>
      <c r="AH1400" t="s">
        <v>61</v>
      </c>
      <c r="AI1400" t="s">
        <v>61</v>
      </c>
      <c r="AJ1400" t="s">
        <v>61</v>
      </c>
      <c r="AK1400" t="s">
        <v>61</v>
      </c>
      <c r="AL1400" t="s">
        <v>61</v>
      </c>
      <c r="AM1400" t="s">
        <v>11486</v>
      </c>
      <c r="AN1400" t="s">
        <v>61</v>
      </c>
      <c r="AO1400" t="s">
        <v>61</v>
      </c>
      <c r="AP1400" t="s">
        <v>61</v>
      </c>
      <c r="AQ1400" t="s">
        <v>61</v>
      </c>
      <c r="AR1400" t="s">
        <v>61</v>
      </c>
      <c r="AS1400" t="s">
        <v>61</v>
      </c>
      <c r="AT1400" t="s">
        <v>61</v>
      </c>
      <c r="AU1400" t="s">
        <v>61</v>
      </c>
      <c r="AV1400" t="s">
        <v>61</v>
      </c>
      <c r="AW1400" t="s">
        <v>61</v>
      </c>
      <c r="AX1400" t="s">
        <v>61</v>
      </c>
      <c r="AY1400" t="s">
        <v>61</v>
      </c>
      <c r="AZ1400" t="s">
        <v>61</v>
      </c>
      <c r="BA1400" t="s">
        <v>61</v>
      </c>
      <c r="BB1400" t="s">
        <v>61</v>
      </c>
      <c r="BC1400" t="s">
        <v>61</v>
      </c>
      <c r="BD1400" t="s">
        <v>61</v>
      </c>
      <c r="BE1400" t="s">
        <v>61</v>
      </c>
      <c r="BF1400" t="s">
        <v>61</v>
      </c>
    </row>
    <row r="1401" spans="1:58">
      <c r="A1401" t="s">
        <v>58</v>
      </c>
      <c r="B1401" t="s">
        <v>11491</v>
      </c>
      <c r="C1401" t="s">
        <v>11492</v>
      </c>
      <c r="D1401" t="s">
        <v>2197</v>
      </c>
      <c r="E1401" t="s">
        <v>2198</v>
      </c>
      <c r="F1401">
        <v>2015</v>
      </c>
      <c r="G1401" t="s">
        <v>61</v>
      </c>
      <c r="H1401">
        <v>105</v>
      </c>
      <c r="I1401">
        <v>1</v>
      </c>
      <c r="J1401" t="s">
        <v>11493</v>
      </c>
      <c r="K1401" t="s">
        <v>11494</v>
      </c>
      <c r="L1401" t="s">
        <v>11495</v>
      </c>
      <c r="M1401" t="s">
        <v>11496</v>
      </c>
      <c r="N1401" t="s">
        <v>11497</v>
      </c>
      <c r="O1401" t="s">
        <v>61</v>
      </c>
      <c r="Q1401" t="s">
        <v>61</v>
      </c>
      <c r="R1401" t="s">
        <v>61</v>
      </c>
      <c r="S1401" t="s">
        <v>61</v>
      </c>
      <c r="T1401" t="s">
        <v>61</v>
      </c>
      <c r="X1401" t="s">
        <v>61</v>
      </c>
      <c r="Y1401" t="s">
        <v>2201</v>
      </c>
      <c r="Z1401" t="s">
        <v>61</v>
      </c>
      <c r="AA1401" t="s">
        <v>11498</v>
      </c>
      <c r="AB1401">
        <v>103926689</v>
      </c>
      <c r="AC1401" t="s">
        <v>67</v>
      </c>
      <c r="AD1401" t="s">
        <v>61</v>
      </c>
      <c r="AE1401" t="s">
        <v>61</v>
      </c>
      <c r="AF1401" t="s">
        <v>61</v>
      </c>
      <c r="AG1401" t="s">
        <v>11499</v>
      </c>
      <c r="AH1401" t="s">
        <v>61</v>
      </c>
      <c r="AI1401" t="s">
        <v>11500</v>
      </c>
      <c r="AJ1401" t="s">
        <v>61</v>
      </c>
      <c r="AK1401" t="s">
        <v>61</v>
      </c>
      <c r="AL1401" t="s">
        <v>61</v>
      </c>
      <c r="AM1401" t="s">
        <v>11501</v>
      </c>
      <c r="AN1401" t="s">
        <v>61</v>
      </c>
      <c r="AO1401" t="s">
        <v>61</v>
      </c>
      <c r="AP1401" t="s">
        <v>61</v>
      </c>
      <c r="AQ1401" t="s">
        <v>61</v>
      </c>
      <c r="AR1401" t="s">
        <v>61</v>
      </c>
      <c r="AS1401" t="s">
        <v>61</v>
      </c>
      <c r="AT1401" t="s">
        <v>61</v>
      </c>
      <c r="AU1401" t="s">
        <v>61</v>
      </c>
      <c r="AV1401" t="s">
        <v>61</v>
      </c>
      <c r="AW1401" t="s">
        <v>61</v>
      </c>
      <c r="AX1401" t="s">
        <v>61</v>
      </c>
      <c r="AY1401" t="s">
        <v>61</v>
      </c>
      <c r="AZ1401" t="s">
        <v>61</v>
      </c>
      <c r="BA1401" t="s">
        <v>61</v>
      </c>
      <c r="BB1401" t="s">
        <v>61</v>
      </c>
      <c r="BC1401" t="s">
        <v>61</v>
      </c>
      <c r="BD1401" t="s">
        <v>61</v>
      </c>
      <c r="BE1401" t="s">
        <v>61</v>
      </c>
      <c r="BF1401" t="s">
        <v>61</v>
      </c>
    </row>
    <row r="1402" spans="1:58">
      <c r="A1402" t="s">
        <v>58</v>
      </c>
      <c r="B1402" t="s">
        <v>11502</v>
      </c>
      <c r="C1402" t="s">
        <v>11503</v>
      </c>
      <c r="D1402" t="s">
        <v>271</v>
      </c>
      <c r="E1402" t="s">
        <v>272</v>
      </c>
      <c r="F1402">
        <v>1996</v>
      </c>
      <c r="G1402" t="s">
        <v>61</v>
      </c>
      <c r="H1402" t="s">
        <v>11504</v>
      </c>
      <c r="I1402">
        <v>4</v>
      </c>
      <c r="J1402">
        <v>453</v>
      </c>
      <c r="K1402" t="s">
        <v>61</v>
      </c>
      <c r="L1402" t="s">
        <v>11505</v>
      </c>
      <c r="M1402" t="s">
        <v>61</v>
      </c>
      <c r="N1402" t="s">
        <v>11506</v>
      </c>
      <c r="O1402" t="s">
        <v>61</v>
      </c>
      <c r="Q1402" t="s">
        <v>61</v>
      </c>
      <c r="R1402" t="s">
        <v>61</v>
      </c>
      <c r="S1402" t="s">
        <v>61</v>
      </c>
      <c r="T1402" t="s">
        <v>61</v>
      </c>
      <c r="X1402" t="s">
        <v>61</v>
      </c>
      <c r="Y1402" t="s">
        <v>1661</v>
      </c>
      <c r="Z1402" t="s">
        <v>61</v>
      </c>
      <c r="AA1402" t="s">
        <v>61</v>
      </c>
      <c r="AB1402" t="s">
        <v>61</v>
      </c>
      <c r="AC1402" t="s">
        <v>67</v>
      </c>
      <c r="AD1402" t="s">
        <v>61</v>
      </c>
      <c r="AE1402" t="s">
        <v>61</v>
      </c>
      <c r="AF1402" t="s">
        <v>61</v>
      </c>
      <c r="AG1402" t="s">
        <v>11507</v>
      </c>
      <c r="AH1402" t="s">
        <v>61</v>
      </c>
      <c r="AI1402" t="s">
        <v>61</v>
      </c>
      <c r="AJ1402" t="s">
        <v>61</v>
      </c>
      <c r="AK1402" t="s">
        <v>61</v>
      </c>
      <c r="AL1402" t="s">
        <v>61</v>
      </c>
      <c r="AM1402" t="s">
        <v>11508</v>
      </c>
      <c r="AN1402" t="s">
        <v>61</v>
      </c>
      <c r="AO1402" t="s">
        <v>61</v>
      </c>
      <c r="AP1402" t="s">
        <v>61</v>
      </c>
      <c r="AQ1402" t="s">
        <v>61</v>
      </c>
      <c r="AR1402" t="s">
        <v>61</v>
      </c>
      <c r="AS1402" t="s">
        <v>61</v>
      </c>
      <c r="AT1402" t="s">
        <v>61</v>
      </c>
      <c r="AU1402" t="s">
        <v>61</v>
      </c>
      <c r="AV1402" t="s">
        <v>61</v>
      </c>
      <c r="AW1402" t="s">
        <v>61</v>
      </c>
      <c r="AX1402" t="s">
        <v>61</v>
      </c>
      <c r="AY1402" t="s">
        <v>61</v>
      </c>
      <c r="AZ1402" t="s">
        <v>61</v>
      </c>
      <c r="BA1402" t="s">
        <v>61</v>
      </c>
      <c r="BB1402" t="s">
        <v>61</v>
      </c>
      <c r="BC1402" t="s">
        <v>61</v>
      </c>
      <c r="BD1402" t="s">
        <v>61</v>
      </c>
      <c r="BE1402" t="s">
        <v>61</v>
      </c>
      <c r="BF1402" t="s">
        <v>61</v>
      </c>
    </row>
    <row r="1403" spans="1:58">
      <c r="A1403" t="s">
        <v>58</v>
      </c>
      <c r="B1403" t="s">
        <v>11509</v>
      </c>
      <c r="C1403" t="s">
        <v>11510</v>
      </c>
      <c r="D1403" t="s">
        <v>475</v>
      </c>
      <c r="E1403" t="s">
        <v>61</v>
      </c>
      <c r="F1403">
        <v>2011</v>
      </c>
      <c r="G1403" t="s">
        <v>637</v>
      </c>
      <c r="H1403">
        <v>33</v>
      </c>
      <c r="I1403">
        <v>4</v>
      </c>
      <c r="J1403">
        <v>704</v>
      </c>
      <c r="K1403" t="s">
        <v>61</v>
      </c>
      <c r="L1403" t="s">
        <v>11511</v>
      </c>
      <c r="M1403" t="s">
        <v>11512</v>
      </c>
      <c r="N1403" t="s">
        <v>11513</v>
      </c>
      <c r="O1403" t="s">
        <v>61</v>
      </c>
      <c r="Q1403" t="s">
        <v>61</v>
      </c>
      <c r="R1403" t="s">
        <v>61</v>
      </c>
      <c r="S1403" t="s">
        <v>61</v>
      </c>
      <c r="T1403" t="s">
        <v>61</v>
      </c>
      <c r="X1403" t="s">
        <v>61</v>
      </c>
      <c r="Y1403" t="s">
        <v>308</v>
      </c>
      <c r="Z1403" t="s">
        <v>61</v>
      </c>
      <c r="AA1403" t="s">
        <v>61</v>
      </c>
      <c r="AB1403" t="s">
        <v>61</v>
      </c>
      <c r="AC1403" t="s">
        <v>67</v>
      </c>
      <c r="AD1403" t="s">
        <v>61</v>
      </c>
      <c r="AE1403" t="s">
        <v>61</v>
      </c>
      <c r="AF1403" t="s">
        <v>61</v>
      </c>
      <c r="AG1403" t="s">
        <v>61</v>
      </c>
      <c r="AH1403" t="s">
        <v>61</v>
      </c>
      <c r="AI1403" t="s">
        <v>61</v>
      </c>
      <c r="AJ1403" t="s">
        <v>61</v>
      </c>
      <c r="AK1403" t="s">
        <v>61</v>
      </c>
      <c r="AL1403" t="s">
        <v>61</v>
      </c>
      <c r="AM1403" t="s">
        <v>11510</v>
      </c>
      <c r="AN1403" t="s">
        <v>61</v>
      </c>
      <c r="AO1403" t="s">
        <v>61</v>
      </c>
      <c r="AP1403" t="s">
        <v>61</v>
      </c>
      <c r="AQ1403" t="s">
        <v>61</v>
      </c>
      <c r="AR1403" t="s">
        <v>61</v>
      </c>
      <c r="AS1403" t="s">
        <v>61</v>
      </c>
      <c r="AT1403" t="s">
        <v>61</v>
      </c>
      <c r="AU1403" t="s">
        <v>61</v>
      </c>
      <c r="AV1403" t="s">
        <v>61</v>
      </c>
      <c r="AW1403" t="s">
        <v>61</v>
      </c>
      <c r="AX1403" t="s">
        <v>61</v>
      </c>
      <c r="AY1403" t="s">
        <v>61</v>
      </c>
      <c r="AZ1403" t="s">
        <v>61</v>
      </c>
      <c r="BA1403" t="s">
        <v>61</v>
      </c>
      <c r="BB1403" t="s">
        <v>61</v>
      </c>
      <c r="BC1403" t="s">
        <v>61</v>
      </c>
      <c r="BD1403" t="s">
        <v>61</v>
      </c>
      <c r="BE1403" t="s">
        <v>61</v>
      </c>
      <c r="BF1403" t="s">
        <v>61</v>
      </c>
    </row>
    <row r="1404" spans="1:58">
      <c r="A1404" t="s">
        <v>58</v>
      </c>
      <c r="B1404" t="s">
        <v>11514</v>
      </c>
      <c r="C1404" t="s">
        <v>11515</v>
      </c>
      <c r="D1404" t="s">
        <v>7070</v>
      </c>
      <c r="E1404" t="s">
        <v>61</v>
      </c>
      <c r="F1404">
        <v>1996</v>
      </c>
      <c r="G1404" t="s">
        <v>418</v>
      </c>
      <c r="H1404">
        <v>60</v>
      </c>
      <c r="I1404">
        <v>2</v>
      </c>
      <c r="J1404">
        <v>206</v>
      </c>
      <c r="K1404">
        <v>217</v>
      </c>
      <c r="L1404" t="s">
        <v>11516</v>
      </c>
      <c r="M1404" t="s">
        <v>11517</v>
      </c>
      <c r="N1404" t="s">
        <v>11518</v>
      </c>
      <c r="O1404" t="s">
        <v>61</v>
      </c>
      <c r="Q1404" t="s">
        <v>61</v>
      </c>
      <c r="R1404" t="s">
        <v>61</v>
      </c>
      <c r="S1404" t="s">
        <v>61</v>
      </c>
      <c r="T1404" t="s">
        <v>61</v>
      </c>
      <c r="X1404" t="s">
        <v>61</v>
      </c>
      <c r="Y1404" s="2">
        <v>2679665</v>
      </c>
      <c r="Z1404" t="s">
        <v>61</v>
      </c>
      <c r="AA1404" t="s">
        <v>11519</v>
      </c>
      <c r="AB1404">
        <v>8823239</v>
      </c>
      <c r="AC1404" t="s">
        <v>67</v>
      </c>
      <c r="AD1404" t="s">
        <v>61</v>
      </c>
      <c r="AE1404" t="s">
        <v>61</v>
      </c>
      <c r="AF1404" t="s">
        <v>61</v>
      </c>
      <c r="AG1404" t="s">
        <v>11520</v>
      </c>
      <c r="AH1404" t="s">
        <v>61</v>
      </c>
      <c r="AI1404" t="s">
        <v>61</v>
      </c>
      <c r="AJ1404" t="s">
        <v>61</v>
      </c>
      <c r="AK1404" t="s">
        <v>61</v>
      </c>
      <c r="AL1404" t="s">
        <v>61</v>
      </c>
      <c r="AM1404" t="s">
        <v>11521</v>
      </c>
      <c r="AN1404" t="s">
        <v>61</v>
      </c>
      <c r="AO1404" t="s">
        <v>61</v>
      </c>
      <c r="AP1404" t="s">
        <v>61</v>
      </c>
      <c r="AQ1404" t="s">
        <v>61</v>
      </c>
      <c r="AR1404" t="s">
        <v>61</v>
      </c>
      <c r="AS1404" t="s">
        <v>61</v>
      </c>
      <c r="AT1404" t="s">
        <v>61</v>
      </c>
      <c r="AU1404" t="s">
        <v>61</v>
      </c>
      <c r="AV1404" t="s">
        <v>61</v>
      </c>
      <c r="AW1404" t="s">
        <v>61</v>
      </c>
      <c r="AX1404" t="s">
        <v>61</v>
      </c>
      <c r="AY1404" t="s">
        <v>61</v>
      </c>
      <c r="AZ1404" t="s">
        <v>61</v>
      </c>
      <c r="BA1404" t="s">
        <v>61</v>
      </c>
      <c r="BB1404" t="s">
        <v>61</v>
      </c>
      <c r="BC1404" t="s">
        <v>61</v>
      </c>
      <c r="BD1404" t="s">
        <v>61</v>
      </c>
      <c r="BE1404" t="s">
        <v>61</v>
      </c>
      <c r="BF1404" t="s">
        <v>61</v>
      </c>
    </row>
    <row r="1405" spans="1:58">
      <c r="A1405" t="s">
        <v>58</v>
      </c>
      <c r="B1405" t="s">
        <v>11514</v>
      </c>
      <c r="C1405" t="s">
        <v>11522</v>
      </c>
      <c r="D1405" t="s">
        <v>11287</v>
      </c>
      <c r="E1405" t="s">
        <v>61</v>
      </c>
      <c r="F1405">
        <v>1992</v>
      </c>
      <c r="G1405" t="s">
        <v>119</v>
      </c>
      <c r="H1405">
        <v>261</v>
      </c>
      <c r="I1405">
        <v>3</v>
      </c>
      <c r="J1405">
        <v>985</v>
      </c>
      <c r="K1405">
        <v>993</v>
      </c>
      <c r="L1405" t="s">
        <v>11523</v>
      </c>
      <c r="M1405" t="s">
        <v>11524</v>
      </c>
      <c r="N1405" t="s">
        <v>11525</v>
      </c>
      <c r="O1405" t="s">
        <v>61</v>
      </c>
      <c r="Q1405" t="s">
        <v>61</v>
      </c>
      <c r="R1405" t="s">
        <v>61</v>
      </c>
      <c r="S1405" t="s">
        <v>61</v>
      </c>
      <c r="T1405" t="s">
        <v>61</v>
      </c>
      <c r="X1405" t="s">
        <v>61</v>
      </c>
      <c r="Y1405" t="s">
        <v>11291</v>
      </c>
      <c r="Z1405" t="s">
        <v>61</v>
      </c>
      <c r="AA1405" t="s">
        <v>11526</v>
      </c>
      <c r="AB1405">
        <v>1376362</v>
      </c>
      <c r="AC1405" t="s">
        <v>67</v>
      </c>
      <c r="AD1405" t="s">
        <v>61</v>
      </c>
      <c r="AE1405" t="s">
        <v>61</v>
      </c>
      <c r="AF1405" t="s">
        <v>61</v>
      </c>
      <c r="AG1405" t="s">
        <v>11527</v>
      </c>
      <c r="AH1405" t="s">
        <v>61</v>
      </c>
      <c r="AI1405" t="s">
        <v>61</v>
      </c>
      <c r="AJ1405" t="s">
        <v>61</v>
      </c>
      <c r="AK1405" t="s">
        <v>61</v>
      </c>
      <c r="AL1405" t="s">
        <v>61</v>
      </c>
      <c r="AM1405" t="s">
        <v>11528</v>
      </c>
      <c r="AN1405" t="s">
        <v>61</v>
      </c>
      <c r="AO1405" t="s">
        <v>61</v>
      </c>
      <c r="AP1405" t="s">
        <v>61</v>
      </c>
      <c r="AQ1405" t="s">
        <v>61</v>
      </c>
      <c r="AR1405" t="s">
        <v>61</v>
      </c>
      <c r="AS1405" t="s">
        <v>61</v>
      </c>
      <c r="AT1405" t="s">
        <v>61</v>
      </c>
      <c r="AU1405" t="s">
        <v>61</v>
      </c>
      <c r="AV1405" t="s">
        <v>61</v>
      </c>
      <c r="AW1405" t="s">
        <v>61</v>
      </c>
      <c r="AX1405" t="s">
        <v>61</v>
      </c>
      <c r="AY1405" t="s">
        <v>61</v>
      </c>
      <c r="AZ1405" t="s">
        <v>61</v>
      </c>
      <c r="BA1405" t="s">
        <v>61</v>
      </c>
      <c r="BB1405" t="s">
        <v>61</v>
      </c>
      <c r="BC1405" t="s">
        <v>61</v>
      </c>
      <c r="BD1405" t="s">
        <v>61</v>
      </c>
      <c r="BE1405" t="s">
        <v>61</v>
      </c>
      <c r="BF1405" t="s">
        <v>61</v>
      </c>
    </row>
    <row r="1406" spans="1:58">
      <c r="A1406" t="s">
        <v>58</v>
      </c>
      <c r="B1406" t="s">
        <v>11529</v>
      </c>
      <c r="C1406" t="s">
        <v>11530</v>
      </c>
      <c r="D1406" t="s">
        <v>3824</v>
      </c>
      <c r="E1406" t="s">
        <v>3825</v>
      </c>
      <c r="F1406">
        <v>1997</v>
      </c>
      <c r="G1406" t="s">
        <v>273</v>
      </c>
      <c r="H1406">
        <v>129</v>
      </c>
      <c r="I1406">
        <v>4</v>
      </c>
      <c r="J1406">
        <v>329</v>
      </c>
      <c r="K1406">
        <v>338</v>
      </c>
      <c r="L1406" t="s">
        <v>11531</v>
      </c>
      <c r="M1406" t="s">
        <v>11532</v>
      </c>
      <c r="N1406" t="s">
        <v>11533</v>
      </c>
      <c r="O1406" t="s">
        <v>61</v>
      </c>
      <c r="Q1406" t="s">
        <v>61</v>
      </c>
      <c r="R1406" t="s">
        <v>61</v>
      </c>
      <c r="S1406" t="s">
        <v>61</v>
      </c>
      <c r="T1406" t="s">
        <v>61</v>
      </c>
      <c r="X1406" t="s">
        <v>61</v>
      </c>
      <c r="Y1406" t="s">
        <v>3829</v>
      </c>
      <c r="Z1406" t="s">
        <v>61</v>
      </c>
      <c r="AA1406" t="s">
        <v>11534</v>
      </c>
      <c r="AB1406">
        <v>9085402</v>
      </c>
      <c r="AC1406" t="s">
        <v>67</v>
      </c>
      <c r="AD1406" t="s">
        <v>61</v>
      </c>
      <c r="AE1406" t="s">
        <v>61</v>
      </c>
      <c r="AF1406" t="s">
        <v>61</v>
      </c>
      <c r="AG1406" t="s">
        <v>11535</v>
      </c>
      <c r="AH1406" t="s">
        <v>61</v>
      </c>
      <c r="AI1406" t="s">
        <v>61</v>
      </c>
      <c r="AJ1406" t="s">
        <v>61</v>
      </c>
      <c r="AK1406" t="s">
        <v>61</v>
      </c>
      <c r="AL1406" t="s">
        <v>61</v>
      </c>
      <c r="AM1406" t="s">
        <v>11536</v>
      </c>
      <c r="AN1406" t="s">
        <v>61</v>
      </c>
      <c r="AO1406" t="s">
        <v>61</v>
      </c>
      <c r="AP1406" t="s">
        <v>61</v>
      </c>
      <c r="AQ1406" t="s">
        <v>61</v>
      </c>
      <c r="AR1406" t="s">
        <v>61</v>
      </c>
      <c r="AS1406" t="s">
        <v>61</v>
      </c>
      <c r="AT1406" t="s">
        <v>61</v>
      </c>
      <c r="AU1406" t="s">
        <v>61</v>
      </c>
      <c r="AV1406" t="s">
        <v>61</v>
      </c>
      <c r="AW1406" t="s">
        <v>61</v>
      </c>
      <c r="AX1406" t="s">
        <v>61</v>
      </c>
      <c r="AY1406" t="s">
        <v>61</v>
      </c>
      <c r="AZ1406" t="s">
        <v>61</v>
      </c>
      <c r="BA1406" t="s">
        <v>61</v>
      </c>
      <c r="BB1406" t="s">
        <v>61</v>
      </c>
      <c r="BC1406" t="s">
        <v>61</v>
      </c>
      <c r="BD1406" t="s">
        <v>61</v>
      </c>
      <c r="BE1406" t="s">
        <v>61</v>
      </c>
      <c r="BF1406" t="s">
        <v>61</v>
      </c>
    </row>
    <row r="1407" spans="1:58">
      <c r="A1407" t="s">
        <v>58</v>
      </c>
      <c r="B1407" t="s">
        <v>11537</v>
      </c>
      <c r="C1407" t="s">
        <v>11538</v>
      </c>
      <c r="D1407" t="s">
        <v>627</v>
      </c>
      <c r="E1407" t="s">
        <v>61</v>
      </c>
      <c r="F1407">
        <v>2015</v>
      </c>
      <c r="G1407" t="s">
        <v>628</v>
      </c>
      <c r="H1407">
        <v>55</v>
      </c>
      <c r="I1407">
        <v>2</v>
      </c>
      <c r="J1407" t="s">
        <v>2636</v>
      </c>
      <c r="K1407" t="s">
        <v>61</v>
      </c>
      <c r="L1407" t="s">
        <v>11539</v>
      </c>
      <c r="M1407" t="s">
        <v>11540</v>
      </c>
      <c r="N1407" t="s">
        <v>11541</v>
      </c>
      <c r="O1407" t="s">
        <v>61</v>
      </c>
      <c r="Q1407" t="s">
        <v>61</v>
      </c>
      <c r="R1407" t="s">
        <v>61</v>
      </c>
      <c r="S1407" t="s">
        <v>61</v>
      </c>
      <c r="T1407" t="s">
        <v>61</v>
      </c>
      <c r="X1407" t="s">
        <v>61</v>
      </c>
      <c r="Y1407" t="s">
        <v>632</v>
      </c>
      <c r="Z1407" t="s">
        <v>61</v>
      </c>
      <c r="AA1407" t="s">
        <v>61</v>
      </c>
      <c r="AB1407" t="s">
        <v>61</v>
      </c>
      <c r="AC1407" t="s">
        <v>67</v>
      </c>
      <c r="AD1407" t="s">
        <v>61</v>
      </c>
      <c r="AE1407" t="s">
        <v>61</v>
      </c>
      <c r="AF1407" t="s">
        <v>61</v>
      </c>
      <c r="AG1407" t="s">
        <v>61</v>
      </c>
      <c r="AH1407" t="s">
        <v>61</v>
      </c>
      <c r="AI1407" t="s">
        <v>61</v>
      </c>
      <c r="AJ1407" t="s">
        <v>61</v>
      </c>
      <c r="AK1407" t="s">
        <v>61</v>
      </c>
      <c r="AL1407" t="s">
        <v>61</v>
      </c>
      <c r="AM1407" t="s">
        <v>11538</v>
      </c>
      <c r="AN1407" t="s">
        <v>61</v>
      </c>
      <c r="AO1407" t="s">
        <v>61</v>
      </c>
      <c r="AP1407" t="s">
        <v>61</v>
      </c>
      <c r="AQ1407" t="s">
        <v>61</v>
      </c>
      <c r="AR1407" t="s">
        <v>61</v>
      </c>
      <c r="AS1407" t="s">
        <v>61</v>
      </c>
      <c r="AT1407" t="s">
        <v>61</v>
      </c>
      <c r="AU1407" t="s">
        <v>61</v>
      </c>
      <c r="AV1407" t="s">
        <v>61</v>
      </c>
      <c r="AW1407" t="s">
        <v>61</v>
      </c>
      <c r="AX1407" t="s">
        <v>61</v>
      </c>
      <c r="AY1407" t="s">
        <v>61</v>
      </c>
      <c r="AZ1407" t="s">
        <v>61</v>
      </c>
      <c r="BA1407" t="s">
        <v>61</v>
      </c>
      <c r="BB1407" t="s">
        <v>61</v>
      </c>
      <c r="BC1407" t="s">
        <v>61</v>
      </c>
      <c r="BD1407" t="s">
        <v>61</v>
      </c>
      <c r="BE1407" t="s">
        <v>61</v>
      </c>
      <c r="BF1407" t="s">
        <v>61</v>
      </c>
    </row>
    <row r="1408" spans="1:58">
      <c r="A1408" t="s">
        <v>58</v>
      </c>
      <c r="B1408" t="s">
        <v>11542</v>
      </c>
      <c r="C1408" t="s">
        <v>11543</v>
      </c>
      <c r="D1408" t="s">
        <v>11544</v>
      </c>
      <c r="E1408" t="s">
        <v>11545</v>
      </c>
      <c r="F1408">
        <v>2004</v>
      </c>
      <c r="G1408" t="s">
        <v>61</v>
      </c>
      <c r="H1408">
        <v>10</v>
      </c>
      <c r="I1408">
        <v>31</v>
      </c>
      <c r="J1408">
        <v>3987</v>
      </c>
      <c r="K1408">
        <v>4001</v>
      </c>
      <c r="L1408" t="s">
        <v>11546</v>
      </c>
      <c r="M1408" t="s">
        <v>11547</v>
      </c>
      <c r="N1408" t="s">
        <v>11548</v>
      </c>
      <c r="O1408" t="s">
        <v>61</v>
      </c>
      <c r="Q1408" t="s">
        <v>61</v>
      </c>
      <c r="R1408" t="s">
        <v>61</v>
      </c>
      <c r="S1408" t="s">
        <v>61</v>
      </c>
      <c r="T1408" t="s">
        <v>61</v>
      </c>
      <c r="X1408" t="s">
        <v>61</v>
      </c>
      <c r="Y1408" t="s">
        <v>11549</v>
      </c>
      <c r="Z1408" t="s">
        <v>61</v>
      </c>
      <c r="AA1408" t="s">
        <v>61</v>
      </c>
      <c r="AB1408">
        <v>2004520026</v>
      </c>
      <c r="AC1408" t="s">
        <v>67</v>
      </c>
      <c r="AD1408" t="s">
        <v>61</v>
      </c>
      <c r="AE1408" t="s">
        <v>61</v>
      </c>
      <c r="AF1408" t="s">
        <v>61</v>
      </c>
      <c r="AG1408" t="s">
        <v>11550</v>
      </c>
      <c r="AH1408" t="s">
        <v>61</v>
      </c>
      <c r="AI1408" t="s">
        <v>61</v>
      </c>
      <c r="AJ1408" t="s">
        <v>61</v>
      </c>
      <c r="AK1408" t="s">
        <v>61</v>
      </c>
      <c r="AL1408" t="s">
        <v>61</v>
      </c>
      <c r="AM1408" t="s">
        <v>11551</v>
      </c>
      <c r="AN1408" t="s">
        <v>61</v>
      </c>
      <c r="AO1408" t="s">
        <v>61</v>
      </c>
      <c r="AP1408" t="s">
        <v>61</v>
      </c>
      <c r="AQ1408" t="s">
        <v>61</v>
      </c>
      <c r="AR1408" t="s">
        <v>61</v>
      </c>
      <c r="AS1408" t="s">
        <v>61</v>
      </c>
      <c r="AT1408" t="s">
        <v>61</v>
      </c>
      <c r="AU1408" t="s">
        <v>61</v>
      </c>
      <c r="AV1408" t="s">
        <v>61</v>
      </c>
      <c r="AW1408" t="s">
        <v>61</v>
      </c>
      <c r="AX1408" t="s">
        <v>61</v>
      </c>
      <c r="AY1408" t="s">
        <v>61</v>
      </c>
      <c r="AZ1408" t="s">
        <v>61</v>
      </c>
      <c r="BA1408" t="s">
        <v>61</v>
      </c>
      <c r="BB1408" t="s">
        <v>61</v>
      </c>
      <c r="BC1408" t="s">
        <v>61</v>
      </c>
      <c r="BD1408" t="s">
        <v>61</v>
      </c>
      <c r="BE1408" t="s">
        <v>61</v>
      </c>
      <c r="BF1408" t="s">
        <v>61</v>
      </c>
    </row>
    <row r="1409" spans="1:58">
      <c r="A1409" t="s">
        <v>58</v>
      </c>
      <c r="B1409" t="s">
        <v>11552</v>
      </c>
      <c r="C1409" t="s">
        <v>11553</v>
      </c>
      <c r="D1409" t="s">
        <v>428</v>
      </c>
      <c r="E1409" t="s">
        <v>61</v>
      </c>
      <c r="F1409">
        <v>2011</v>
      </c>
      <c r="G1409" t="s">
        <v>429</v>
      </c>
      <c r="H1409">
        <v>24</v>
      </c>
      <c r="I1409">
        <v>2</v>
      </c>
      <c r="J1409">
        <v>278</v>
      </c>
      <c r="K1409" t="s">
        <v>61</v>
      </c>
      <c r="L1409" t="s">
        <v>11554</v>
      </c>
      <c r="M1409" t="s">
        <v>11555</v>
      </c>
      <c r="N1409" t="s">
        <v>11556</v>
      </c>
      <c r="O1409" t="s">
        <v>61</v>
      </c>
      <c r="Q1409" t="s">
        <v>61</v>
      </c>
      <c r="R1409" t="s">
        <v>61</v>
      </c>
      <c r="S1409" t="s">
        <v>61</v>
      </c>
      <c r="T1409" t="s">
        <v>61</v>
      </c>
      <c r="X1409" t="s">
        <v>61</v>
      </c>
      <c r="Y1409" t="s">
        <v>433</v>
      </c>
      <c r="Z1409" t="s">
        <v>61</v>
      </c>
      <c r="AA1409" t="s">
        <v>61</v>
      </c>
      <c r="AB1409" t="s">
        <v>61</v>
      </c>
      <c r="AC1409" t="s">
        <v>67</v>
      </c>
      <c r="AD1409" t="s">
        <v>61</v>
      </c>
      <c r="AE1409" t="s">
        <v>61</v>
      </c>
      <c r="AF1409" t="s">
        <v>61</v>
      </c>
      <c r="AG1409" t="s">
        <v>61</v>
      </c>
      <c r="AH1409" t="s">
        <v>61</v>
      </c>
      <c r="AI1409" t="s">
        <v>61</v>
      </c>
      <c r="AJ1409" t="s">
        <v>61</v>
      </c>
      <c r="AK1409" t="s">
        <v>61</v>
      </c>
      <c r="AL1409" t="s">
        <v>61</v>
      </c>
      <c r="AM1409" t="s">
        <v>11553</v>
      </c>
      <c r="AN1409" t="s">
        <v>61</v>
      </c>
      <c r="AO1409" t="s">
        <v>61</v>
      </c>
      <c r="AP1409" t="s">
        <v>61</v>
      </c>
      <c r="AQ1409" t="s">
        <v>61</v>
      </c>
      <c r="AR1409" t="s">
        <v>61</v>
      </c>
      <c r="AS1409" t="s">
        <v>61</v>
      </c>
      <c r="AT1409" t="s">
        <v>61</v>
      </c>
      <c r="AU1409" t="s">
        <v>61</v>
      </c>
      <c r="AV1409" t="s">
        <v>61</v>
      </c>
      <c r="AW1409" t="s">
        <v>61</v>
      </c>
      <c r="AX1409" t="s">
        <v>61</v>
      </c>
      <c r="AY1409" t="s">
        <v>61</v>
      </c>
      <c r="AZ1409" t="s">
        <v>61</v>
      </c>
      <c r="BA1409" t="s">
        <v>61</v>
      </c>
      <c r="BB1409" t="s">
        <v>61</v>
      </c>
      <c r="BC1409" t="s">
        <v>61</v>
      </c>
      <c r="BD1409" t="s">
        <v>61</v>
      </c>
      <c r="BE1409" t="s">
        <v>61</v>
      </c>
      <c r="BF1409" t="s">
        <v>61</v>
      </c>
    </row>
    <row r="1410" spans="1:58">
      <c r="A1410" t="s">
        <v>58</v>
      </c>
      <c r="B1410" t="s">
        <v>11557</v>
      </c>
      <c r="C1410" t="s">
        <v>11558</v>
      </c>
      <c r="D1410" t="s">
        <v>153</v>
      </c>
      <c r="E1410" t="s">
        <v>61</v>
      </c>
      <c r="F1410">
        <v>2012</v>
      </c>
      <c r="G1410" t="s">
        <v>739</v>
      </c>
      <c r="H1410">
        <v>52</v>
      </c>
      <c r="I1410">
        <v>5</v>
      </c>
      <c r="J1410">
        <v>653</v>
      </c>
      <c r="K1410">
        <v>660</v>
      </c>
      <c r="L1410" t="s">
        <v>11559</v>
      </c>
      <c r="M1410" t="s">
        <v>11560</v>
      </c>
      <c r="N1410" t="s">
        <v>11561</v>
      </c>
      <c r="O1410" t="s">
        <v>61</v>
      </c>
      <c r="Q1410" t="s">
        <v>61</v>
      </c>
      <c r="R1410" t="s">
        <v>61</v>
      </c>
      <c r="S1410" t="s">
        <v>61</v>
      </c>
      <c r="T1410" t="s">
        <v>61</v>
      </c>
      <c r="X1410" t="s">
        <v>61</v>
      </c>
      <c r="Y1410" t="s">
        <v>157</v>
      </c>
      <c r="Z1410" t="s">
        <v>61</v>
      </c>
      <c r="AA1410" t="s">
        <v>11562</v>
      </c>
      <c r="AB1410">
        <v>23023847</v>
      </c>
      <c r="AC1410" t="s">
        <v>67</v>
      </c>
      <c r="AD1410" t="s">
        <v>61</v>
      </c>
      <c r="AE1410" t="s">
        <v>61</v>
      </c>
      <c r="AF1410" t="s">
        <v>61</v>
      </c>
      <c r="AG1410" t="s">
        <v>11563</v>
      </c>
      <c r="AH1410" t="s">
        <v>61</v>
      </c>
      <c r="AI1410" t="s">
        <v>61</v>
      </c>
      <c r="AJ1410" t="s">
        <v>61</v>
      </c>
      <c r="AK1410" t="s">
        <v>61</v>
      </c>
      <c r="AL1410" t="s">
        <v>61</v>
      </c>
      <c r="AM1410" t="s">
        <v>11564</v>
      </c>
      <c r="AN1410" t="s">
        <v>61</v>
      </c>
      <c r="AO1410" t="s">
        <v>61</v>
      </c>
      <c r="AP1410" t="s">
        <v>61</v>
      </c>
      <c r="AQ1410" t="s">
        <v>61</v>
      </c>
      <c r="AR1410" t="s">
        <v>61</v>
      </c>
      <c r="AS1410" t="s">
        <v>61</v>
      </c>
      <c r="AT1410" t="s">
        <v>61</v>
      </c>
      <c r="AU1410" t="s">
        <v>61</v>
      </c>
      <c r="AV1410" t="s">
        <v>61</v>
      </c>
      <c r="AW1410" t="s">
        <v>61</v>
      </c>
      <c r="AX1410" t="s">
        <v>61</v>
      </c>
      <c r="AY1410" t="s">
        <v>61</v>
      </c>
      <c r="AZ1410" t="s">
        <v>61</v>
      </c>
      <c r="BA1410" t="s">
        <v>61</v>
      </c>
      <c r="BB1410" t="s">
        <v>61</v>
      </c>
      <c r="BC1410" t="s">
        <v>61</v>
      </c>
      <c r="BD1410" t="s">
        <v>61</v>
      </c>
      <c r="BE1410" t="s">
        <v>61</v>
      </c>
      <c r="BF1410" t="s">
        <v>61</v>
      </c>
    </row>
    <row r="1411" spans="1:58">
      <c r="A1411" t="s">
        <v>58</v>
      </c>
      <c r="B1411" t="s">
        <v>11565</v>
      </c>
      <c r="C1411" t="s">
        <v>11566</v>
      </c>
      <c r="D1411" t="s">
        <v>8158</v>
      </c>
      <c r="E1411" t="s">
        <v>8159</v>
      </c>
      <c r="F1411">
        <v>2005</v>
      </c>
      <c r="G1411" t="s">
        <v>61</v>
      </c>
      <c r="H1411">
        <v>40</v>
      </c>
      <c r="I1411">
        <v>12</v>
      </c>
      <c r="J1411">
        <v>1811</v>
      </c>
      <c r="K1411">
        <v>1829</v>
      </c>
      <c r="L1411" t="s">
        <v>11567</v>
      </c>
      <c r="M1411" t="s">
        <v>11568</v>
      </c>
      <c r="N1411" t="s">
        <v>11569</v>
      </c>
      <c r="O1411" t="s">
        <v>61</v>
      </c>
      <c r="Q1411" t="s">
        <v>61</v>
      </c>
      <c r="R1411" t="s">
        <v>61</v>
      </c>
      <c r="S1411" t="s">
        <v>61</v>
      </c>
      <c r="T1411" t="s">
        <v>61</v>
      </c>
      <c r="X1411" t="s">
        <v>61</v>
      </c>
      <c r="Y1411" t="s">
        <v>8163</v>
      </c>
      <c r="Z1411" t="s">
        <v>61</v>
      </c>
      <c r="AA1411" t="s">
        <v>11570</v>
      </c>
      <c r="AB1411">
        <v>16419558</v>
      </c>
      <c r="AC1411" t="s">
        <v>67</v>
      </c>
      <c r="AD1411" t="s">
        <v>61</v>
      </c>
      <c r="AE1411" t="s">
        <v>61</v>
      </c>
      <c r="AF1411" t="s">
        <v>61</v>
      </c>
      <c r="AG1411" t="s">
        <v>11571</v>
      </c>
      <c r="AH1411" t="s">
        <v>61</v>
      </c>
      <c r="AI1411" t="s">
        <v>61</v>
      </c>
      <c r="AJ1411" t="s">
        <v>61</v>
      </c>
      <c r="AK1411" t="s">
        <v>61</v>
      </c>
      <c r="AL1411" t="s">
        <v>61</v>
      </c>
      <c r="AM1411" t="s">
        <v>11572</v>
      </c>
      <c r="AN1411" t="s">
        <v>61</v>
      </c>
      <c r="AO1411" t="s">
        <v>61</v>
      </c>
      <c r="AP1411" t="s">
        <v>61</v>
      </c>
      <c r="AQ1411" t="s">
        <v>61</v>
      </c>
      <c r="AR1411" t="s">
        <v>61</v>
      </c>
      <c r="AS1411" t="s">
        <v>61</v>
      </c>
      <c r="AT1411" t="s">
        <v>61</v>
      </c>
      <c r="AU1411" t="s">
        <v>61</v>
      </c>
      <c r="AV1411" t="s">
        <v>61</v>
      </c>
      <c r="AW1411" t="s">
        <v>61</v>
      </c>
      <c r="AX1411" t="s">
        <v>61</v>
      </c>
      <c r="AY1411" t="s">
        <v>61</v>
      </c>
      <c r="AZ1411" t="s">
        <v>61</v>
      </c>
      <c r="BA1411" t="s">
        <v>61</v>
      </c>
      <c r="BB1411" t="s">
        <v>61</v>
      </c>
      <c r="BC1411" t="s">
        <v>61</v>
      </c>
      <c r="BD1411" t="s">
        <v>61</v>
      </c>
      <c r="BE1411" t="s">
        <v>61</v>
      </c>
      <c r="BF1411" t="s">
        <v>61</v>
      </c>
    </row>
    <row r="1412" spans="1:58">
      <c r="A1412" t="s">
        <v>58</v>
      </c>
      <c r="B1412" t="s">
        <v>11573</v>
      </c>
      <c r="C1412" t="s">
        <v>11574</v>
      </c>
      <c r="D1412" t="s">
        <v>2601</v>
      </c>
      <c r="E1412" t="s">
        <v>2602</v>
      </c>
      <c r="F1412">
        <v>2008</v>
      </c>
      <c r="G1412" t="s">
        <v>61</v>
      </c>
      <c r="H1412">
        <v>25</v>
      </c>
      <c r="I1412">
        <v>11</v>
      </c>
      <c r="J1412">
        <v>947</v>
      </c>
      <c r="K1412">
        <v>954</v>
      </c>
      <c r="L1412" t="s">
        <v>11575</v>
      </c>
      <c r="M1412" t="s">
        <v>11576</v>
      </c>
      <c r="N1412" t="s">
        <v>11577</v>
      </c>
      <c r="O1412" t="s">
        <v>61</v>
      </c>
      <c r="Q1412" t="s">
        <v>61</v>
      </c>
      <c r="R1412" t="s">
        <v>61</v>
      </c>
      <c r="S1412" t="s">
        <v>61</v>
      </c>
      <c r="T1412" t="s">
        <v>61</v>
      </c>
      <c r="X1412" t="s">
        <v>61</v>
      </c>
      <c r="Y1412" t="s">
        <v>11578</v>
      </c>
      <c r="Z1412" t="s">
        <v>61</v>
      </c>
      <c r="AA1412" t="s">
        <v>11579</v>
      </c>
      <c r="AB1412">
        <v>18947262</v>
      </c>
      <c r="AC1412" t="s">
        <v>67</v>
      </c>
      <c r="AD1412" t="s">
        <v>61</v>
      </c>
      <c r="AE1412" t="s">
        <v>61</v>
      </c>
      <c r="AF1412" t="s">
        <v>61</v>
      </c>
      <c r="AG1412" t="s">
        <v>11580</v>
      </c>
      <c r="AH1412" t="s">
        <v>61</v>
      </c>
      <c r="AI1412" t="s">
        <v>11581</v>
      </c>
      <c r="AJ1412" t="s">
        <v>61</v>
      </c>
      <c r="AK1412" t="s">
        <v>61</v>
      </c>
      <c r="AL1412" t="s">
        <v>61</v>
      </c>
      <c r="AM1412" t="s">
        <v>11582</v>
      </c>
      <c r="AN1412" t="s">
        <v>61</v>
      </c>
      <c r="AO1412" t="s">
        <v>61</v>
      </c>
      <c r="AP1412" t="s">
        <v>61</v>
      </c>
      <c r="AQ1412" t="s">
        <v>61</v>
      </c>
      <c r="AR1412" t="s">
        <v>61</v>
      </c>
      <c r="AS1412" t="s">
        <v>61</v>
      </c>
      <c r="AT1412" t="s">
        <v>61</v>
      </c>
      <c r="AU1412" t="s">
        <v>61</v>
      </c>
      <c r="AV1412" t="s">
        <v>61</v>
      </c>
      <c r="AW1412" t="s">
        <v>61</v>
      </c>
      <c r="AX1412" t="s">
        <v>61</v>
      </c>
      <c r="AY1412" t="s">
        <v>61</v>
      </c>
      <c r="AZ1412" t="s">
        <v>61</v>
      </c>
      <c r="BA1412" t="s">
        <v>61</v>
      </c>
      <c r="BB1412" t="s">
        <v>61</v>
      </c>
      <c r="BC1412" t="s">
        <v>61</v>
      </c>
      <c r="BD1412" t="s">
        <v>61</v>
      </c>
      <c r="BE1412" t="s">
        <v>61</v>
      </c>
      <c r="BF1412" t="s">
        <v>61</v>
      </c>
    </row>
    <row r="1413" spans="1:58">
      <c r="A1413" t="s">
        <v>58</v>
      </c>
      <c r="B1413" t="s">
        <v>11583</v>
      </c>
      <c r="C1413" t="s">
        <v>11584</v>
      </c>
      <c r="D1413" t="s">
        <v>417</v>
      </c>
      <c r="E1413" t="s">
        <v>61</v>
      </c>
      <c r="F1413">
        <v>2005</v>
      </c>
      <c r="G1413" t="s">
        <v>129</v>
      </c>
      <c r="H1413">
        <v>27</v>
      </c>
      <c r="I1413">
        <v>5</v>
      </c>
      <c r="J1413">
        <v>376</v>
      </c>
      <c r="K1413">
        <v>384</v>
      </c>
      <c r="L1413" t="s">
        <v>11585</v>
      </c>
      <c r="M1413" t="s">
        <v>11586</v>
      </c>
      <c r="N1413" t="s">
        <v>11587</v>
      </c>
      <c r="O1413" t="s">
        <v>61</v>
      </c>
      <c r="Q1413" t="s">
        <v>61</v>
      </c>
      <c r="R1413" t="s">
        <v>61</v>
      </c>
      <c r="S1413" t="s">
        <v>61</v>
      </c>
      <c r="T1413" t="s">
        <v>61</v>
      </c>
      <c r="X1413" t="s">
        <v>61</v>
      </c>
      <c r="Y1413" t="s">
        <v>422</v>
      </c>
      <c r="Z1413" t="s">
        <v>61</v>
      </c>
      <c r="AA1413" t="s">
        <v>11588</v>
      </c>
      <c r="AB1413">
        <v>16341744</v>
      </c>
      <c r="AC1413" t="s">
        <v>67</v>
      </c>
      <c r="AD1413" t="s">
        <v>61</v>
      </c>
      <c r="AE1413" t="s">
        <v>61</v>
      </c>
      <c r="AF1413" t="s">
        <v>61</v>
      </c>
      <c r="AG1413" t="s">
        <v>11589</v>
      </c>
      <c r="AH1413" t="s">
        <v>61</v>
      </c>
      <c r="AI1413" t="s">
        <v>61</v>
      </c>
      <c r="AJ1413" t="s">
        <v>61</v>
      </c>
      <c r="AK1413" t="s">
        <v>61</v>
      </c>
      <c r="AL1413" t="s">
        <v>61</v>
      </c>
      <c r="AM1413" t="s">
        <v>11590</v>
      </c>
      <c r="AN1413" t="s">
        <v>61</v>
      </c>
      <c r="AO1413" t="s">
        <v>61</v>
      </c>
      <c r="AP1413" t="s">
        <v>61</v>
      </c>
      <c r="AQ1413" t="s">
        <v>61</v>
      </c>
      <c r="AR1413" t="s">
        <v>61</v>
      </c>
      <c r="AS1413" t="s">
        <v>61</v>
      </c>
      <c r="AT1413" t="s">
        <v>61</v>
      </c>
      <c r="AU1413" t="s">
        <v>61</v>
      </c>
      <c r="AV1413" t="s">
        <v>61</v>
      </c>
      <c r="AW1413" t="s">
        <v>61</v>
      </c>
      <c r="AX1413" t="s">
        <v>61</v>
      </c>
      <c r="AY1413" t="s">
        <v>61</v>
      </c>
      <c r="AZ1413" t="s">
        <v>61</v>
      </c>
      <c r="BA1413" t="s">
        <v>61</v>
      </c>
      <c r="BB1413" t="s">
        <v>61</v>
      </c>
      <c r="BC1413" t="s">
        <v>61</v>
      </c>
      <c r="BD1413" t="s">
        <v>61</v>
      </c>
      <c r="BE1413" t="s">
        <v>61</v>
      </c>
      <c r="BF1413" t="s">
        <v>61</v>
      </c>
    </row>
    <row r="1414" spans="1:58">
      <c r="A1414" t="s">
        <v>58</v>
      </c>
      <c r="B1414" t="s">
        <v>11591</v>
      </c>
      <c r="C1414" t="s">
        <v>11592</v>
      </c>
      <c r="D1414" t="s">
        <v>2716</v>
      </c>
      <c r="E1414" t="s">
        <v>61</v>
      </c>
      <c r="F1414">
        <v>2010</v>
      </c>
      <c r="G1414" t="s">
        <v>409</v>
      </c>
      <c r="H1414">
        <v>13</v>
      </c>
      <c r="I1414">
        <v>7</v>
      </c>
      <c r="J1414" t="s">
        <v>11593</v>
      </c>
      <c r="K1414" t="s">
        <v>61</v>
      </c>
      <c r="L1414" t="s">
        <v>11594</v>
      </c>
      <c r="M1414" t="s">
        <v>11595</v>
      </c>
      <c r="N1414" t="s">
        <v>11596</v>
      </c>
      <c r="O1414" t="s">
        <v>61</v>
      </c>
      <c r="Q1414" t="s">
        <v>61</v>
      </c>
      <c r="R1414" t="s">
        <v>61</v>
      </c>
      <c r="S1414" t="s">
        <v>61</v>
      </c>
      <c r="T1414" t="s">
        <v>61</v>
      </c>
      <c r="X1414" t="s">
        <v>61</v>
      </c>
      <c r="Y1414" t="s">
        <v>2721</v>
      </c>
      <c r="Z1414" t="s">
        <v>61</v>
      </c>
      <c r="AA1414" t="s">
        <v>61</v>
      </c>
      <c r="AB1414" t="s">
        <v>61</v>
      </c>
      <c r="AC1414" t="s">
        <v>67</v>
      </c>
      <c r="AD1414" t="s">
        <v>61</v>
      </c>
      <c r="AE1414" t="s">
        <v>61</v>
      </c>
      <c r="AF1414" t="s">
        <v>61</v>
      </c>
      <c r="AG1414" t="s">
        <v>61</v>
      </c>
      <c r="AH1414" t="s">
        <v>61</v>
      </c>
      <c r="AI1414" t="s">
        <v>61</v>
      </c>
      <c r="AJ1414" t="s">
        <v>61</v>
      </c>
      <c r="AK1414" t="s">
        <v>61</v>
      </c>
      <c r="AL1414" t="s">
        <v>61</v>
      </c>
      <c r="AM1414" t="s">
        <v>11592</v>
      </c>
      <c r="AN1414" t="s">
        <v>61</v>
      </c>
      <c r="AO1414" t="s">
        <v>61</v>
      </c>
      <c r="AP1414" t="s">
        <v>61</v>
      </c>
      <c r="AQ1414" t="s">
        <v>61</v>
      </c>
      <c r="AR1414" t="s">
        <v>61</v>
      </c>
      <c r="AS1414" t="s">
        <v>61</v>
      </c>
      <c r="AT1414" t="s">
        <v>61</v>
      </c>
      <c r="AU1414" t="s">
        <v>61</v>
      </c>
      <c r="AV1414" t="s">
        <v>61</v>
      </c>
      <c r="AW1414" t="s">
        <v>61</v>
      </c>
      <c r="AX1414" t="s">
        <v>61</v>
      </c>
      <c r="AY1414" t="s">
        <v>61</v>
      </c>
      <c r="AZ1414" t="s">
        <v>61</v>
      </c>
      <c r="BA1414" t="s">
        <v>61</v>
      </c>
      <c r="BB1414" t="s">
        <v>61</v>
      </c>
      <c r="BC1414" t="s">
        <v>61</v>
      </c>
      <c r="BD1414" t="s">
        <v>61</v>
      </c>
      <c r="BE1414" t="s">
        <v>61</v>
      </c>
      <c r="BF1414" t="s">
        <v>61</v>
      </c>
    </row>
    <row r="1415" spans="1:58">
      <c r="A1415" t="s">
        <v>58</v>
      </c>
      <c r="B1415" t="s">
        <v>11597</v>
      </c>
      <c r="C1415" t="s">
        <v>11598</v>
      </c>
      <c r="D1415" t="s">
        <v>9707</v>
      </c>
      <c r="E1415" t="s">
        <v>61</v>
      </c>
      <c r="F1415">
        <v>2012</v>
      </c>
      <c r="G1415" t="s">
        <v>1775</v>
      </c>
      <c r="H1415">
        <v>145</v>
      </c>
      <c r="I1415">
        <v>4</v>
      </c>
      <c r="J1415" t="s">
        <v>10307</v>
      </c>
      <c r="K1415" t="s">
        <v>61</v>
      </c>
      <c r="L1415" t="s">
        <v>11599</v>
      </c>
      <c r="M1415" t="s">
        <v>11600</v>
      </c>
      <c r="N1415" t="s">
        <v>11601</v>
      </c>
      <c r="O1415" t="s">
        <v>61</v>
      </c>
      <c r="Q1415" t="s">
        <v>61</v>
      </c>
      <c r="R1415" t="s">
        <v>61</v>
      </c>
      <c r="S1415" t="s">
        <v>61</v>
      </c>
      <c r="T1415" t="s">
        <v>61</v>
      </c>
      <c r="X1415" t="s">
        <v>61</v>
      </c>
      <c r="Y1415" t="s">
        <v>111</v>
      </c>
      <c r="Z1415" t="s">
        <v>61</v>
      </c>
      <c r="AA1415" t="s">
        <v>61</v>
      </c>
      <c r="AB1415" t="s">
        <v>61</v>
      </c>
      <c r="AC1415" t="s">
        <v>67</v>
      </c>
      <c r="AD1415" t="s">
        <v>61</v>
      </c>
      <c r="AE1415" t="s">
        <v>61</v>
      </c>
      <c r="AF1415" t="s">
        <v>61</v>
      </c>
      <c r="AG1415" t="s">
        <v>61</v>
      </c>
      <c r="AH1415" t="s">
        <v>61</v>
      </c>
      <c r="AI1415" t="s">
        <v>61</v>
      </c>
      <c r="AJ1415" t="s">
        <v>61</v>
      </c>
      <c r="AK1415" t="s">
        <v>61</v>
      </c>
      <c r="AL1415" t="s">
        <v>61</v>
      </c>
      <c r="AM1415" t="s">
        <v>11598</v>
      </c>
      <c r="AN1415" t="s">
        <v>61</v>
      </c>
      <c r="AO1415" t="s">
        <v>61</v>
      </c>
      <c r="AP1415" t="s">
        <v>61</v>
      </c>
      <c r="AQ1415" t="s">
        <v>61</v>
      </c>
      <c r="AR1415" t="s">
        <v>61</v>
      </c>
      <c r="AS1415" t="s">
        <v>61</v>
      </c>
      <c r="AT1415" t="s">
        <v>61</v>
      </c>
      <c r="AU1415" t="s">
        <v>61</v>
      </c>
      <c r="AV1415" t="s">
        <v>61</v>
      </c>
      <c r="AW1415" t="s">
        <v>61</v>
      </c>
      <c r="AX1415" t="s">
        <v>61</v>
      </c>
      <c r="AY1415" t="s">
        <v>61</v>
      </c>
      <c r="AZ1415" t="s">
        <v>61</v>
      </c>
      <c r="BA1415" t="s">
        <v>61</v>
      </c>
      <c r="BB1415" t="s">
        <v>61</v>
      </c>
      <c r="BC1415" t="s">
        <v>61</v>
      </c>
      <c r="BD1415" t="s">
        <v>61</v>
      </c>
      <c r="BE1415" t="s">
        <v>61</v>
      </c>
      <c r="BF1415" t="s">
        <v>61</v>
      </c>
    </row>
    <row r="1416" spans="1:58">
      <c r="A1416" t="s">
        <v>58</v>
      </c>
      <c r="B1416" t="s">
        <v>11602</v>
      </c>
      <c r="C1416" t="s">
        <v>11603</v>
      </c>
      <c r="D1416" t="s">
        <v>428</v>
      </c>
      <c r="E1416" t="s">
        <v>61</v>
      </c>
      <c r="F1416">
        <v>2013</v>
      </c>
      <c r="G1416" t="s">
        <v>457</v>
      </c>
      <c r="H1416">
        <v>26</v>
      </c>
      <c r="I1416">
        <v>3</v>
      </c>
      <c r="J1416">
        <v>336</v>
      </c>
      <c r="K1416">
        <v>337</v>
      </c>
      <c r="L1416" t="s">
        <v>11604</v>
      </c>
      <c r="M1416" t="s">
        <v>11605</v>
      </c>
      <c r="N1416" t="s">
        <v>11606</v>
      </c>
      <c r="O1416" t="s">
        <v>61</v>
      </c>
      <c r="Q1416" t="s">
        <v>61</v>
      </c>
      <c r="R1416" t="s">
        <v>61</v>
      </c>
      <c r="S1416" t="s">
        <v>61</v>
      </c>
      <c r="T1416" t="s">
        <v>61</v>
      </c>
      <c r="X1416" t="s">
        <v>61</v>
      </c>
      <c r="Y1416" t="s">
        <v>433</v>
      </c>
      <c r="Z1416" t="s">
        <v>61</v>
      </c>
      <c r="AA1416" t="s">
        <v>61</v>
      </c>
      <c r="AB1416" t="s">
        <v>61</v>
      </c>
      <c r="AC1416" t="s">
        <v>67</v>
      </c>
      <c r="AD1416" t="s">
        <v>61</v>
      </c>
      <c r="AE1416" t="s">
        <v>61</v>
      </c>
      <c r="AF1416" t="s">
        <v>61</v>
      </c>
      <c r="AG1416" t="s">
        <v>61</v>
      </c>
      <c r="AH1416" t="s">
        <v>61</v>
      </c>
      <c r="AI1416" t="s">
        <v>61</v>
      </c>
      <c r="AJ1416" t="s">
        <v>61</v>
      </c>
      <c r="AK1416" t="s">
        <v>61</v>
      </c>
      <c r="AL1416" t="s">
        <v>61</v>
      </c>
      <c r="AM1416" t="s">
        <v>11603</v>
      </c>
      <c r="AN1416" t="s">
        <v>61</v>
      </c>
      <c r="AO1416" t="s">
        <v>61</v>
      </c>
      <c r="AP1416" t="s">
        <v>61</v>
      </c>
      <c r="AQ1416" t="s">
        <v>61</v>
      </c>
      <c r="AR1416" t="s">
        <v>61</v>
      </c>
      <c r="AS1416" t="s">
        <v>61</v>
      </c>
      <c r="AT1416" t="s">
        <v>61</v>
      </c>
      <c r="AU1416" t="s">
        <v>61</v>
      </c>
      <c r="AV1416" t="s">
        <v>61</v>
      </c>
      <c r="AW1416" t="s">
        <v>61</v>
      </c>
      <c r="AX1416" t="s">
        <v>61</v>
      </c>
      <c r="AY1416" t="s">
        <v>61</v>
      </c>
      <c r="AZ1416" t="s">
        <v>61</v>
      </c>
      <c r="BA1416" t="s">
        <v>61</v>
      </c>
      <c r="BB1416" t="s">
        <v>61</v>
      </c>
      <c r="BC1416" t="s">
        <v>61</v>
      </c>
      <c r="BD1416" t="s">
        <v>61</v>
      </c>
      <c r="BE1416" t="s">
        <v>61</v>
      </c>
      <c r="BF1416" t="s">
        <v>61</v>
      </c>
    </row>
    <row r="1417" spans="1:58">
      <c r="A1417" t="s">
        <v>58</v>
      </c>
      <c r="B1417" t="s">
        <v>11607</v>
      </c>
      <c r="C1417" t="s">
        <v>11608</v>
      </c>
      <c r="D1417" t="s">
        <v>11609</v>
      </c>
      <c r="E1417" t="s">
        <v>11610</v>
      </c>
      <c r="F1417">
        <v>1997</v>
      </c>
      <c r="G1417" t="s">
        <v>391</v>
      </c>
      <c r="H1417">
        <v>102</v>
      </c>
      <c r="I1417">
        <v>3</v>
      </c>
      <c r="J1417">
        <v>232</v>
      </c>
      <c r="K1417">
        <v>238</v>
      </c>
      <c r="L1417" t="s">
        <v>11611</v>
      </c>
      <c r="M1417" t="s">
        <v>11612</v>
      </c>
      <c r="N1417" t="s">
        <v>11613</v>
      </c>
      <c r="O1417" t="s">
        <v>61</v>
      </c>
      <c r="Q1417" t="s">
        <v>61</v>
      </c>
      <c r="R1417" t="s">
        <v>61</v>
      </c>
      <c r="S1417" t="s">
        <v>61</v>
      </c>
      <c r="T1417" t="s">
        <v>61</v>
      </c>
      <c r="X1417" t="s">
        <v>61</v>
      </c>
      <c r="Y1417" s="2">
        <v>2718533</v>
      </c>
      <c r="Z1417" t="s">
        <v>61</v>
      </c>
      <c r="AA1417" t="s">
        <v>11614</v>
      </c>
      <c r="AB1417">
        <v>9217590</v>
      </c>
      <c r="AC1417" t="s">
        <v>67</v>
      </c>
      <c r="AD1417" t="s">
        <v>61</v>
      </c>
      <c r="AE1417" t="s">
        <v>61</v>
      </c>
      <c r="AF1417" t="s">
        <v>61</v>
      </c>
      <c r="AG1417" t="s">
        <v>11615</v>
      </c>
      <c r="AH1417" t="s">
        <v>61</v>
      </c>
      <c r="AI1417" t="s">
        <v>61</v>
      </c>
      <c r="AJ1417" t="s">
        <v>61</v>
      </c>
      <c r="AK1417" t="s">
        <v>61</v>
      </c>
      <c r="AL1417" t="s">
        <v>61</v>
      </c>
      <c r="AM1417" t="s">
        <v>11616</v>
      </c>
      <c r="AN1417" t="s">
        <v>61</v>
      </c>
      <c r="AO1417" t="s">
        <v>61</v>
      </c>
      <c r="AP1417" t="s">
        <v>61</v>
      </c>
      <c r="AQ1417" t="s">
        <v>61</v>
      </c>
      <c r="AR1417" t="s">
        <v>61</v>
      </c>
      <c r="AS1417" t="s">
        <v>61</v>
      </c>
      <c r="AT1417" t="s">
        <v>61</v>
      </c>
      <c r="AU1417" t="s">
        <v>61</v>
      </c>
      <c r="AV1417" t="s">
        <v>61</v>
      </c>
      <c r="AW1417" t="s">
        <v>61</v>
      </c>
      <c r="AX1417" t="s">
        <v>61</v>
      </c>
      <c r="AY1417" t="s">
        <v>61</v>
      </c>
      <c r="AZ1417" t="s">
        <v>61</v>
      </c>
      <c r="BA1417" t="s">
        <v>61</v>
      </c>
      <c r="BB1417" t="s">
        <v>61</v>
      </c>
      <c r="BC1417" t="s">
        <v>61</v>
      </c>
      <c r="BD1417" t="s">
        <v>61</v>
      </c>
      <c r="BE1417" t="s">
        <v>61</v>
      </c>
      <c r="BF1417" t="s">
        <v>61</v>
      </c>
    </row>
    <row r="1418" spans="1:58">
      <c r="A1418" t="s">
        <v>58</v>
      </c>
      <c r="B1418" t="s">
        <v>11617</v>
      </c>
      <c r="C1418" t="s">
        <v>11618</v>
      </c>
      <c r="D1418" t="s">
        <v>876</v>
      </c>
      <c r="E1418" t="s">
        <v>877</v>
      </c>
      <c r="F1418">
        <v>1982</v>
      </c>
      <c r="G1418" t="s">
        <v>1644</v>
      </c>
      <c r="H1418">
        <v>46</v>
      </c>
      <c r="I1418">
        <v>1</v>
      </c>
      <c r="J1418">
        <v>28</v>
      </c>
      <c r="K1418">
        <v>31</v>
      </c>
      <c r="L1418" t="s">
        <v>11619</v>
      </c>
      <c r="M1418" t="s">
        <v>11620</v>
      </c>
      <c r="N1418" t="s">
        <v>11621</v>
      </c>
      <c r="O1418" t="s">
        <v>61</v>
      </c>
      <c r="Q1418" t="s">
        <v>61</v>
      </c>
      <c r="R1418" t="s">
        <v>61</v>
      </c>
      <c r="S1418" t="s">
        <v>61</v>
      </c>
      <c r="T1418" t="s">
        <v>61</v>
      </c>
      <c r="X1418" t="s">
        <v>61</v>
      </c>
      <c r="Y1418" t="s">
        <v>61</v>
      </c>
      <c r="Z1418" t="s">
        <v>61</v>
      </c>
      <c r="AA1418" t="s">
        <v>61</v>
      </c>
      <c r="AB1418" t="s">
        <v>11622</v>
      </c>
      <c r="AC1418" t="s">
        <v>67</v>
      </c>
      <c r="AD1418" t="s">
        <v>61</v>
      </c>
      <c r="AE1418" t="s">
        <v>61</v>
      </c>
      <c r="AF1418" t="s">
        <v>61</v>
      </c>
      <c r="AG1418" t="s">
        <v>61</v>
      </c>
      <c r="AH1418" t="s">
        <v>61</v>
      </c>
      <c r="AI1418" t="s">
        <v>61</v>
      </c>
      <c r="AJ1418" t="s">
        <v>61</v>
      </c>
      <c r="AK1418" t="s">
        <v>61</v>
      </c>
      <c r="AL1418" t="s">
        <v>61</v>
      </c>
      <c r="AM1418" t="s">
        <v>11623</v>
      </c>
      <c r="AN1418" t="s">
        <v>61</v>
      </c>
      <c r="AO1418" t="s">
        <v>61</v>
      </c>
      <c r="AP1418" t="s">
        <v>61</v>
      </c>
      <c r="AQ1418" t="s">
        <v>61</v>
      </c>
      <c r="AR1418" t="s">
        <v>61</v>
      </c>
      <c r="AS1418" t="s">
        <v>61</v>
      </c>
      <c r="AT1418" t="s">
        <v>61</v>
      </c>
      <c r="AU1418" t="s">
        <v>61</v>
      </c>
      <c r="AV1418" t="s">
        <v>61</v>
      </c>
      <c r="AW1418" t="s">
        <v>61</v>
      </c>
      <c r="AX1418" t="s">
        <v>61</v>
      </c>
      <c r="AY1418" t="s">
        <v>61</v>
      </c>
      <c r="AZ1418" t="s">
        <v>61</v>
      </c>
      <c r="BA1418" t="s">
        <v>61</v>
      </c>
      <c r="BB1418" t="s">
        <v>61</v>
      </c>
      <c r="BC1418" t="s">
        <v>61</v>
      </c>
      <c r="BD1418" t="s">
        <v>61</v>
      </c>
      <c r="BE1418" t="s">
        <v>61</v>
      </c>
      <c r="BF1418" t="s">
        <v>61</v>
      </c>
    </row>
    <row r="1419" spans="1:58">
      <c r="A1419" t="s">
        <v>58</v>
      </c>
      <c r="B1419" t="s">
        <v>11624</v>
      </c>
      <c r="C1419" t="s">
        <v>11625</v>
      </c>
      <c r="D1419" t="s">
        <v>11168</v>
      </c>
      <c r="E1419" t="s">
        <v>11169</v>
      </c>
      <c r="F1419">
        <v>2012</v>
      </c>
      <c r="G1419" t="s">
        <v>1396</v>
      </c>
      <c r="H1419">
        <v>49</v>
      </c>
      <c r="I1419">
        <v>4</v>
      </c>
      <c r="J1419">
        <v>425</v>
      </c>
      <c r="K1419">
        <v>430</v>
      </c>
      <c r="L1419" t="s">
        <v>11626</v>
      </c>
      <c r="M1419" t="s">
        <v>11627</v>
      </c>
      <c r="N1419" t="s">
        <v>11628</v>
      </c>
      <c r="O1419" t="s">
        <v>61</v>
      </c>
      <c r="Q1419" t="s">
        <v>61</v>
      </c>
      <c r="R1419" t="s">
        <v>61</v>
      </c>
      <c r="S1419" t="s">
        <v>61</v>
      </c>
      <c r="T1419" t="s">
        <v>61</v>
      </c>
      <c r="X1419" t="s">
        <v>61</v>
      </c>
      <c r="Y1419" t="s">
        <v>11174</v>
      </c>
      <c r="Z1419" t="s">
        <v>61</v>
      </c>
      <c r="AA1419" t="s">
        <v>11629</v>
      </c>
      <c r="AB1419">
        <v>23442408</v>
      </c>
      <c r="AC1419" t="s">
        <v>67</v>
      </c>
      <c r="AD1419" t="s">
        <v>61</v>
      </c>
      <c r="AE1419" t="s">
        <v>61</v>
      </c>
      <c r="AF1419" t="s">
        <v>61</v>
      </c>
      <c r="AG1419" t="s">
        <v>11630</v>
      </c>
      <c r="AH1419" t="s">
        <v>61</v>
      </c>
      <c r="AI1419" t="s">
        <v>11631</v>
      </c>
      <c r="AJ1419" t="s">
        <v>61</v>
      </c>
      <c r="AK1419" t="s">
        <v>61</v>
      </c>
      <c r="AL1419" t="s">
        <v>61</v>
      </c>
      <c r="AM1419" t="s">
        <v>11632</v>
      </c>
      <c r="AN1419" t="s">
        <v>61</v>
      </c>
      <c r="AO1419" t="s">
        <v>61</v>
      </c>
      <c r="AP1419" t="s">
        <v>61</v>
      </c>
      <c r="AQ1419" t="s">
        <v>61</v>
      </c>
      <c r="AR1419" t="s">
        <v>61</v>
      </c>
      <c r="AS1419" t="s">
        <v>61</v>
      </c>
      <c r="AT1419" t="s">
        <v>61</v>
      </c>
      <c r="AU1419" t="s">
        <v>61</v>
      </c>
      <c r="AV1419" t="s">
        <v>61</v>
      </c>
      <c r="AW1419" t="s">
        <v>61</v>
      </c>
      <c r="AX1419" t="s">
        <v>61</v>
      </c>
      <c r="AY1419" t="s">
        <v>61</v>
      </c>
      <c r="AZ1419" t="s">
        <v>61</v>
      </c>
      <c r="BA1419" t="s">
        <v>61</v>
      </c>
      <c r="BB1419" t="s">
        <v>61</v>
      </c>
      <c r="BC1419" t="s">
        <v>61</v>
      </c>
      <c r="BD1419" t="s">
        <v>61</v>
      </c>
      <c r="BE1419" t="s">
        <v>61</v>
      </c>
      <c r="BF1419" t="s">
        <v>61</v>
      </c>
    </row>
    <row r="1420" spans="1:58">
      <c r="A1420" t="s">
        <v>58</v>
      </c>
      <c r="B1420" t="s">
        <v>11633</v>
      </c>
      <c r="C1420" t="s">
        <v>11634</v>
      </c>
      <c r="D1420" t="s">
        <v>876</v>
      </c>
      <c r="E1420" t="s">
        <v>877</v>
      </c>
      <c r="F1420">
        <v>2004</v>
      </c>
      <c r="G1420" t="s">
        <v>61</v>
      </c>
      <c r="H1420">
        <v>68</v>
      </c>
      <c r="I1420">
        <v>4</v>
      </c>
      <c r="J1420">
        <v>1</v>
      </c>
      <c r="K1420" t="s">
        <v>11635</v>
      </c>
      <c r="L1420" t="s">
        <v>61</v>
      </c>
      <c r="M1420" t="s">
        <v>61</v>
      </c>
      <c r="N1420" t="s">
        <v>11636</v>
      </c>
      <c r="O1420" t="s">
        <v>61</v>
      </c>
      <c r="Q1420" t="s">
        <v>61</v>
      </c>
      <c r="R1420" t="s">
        <v>61</v>
      </c>
      <c r="S1420" t="s">
        <v>61</v>
      </c>
      <c r="T1420" t="s">
        <v>61</v>
      </c>
      <c r="X1420" t="s">
        <v>61</v>
      </c>
      <c r="Y1420" s="2">
        <v>2760901</v>
      </c>
      <c r="Z1420" t="s">
        <v>61</v>
      </c>
      <c r="AA1420" t="s">
        <v>11637</v>
      </c>
      <c r="AB1420">
        <v>104337195</v>
      </c>
      <c r="AC1420" t="s">
        <v>67</v>
      </c>
      <c r="AD1420" t="s">
        <v>61</v>
      </c>
      <c r="AE1420" t="s">
        <v>61</v>
      </c>
      <c r="AF1420" t="s">
        <v>61</v>
      </c>
      <c r="AG1420" t="s">
        <v>11638</v>
      </c>
      <c r="AH1420" t="s">
        <v>61</v>
      </c>
      <c r="AI1420" t="s">
        <v>61</v>
      </c>
      <c r="AJ1420" t="s">
        <v>61</v>
      </c>
      <c r="AK1420" t="s">
        <v>61</v>
      </c>
      <c r="AL1420" t="s">
        <v>61</v>
      </c>
      <c r="AM1420" t="s">
        <v>11639</v>
      </c>
      <c r="AN1420" t="s">
        <v>61</v>
      </c>
      <c r="AO1420" t="s">
        <v>61</v>
      </c>
      <c r="AP1420" t="s">
        <v>61</v>
      </c>
      <c r="AQ1420" t="s">
        <v>61</v>
      </c>
      <c r="AR1420" t="s">
        <v>61</v>
      </c>
      <c r="AS1420" t="s">
        <v>61</v>
      </c>
      <c r="AT1420" t="s">
        <v>61</v>
      </c>
      <c r="AU1420" t="s">
        <v>61</v>
      </c>
      <c r="AV1420" t="s">
        <v>61</v>
      </c>
      <c r="AW1420" t="s">
        <v>61</v>
      </c>
      <c r="AX1420" t="s">
        <v>61</v>
      </c>
      <c r="AY1420" t="s">
        <v>61</v>
      </c>
      <c r="AZ1420" t="s">
        <v>61</v>
      </c>
      <c r="BA1420" t="s">
        <v>61</v>
      </c>
      <c r="BB1420" t="s">
        <v>61</v>
      </c>
      <c r="BC1420" t="s">
        <v>61</v>
      </c>
      <c r="BD1420" t="s">
        <v>61</v>
      </c>
      <c r="BE1420" t="s">
        <v>61</v>
      </c>
      <c r="BF1420" t="s">
        <v>61</v>
      </c>
    </row>
    <row r="1421" spans="1:58">
      <c r="A1421" t="s">
        <v>58</v>
      </c>
      <c r="B1421" t="s">
        <v>11640</v>
      </c>
      <c r="C1421" t="s">
        <v>11641</v>
      </c>
      <c r="D1421" t="s">
        <v>10880</v>
      </c>
      <c r="E1421" t="s">
        <v>61</v>
      </c>
      <c r="F1421">
        <v>2009</v>
      </c>
      <c r="G1421" t="s">
        <v>457</v>
      </c>
      <c r="H1421">
        <v>9</v>
      </c>
      <c r="I1421">
        <v>4</v>
      </c>
      <c r="J1421">
        <v>514</v>
      </c>
      <c r="K1421">
        <v>515</v>
      </c>
      <c r="L1421" t="s">
        <v>11642</v>
      </c>
      <c r="M1421" t="s">
        <v>11643</v>
      </c>
      <c r="N1421" t="s">
        <v>11644</v>
      </c>
      <c r="O1421" t="s">
        <v>61</v>
      </c>
      <c r="Q1421" t="s">
        <v>61</v>
      </c>
      <c r="R1421" t="s">
        <v>61</v>
      </c>
      <c r="S1421" t="s">
        <v>61</v>
      </c>
      <c r="T1421" t="s">
        <v>61</v>
      </c>
      <c r="X1421" t="s">
        <v>61</v>
      </c>
      <c r="Y1421" t="s">
        <v>10884</v>
      </c>
      <c r="Z1421" t="s">
        <v>61</v>
      </c>
      <c r="AA1421" t="s">
        <v>61</v>
      </c>
      <c r="AB1421" t="s">
        <v>61</v>
      </c>
      <c r="AC1421" t="s">
        <v>67</v>
      </c>
      <c r="AD1421" t="s">
        <v>61</v>
      </c>
      <c r="AE1421" t="s">
        <v>61</v>
      </c>
      <c r="AF1421" t="s">
        <v>61</v>
      </c>
      <c r="AG1421" t="s">
        <v>61</v>
      </c>
      <c r="AH1421" t="s">
        <v>61</v>
      </c>
      <c r="AI1421" t="s">
        <v>61</v>
      </c>
      <c r="AJ1421" t="s">
        <v>61</v>
      </c>
      <c r="AK1421" t="s">
        <v>61</v>
      </c>
      <c r="AL1421" t="s">
        <v>61</v>
      </c>
      <c r="AM1421" t="s">
        <v>11641</v>
      </c>
      <c r="AN1421" t="s">
        <v>61</v>
      </c>
      <c r="AO1421" t="s">
        <v>61</v>
      </c>
      <c r="AP1421" t="s">
        <v>61</v>
      </c>
      <c r="AQ1421" t="s">
        <v>61</v>
      </c>
      <c r="AR1421" t="s">
        <v>61</v>
      </c>
      <c r="AS1421" t="s">
        <v>61</v>
      </c>
      <c r="AT1421" t="s">
        <v>61</v>
      </c>
      <c r="AU1421" t="s">
        <v>61</v>
      </c>
      <c r="AV1421" t="s">
        <v>61</v>
      </c>
      <c r="AW1421" t="s">
        <v>61</v>
      </c>
      <c r="AX1421" t="s">
        <v>61</v>
      </c>
      <c r="AY1421" t="s">
        <v>61</v>
      </c>
      <c r="AZ1421" t="s">
        <v>61</v>
      </c>
      <c r="BA1421" t="s">
        <v>61</v>
      </c>
      <c r="BB1421" t="s">
        <v>61</v>
      </c>
      <c r="BC1421" t="s">
        <v>61</v>
      </c>
      <c r="BD1421" t="s">
        <v>61</v>
      </c>
      <c r="BE1421" t="s">
        <v>61</v>
      </c>
      <c r="BF1421" t="s">
        <v>61</v>
      </c>
    </row>
    <row r="1422" spans="1:58">
      <c r="A1422" t="s">
        <v>58</v>
      </c>
      <c r="B1422" t="s">
        <v>11645</v>
      </c>
      <c r="C1422" t="s">
        <v>11646</v>
      </c>
      <c r="D1422" t="s">
        <v>11647</v>
      </c>
      <c r="E1422" t="s">
        <v>61</v>
      </c>
      <c r="F1422">
        <v>2014</v>
      </c>
      <c r="G1422" t="s">
        <v>61</v>
      </c>
      <c r="H1422">
        <v>2014</v>
      </c>
      <c r="I1422">
        <v>141</v>
      </c>
      <c r="J1422">
        <v>45</v>
      </c>
      <c r="K1422" t="s">
        <v>11648</v>
      </c>
      <c r="L1422" t="s">
        <v>11649</v>
      </c>
      <c r="M1422" t="s">
        <v>11650</v>
      </c>
      <c r="N1422" t="s">
        <v>11651</v>
      </c>
      <c r="O1422" t="s">
        <v>61</v>
      </c>
      <c r="Q1422" t="s">
        <v>61</v>
      </c>
      <c r="R1422" t="s">
        <v>61</v>
      </c>
      <c r="S1422" t="s">
        <v>61</v>
      </c>
      <c r="T1422" t="s">
        <v>61</v>
      </c>
      <c r="X1422" t="s">
        <v>61</v>
      </c>
      <c r="Y1422" t="s">
        <v>11652</v>
      </c>
      <c r="Z1422" t="s">
        <v>61</v>
      </c>
      <c r="AA1422" t="s">
        <v>11653</v>
      </c>
      <c r="AB1422">
        <v>24753277</v>
      </c>
      <c r="AC1422" t="s">
        <v>67</v>
      </c>
      <c r="AD1422" t="s">
        <v>61</v>
      </c>
      <c r="AE1422" t="s">
        <v>61</v>
      </c>
      <c r="AF1422" t="s">
        <v>61</v>
      </c>
      <c r="AG1422" t="s">
        <v>11654</v>
      </c>
      <c r="AH1422" t="s">
        <v>61</v>
      </c>
      <c r="AI1422" t="s">
        <v>11655</v>
      </c>
      <c r="AJ1422" t="s">
        <v>61</v>
      </c>
      <c r="AK1422" t="s">
        <v>61</v>
      </c>
      <c r="AL1422" t="s">
        <v>61</v>
      </c>
      <c r="AM1422" t="s">
        <v>11656</v>
      </c>
      <c r="AN1422" t="s">
        <v>61</v>
      </c>
      <c r="AO1422" t="s">
        <v>61</v>
      </c>
      <c r="AP1422" t="s">
        <v>61</v>
      </c>
      <c r="AQ1422" t="s">
        <v>61</v>
      </c>
      <c r="AR1422" t="s">
        <v>61</v>
      </c>
      <c r="AS1422" t="s">
        <v>61</v>
      </c>
      <c r="AT1422" t="s">
        <v>61</v>
      </c>
      <c r="AU1422" t="s">
        <v>61</v>
      </c>
      <c r="AV1422" t="s">
        <v>61</v>
      </c>
      <c r="AW1422" t="s">
        <v>61</v>
      </c>
      <c r="AX1422" t="s">
        <v>61</v>
      </c>
      <c r="AY1422" t="s">
        <v>61</v>
      </c>
      <c r="AZ1422" t="s">
        <v>61</v>
      </c>
      <c r="BA1422" t="s">
        <v>61</v>
      </c>
      <c r="BB1422" t="s">
        <v>61</v>
      </c>
      <c r="BC1422" t="s">
        <v>61</v>
      </c>
      <c r="BD1422" t="s">
        <v>61</v>
      </c>
      <c r="BE1422" t="s">
        <v>61</v>
      </c>
      <c r="BF1422" t="s">
        <v>61</v>
      </c>
    </row>
    <row r="1423" spans="1:58">
      <c r="A1423" t="s">
        <v>58</v>
      </c>
      <c r="B1423" t="s">
        <v>11657</v>
      </c>
      <c r="C1423" t="s">
        <v>11658</v>
      </c>
      <c r="D1423" t="s">
        <v>627</v>
      </c>
      <c r="E1423" t="s">
        <v>61</v>
      </c>
      <c r="F1423">
        <v>2015</v>
      </c>
      <c r="G1423" t="s">
        <v>628</v>
      </c>
      <c r="H1423">
        <v>55</v>
      </c>
      <c r="I1423">
        <v>2</v>
      </c>
      <c r="J1423" t="s">
        <v>11659</v>
      </c>
      <c r="K1423" t="s">
        <v>11660</v>
      </c>
      <c r="L1423" t="s">
        <v>11661</v>
      </c>
      <c r="M1423" t="s">
        <v>11662</v>
      </c>
      <c r="N1423" t="s">
        <v>11663</v>
      </c>
      <c r="O1423" t="s">
        <v>61</v>
      </c>
      <c r="Q1423" t="s">
        <v>61</v>
      </c>
      <c r="R1423" t="s">
        <v>61</v>
      </c>
      <c r="S1423" t="s">
        <v>61</v>
      </c>
      <c r="T1423" t="s">
        <v>61</v>
      </c>
      <c r="X1423" t="s">
        <v>61</v>
      </c>
      <c r="Y1423" t="s">
        <v>632</v>
      </c>
      <c r="Z1423" t="s">
        <v>61</v>
      </c>
      <c r="AA1423" t="s">
        <v>61</v>
      </c>
      <c r="AB1423" t="s">
        <v>61</v>
      </c>
      <c r="AC1423" t="s">
        <v>67</v>
      </c>
      <c r="AD1423" t="s">
        <v>61</v>
      </c>
      <c r="AE1423" t="s">
        <v>61</v>
      </c>
      <c r="AF1423" t="s">
        <v>61</v>
      </c>
      <c r="AG1423" t="s">
        <v>61</v>
      </c>
      <c r="AH1423" t="s">
        <v>61</v>
      </c>
      <c r="AI1423" t="s">
        <v>61</v>
      </c>
      <c r="AJ1423" t="s">
        <v>61</v>
      </c>
      <c r="AK1423" t="s">
        <v>61</v>
      </c>
      <c r="AL1423" t="s">
        <v>61</v>
      </c>
      <c r="AM1423" t="s">
        <v>11658</v>
      </c>
      <c r="AN1423" t="s">
        <v>61</v>
      </c>
      <c r="AO1423" t="s">
        <v>61</v>
      </c>
      <c r="AP1423" t="s">
        <v>61</v>
      </c>
      <c r="AQ1423" t="s">
        <v>61</v>
      </c>
      <c r="AR1423" t="s">
        <v>61</v>
      </c>
      <c r="AS1423" t="s">
        <v>61</v>
      </c>
      <c r="AT1423" t="s">
        <v>61</v>
      </c>
      <c r="AU1423" t="s">
        <v>61</v>
      </c>
      <c r="AV1423" t="s">
        <v>61</v>
      </c>
      <c r="AW1423" t="s">
        <v>61</v>
      </c>
      <c r="AX1423" t="s">
        <v>61</v>
      </c>
      <c r="AY1423" t="s">
        <v>61</v>
      </c>
      <c r="AZ1423" t="s">
        <v>61</v>
      </c>
      <c r="BA1423" t="s">
        <v>61</v>
      </c>
      <c r="BB1423" t="s">
        <v>61</v>
      </c>
      <c r="BC1423" t="s">
        <v>61</v>
      </c>
      <c r="BD1423" t="s">
        <v>61</v>
      </c>
      <c r="BE1423" t="s">
        <v>61</v>
      </c>
      <c r="BF1423" t="s">
        <v>61</v>
      </c>
    </row>
    <row r="1424" spans="1:58">
      <c r="A1424" t="s">
        <v>58</v>
      </c>
      <c r="B1424" t="s">
        <v>11664</v>
      </c>
      <c r="C1424" t="s">
        <v>11665</v>
      </c>
      <c r="D1424" t="s">
        <v>1986</v>
      </c>
      <c r="E1424" t="s">
        <v>1987</v>
      </c>
      <c r="F1424">
        <v>2002</v>
      </c>
      <c r="G1424" t="s">
        <v>61</v>
      </c>
      <c r="H1424" t="s">
        <v>11666</v>
      </c>
      <c r="I1424" t="s">
        <v>61</v>
      </c>
      <c r="J1424" t="s">
        <v>11667</v>
      </c>
      <c r="K1424">
        <v>44</v>
      </c>
      <c r="L1424" t="s">
        <v>11668</v>
      </c>
      <c r="M1424" t="s">
        <v>11669</v>
      </c>
      <c r="N1424" t="s">
        <v>11670</v>
      </c>
      <c r="O1424" t="s">
        <v>61</v>
      </c>
      <c r="Q1424" t="s">
        <v>61</v>
      </c>
      <c r="R1424" t="s">
        <v>61</v>
      </c>
      <c r="S1424" t="s">
        <v>61</v>
      </c>
      <c r="T1424" t="s">
        <v>61</v>
      </c>
      <c r="X1424" t="s">
        <v>61</v>
      </c>
      <c r="Y1424" t="s">
        <v>5553</v>
      </c>
      <c r="Z1424" t="s">
        <v>61</v>
      </c>
      <c r="AA1424" t="s">
        <v>11671</v>
      </c>
      <c r="AB1424">
        <v>11945218</v>
      </c>
      <c r="AC1424" t="s">
        <v>67</v>
      </c>
      <c r="AD1424" t="s">
        <v>61</v>
      </c>
      <c r="AE1424" t="s">
        <v>61</v>
      </c>
      <c r="AF1424" t="s">
        <v>61</v>
      </c>
      <c r="AG1424" t="s">
        <v>11672</v>
      </c>
      <c r="AH1424" t="s">
        <v>61</v>
      </c>
      <c r="AI1424" t="s">
        <v>61</v>
      </c>
      <c r="AJ1424" t="s">
        <v>61</v>
      </c>
      <c r="AK1424" t="s">
        <v>61</v>
      </c>
      <c r="AL1424" t="s">
        <v>61</v>
      </c>
      <c r="AM1424" t="s">
        <v>11673</v>
      </c>
      <c r="AN1424" t="s">
        <v>61</v>
      </c>
      <c r="AO1424" t="s">
        <v>61</v>
      </c>
      <c r="AP1424" t="s">
        <v>61</v>
      </c>
      <c r="AQ1424" t="s">
        <v>61</v>
      </c>
      <c r="AR1424" t="s">
        <v>61</v>
      </c>
      <c r="AS1424" t="s">
        <v>61</v>
      </c>
      <c r="AT1424" t="s">
        <v>61</v>
      </c>
      <c r="AU1424" t="s">
        <v>61</v>
      </c>
      <c r="AV1424" t="s">
        <v>61</v>
      </c>
      <c r="AW1424" t="s">
        <v>61</v>
      </c>
      <c r="AX1424" t="s">
        <v>61</v>
      </c>
      <c r="AY1424" t="s">
        <v>61</v>
      </c>
      <c r="AZ1424" t="s">
        <v>61</v>
      </c>
      <c r="BA1424" t="s">
        <v>61</v>
      </c>
      <c r="BB1424" t="s">
        <v>61</v>
      </c>
      <c r="BC1424" t="s">
        <v>61</v>
      </c>
      <c r="BD1424" t="s">
        <v>61</v>
      </c>
      <c r="BE1424" t="s">
        <v>61</v>
      </c>
      <c r="BF1424" t="s">
        <v>61</v>
      </c>
    </row>
    <row r="1425" spans="1:58">
      <c r="A1425" t="s">
        <v>58</v>
      </c>
      <c r="B1425" t="s">
        <v>11674</v>
      </c>
      <c r="C1425" t="s">
        <v>11675</v>
      </c>
      <c r="D1425" t="s">
        <v>11676</v>
      </c>
      <c r="E1425" t="s">
        <v>11677</v>
      </c>
      <c r="F1425">
        <v>2009</v>
      </c>
      <c r="G1425" t="s">
        <v>237</v>
      </c>
      <c r="H1425">
        <v>23</v>
      </c>
      <c r="I1425">
        <v>6</v>
      </c>
      <c r="J1425">
        <v>454</v>
      </c>
      <c r="K1425">
        <v>459</v>
      </c>
      <c r="L1425" t="s">
        <v>11678</v>
      </c>
      <c r="M1425" t="s">
        <v>11679</v>
      </c>
      <c r="N1425" t="s">
        <v>11680</v>
      </c>
      <c r="O1425" t="s">
        <v>61</v>
      </c>
      <c r="Q1425" t="s">
        <v>61</v>
      </c>
      <c r="R1425" t="s">
        <v>61</v>
      </c>
      <c r="S1425" t="s">
        <v>61</v>
      </c>
      <c r="T1425" t="s">
        <v>61</v>
      </c>
      <c r="X1425" t="s">
        <v>61</v>
      </c>
      <c r="Y1425" t="s">
        <v>11681</v>
      </c>
      <c r="Z1425" t="s">
        <v>61</v>
      </c>
      <c r="AA1425" t="s">
        <v>11682</v>
      </c>
      <c r="AB1425">
        <v>19550234</v>
      </c>
      <c r="AC1425" t="s">
        <v>67</v>
      </c>
      <c r="AD1425" t="s">
        <v>61</v>
      </c>
      <c r="AE1425" t="s">
        <v>61</v>
      </c>
      <c r="AF1425" t="s">
        <v>61</v>
      </c>
      <c r="AG1425" t="s">
        <v>11683</v>
      </c>
      <c r="AH1425" t="s">
        <v>61</v>
      </c>
      <c r="AI1425" t="s">
        <v>11684</v>
      </c>
      <c r="AJ1425" t="s">
        <v>61</v>
      </c>
      <c r="AK1425" t="s">
        <v>61</v>
      </c>
      <c r="AL1425" t="s">
        <v>61</v>
      </c>
      <c r="AM1425" t="s">
        <v>11685</v>
      </c>
      <c r="AN1425" t="s">
        <v>61</v>
      </c>
      <c r="AO1425" t="s">
        <v>61</v>
      </c>
      <c r="AP1425" t="s">
        <v>61</v>
      </c>
      <c r="AQ1425" t="s">
        <v>61</v>
      </c>
      <c r="AR1425" t="s">
        <v>61</v>
      </c>
      <c r="AS1425" t="s">
        <v>61</v>
      </c>
      <c r="AT1425" t="s">
        <v>61</v>
      </c>
      <c r="AU1425" t="s">
        <v>61</v>
      </c>
      <c r="AV1425" t="s">
        <v>61</v>
      </c>
      <c r="AW1425" t="s">
        <v>61</v>
      </c>
      <c r="AX1425" t="s">
        <v>61</v>
      </c>
      <c r="AY1425" t="s">
        <v>61</v>
      </c>
      <c r="AZ1425" t="s">
        <v>61</v>
      </c>
      <c r="BA1425" t="s">
        <v>61</v>
      </c>
      <c r="BB1425" t="s">
        <v>61</v>
      </c>
      <c r="BC1425" t="s">
        <v>61</v>
      </c>
      <c r="BD1425" t="s">
        <v>61</v>
      </c>
      <c r="BE1425" t="s">
        <v>61</v>
      </c>
      <c r="BF1425" t="s">
        <v>61</v>
      </c>
    </row>
    <row r="1426" spans="1:58">
      <c r="A1426" t="s">
        <v>58</v>
      </c>
      <c r="B1426" t="s">
        <v>11686</v>
      </c>
      <c r="C1426" t="s">
        <v>11687</v>
      </c>
      <c r="D1426" t="s">
        <v>876</v>
      </c>
      <c r="E1426" t="s">
        <v>877</v>
      </c>
      <c r="F1426">
        <v>1990</v>
      </c>
      <c r="G1426" t="s">
        <v>11688</v>
      </c>
      <c r="H1426">
        <v>54</v>
      </c>
      <c r="I1426">
        <v>2</v>
      </c>
      <c r="J1426">
        <v>155</v>
      </c>
      <c r="K1426">
        <v>158</v>
      </c>
      <c r="L1426" t="s">
        <v>11689</v>
      </c>
      <c r="M1426" t="s">
        <v>11690</v>
      </c>
      <c r="N1426" t="s">
        <v>11691</v>
      </c>
      <c r="O1426" t="s">
        <v>61</v>
      </c>
      <c r="Q1426" t="s">
        <v>61</v>
      </c>
      <c r="R1426" t="s">
        <v>61</v>
      </c>
      <c r="S1426" t="s">
        <v>61</v>
      </c>
      <c r="T1426" t="s">
        <v>61</v>
      </c>
      <c r="X1426" t="s">
        <v>61</v>
      </c>
      <c r="Y1426" t="s">
        <v>61</v>
      </c>
      <c r="Z1426" t="s">
        <v>61</v>
      </c>
      <c r="AA1426" t="s">
        <v>61</v>
      </c>
      <c r="AB1426" t="s">
        <v>11692</v>
      </c>
      <c r="AC1426" t="s">
        <v>67</v>
      </c>
      <c r="AD1426" t="s">
        <v>61</v>
      </c>
      <c r="AE1426" t="s">
        <v>61</v>
      </c>
      <c r="AF1426" t="s">
        <v>61</v>
      </c>
      <c r="AG1426" t="s">
        <v>61</v>
      </c>
      <c r="AH1426" t="s">
        <v>61</v>
      </c>
      <c r="AI1426" t="s">
        <v>61</v>
      </c>
      <c r="AJ1426" t="s">
        <v>61</v>
      </c>
      <c r="AK1426" t="s">
        <v>61</v>
      </c>
      <c r="AL1426" t="s">
        <v>61</v>
      </c>
      <c r="AM1426" t="s">
        <v>11693</v>
      </c>
      <c r="AN1426" t="s">
        <v>61</v>
      </c>
      <c r="AO1426" t="s">
        <v>61</v>
      </c>
      <c r="AP1426" t="s">
        <v>61</v>
      </c>
      <c r="AQ1426" t="s">
        <v>61</v>
      </c>
      <c r="AR1426" t="s">
        <v>61</v>
      </c>
      <c r="AS1426" t="s">
        <v>61</v>
      </c>
      <c r="AT1426" t="s">
        <v>61</v>
      </c>
      <c r="AU1426" t="s">
        <v>61</v>
      </c>
      <c r="AV1426" t="s">
        <v>61</v>
      </c>
      <c r="AW1426" t="s">
        <v>61</v>
      </c>
      <c r="AX1426" t="s">
        <v>61</v>
      </c>
      <c r="AY1426" t="s">
        <v>61</v>
      </c>
      <c r="AZ1426" t="s">
        <v>61</v>
      </c>
      <c r="BA1426" t="s">
        <v>61</v>
      </c>
      <c r="BB1426" t="s">
        <v>61</v>
      </c>
      <c r="BC1426" t="s">
        <v>61</v>
      </c>
      <c r="BD1426" t="s">
        <v>61</v>
      </c>
      <c r="BE1426" t="s">
        <v>61</v>
      </c>
      <c r="BF1426" t="s">
        <v>61</v>
      </c>
    </row>
    <row r="1427" spans="1:58">
      <c r="A1427" t="s">
        <v>58</v>
      </c>
      <c r="B1427" t="s">
        <v>11694</v>
      </c>
      <c r="C1427" t="s">
        <v>11695</v>
      </c>
      <c r="D1427" t="s">
        <v>11696</v>
      </c>
      <c r="E1427" t="s">
        <v>11696</v>
      </c>
      <c r="F1427">
        <v>2004</v>
      </c>
      <c r="G1427" s="1">
        <v>42587</v>
      </c>
      <c r="H1427">
        <v>43</v>
      </c>
      <c r="I1427">
        <v>3</v>
      </c>
      <c r="J1427">
        <v>401</v>
      </c>
      <c r="K1427">
        <v>413</v>
      </c>
      <c r="L1427" t="s">
        <v>11697</v>
      </c>
      <c r="M1427" t="s">
        <v>11698</v>
      </c>
      <c r="N1427" t="s">
        <v>11699</v>
      </c>
      <c r="O1427" t="s">
        <v>61</v>
      </c>
      <c r="Q1427" t="s">
        <v>61</v>
      </c>
      <c r="R1427" t="s">
        <v>61</v>
      </c>
      <c r="S1427" t="s">
        <v>61</v>
      </c>
      <c r="T1427" t="s">
        <v>61</v>
      </c>
      <c r="X1427" t="s">
        <v>61</v>
      </c>
      <c r="Y1427" t="s">
        <v>11700</v>
      </c>
      <c r="Z1427" t="s">
        <v>61</v>
      </c>
      <c r="AA1427" t="s">
        <v>11701</v>
      </c>
      <c r="AB1427">
        <v>15294147</v>
      </c>
      <c r="AC1427" t="s">
        <v>67</v>
      </c>
      <c r="AD1427" t="s">
        <v>61</v>
      </c>
      <c r="AE1427" t="s">
        <v>61</v>
      </c>
      <c r="AF1427" t="s">
        <v>61</v>
      </c>
      <c r="AG1427" t="s">
        <v>11702</v>
      </c>
      <c r="AH1427" t="s">
        <v>61</v>
      </c>
      <c r="AI1427" t="s">
        <v>61</v>
      </c>
      <c r="AJ1427" t="s">
        <v>61</v>
      </c>
      <c r="AK1427" t="s">
        <v>61</v>
      </c>
      <c r="AL1427" t="s">
        <v>61</v>
      </c>
      <c r="AM1427" t="s">
        <v>11703</v>
      </c>
      <c r="AN1427" t="s">
        <v>61</v>
      </c>
      <c r="AO1427" t="s">
        <v>61</v>
      </c>
      <c r="AP1427" t="s">
        <v>61</v>
      </c>
      <c r="AQ1427" t="s">
        <v>61</v>
      </c>
      <c r="AR1427" t="s">
        <v>61</v>
      </c>
      <c r="AS1427" t="s">
        <v>61</v>
      </c>
      <c r="AT1427" t="s">
        <v>61</v>
      </c>
      <c r="AU1427" t="s">
        <v>61</v>
      </c>
      <c r="AV1427" t="s">
        <v>61</v>
      </c>
      <c r="AW1427" t="s">
        <v>61</v>
      </c>
      <c r="AX1427" t="s">
        <v>61</v>
      </c>
      <c r="AY1427" t="s">
        <v>61</v>
      </c>
      <c r="AZ1427" t="s">
        <v>61</v>
      </c>
      <c r="BA1427" t="s">
        <v>61</v>
      </c>
      <c r="BB1427" t="s">
        <v>61</v>
      </c>
      <c r="BC1427" t="s">
        <v>61</v>
      </c>
      <c r="BD1427" t="s">
        <v>61</v>
      </c>
      <c r="BE1427" t="s">
        <v>61</v>
      </c>
      <c r="BF1427" t="s">
        <v>61</v>
      </c>
    </row>
    <row r="1428" spans="1:58">
      <c r="A1428" t="s">
        <v>58</v>
      </c>
      <c r="B1428" t="s">
        <v>11704</v>
      </c>
      <c r="C1428" t="s">
        <v>11705</v>
      </c>
      <c r="D1428" t="s">
        <v>11706</v>
      </c>
      <c r="E1428" t="s">
        <v>11707</v>
      </c>
      <c r="F1428">
        <v>2015</v>
      </c>
      <c r="G1428" t="s">
        <v>851</v>
      </c>
      <c r="H1428">
        <v>74</v>
      </c>
      <c r="I1428">
        <v>6</v>
      </c>
      <c r="J1428">
        <v>681</v>
      </c>
      <c r="K1428">
        <v>690</v>
      </c>
      <c r="L1428" t="s">
        <v>11708</v>
      </c>
      <c r="M1428" t="s">
        <v>11709</v>
      </c>
      <c r="N1428" t="s">
        <v>11710</v>
      </c>
      <c r="O1428" t="s">
        <v>61</v>
      </c>
      <c r="Q1428" t="s">
        <v>61</v>
      </c>
      <c r="R1428" t="s">
        <v>61</v>
      </c>
      <c r="S1428" t="s">
        <v>61</v>
      </c>
      <c r="T1428" t="s">
        <v>61</v>
      </c>
      <c r="X1428" t="s">
        <v>61</v>
      </c>
      <c r="Y1428" t="s">
        <v>11711</v>
      </c>
      <c r="Z1428" t="s">
        <v>61</v>
      </c>
      <c r="AA1428" t="s">
        <v>11712</v>
      </c>
      <c r="AB1428" t="s">
        <v>11713</v>
      </c>
      <c r="AC1428" t="s">
        <v>67</v>
      </c>
      <c r="AD1428" t="s">
        <v>61</v>
      </c>
      <c r="AE1428" t="s">
        <v>61</v>
      </c>
      <c r="AF1428" t="s">
        <v>61</v>
      </c>
      <c r="AG1428" t="s">
        <v>61</v>
      </c>
      <c r="AH1428" t="s">
        <v>61</v>
      </c>
      <c r="AI1428" t="s">
        <v>61</v>
      </c>
      <c r="AJ1428" t="s">
        <v>61</v>
      </c>
      <c r="AK1428" t="s">
        <v>61</v>
      </c>
      <c r="AL1428" t="s">
        <v>61</v>
      </c>
      <c r="AM1428" t="s">
        <v>11714</v>
      </c>
      <c r="AN1428" t="s">
        <v>61</v>
      </c>
      <c r="AO1428" t="s">
        <v>61</v>
      </c>
      <c r="AP1428" t="s">
        <v>61</v>
      </c>
      <c r="AQ1428" t="s">
        <v>61</v>
      </c>
      <c r="AR1428" t="s">
        <v>61</v>
      </c>
      <c r="AS1428" t="s">
        <v>61</v>
      </c>
      <c r="AT1428" t="s">
        <v>61</v>
      </c>
      <c r="AU1428" t="s">
        <v>61</v>
      </c>
      <c r="AV1428" t="s">
        <v>61</v>
      </c>
      <c r="AW1428" t="s">
        <v>61</v>
      </c>
      <c r="AX1428" t="s">
        <v>61</v>
      </c>
      <c r="AY1428" t="s">
        <v>61</v>
      </c>
      <c r="AZ1428" t="s">
        <v>61</v>
      </c>
      <c r="BA1428" t="s">
        <v>61</v>
      </c>
      <c r="BB1428" t="s">
        <v>61</v>
      </c>
      <c r="BC1428" t="s">
        <v>61</v>
      </c>
      <c r="BD1428" t="s">
        <v>61</v>
      </c>
      <c r="BE1428" t="s">
        <v>61</v>
      </c>
      <c r="BF1428" t="s">
        <v>61</v>
      </c>
    </row>
    <row r="1429" spans="1:58">
      <c r="A1429" t="s">
        <v>58</v>
      </c>
      <c r="B1429" t="s">
        <v>11715</v>
      </c>
      <c r="C1429" t="s">
        <v>11716</v>
      </c>
      <c r="D1429" t="s">
        <v>5668</v>
      </c>
      <c r="E1429" t="s">
        <v>61</v>
      </c>
      <c r="F1429">
        <v>2013</v>
      </c>
      <c r="G1429" t="s">
        <v>637</v>
      </c>
      <c r="H1429">
        <v>8</v>
      </c>
      <c r="I1429">
        <v>3</v>
      </c>
      <c r="J1429">
        <v>138</v>
      </c>
      <c r="K1429">
        <v>143</v>
      </c>
      <c r="L1429" t="s">
        <v>11717</v>
      </c>
      <c r="M1429" t="s">
        <v>11718</v>
      </c>
      <c r="N1429" t="s">
        <v>11719</v>
      </c>
      <c r="O1429" t="s">
        <v>61</v>
      </c>
      <c r="Q1429" t="s">
        <v>61</v>
      </c>
      <c r="R1429" t="s">
        <v>61</v>
      </c>
      <c r="S1429" t="s">
        <v>61</v>
      </c>
      <c r="T1429" t="s">
        <v>61</v>
      </c>
      <c r="X1429" t="s">
        <v>61</v>
      </c>
      <c r="Y1429" t="s">
        <v>11720</v>
      </c>
      <c r="Z1429" t="s">
        <v>61</v>
      </c>
      <c r="AA1429" t="s">
        <v>61</v>
      </c>
      <c r="AB1429">
        <v>2014047158</v>
      </c>
      <c r="AC1429" t="s">
        <v>67</v>
      </c>
      <c r="AD1429" t="s">
        <v>61</v>
      </c>
      <c r="AE1429" t="s">
        <v>61</v>
      </c>
      <c r="AF1429" t="s">
        <v>61</v>
      </c>
      <c r="AG1429" t="s">
        <v>61</v>
      </c>
      <c r="AH1429" t="s">
        <v>61</v>
      </c>
      <c r="AI1429" t="s">
        <v>61</v>
      </c>
      <c r="AJ1429" t="s">
        <v>61</v>
      </c>
      <c r="AK1429" t="s">
        <v>61</v>
      </c>
      <c r="AL1429" t="s">
        <v>61</v>
      </c>
      <c r="AM1429" t="s">
        <v>11716</v>
      </c>
      <c r="AN1429" t="s">
        <v>61</v>
      </c>
      <c r="AO1429" t="s">
        <v>61</v>
      </c>
      <c r="AP1429" t="s">
        <v>61</v>
      </c>
      <c r="AQ1429" t="s">
        <v>61</v>
      </c>
      <c r="AR1429" t="s">
        <v>61</v>
      </c>
      <c r="AS1429" t="s">
        <v>61</v>
      </c>
      <c r="AT1429" t="s">
        <v>61</v>
      </c>
      <c r="AU1429" t="s">
        <v>61</v>
      </c>
      <c r="AV1429" t="s">
        <v>61</v>
      </c>
      <c r="AW1429" t="s">
        <v>61</v>
      </c>
      <c r="AX1429" t="s">
        <v>61</v>
      </c>
      <c r="AY1429" t="s">
        <v>61</v>
      </c>
      <c r="AZ1429" t="s">
        <v>61</v>
      </c>
      <c r="BA1429" t="s">
        <v>61</v>
      </c>
      <c r="BB1429" t="s">
        <v>61</v>
      </c>
      <c r="BC1429" t="s">
        <v>61</v>
      </c>
      <c r="BD1429" t="s">
        <v>61</v>
      </c>
      <c r="BE1429" t="s">
        <v>61</v>
      </c>
      <c r="BF1429" t="s">
        <v>61</v>
      </c>
    </row>
    <row r="1430" spans="1:58">
      <c r="A1430" t="s">
        <v>58</v>
      </c>
      <c r="B1430" t="s">
        <v>11721</v>
      </c>
      <c r="C1430" t="s">
        <v>11722</v>
      </c>
      <c r="D1430" t="s">
        <v>627</v>
      </c>
      <c r="E1430" t="s">
        <v>61</v>
      </c>
      <c r="F1430">
        <v>2012</v>
      </c>
      <c r="G1430" t="s">
        <v>11723</v>
      </c>
      <c r="H1430">
        <v>52</v>
      </c>
      <c r="I1430">
        <v>6</v>
      </c>
      <c r="J1430" t="s">
        <v>2621</v>
      </c>
      <c r="K1430" t="s">
        <v>9108</v>
      </c>
      <c r="L1430" t="s">
        <v>11724</v>
      </c>
      <c r="M1430" t="s">
        <v>11725</v>
      </c>
      <c r="N1430" t="s">
        <v>11726</v>
      </c>
      <c r="O1430" t="s">
        <v>61</v>
      </c>
      <c r="Q1430" t="s">
        <v>61</v>
      </c>
      <c r="R1430" t="s">
        <v>61</v>
      </c>
      <c r="S1430" t="s">
        <v>61</v>
      </c>
      <c r="T1430" t="s">
        <v>61</v>
      </c>
      <c r="X1430" t="s">
        <v>61</v>
      </c>
      <c r="Y1430" t="s">
        <v>1787</v>
      </c>
      <c r="Z1430" t="s">
        <v>61</v>
      </c>
      <c r="AA1430" t="s">
        <v>61</v>
      </c>
      <c r="AB1430">
        <v>2013814986</v>
      </c>
      <c r="AC1430" t="s">
        <v>67</v>
      </c>
      <c r="AD1430" t="s">
        <v>61</v>
      </c>
      <c r="AE1430" t="s">
        <v>61</v>
      </c>
      <c r="AF1430" t="s">
        <v>61</v>
      </c>
      <c r="AG1430" t="s">
        <v>11727</v>
      </c>
      <c r="AH1430" t="s">
        <v>61</v>
      </c>
      <c r="AI1430" t="s">
        <v>61</v>
      </c>
      <c r="AJ1430" t="s">
        <v>61</v>
      </c>
      <c r="AK1430" t="s">
        <v>61</v>
      </c>
      <c r="AL1430" t="s">
        <v>61</v>
      </c>
      <c r="AM1430" t="s">
        <v>11728</v>
      </c>
      <c r="AN1430" t="s">
        <v>61</v>
      </c>
      <c r="AO1430" t="s">
        <v>61</v>
      </c>
      <c r="AP1430" t="s">
        <v>61</v>
      </c>
      <c r="AQ1430" t="s">
        <v>61</v>
      </c>
      <c r="AR1430" t="s">
        <v>61</v>
      </c>
      <c r="AS1430" t="s">
        <v>61</v>
      </c>
      <c r="AT1430" t="s">
        <v>61</v>
      </c>
      <c r="AU1430" t="s">
        <v>61</v>
      </c>
      <c r="AV1430" t="s">
        <v>61</v>
      </c>
      <c r="AW1430" t="s">
        <v>61</v>
      </c>
      <c r="AX1430" t="s">
        <v>61</v>
      </c>
      <c r="AY1430" t="s">
        <v>61</v>
      </c>
      <c r="AZ1430" t="s">
        <v>61</v>
      </c>
      <c r="BA1430" t="s">
        <v>61</v>
      </c>
      <c r="BB1430" t="s">
        <v>61</v>
      </c>
      <c r="BC1430" t="s">
        <v>61</v>
      </c>
      <c r="BD1430" t="s">
        <v>61</v>
      </c>
      <c r="BE1430" t="s">
        <v>61</v>
      </c>
      <c r="BF1430" t="s">
        <v>61</v>
      </c>
    </row>
    <row r="1431" spans="1:58">
      <c r="A1431" t="s">
        <v>58</v>
      </c>
      <c r="B1431" t="s">
        <v>11729</v>
      </c>
      <c r="C1431" t="s">
        <v>11730</v>
      </c>
      <c r="D1431" t="s">
        <v>11731</v>
      </c>
      <c r="E1431" t="s">
        <v>61</v>
      </c>
      <c r="F1431">
        <v>1994</v>
      </c>
      <c r="G1431" t="s">
        <v>61</v>
      </c>
      <c r="H1431">
        <v>4</v>
      </c>
      <c r="I1431">
        <v>3</v>
      </c>
      <c r="J1431">
        <v>21</v>
      </c>
      <c r="K1431" t="s">
        <v>11732</v>
      </c>
      <c r="L1431" t="s">
        <v>11733</v>
      </c>
      <c r="M1431" t="s">
        <v>11734</v>
      </c>
      <c r="N1431" t="s">
        <v>11735</v>
      </c>
      <c r="O1431" t="s">
        <v>61</v>
      </c>
      <c r="Q1431" t="s">
        <v>61</v>
      </c>
      <c r="R1431" t="s">
        <v>61</v>
      </c>
      <c r="S1431" t="s">
        <v>61</v>
      </c>
      <c r="T1431" t="s">
        <v>61</v>
      </c>
      <c r="X1431" t="s">
        <v>61</v>
      </c>
      <c r="Y1431" t="s">
        <v>11736</v>
      </c>
      <c r="Z1431" t="s">
        <v>61</v>
      </c>
      <c r="AA1431" t="s">
        <v>61</v>
      </c>
      <c r="AB1431">
        <v>107420161</v>
      </c>
      <c r="AC1431" t="s">
        <v>67</v>
      </c>
      <c r="AD1431" t="s">
        <v>61</v>
      </c>
      <c r="AE1431" t="s">
        <v>61</v>
      </c>
      <c r="AF1431" t="s">
        <v>61</v>
      </c>
      <c r="AG1431" t="s">
        <v>11737</v>
      </c>
      <c r="AH1431" t="s">
        <v>61</v>
      </c>
      <c r="AI1431" t="s">
        <v>61</v>
      </c>
      <c r="AJ1431" t="s">
        <v>61</v>
      </c>
      <c r="AK1431" t="s">
        <v>61</v>
      </c>
      <c r="AL1431" t="s">
        <v>61</v>
      </c>
      <c r="AM1431" t="s">
        <v>11738</v>
      </c>
      <c r="AN1431" t="s">
        <v>61</v>
      </c>
      <c r="AO1431" t="s">
        <v>61</v>
      </c>
      <c r="AP1431" t="s">
        <v>61</v>
      </c>
      <c r="AQ1431" t="s">
        <v>61</v>
      </c>
      <c r="AR1431" t="s">
        <v>61</v>
      </c>
      <c r="AS1431" t="s">
        <v>61</v>
      </c>
      <c r="AT1431" t="s">
        <v>61</v>
      </c>
      <c r="AU1431" t="s">
        <v>61</v>
      </c>
      <c r="AV1431" t="s">
        <v>61</v>
      </c>
      <c r="AW1431" t="s">
        <v>61</v>
      </c>
      <c r="AX1431" t="s">
        <v>61</v>
      </c>
      <c r="AY1431" t="s">
        <v>61</v>
      </c>
      <c r="AZ1431" t="s">
        <v>61</v>
      </c>
      <c r="BA1431" t="s">
        <v>61</v>
      </c>
      <c r="BB1431" t="s">
        <v>61</v>
      </c>
      <c r="BC1431" t="s">
        <v>61</v>
      </c>
      <c r="BD1431" t="s">
        <v>61</v>
      </c>
      <c r="BE1431" t="s">
        <v>61</v>
      </c>
      <c r="BF1431" t="s">
        <v>61</v>
      </c>
    </row>
    <row r="1432" spans="1:58">
      <c r="A1432" t="s">
        <v>58</v>
      </c>
      <c r="B1432" t="s">
        <v>11739</v>
      </c>
      <c r="C1432" t="s">
        <v>11740</v>
      </c>
      <c r="D1432" t="s">
        <v>876</v>
      </c>
      <c r="E1432" t="s">
        <v>877</v>
      </c>
      <c r="F1432">
        <v>2011</v>
      </c>
      <c r="G1432" s="1">
        <v>42719</v>
      </c>
      <c r="H1432">
        <v>75</v>
      </c>
      <c r="I1432">
        <v>10</v>
      </c>
      <c r="J1432">
        <v>202</v>
      </c>
      <c r="K1432" t="s">
        <v>61</v>
      </c>
      <c r="L1432" t="s">
        <v>11741</v>
      </c>
      <c r="M1432" t="s">
        <v>11742</v>
      </c>
      <c r="N1432" t="s">
        <v>11743</v>
      </c>
      <c r="O1432" t="s">
        <v>61</v>
      </c>
      <c r="Q1432" t="s">
        <v>61</v>
      </c>
      <c r="R1432" t="s">
        <v>61</v>
      </c>
      <c r="S1432" t="s">
        <v>61</v>
      </c>
      <c r="T1432" t="s">
        <v>61</v>
      </c>
      <c r="X1432" t="s">
        <v>61</v>
      </c>
      <c r="Y1432" t="s">
        <v>881</v>
      </c>
      <c r="Z1432" t="s">
        <v>61</v>
      </c>
      <c r="AA1432" t="s">
        <v>11744</v>
      </c>
      <c r="AB1432">
        <v>22345721</v>
      </c>
      <c r="AC1432" t="s">
        <v>67</v>
      </c>
      <c r="AD1432" t="s">
        <v>61</v>
      </c>
      <c r="AE1432" t="s">
        <v>61</v>
      </c>
      <c r="AF1432" t="s">
        <v>61</v>
      </c>
      <c r="AG1432" t="s">
        <v>11745</v>
      </c>
      <c r="AH1432" t="s">
        <v>61</v>
      </c>
      <c r="AI1432" t="s">
        <v>11746</v>
      </c>
      <c r="AJ1432" t="s">
        <v>61</v>
      </c>
      <c r="AK1432" t="s">
        <v>61</v>
      </c>
      <c r="AL1432" t="s">
        <v>61</v>
      </c>
      <c r="AM1432" t="s">
        <v>11747</v>
      </c>
      <c r="AN1432" t="s">
        <v>61</v>
      </c>
      <c r="AO1432" t="s">
        <v>61</v>
      </c>
      <c r="AP1432" t="s">
        <v>61</v>
      </c>
      <c r="AQ1432" t="s">
        <v>61</v>
      </c>
      <c r="AR1432" t="s">
        <v>61</v>
      </c>
      <c r="AS1432" t="s">
        <v>61</v>
      </c>
      <c r="AT1432" t="s">
        <v>61</v>
      </c>
      <c r="AU1432" t="s">
        <v>61</v>
      </c>
      <c r="AV1432" t="s">
        <v>61</v>
      </c>
      <c r="AW1432" t="s">
        <v>61</v>
      </c>
      <c r="AX1432" t="s">
        <v>61</v>
      </c>
      <c r="AY1432" t="s">
        <v>61</v>
      </c>
      <c r="AZ1432" t="s">
        <v>61</v>
      </c>
      <c r="BA1432" t="s">
        <v>61</v>
      </c>
      <c r="BB1432" t="s">
        <v>61</v>
      </c>
      <c r="BC1432" t="s">
        <v>61</v>
      </c>
      <c r="BD1432" t="s">
        <v>61</v>
      </c>
      <c r="BE1432" t="s">
        <v>61</v>
      </c>
      <c r="BF1432" t="s">
        <v>61</v>
      </c>
    </row>
    <row r="1433" spans="1:58">
      <c r="A1433" t="s">
        <v>58</v>
      </c>
      <c r="B1433" t="s">
        <v>11748</v>
      </c>
      <c r="C1433" t="s">
        <v>11749</v>
      </c>
      <c r="D1433" t="s">
        <v>11750</v>
      </c>
      <c r="E1433" t="s">
        <v>61</v>
      </c>
      <c r="F1433">
        <v>2010</v>
      </c>
      <c r="G1433" t="s">
        <v>61</v>
      </c>
      <c r="H1433">
        <v>20</v>
      </c>
      <c r="I1433">
        <v>3</v>
      </c>
      <c r="J1433">
        <v>246</v>
      </c>
      <c r="K1433" t="s">
        <v>11751</v>
      </c>
      <c r="L1433" t="s">
        <v>11752</v>
      </c>
      <c r="M1433" t="s">
        <v>11753</v>
      </c>
      <c r="N1433" t="s">
        <v>11754</v>
      </c>
      <c r="O1433" t="s">
        <v>61</v>
      </c>
      <c r="Q1433" t="s">
        <v>61</v>
      </c>
      <c r="R1433" t="s">
        <v>61</v>
      </c>
      <c r="S1433" t="s">
        <v>61</v>
      </c>
      <c r="T1433" t="s">
        <v>61</v>
      </c>
      <c r="X1433" t="s">
        <v>61</v>
      </c>
      <c r="Y1433" t="s">
        <v>11755</v>
      </c>
      <c r="Z1433" t="s">
        <v>61</v>
      </c>
      <c r="AA1433" t="s">
        <v>11756</v>
      </c>
      <c r="AB1433">
        <v>105088816</v>
      </c>
      <c r="AC1433" t="s">
        <v>67</v>
      </c>
      <c r="AD1433" t="s">
        <v>61</v>
      </c>
      <c r="AE1433" t="s">
        <v>61</v>
      </c>
      <c r="AF1433" t="s">
        <v>61</v>
      </c>
      <c r="AG1433" t="s">
        <v>11757</v>
      </c>
      <c r="AH1433" t="s">
        <v>61</v>
      </c>
      <c r="AI1433" t="s">
        <v>11758</v>
      </c>
      <c r="AJ1433" t="s">
        <v>61</v>
      </c>
      <c r="AK1433" t="s">
        <v>61</v>
      </c>
      <c r="AL1433" t="s">
        <v>61</v>
      </c>
      <c r="AM1433" t="s">
        <v>11759</v>
      </c>
      <c r="AN1433" t="s">
        <v>61</v>
      </c>
      <c r="AO1433" t="s">
        <v>61</v>
      </c>
      <c r="AP1433" t="s">
        <v>61</v>
      </c>
      <c r="AQ1433" t="s">
        <v>61</v>
      </c>
      <c r="AR1433" t="s">
        <v>61</v>
      </c>
      <c r="AS1433" t="s">
        <v>61</v>
      </c>
      <c r="AT1433" t="s">
        <v>61</v>
      </c>
      <c r="AU1433" t="s">
        <v>61</v>
      </c>
      <c r="AV1433" t="s">
        <v>61</v>
      </c>
      <c r="AW1433" t="s">
        <v>61</v>
      </c>
      <c r="AX1433" t="s">
        <v>61</v>
      </c>
      <c r="AY1433" t="s">
        <v>61</v>
      </c>
      <c r="AZ1433" t="s">
        <v>61</v>
      </c>
      <c r="BA1433" t="s">
        <v>61</v>
      </c>
      <c r="BB1433" t="s">
        <v>61</v>
      </c>
      <c r="BC1433" t="s">
        <v>61</v>
      </c>
      <c r="BD1433" t="s">
        <v>61</v>
      </c>
      <c r="BE1433" t="s">
        <v>61</v>
      </c>
      <c r="BF1433" t="s">
        <v>61</v>
      </c>
    </row>
    <row r="1434" spans="1:58">
      <c r="A1434" t="s">
        <v>58</v>
      </c>
      <c r="B1434" t="s">
        <v>11760</v>
      </c>
      <c r="C1434" t="s">
        <v>11761</v>
      </c>
      <c r="D1434" t="s">
        <v>162</v>
      </c>
      <c r="E1434" t="s">
        <v>163</v>
      </c>
      <c r="F1434">
        <v>2003</v>
      </c>
      <c r="G1434">
        <v>1</v>
      </c>
      <c r="H1434">
        <v>43</v>
      </c>
      <c r="I1434">
        <v>8</v>
      </c>
      <c r="J1434">
        <v>901</v>
      </c>
      <c r="K1434">
        <v>911</v>
      </c>
      <c r="L1434" t="s">
        <v>11762</v>
      </c>
      <c r="M1434" t="s">
        <v>11763</v>
      </c>
      <c r="N1434" t="s">
        <v>11764</v>
      </c>
      <c r="O1434" t="s">
        <v>61</v>
      </c>
      <c r="Q1434" t="s">
        <v>61</v>
      </c>
      <c r="R1434" t="s">
        <v>61</v>
      </c>
      <c r="S1434" t="s">
        <v>61</v>
      </c>
      <c r="T1434" t="s">
        <v>61</v>
      </c>
      <c r="X1434" t="s">
        <v>61</v>
      </c>
      <c r="Y1434" t="s">
        <v>167</v>
      </c>
      <c r="Z1434" t="s">
        <v>61</v>
      </c>
      <c r="AA1434" t="s">
        <v>61</v>
      </c>
      <c r="AB1434">
        <v>2003297231</v>
      </c>
      <c r="AC1434" t="s">
        <v>67</v>
      </c>
      <c r="AD1434" t="s">
        <v>61</v>
      </c>
      <c r="AE1434" t="s">
        <v>61</v>
      </c>
      <c r="AF1434" t="s">
        <v>61</v>
      </c>
      <c r="AG1434" t="s">
        <v>11765</v>
      </c>
      <c r="AH1434" t="s">
        <v>61</v>
      </c>
      <c r="AI1434" t="s">
        <v>61</v>
      </c>
      <c r="AJ1434" t="s">
        <v>61</v>
      </c>
      <c r="AK1434" t="s">
        <v>61</v>
      </c>
      <c r="AL1434" t="s">
        <v>61</v>
      </c>
      <c r="AM1434" t="s">
        <v>11766</v>
      </c>
      <c r="AN1434" t="s">
        <v>61</v>
      </c>
      <c r="AO1434" t="s">
        <v>61</v>
      </c>
      <c r="AP1434" t="s">
        <v>61</v>
      </c>
      <c r="AQ1434" t="s">
        <v>61</v>
      </c>
      <c r="AR1434" t="s">
        <v>61</v>
      </c>
      <c r="AS1434" t="s">
        <v>61</v>
      </c>
      <c r="AT1434" t="s">
        <v>61</v>
      </c>
      <c r="AU1434" t="s">
        <v>61</v>
      </c>
      <c r="AV1434" t="s">
        <v>61</v>
      </c>
      <c r="AW1434" t="s">
        <v>61</v>
      </c>
      <c r="AX1434" t="s">
        <v>61</v>
      </c>
      <c r="AY1434" t="s">
        <v>61</v>
      </c>
      <c r="AZ1434" t="s">
        <v>61</v>
      </c>
      <c r="BA1434" t="s">
        <v>61</v>
      </c>
      <c r="BB1434" t="s">
        <v>61</v>
      </c>
      <c r="BC1434" t="s">
        <v>61</v>
      </c>
      <c r="BD1434" t="s">
        <v>61</v>
      </c>
      <c r="BE1434" t="s">
        <v>61</v>
      </c>
      <c r="BF1434" t="s">
        <v>61</v>
      </c>
    </row>
    <row r="1435" spans="1:58">
      <c r="A1435" t="s">
        <v>58</v>
      </c>
      <c r="B1435" t="s">
        <v>11767</v>
      </c>
      <c r="C1435" t="s">
        <v>11768</v>
      </c>
      <c r="D1435" t="s">
        <v>11769</v>
      </c>
      <c r="E1435" t="s">
        <v>11770</v>
      </c>
      <c r="F1435">
        <v>2012</v>
      </c>
      <c r="G1435" t="s">
        <v>61</v>
      </c>
      <c r="H1435">
        <v>12</v>
      </c>
      <c r="I1435" t="s">
        <v>61</v>
      </c>
      <c r="J1435">
        <v>182</v>
      </c>
      <c r="K1435" t="s">
        <v>61</v>
      </c>
      <c r="L1435" t="s">
        <v>11771</v>
      </c>
      <c r="M1435" t="s">
        <v>11772</v>
      </c>
      <c r="N1435" t="s">
        <v>11773</v>
      </c>
      <c r="O1435" t="s">
        <v>61</v>
      </c>
      <c r="Q1435" t="s">
        <v>61</v>
      </c>
      <c r="R1435" t="s">
        <v>61</v>
      </c>
      <c r="S1435" t="s">
        <v>61</v>
      </c>
      <c r="T1435" t="s">
        <v>61</v>
      </c>
      <c r="X1435" t="s">
        <v>61</v>
      </c>
      <c r="Y1435" t="s">
        <v>11774</v>
      </c>
      <c r="Z1435" t="s">
        <v>61</v>
      </c>
      <c r="AA1435" t="s">
        <v>61</v>
      </c>
      <c r="AB1435" t="s">
        <v>61</v>
      </c>
      <c r="AC1435" t="s">
        <v>67</v>
      </c>
      <c r="AD1435" t="s">
        <v>61</v>
      </c>
      <c r="AE1435" t="s">
        <v>61</v>
      </c>
      <c r="AF1435" t="s">
        <v>61</v>
      </c>
      <c r="AG1435" t="s">
        <v>11775</v>
      </c>
      <c r="AH1435" t="s">
        <v>61</v>
      </c>
      <c r="AI1435" t="s">
        <v>61</v>
      </c>
      <c r="AJ1435" t="s">
        <v>61</v>
      </c>
      <c r="AK1435" t="s">
        <v>61</v>
      </c>
      <c r="AL1435" t="s">
        <v>61</v>
      </c>
      <c r="AM1435" t="s">
        <v>11776</v>
      </c>
      <c r="AN1435" t="s">
        <v>61</v>
      </c>
      <c r="AO1435" t="s">
        <v>61</v>
      </c>
      <c r="AP1435" t="s">
        <v>61</v>
      </c>
      <c r="AQ1435" t="s">
        <v>61</v>
      </c>
      <c r="AR1435" t="s">
        <v>61</v>
      </c>
      <c r="AS1435" t="s">
        <v>61</v>
      </c>
      <c r="AT1435" t="s">
        <v>61</v>
      </c>
      <c r="AU1435" t="s">
        <v>61</v>
      </c>
      <c r="AV1435" t="s">
        <v>61</v>
      </c>
      <c r="AW1435" t="s">
        <v>61</v>
      </c>
      <c r="AX1435" t="s">
        <v>61</v>
      </c>
      <c r="AY1435" t="s">
        <v>61</v>
      </c>
      <c r="AZ1435" t="s">
        <v>61</v>
      </c>
      <c r="BA1435" t="s">
        <v>61</v>
      </c>
      <c r="BB1435" t="s">
        <v>61</v>
      </c>
      <c r="BC1435" t="s">
        <v>61</v>
      </c>
      <c r="BD1435" t="s">
        <v>61</v>
      </c>
      <c r="BE1435" t="s">
        <v>61</v>
      </c>
      <c r="BF1435" t="s">
        <v>61</v>
      </c>
    </row>
    <row r="1436" spans="1:58">
      <c r="A1436" t="s">
        <v>58</v>
      </c>
      <c r="B1436" t="s">
        <v>11777</v>
      </c>
      <c r="C1436" t="s">
        <v>11778</v>
      </c>
      <c r="D1436" t="s">
        <v>271</v>
      </c>
      <c r="E1436" t="s">
        <v>272</v>
      </c>
      <c r="F1436">
        <v>2002</v>
      </c>
      <c r="G1436" t="s">
        <v>1332</v>
      </c>
      <c r="H1436">
        <v>42</v>
      </c>
      <c r="I1436">
        <v>6</v>
      </c>
      <c r="J1436" t="s">
        <v>11779</v>
      </c>
      <c r="K1436">
        <v>5</v>
      </c>
      <c r="L1436" t="s">
        <v>11780</v>
      </c>
      <c r="M1436" t="s">
        <v>11781</v>
      </c>
      <c r="N1436" t="s">
        <v>11782</v>
      </c>
      <c r="O1436" t="s">
        <v>61</v>
      </c>
      <c r="Q1436" t="s">
        <v>61</v>
      </c>
      <c r="R1436" t="s">
        <v>61</v>
      </c>
      <c r="S1436" t="s">
        <v>61</v>
      </c>
      <c r="T1436" t="s">
        <v>61</v>
      </c>
      <c r="X1436" t="s">
        <v>61</v>
      </c>
      <c r="Y1436" t="s">
        <v>1661</v>
      </c>
      <c r="Z1436" t="s">
        <v>61</v>
      </c>
      <c r="AA1436" t="s">
        <v>11783</v>
      </c>
      <c r="AB1436">
        <v>12489614</v>
      </c>
      <c r="AC1436" t="s">
        <v>67</v>
      </c>
      <c r="AD1436" t="s">
        <v>61</v>
      </c>
      <c r="AE1436" t="s">
        <v>61</v>
      </c>
      <c r="AF1436" t="s">
        <v>61</v>
      </c>
      <c r="AG1436" t="s">
        <v>11784</v>
      </c>
      <c r="AH1436" t="s">
        <v>61</v>
      </c>
      <c r="AI1436" t="s">
        <v>61</v>
      </c>
      <c r="AJ1436" t="s">
        <v>61</v>
      </c>
      <c r="AK1436" t="s">
        <v>61</v>
      </c>
      <c r="AL1436" t="s">
        <v>61</v>
      </c>
      <c r="AM1436" t="s">
        <v>11785</v>
      </c>
      <c r="AN1436" t="s">
        <v>61</v>
      </c>
      <c r="AO1436" t="s">
        <v>61</v>
      </c>
      <c r="AP1436" t="s">
        <v>61</v>
      </c>
      <c r="AQ1436" t="s">
        <v>61</v>
      </c>
      <c r="AR1436" t="s">
        <v>61</v>
      </c>
      <c r="AS1436" t="s">
        <v>61</v>
      </c>
      <c r="AT1436" t="s">
        <v>61</v>
      </c>
      <c r="AU1436" t="s">
        <v>61</v>
      </c>
      <c r="AV1436" t="s">
        <v>61</v>
      </c>
      <c r="AW1436" t="s">
        <v>61</v>
      </c>
      <c r="AX1436" t="s">
        <v>61</v>
      </c>
      <c r="AY1436" t="s">
        <v>61</v>
      </c>
      <c r="AZ1436" t="s">
        <v>61</v>
      </c>
      <c r="BA1436" t="s">
        <v>61</v>
      </c>
      <c r="BB1436" t="s">
        <v>61</v>
      </c>
      <c r="BC1436" t="s">
        <v>61</v>
      </c>
      <c r="BD1436" t="s">
        <v>61</v>
      </c>
      <c r="BE1436" t="s">
        <v>61</v>
      </c>
      <c r="BF1436" t="s">
        <v>61</v>
      </c>
    </row>
    <row r="1437" spans="1:58">
      <c r="A1437" t="s">
        <v>58</v>
      </c>
      <c r="B1437" t="s">
        <v>11786</v>
      </c>
      <c r="C1437" t="s">
        <v>11787</v>
      </c>
      <c r="D1437" t="s">
        <v>1370</v>
      </c>
      <c r="E1437" t="s">
        <v>61</v>
      </c>
      <c r="F1437">
        <v>2007</v>
      </c>
      <c r="G1437" s="1">
        <v>42448</v>
      </c>
      <c r="H1437" s="3">
        <v>6.2958333333333334</v>
      </c>
      <c r="I1437" t="s">
        <v>61</v>
      </c>
      <c r="J1437" t="s">
        <v>61</v>
      </c>
      <c r="K1437" t="s">
        <v>61</v>
      </c>
      <c r="L1437" t="s">
        <v>11788</v>
      </c>
      <c r="M1437" t="s">
        <v>11789</v>
      </c>
      <c r="N1437" t="s">
        <v>11790</v>
      </c>
      <c r="O1437" t="s">
        <v>61</v>
      </c>
      <c r="Q1437" t="s">
        <v>61</v>
      </c>
      <c r="R1437" t="s">
        <v>61</v>
      </c>
      <c r="S1437" t="s">
        <v>61</v>
      </c>
      <c r="T1437" t="s">
        <v>61</v>
      </c>
      <c r="X1437" t="s">
        <v>61</v>
      </c>
      <c r="Y1437" s="2">
        <v>1722820</v>
      </c>
      <c r="Z1437" t="s">
        <v>61</v>
      </c>
      <c r="AA1437" t="s">
        <v>61</v>
      </c>
      <c r="AB1437">
        <v>2007582601</v>
      </c>
      <c r="AC1437" t="s">
        <v>67</v>
      </c>
      <c r="AD1437" t="s">
        <v>61</v>
      </c>
      <c r="AE1437" t="s">
        <v>61</v>
      </c>
      <c r="AF1437" t="s">
        <v>61</v>
      </c>
      <c r="AG1437" t="s">
        <v>61</v>
      </c>
      <c r="AH1437" t="s">
        <v>61</v>
      </c>
      <c r="AI1437" t="s">
        <v>61</v>
      </c>
      <c r="AJ1437" t="s">
        <v>61</v>
      </c>
      <c r="AK1437" t="s">
        <v>61</v>
      </c>
      <c r="AL1437" t="s">
        <v>61</v>
      </c>
      <c r="AM1437" t="s">
        <v>11787</v>
      </c>
      <c r="AN1437" t="s">
        <v>61</v>
      </c>
      <c r="AO1437" t="s">
        <v>61</v>
      </c>
      <c r="AP1437" t="s">
        <v>61</v>
      </c>
      <c r="AQ1437" t="s">
        <v>61</v>
      </c>
      <c r="AR1437" t="s">
        <v>61</v>
      </c>
      <c r="AS1437" t="s">
        <v>61</v>
      </c>
      <c r="AT1437" t="s">
        <v>61</v>
      </c>
      <c r="AU1437" t="s">
        <v>61</v>
      </c>
      <c r="AV1437" t="s">
        <v>61</v>
      </c>
      <c r="AW1437" t="s">
        <v>61</v>
      </c>
      <c r="AX1437" t="s">
        <v>61</v>
      </c>
      <c r="AY1437" t="s">
        <v>61</v>
      </c>
      <c r="AZ1437" t="s">
        <v>61</v>
      </c>
      <c r="BA1437" t="s">
        <v>61</v>
      </c>
      <c r="BB1437" t="s">
        <v>61</v>
      </c>
      <c r="BC1437" t="s">
        <v>61</v>
      </c>
      <c r="BD1437" t="s">
        <v>61</v>
      </c>
      <c r="BE1437" t="s">
        <v>61</v>
      </c>
      <c r="BF1437" t="s">
        <v>61</v>
      </c>
    </row>
    <row r="1438" spans="1:58">
      <c r="A1438" t="s">
        <v>58</v>
      </c>
      <c r="B1438" t="s">
        <v>11791</v>
      </c>
      <c r="C1438" t="s">
        <v>11792</v>
      </c>
      <c r="D1438" t="s">
        <v>7824</v>
      </c>
      <c r="E1438" t="s">
        <v>7825</v>
      </c>
      <c r="F1438">
        <v>2015</v>
      </c>
      <c r="G1438" t="s">
        <v>476</v>
      </c>
      <c r="H1438">
        <v>43</v>
      </c>
      <c r="I1438">
        <v>12</v>
      </c>
      <c r="J1438">
        <v>204</v>
      </c>
      <c r="K1438" t="s">
        <v>61</v>
      </c>
      <c r="L1438" t="s">
        <v>11793</v>
      </c>
      <c r="M1438" t="s">
        <v>11794</v>
      </c>
      <c r="N1438" t="s">
        <v>11795</v>
      </c>
      <c r="O1438" t="s">
        <v>61</v>
      </c>
      <c r="Q1438" t="s">
        <v>61</v>
      </c>
      <c r="R1438" t="s">
        <v>61</v>
      </c>
      <c r="S1438" t="s">
        <v>61</v>
      </c>
      <c r="T1438" t="s">
        <v>61</v>
      </c>
      <c r="X1438" t="s">
        <v>61</v>
      </c>
      <c r="Y1438" t="s">
        <v>7830</v>
      </c>
      <c r="Z1438" t="s">
        <v>61</v>
      </c>
      <c r="AA1438" t="s">
        <v>61</v>
      </c>
      <c r="AB1438" t="s">
        <v>61</v>
      </c>
      <c r="AC1438" t="s">
        <v>67</v>
      </c>
      <c r="AD1438" t="s">
        <v>61</v>
      </c>
      <c r="AE1438" t="s">
        <v>61</v>
      </c>
      <c r="AF1438" t="s">
        <v>61</v>
      </c>
      <c r="AG1438" t="s">
        <v>61</v>
      </c>
      <c r="AH1438" t="s">
        <v>61</v>
      </c>
      <c r="AI1438" t="s">
        <v>61</v>
      </c>
      <c r="AJ1438" t="s">
        <v>61</v>
      </c>
      <c r="AK1438" t="s">
        <v>61</v>
      </c>
      <c r="AL1438" t="s">
        <v>61</v>
      </c>
      <c r="AM1438" t="s">
        <v>11792</v>
      </c>
      <c r="AN1438" t="s">
        <v>61</v>
      </c>
      <c r="AO1438" t="s">
        <v>61</v>
      </c>
      <c r="AP1438" t="s">
        <v>61</v>
      </c>
      <c r="AQ1438" t="s">
        <v>61</v>
      </c>
      <c r="AR1438" t="s">
        <v>61</v>
      </c>
      <c r="AS1438" t="s">
        <v>61</v>
      </c>
      <c r="AT1438" t="s">
        <v>61</v>
      </c>
      <c r="AU1438" t="s">
        <v>61</v>
      </c>
      <c r="AV1438" t="s">
        <v>61</v>
      </c>
      <c r="AW1438" t="s">
        <v>61</v>
      </c>
      <c r="AX1438" t="s">
        <v>61</v>
      </c>
      <c r="AY1438" t="s">
        <v>61</v>
      </c>
      <c r="AZ1438" t="s">
        <v>61</v>
      </c>
      <c r="BA1438" t="s">
        <v>61</v>
      </c>
      <c r="BB1438" t="s">
        <v>61</v>
      </c>
      <c r="BC1438" t="s">
        <v>61</v>
      </c>
      <c r="BD1438" t="s">
        <v>61</v>
      </c>
      <c r="BE1438" t="s">
        <v>61</v>
      </c>
      <c r="BF1438" t="s">
        <v>61</v>
      </c>
    </row>
    <row r="1439" spans="1:58">
      <c r="A1439" t="s">
        <v>58</v>
      </c>
      <c r="B1439" t="s">
        <v>11796</v>
      </c>
      <c r="C1439" t="s">
        <v>11797</v>
      </c>
      <c r="D1439" t="s">
        <v>153</v>
      </c>
      <c r="E1439" t="s">
        <v>61</v>
      </c>
      <c r="F1439">
        <v>2009</v>
      </c>
      <c r="G1439" t="s">
        <v>1667</v>
      </c>
      <c r="H1439">
        <v>49</v>
      </c>
      <c r="I1439">
        <v>3</v>
      </c>
      <c r="J1439">
        <v>407</v>
      </c>
      <c r="K1439">
        <v>416</v>
      </c>
      <c r="L1439" t="s">
        <v>11798</v>
      </c>
      <c r="M1439" t="s">
        <v>11799</v>
      </c>
      <c r="N1439" t="s">
        <v>11800</v>
      </c>
      <c r="O1439" t="s">
        <v>61</v>
      </c>
      <c r="Q1439" t="s">
        <v>61</v>
      </c>
      <c r="R1439" t="s">
        <v>61</v>
      </c>
      <c r="S1439" t="s">
        <v>61</v>
      </c>
      <c r="T1439" t="s">
        <v>61</v>
      </c>
      <c r="X1439" t="s">
        <v>61</v>
      </c>
      <c r="Y1439" t="s">
        <v>157</v>
      </c>
      <c r="Z1439" t="s">
        <v>61</v>
      </c>
      <c r="AA1439" t="s">
        <v>11801</v>
      </c>
      <c r="AB1439">
        <v>19443321</v>
      </c>
      <c r="AC1439" t="s">
        <v>67</v>
      </c>
      <c r="AD1439" t="s">
        <v>61</v>
      </c>
      <c r="AE1439" t="s">
        <v>61</v>
      </c>
      <c r="AF1439" t="s">
        <v>61</v>
      </c>
      <c r="AG1439" t="s">
        <v>11802</v>
      </c>
      <c r="AH1439" t="s">
        <v>61</v>
      </c>
      <c r="AI1439" t="s">
        <v>11803</v>
      </c>
      <c r="AJ1439" t="s">
        <v>61</v>
      </c>
      <c r="AK1439" t="s">
        <v>61</v>
      </c>
      <c r="AL1439" t="s">
        <v>61</v>
      </c>
      <c r="AM1439" t="s">
        <v>11804</v>
      </c>
      <c r="AN1439" t="s">
        <v>61</v>
      </c>
      <c r="AO1439" t="s">
        <v>61</v>
      </c>
      <c r="AP1439" t="s">
        <v>61</v>
      </c>
      <c r="AQ1439" t="s">
        <v>61</v>
      </c>
      <c r="AR1439" t="s">
        <v>61</v>
      </c>
      <c r="AS1439" t="s">
        <v>61</v>
      </c>
      <c r="AT1439" t="s">
        <v>61</v>
      </c>
      <c r="AU1439" t="s">
        <v>61</v>
      </c>
      <c r="AV1439" t="s">
        <v>61</v>
      </c>
      <c r="AW1439" t="s">
        <v>61</v>
      </c>
      <c r="AX1439" t="s">
        <v>61</v>
      </c>
      <c r="AY1439" t="s">
        <v>61</v>
      </c>
      <c r="AZ1439" t="s">
        <v>61</v>
      </c>
      <c r="BA1439" t="s">
        <v>61</v>
      </c>
      <c r="BB1439" t="s">
        <v>61</v>
      </c>
      <c r="BC1439" t="s">
        <v>61</v>
      </c>
      <c r="BD1439" t="s">
        <v>61</v>
      </c>
      <c r="BE1439" t="s">
        <v>61</v>
      </c>
      <c r="BF1439" t="s">
        <v>61</v>
      </c>
    </row>
    <row r="1440" spans="1:58">
      <c r="A1440" t="s">
        <v>58</v>
      </c>
      <c r="B1440" t="s">
        <v>11805</v>
      </c>
      <c r="C1440" t="s">
        <v>11806</v>
      </c>
      <c r="D1440" t="s">
        <v>937</v>
      </c>
      <c r="E1440" t="s">
        <v>61</v>
      </c>
      <c r="F1440">
        <v>2014</v>
      </c>
      <c r="G1440" t="s">
        <v>457</v>
      </c>
      <c r="H1440" t="s">
        <v>3514</v>
      </c>
      <c r="I1440" t="s">
        <v>61</v>
      </c>
      <c r="J1440" t="s">
        <v>11807</v>
      </c>
      <c r="K1440" t="s">
        <v>61</v>
      </c>
      <c r="L1440" t="s">
        <v>11808</v>
      </c>
      <c r="M1440" t="s">
        <v>11809</v>
      </c>
      <c r="N1440" t="s">
        <v>11810</v>
      </c>
      <c r="O1440" t="s">
        <v>61</v>
      </c>
      <c r="Q1440" t="s">
        <v>61</v>
      </c>
      <c r="R1440" t="s">
        <v>61</v>
      </c>
      <c r="S1440" t="s">
        <v>61</v>
      </c>
      <c r="T1440" t="s">
        <v>61</v>
      </c>
      <c r="X1440" t="s">
        <v>61</v>
      </c>
      <c r="Y1440" t="s">
        <v>367</v>
      </c>
      <c r="Z1440" t="s">
        <v>61</v>
      </c>
      <c r="AA1440" t="s">
        <v>61</v>
      </c>
      <c r="AB1440" t="s">
        <v>61</v>
      </c>
      <c r="AC1440" t="s">
        <v>67</v>
      </c>
      <c r="AD1440" t="s">
        <v>61</v>
      </c>
      <c r="AE1440" t="s">
        <v>61</v>
      </c>
      <c r="AF1440" t="s">
        <v>61</v>
      </c>
      <c r="AG1440" t="s">
        <v>61</v>
      </c>
      <c r="AH1440" t="s">
        <v>61</v>
      </c>
      <c r="AI1440" t="s">
        <v>61</v>
      </c>
      <c r="AJ1440" t="s">
        <v>61</v>
      </c>
      <c r="AK1440" t="s">
        <v>61</v>
      </c>
      <c r="AL1440" t="s">
        <v>61</v>
      </c>
      <c r="AM1440" t="s">
        <v>11806</v>
      </c>
      <c r="AN1440" t="s">
        <v>61</v>
      </c>
      <c r="AO1440" t="s">
        <v>61</v>
      </c>
      <c r="AP1440" t="s">
        <v>61</v>
      </c>
      <c r="AQ1440" t="s">
        <v>61</v>
      </c>
      <c r="AR1440" t="s">
        <v>61</v>
      </c>
      <c r="AS1440" t="s">
        <v>61</v>
      </c>
      <c r="AT1440" t="s">
        <v>61</v>
      </c>
      <c r="AU1440" t="s">
        <v>61</v>
      </c>
      <c r="AV1440" t="s">
        <v>61</v>
      </c>
      <c r="AW1440" t="s">
        <v>61</v>
      </c>
      <c r="AX1440" t="s">
        <v>61</v>
      </c>
      <c r="AY1440" t="s">
        <v>61</v>
      </c>
      <c r="AZ1440" t="s">
        <v>61</v>
      </c>
      <c r="BA1440" t="s">
        <v>61</v>
      </c>
      <c r="BB1440" t="s">
        <v>61</v>
      </c>
      <c r="BC1440" t="s">
        <v>61</v>
      </c>
      <c r="BD1440" t="s">
        <v>61</v>
      </c>
      <c r="BE1440" t="s">
        <v>61</v>
      </c>
      <c r="BF1440" t="s">
        <v>61</v>
      </c>
    </row>
    <row r="1441" spans="1:58">
      <c r="A1441" t="s">
        <v>58</v>
      </c>
      <c r="B1441" t="s">
        <v>11811</v>
      </c>
      <c r="C1441" t="s">
        <v>11812</v>
      </c>
      <c r="D1441" t="s">
        <v>4199</v>
      </c>
      <c r="E1441" t="s">
        <v>61</v>
      </c>
      <c r="F1441">
        <v>2015</v>
      </c>
      <c r="G1441" t="s">
        <v>429</v>
      </c>
      <c r="H1441" t="s">
        <v>7113</v>
      </c>
      <c r="I1441" t="s">
        <v>61</v>
      </c>
      <c r="J1441" t="s">
        <v>11813</v>
      </c>
      <c r="K1441" t="s">
        <v>61</v>
      </c>
      <c r="L1441" t="s">
        <v>11814</v>
      </c>
      <c r="M1441" t="s">
        <v>11815</v>
      </c>
      <c r="N1441" t="s">
        <v>11816</v>
      </c>
      <c r="O1441" t="s">
        <v>61</v>
      </c>
      <c r="Q1441" t="s">
        <v>61</v>
      </c>
      <c r="R1441" t="s">
        <v>61</v>
      </c>
      <c r="S1441" t="s">
        <v>61</v>
      </c>
      <c r="T1441" t="s">
        <v>61</v>
      </c>
      <c r="X1441" t="s">
        <v>61</v>
      </c>
      <c r="Y1441" t="s">
        <v>7118</v>
      </c>
      <c r="Z1441" t="s">
        <v>61</v>
      </c>
      <c r="AA1441" t="s">
        <v>61</v>
      </c>
      <c r="AB1441" t="s">
        <v>61</v>
      </c>
      <c r="AC1441" t="s">
        <v>67</v>
      </c>
      <c r="AD1441" t="s">
        <v>61</v>
      </c>
      <c r="AE1441" t="s">
        <v>61</v>
      </c>
      <c r="AF1441" t="s">
        <v>61</v>
      </c>
      <c r="AG1441" t="s">
        <v>61</v>
      </c>
      <c r="AH1441" t="s">
        <v>61</v>
      </c>
      <c r="AI1441" t="s">
        <v>61</v>
      </c>
      <c r="AJ1441" t="s">
        <v>61</v>
      </c>
      <c r="AK1441" t="s">
        <v>61</v>
      </c>
      <c r="AL1441" t="s">
        <v>61</v>
      </c>
      <c r="AM1441" t="s">
        <v>11812</v>
      </c>
      <c r="AN1441" t="s">
        <v>61</v>
      </c>
      <c r="AO1441" t="s">
        <v>61</v>
      </c>
      <c r="AP1441" t="s">
        <v>61</v>
      </c>
      <c r="AQ1441" t="s">
        <v>61</v>
      </c>
      <c r="AR1441" t="s">
        <v>61</v>
      </c>
      <c r="AS1441" t="s">
        <v>61</v>
      </c>
      <c r="AT1441" t="s">
        <v>61</v>
      </c>
      <c r="AU1441" t="s">
        <v>61</v>
      </c>
      <c r="AV1441" t="s">
        <v>61</v>
      </c>
      <c r="AW1441" t="s">
        <v>61</v>
      </c>
      <c r="AX1441" t="s">
        <v>61</v>
      </c>
      <c r="AY1441" t="s">
        <v>61</v>
      </c>
      <c r="AZ1441" t="s">
        <v>61</v>
      </c>
      <c r="BA1441" t="s">
        <v>61</v>
      </c>
      <c r="BB1441" t="s">
        <v>61</v>
      </c>
      <c r="BC1441" t="s">
        <v>61</v>
      </c>
      <c r="BD1441" t="s">
        <v>61</v>
      </c>
      <c r="BE1441" t="s">
        <v>61</v>
      </c>
      <c r="BF1441" t="s">
        <v>61</v>
      </c>
    </row>
    <row r="1442" spans="1:58">
      <c r="A1442" t="s">
        <v>58</v>
      </c>
      <c r="B1442" t="s">
        <v>11817</v>
      </c>
      <c r="C1442" t="s">
        <v>11818</v>
      </c>
      <c r="D1442" t="s">
        <v>2731</v>
      </c>
      <c r="E1442" t="s">
        <v>61</v>
      </c>
      <c r="F1442">
        <v>2007</v>
      </c>
      <c r="G1442" t="s">
        <v>61</v>
      </c>
      <c r="H1442">
        <v>21</v>
      </c>
      <c r="I1442">
        <v>11</v>
      </c>
      <c r="J1442">
        <v>877</v>
      </c>
      <c r="K1442">
        <v>883</v>
      </c>
      <c r="L1442" t="s">
        <v>11819</v>
      </c>
      <c r="M1442" t="s">
        <v>11820</v>
      </c>
      <c r="N1442" t="s">
        <v>11821</v>
      </c>
      <c r="O1442" t="s">
        <v>61</v>
      </c>
      <c r="Q1442" t="s">
        <v>61</v>
      </c>
      <c r="R1442" t="s">
        <v>61</v>
      </c>
      <c r="S1442" t="s">
        <v>61</v>
      </c>
      <c r="T1442" t="s">
        <v>61</v>
      </c>
      <c r="X1442" t="s">
        <v>61</v>
      </c>
      <c r="Y1442" t="s">
        <v>2735</v>
      </c>
      <c r="Z1442" t="s">
        <v>61</v>
      </c>
      <c r="AA1442" t="s">
        <v>61</v>
      </c>
      <c r="AB1442">
        <v>2007497053</v>
      </c>
      <c r="AC1442" t="s">
        <v>67</v>
      </c>
      <c r="AD1442" t="s">
        <v>61</v>
      </c>
      <c r="AE1442" t="s">
        <v>61</v>
      </c>
      <c r="AF1442" t="s">
        <v>61</v>
      </c>
      <c r="AG1442" t="s">
        <v>11822</v>
      </c>
      <c r="AH1442" t="s">
        <v>61</v>
      </c>
      <c r="AI1442" t="s">
        <v>61</v>
      </c>
      <c r="AJ1442" t="s">
        <v>61</v>
      </c>
      <c r="AK1442" t="s">
        <v>61</v>
      </c>
      <c r="AL1442" t="s">
        <v>61</v>
      </c>
      <c r="AM1442" t="s">
        <v>11823</v>
      </c>
      <c r="AN1442" t="s">
        <v>61</v>
      </c>
      <c r="AO1442" t="s">
        <v>61</v>
      </c>
      <c r="AP1442" t="s">
        <v>61</v>
      </c>
      <c r="AQ1442" t="s">
        <v>61</v>
      </c>
      <c r="AR1442" t="s">
        <v>61</v>
      </c>
      <c r="AS1442" t="s">
        <v>61</v>
      </c>
      <c r="AT1442" t="s">
        <v>61</v>
      </c>
      <c r="AU1442" t="s">
        <v>61</v>
      </c>
      <c r="AV1442" t="s">
        <v>61</v>
      </c>
      <c r="AW1442" t="s">
        <v>61</v>
      </c>
      <c r="AX1442" t="s">
        <v>61</v>
      </c>
      <c r="AY1442" t="s">
        <v>61</v>
      </c>
      <c r="AZ1442" t="s">
        <v>61</v>
      </c>
      <c r="BA1442" t="s">
        <v>61</v>
      </c>
      <c r="BB1442" t="s">
        <v>61</v>
      </c>
      <c r="BC1442" t="s">
        <v>61</v>
      </c>
      <c r="BD1442" t="s">
        <v>61</v>
      </c>
      <c r="BE1442" t="s">
        <v>61</v>
      </c>
      <c r="BF1442" t="s">
        <v>61</v>
      </c>
    </row>
    <row r="1443" spans="1:58">
      <c r="A1443" t="s">
        <v>58</v>
      </c>
      <c r="B1443" t="s">
        <v>11824</v>
      </c>
      <c r="C1443" t="s">
        <v>11825</v>
      </c>
      <c r="D1443" t="s">
        <v>2007</v>
      </c>
      <c r="E1443" t="s">
        <v>61</v>
      </c>
      <c r="F1443">
        <v>2003</v>
      </c>
      <c r="G1443" t="s">
        <v>61</v>
      </c>
      <c r="H1443">
        <v>14</v>
      </c>
      <c r="I1443">
        <v>5</v>
      </c>
      <c r="J1443">
        <v>425</v>
      </c>
      <c r="K1443" t="s">
        <v>11826</v>
      </c>
      <c r="L1443" t="s">
        <v>11827</v>
      </c>
      <c r="M1443" t="s">
        <v>11828</v>
      </c>
      <c r="N1443" t="s">
        <v>11829</v>
      </c>
      <c r="O1443" t="s">
        <v>61</v>
      </c>
      <c r="Q1443" t="s">
        <v>61</v>
      </c>
      <c r="R1443" t="s">
        <v>61</v>
      </c>
      <c r="S1443" t="s">
        <v>61</v>
      </c>
      <c r="T1443" t="s">
        <v>61</v>
      </c>
      <c r="X1443" t="s">
        <v>61</v>
      </c>
      <c r="Y1443" t="s">
        <v>2012</v>
      </c>
      <c r="Z1443" t="s">
        <v>61</v>
      </c>
      <c r="AA1443" t="s">
        <v>11830</v>
      </c>
      <c r="AB1443">
        <v>106765447</v>
      </c>
      <c r="AC1443" t="s">
        <v>67</v>
      </c>
      <c r="AD1443" t="s">
        <v>61</v>
      </c>
      <c r="AE1443" t="s">
        <v>61</v>
      </c>
      <c r="AF1443" t="s">
        <v>61</v>
      </c>
      <c r="AG1443" t="s">
        <v>11831</v>
      </c>
      <c r="AH1443" t="s">
        <v>61</v>
      </c>
      <c r="AI1443" t="s">
        <v>61</v>
      </c>
      <c r="AJ1443" t="s">
        <v>61</v>
      </c>
      <c r="AK1443" t="s">
        <v>61</v>
      </c>
      <c r="AL1443" t="s">
        <v>61</v>
      </c>
      <c r="AM1443" t="s">
        <v>11832</v>
      </c>
      <c r="AN1443" t="s">
        <v>61</v>
      </c>
      <c r="AO1443" t="s">
        <v>61</v>
      </c>
      <c r="AP1443" t="s">
        <v>61</v>
      </c>
      <c r="AQ1443" t="s">
        <v>61</v>
      </c>
      <c r="AR1443" t="s">
        <v>61</v>
      </c>
      <c r="AS1443" t="s">
        <v>61</v>
      </c>
      <c r="AT1443" t="s">
        <v>61</v>
      </c>
      <c r="AU1443" t="s">
        <v>61</v>
      </c>
      <c r="AV1443" t="s">
        <v>61</v>
      </c>
      <c r="AW1443" t="s">
        <v>61</v>
      </c>
      <c r="AX1443" t="s">
        <v>61</v>
      </c>
      <c r="AY1443" t="s">
        <v>61</v>
      </c>
      <c r="AZ1443" t="s">
        <v>61</v>
      </c>
      <c r="BA1443" t="s">
        <v>61</v>
      </c>
      <c r="BB1443" t="s">
        <v>61</v>
      </c>
      <c r="BC1443" t="s">
        <v>61</v>
      </c>
      <c r="BD1443" t="s">
        <v>61</v>
      </c>
      <c r="BE1443" t="s">
        <v>61</v>
      </c>
      <c r="BF1443" t="s">
        <v>61</v>
      </c>
    </row>
    <row r="1444" spans="1:58">
      <c r="A1444" t="s">
        <v>58</v>
      </c>
      <c r="B1444" t="s">
        <v>11833</v>
      </c>
      <c r="C1444" t="s">
        <v>11834</v>
      </c>
      <c r="D1444" t="s">
        <v>428</v>
      </c>
      <c r="E1444" t="s">
        <v>61</v>
      </c>
      <c r="F1444">
        <v>2012</v>
      </c>
      <c r="G1444" t="s">
        <v>429</v>
      </c>
      <c r="H1444">
        <v>25</v>
      </c>
      <c r="I1444">
        <v>2</v>
      </c>
      <c r="J1444">
        <v>287</v>
      </c>
      <c r="K1444" t="s">
        <v>61</v>
      </c>
      <c r="L1444" t="s">
        <v>11835</v>
      </c>
      <c r="M1444" t="s">
        <v>11836</v>
      </c>
      <c r="N1444" t="s">
        <v>11837</v>
      </c>
      <c r="O1444" t="s">
        <v>61</v>
      </c>
      <c r="Q1444" t="s">
        <v>61</v>
      </c>
      <c r="R1444" t="s">
        <v>61</v>
      </c>
      <c r="S1444" t="s">
        <v>61</v>
      </c>
      <c r="T1444" t="s">
        <v>61</v>
      </c>
      <c r="X1444" t="s">
        <v>61</v>
      </c>
      <c r="Y1444" t="s">
        <v>433</v>
      </c>
      <c r="Z1444" t="s">
        <v>61</v>
      </c>
      <c r="AA1444" t="s">
        <v>61</v>
      </c>
      <c r="AB1444" t="s">
        <v>61</v>
      </c>
      <c r="AC1444" t="s">
        <v>67</v>
      </c>
      <c r="AD1444" t="s">
        <v>61</v>
      </c>
      <c r="AE1444" t="s">
        <v>61</v>
      </c>
      <c r="AF1444" t="s">
        <v>61</v>
      </c>
      <c r="AG1444" t="s">
        <v>61</v>
      </c>
      <c r="AH1444" t="s">
        <v>61</v>
      </c>
      <c r="AI1444" t="s">
        <v>61</v>
      </c>
      <c r="AJ1444" t="s">
        <v>61</v>
      </c>
      <c r="AK1444" t="s">
        <v>61</v>
      </c>
      <c r="AL1444" t="s">
        <v>61</v>
      </c>
      <c r="AM1444" t="s">
        <v>11834</v>
      </c>
      <c r="AN1444" t="s">
        <v>61</v>
      </c>
      <c r="AO1444" t="s">
        <v>61</v>
      </c>
      <c r="AP1444" t="s">
        <v>61</v>
      </c>
      <c r="AQ1444" t="s">
        <v>61</v>
      </c>
      <c r="AR1444" t="s">
        <v>61</v>
      </c>
      <c r="AS1444" t="s">
        <v>61</v>
      </c>
      <c r="AT1444" t="s">
        <v>61</v>
      </c>
      <c r="AU1444" t="s">
        <v>61</v>
      </c>
      <c r="AV1444" t="s">
        <v>61</v>
      </c>
      <c r="AW1444" t="s">
        <v>61</v>
      </c>
      <c r="AX1444" t="s">
        <v>61</v>
      </c>
      <c r="AY1444" t="s">
        <v>61</v>
      </c>
      <c r="AZ1444" t="s">
        <v>61</v>
      </c>
      <c r="BA1444" t="s">
        <v>61</v>
      </c>
      <c r="BB1444" t="s">
        <v>61</v>
      </c>
      <c r="BC1444" t="s">
        <v>61</v>
      </c>
      <c r="BD1444" t="s">
        <v>61</v>
      </c>
      <c r="BE1444" t="s">
        <v>61</v>
      </c>
      <c r="BF1444" t="s">
        <v>61</v>
      </c>
    </row>
    <row r="1445" spans="1:58">
      <c r="A1445" t="s">
        <v>58</v>
      </c>
      <c r="B1445" t="s">
        <v>11838</v>
      </c>
      <c r="C1445" t="s">
        <v>11839</v>
      </c>
      <c r="D1445" t="s">
        <v>428</v>
      </c>
      <c r="E1445" t="s">
        <v>61</v>
      </c>
      <c r="F1445">
        <v>2012</v>
      </c>
      <c r="G1445" t="s">
        <v>429</v>
      </c>
      <c r="H1445">
        <v>25</v>
      </c>
      <c r="I1445">
        <v>2</v>
      </c>
      <c r="J1445">
        <v>287</v>
      </c>
      <c r="K1445" t="s">
        <v>61</v>
      </c>
      <c r="L1445" t="s">
        <v>11840</v>
      </c>
      <c r="M1445" t="s">
        <v>11841</v>
      </c>
      <c r="N1445" t="s">
        <v>11842</v>
      </c>
      <c r="O1445" t="s">
        <v>61</v>
      </c>
      <c r="Q1445" t="s">
        <v>61</v>
      </c>
      <c r="R1445" t="s">
        <v>61</v>
      </c>
      <c r="S1445" t="s">
        <v>61</v>
      </c>
      <c r="T1445" t="s">
        <v>61</v>
      </c>
      <c r="X1445" t="s">
        <v>61</v>
      </c>
      <c r="Y1445" t="s">
        <v>433</v>
      </c>
      <c r="Z1445" t="s">
        <v>61</v>
      </c>
      <c r="AA1445" t="s">
        <v>61</v>
      </c>
      <c r="AB1445" t="s">
        <v>61</v>
      </c>
      <c r="AC1445" t="s">
        <v>67</v>
      </c>
      <c r="AD1445" t="s">
        <v>61</v>
      </c>
      <c r="AE1445" t="s">
        <v>61</v>
      </c>
      <c r="AF1445" t="s">
        <v>61</v>
      </c>
      <c r="AG1445" t="s">
        <v>61</v>
      </c>
      <c r="AH1445" t="s">
        <v>61</v>
      </c>
      <c r="AI1445" t="s">
        <v>61</v>
      </c>
      <c r="AJ1445" t="s">
        <v>61</v>
      </c>
      <c r="AK1445" t="s">
        <v>61</v>
      </c>
      <c r="AL1445" t="s">
        <v>61</v>
      </c>
      <c r="AM1445" t="s">
        <v>11839</v>
      </c>
      <c r="AN1445" t="s">
        <v>61</v>
      </c>
      <c r="AO1445" t="s">
        <v>61</v>
      </c>
      <c r="AP1445" t="s">
        <v>61</v>
      </c>
      <c r="AQ1445" t="s">
        <v>61</v>
      </c>
      <c r="AR1445" t="s">
        <v>61</v>
      </c>
      <c r="AS1445" t="s">
        <v>61</v>
      </c>
      <c r="AT1445" t="s">
        <v>61</v>
      </c>
      <c r="AU1445" t="s">
        <v>61</v>
      </c>
      <c r="AV1445" t="s">
        <v>61</v>
      </c>
      <c r="AW1445" t="s">
        <v>61</v>
      </c>
      <c r="AX1445" t="s">
        <v>61</v>
      </c>
      <c r="AY1445" t="s">
        <v>61</v>
      </c>
      <c r="AZ1445" t="s">
        <v>61</v>
      </c>
      <c r="BA1445" t="s">
        <v>61</v>
      </c>
      <c r="BB1445" t="s">
        <v>61</v>
      </c>
      <c r="BC1445" t="s">
        <v>61</v>
      </c>
      <c r="BD1445" t="s">
        <v>61</v>
      </c>
      <c r="BE1445" t="s">
        <v>61</v>
      </c>
      <c r="BF1445" t="s">
        <v>61</v>
      </c>
    </row>
    <row r="1446" spans="1:58">
      <c r="A1446" t="s">
        <v>58</v>
      </c>
      <c r="B1446" t="s">
        <v>11843</v>
      </c>
      <c r="C1446" t="s">
        <v>11844</v>
      </c>
      <c r="D1446" t="s">
        <v>1000</v>
      </c>
      <c r="E1446" t="s">
        <v>1000</v>
      </c>
      <c r="F1446">
        <v>2016</v>
      </c>
      <c r="G1446" t="s">
        <v>61</v>
      </c>
      <c r="H1446">
        <v>111</v>
      </c>
      <c r="I1446">
        <v>4</v>
      </c>
      <c r="J1446">
        <v>714</v>
      </c>
      <c r="K1446" t="s">
        <v>11845</v>
      </c>
      <c r="L1446" t="s">
        <v>11846</v>
      </c>
      <c r="M1446" t="s">
        <v>61</v>
      </c>
      <c r="N1446" t="s">
        <v>11847</v>
      </c>
      <c r="O1446" t="s">
        <v>61</v>
      </c>
      <c r="Q1446" t="s">
        <v>61</v>
      </c>
      <c r="R1446" t="s">
        <v>61</v>
      </c>
      <c r="S1446" t="s">
        <v>61</v>
      </c>
      <c r="T1446" t="s">
        <v>61</v>
      </c>
      <c r="X1446" t="s">
        <v>61</v>
      </c>
      <c r="Y1446" t="s">
        <v>1004</v>
      </c>
      <c r="Z1446" t="s">
        <v>61</v>
      </c>
      <c r="AA1446" t="s">
        <v>11848</v>
      </c>
      <c r="AB1446">
        <v>113883518</v>
      </c>
      <c r="AC1446" t="s">
        <v>67</v>
      </c>
      <c r="AD1446" t="s">
        <v>61</v>
      </c>
      <c r="AE1446" t="s">
        <v>61</v>
      </c>
      <c r="AF1446" t="s">
        <v>61</v>
      </c>
      <c r="AG1446" t="s">
        <v>11849</v>
      </c>
      <c r="AH1446" t="s">
        <v>61</v>
      </c>
      <c r="AI1446" t="s">
        <v>11850</v>
      </c>
      <c r="AJ1446" t="s">
        <v>61</v>
      </c>
      <c r="AK1446" t="s">
        <v>61</v>
      </c>
      <c r="AL1446" t="s">
        <v>61</v>
      </c>
      <c r="AM1446" t="s">
        <v>11851</v>
      </c>
      <c r="AN1446" t="s">
        <v>61</v>
      </c>
      <c r="AO1446" t="s">
        <v>61</v>
      </c>
      <c r="AP1446" t="s">
        <v>61</v>
      </c>
      <c r="AQ1446" t="s">
        <v>61</v>
      </c>
      <c r="AR1446" t="s">
        <v>61</v>
      </c>
      <c r="AS1446" t="s">
        <v>61</v>
      </c>
      <c r="AT1446" t="s">
        <v>61</v>
      </c>
      <c r="AU1446" t="s">
        <v>61</v>
      </c>
      <c r="AV1446" t="s">
        <v>61</v>
      </c>
      <c r="AW1446" t="s">
        <v>61</v>
      </c>
      <c r="AX1446" t="s">
        <v>61</v>
      </c>
      <c r="AY1446" t="s">
        <v>61</v>
      </c>
      <c r="AZ1446" t="s">
        <v>61</v>
      </c>
      <c r="BA1446" t="s">
        <v>61</v>
      </c>
      <c r="BB1446" t="s">
        <v>61</v>
      </c>
      <c r="BC1446" t="s">
        <v>61</v>
      </c>
      <c r="BD1446" t="s">
        <v>61</v>
      </c>
      <c r="BE1446" t="s">
        <v>61</v>
      </c>
      <c r="BF1446" t="s">
        <v>61</v>
      </c>
    </row>
    <row r="1447" spans="1:58">
      <c r="A1447" t="s">
        <v>58</v>
      </c>
      <c r="B1447" t="s">
        <v>11852</v>
      </c>
      <c r="C1447" t="s">
        <v>11853</v>
      </c>
      <c r="D1447" t="s">
        <v>153</v>
      </c>
      <c r="E1447" t="s">
        <v>61</v>
      </c>
      <c r="F1447">
        <v>2010</v>
      </c>
      <c r="G1447" t="s">
        <v>154</v>
      </c>
      <c r="H1447">
        <v>50</v>
      </c>
      <c r="I1447">
        <v>4</v>
      </c>
      <c r="J1447">
        <v>450</v>
      </c>
      <c r="K1447">
        <v>458</v>
      </c>
      <c r="L1447" t="s">
        <v>11854</v>
      </c>
      <c r="M1447" t="s">
        <v>61</v>
      </c>
      <c r="N1447" t="s">
        <v>11855</v>
      </c>
      <c r="O1447" t="s">
        <v>61</v>
      </c>
      <c r="Q1447" t="s">
        <v>61</v>
      </c>
      <c r="R1447" t="s">
        <v>61</v>
      </c>
      <c r="S1447" t="s">
        <v>61</v>
      </c>
      <c r="T1447" t="s">
        <v>61</v>
      </c>
      <c r="X1447" t="s">
        <v>61</v>
      </c>
      <c r="Y1447" t="s">
        <v>157</v>
      </c>
      <c r="Z1447" t="s">
        <v>61</v>
      </c>
      <c r="AA1447" t="s">
        <v>11856</v>
      </c>
      <c r="AB1447">
        <v>20621859</v>
      </c>
      <c r="AC1447" t="s">
        <v>67</v>
      </c>
      <c r="AD1447" t="s">
        <v>61</v>
      </c>
      <c r="AE1447" t="s">
        <v>61</v>
      </c>
      <c r="AF1447" t="s">
        <v>61</v>
      </c>
      <c r="AG1447" t="s">
        <v>11857</v>
      </c>
      <c r="AH1447" t="s">
        <v>61</v>
      </c>
      <c r="AI1447" t="s">
        <v>11858</v>
      </c>
      <c r="AJ1447" t="s">
        <v>61</v>
      </c>
      <c r="AK1447" t="s">
        <v>61</v>
      </c>
      <c r="AL1447" t="s">
        <v>61</v>
      </c>
      <c r="AM1447" t="s">
        <v>11859</v>
      </c>
      <c r="AN1447" t="s">
        <v>61</v>
      </c>
      <c r="AO1447" t="s">
        <v>61</v>
      </c>
      <c r="AP1447" t="s">
        <v>61</v>
      </c>
      <c r="AQ1447" t="s">
        <v>61</v>
      </c>
      <c r="AR1447" t="s">
        <v>61</v>
      </c>
      <c r="AS1447" t="s">
        <v>61</v>
      </c>
      <c r="AT1447" t="s">
        <v>61</v>
      </c>
      <c r="AU1447" t="s">
        <v>61</v>
      </c>
      <c r="AV1447" t="s">
        <v>61</v>
      </c>
      <c r="AW1447" t="s">
        <v>61</v>
      </c>
      <c r="AX1447" t="s">
        <v>61</v>
      </c>
      <c r="AY1447" t="s">
        <v>61</v>
      </c>
      <c r="AZ1447" t="s">
        <v>61</v>
      </c>
      <c r="BA1447" t="s">
        <v>61</v>
      </c>
      <c r="BB1447" t="s">
        <v>61</v>
      </c>
      <c r="BC1447" t="s">
        <v>61</v>
      </c>
      <c r="BD1447" t="s">
        <v>61</v>
      </c>
      <c r="BE1447" t="s">
        <v>61</v>
      </c>
      <c r="BF1447" t="s">
        <v>61</v>
      </c>
    </row>
    <row r="1448" spans="1:58">
      <c r="A1448" t="s">
        <v>58</v>
      </c>
      <c r="B1448" t="s">
        <v>11860</v>
      </c>
      <c r="C1448" t="s">
        <v>11861</v>
      </c>
      <c r="D1448" t="s">
        <v>771</v>
      </c>
      <c r="E1448" t="s">
        <v>61</v>
      </c>
      <c r="F1448">
        <v>2007</v>
      </c>
      <c r="G1448" t="s">
        <v>3037</v>
      </c>
      <c r="H1448">
        <v>42</v>
      </c>
      <c r="I1448">
        <v>2</v>
      </c>
      <c r="J1448">
        <v>113</v>
      </c>
      <c r="K1448">
        <v>118</v>
      </c>
      <c r="L1448" t="s">
        <v>11862</v>
      </c>
      <c r="M1448" t="s">
        <v>11863</v>
      </c>
      <c r="N1448" t="s">
        <v>11864</v>
      </c>
      <c r="O1448" t="s">
        <v>61</v>
      </c>
      <c r="Q1448" t="s">
        <v>61</v>
      </c>
      <c r="R1448" t="s">
        <v>61</v>
      </c>
      <c r="S1448" t="s">
        <v>61</v>
      </c>
      <c r="T1448" t="s">
        <v>61</v>
      </c>
      <c r="X1448" t="s">
        <v>61</v>
      </c>
      <c r="Y1448" t="s">
        <v>1883</v>
      </c>
      <c r="Z1448" t="s">
        <v>61</v>
      </c>
      <c r="AA1448" t="s">
        <v>11865</v>
      </c>
      <c r="AB1448">
        <v>17172258</v>
      </c>
      <c r="AC1448" t="s">
        <v>67</v>
      </c>
      <c r="AD1448" t="s">
        <v>61</v>
      </c>
      <c r="AE1448" t="s">
        <v>61</v>
      </c>
      <c r="AF1448" t="s">
        <v>61</v>
      </c>
      <c r="AG1448" t="s">
        <v>11866</v>
      </c>
      <c r="AH1448" t="s">
        <v>61</v>
      </c>
      <c r="AI1448" t="s">
        <v>61</v>
      </c>
      <c r="AJ1448" t="s">
        <v>61</v>
      </c>
      <c r="AK1448" t="s">
        <v>61</v>
      </c>
      <c r="AL1448" t="s">
        <v>61</v>
      </c>
      <c r="AM1448" t="s">
        <v>11867</v>
      </c>
      <c r="AN1448" t="s">
        <v>61</v>
      </c>
      <c r="AO1448" t="s">
        <v>61</v>
      </c>
      <c r="AP1448" t="s">
        <v>61</v>
      </c>
      <c r="AQ1448" t="s">
        <v>61</v>
      </c>
      <c r="AR1448" t="s">
        <v>61</v>
      </c>
      <c r="AS1448" t="s">
        <v>61</v>
      </c>
      <c r="AT1448" t="s">
        <v>61</v>
      </c>
      <c r="AU1448" t="s">
        <v>61</v>
      </c>
      <c r="AV1448" t="s">
        <v>61</v>
      </c>
      <c r="AW1448" t="s">
        <v>61</v>
      </c>
      <c r="AX1448" t="s">
        <v>61</v>
      </c>
      <c r="AY1448" t="s">
        <v>61</v>
      </c>
      <c r="AZ1448" t="s">
        <v>61</v>
      </c>
      <c r="BA1448" t="s">
        <v>61</v>
      </c>
      <c r="BB1448" t="s">
        <v>61</v>
      </c>
      <c r="BC1448" t="s">
        <v>61</v>
      </c>
      <c r="BD1448" t="s">
        <v>61</v>
      </c>
      <c r="BE1448" t="s">
        <v>61</v>
      </c>
      <c r="BF1448" t="s">
        <v>61</v>
      </c>
    </row>
    <row r="1449" spans="1:58">
      <c r="A1449" t="s">
        <v>58</v>
      </c>
      <c r="B1449" t="s">
        <v>11868</v>
      </c>
      <c r="C1449" t="s">
        <v>11869</v>
      </c>
      <c r="D1449" t="s">
        <v>11870</v>
      </c>
      <c r="E1449" t="s">
        <v>11871</v>
      </c>
      <c r="F1449">
        <v>2008</v>
      </c>
      <c r="G1449" t="s">
        <v>851</v>
      </c>
      <c r="H1449">
        <v>47</v>
      </c>
      <c r="I1449">
        <v>11</v>
      </c>
      <c r="J1449">
        <v>518</v>
      </c>
      <c r="K1449">
        <v>521</v>
      </c>
      <c r="L1449" t="s">
        <v>11872</v>
      </c>
      <c r="M1449" t="s">
        <v>11873</v>
      </c>
      <c r="N1449" t="s">
        <v>11874</v>
      </c>
      <c r="O1449" t="s">
        <v>61</v>
      </c>
      <c r="Q1449" t="s">
        <v>61</v>
      </c>
      <c r="R1449" t="s">
        <v>61</v>
      </c>
      <c r="S1449" t="s">
        <v>61</v>
      </c>
      <c r="T1449" t="s">
        <v>61</v>
      </c>
      <c r="X1449" t="s">
        <v>61</v>
      </c>
      <c r="Y1449" t="s">
        <v>11875</v>
      </c>
      <c r="Z1449" t="s">
        <v>61</v>
      </c>
      <c r="AA1449" t="s">
        <v>11876</v>
      </c>
      <c r="AB1449">
        <v>19010051</v>
      </c>
      <c r="AC1449" t="s">
        <v>67</v>
      </c>
      <c r="AD1449" t="s">
        <v>61</v>
      </c>
      <c r="AE1449" t="s">
        <v>61</v>
      </c>
      <c r="AF1449" t="s">
        <v>61</v>
      </c>
      <c r="AG1449" t="s">
        <v>11877</v>
      </c>
      <c r="AH1449" t="s">
        <v>61</v>
      </c>
      <c r="AI1449" t="s">
        <v>61</v>
      </c>
      <c r="AJ1449" t="s">
        <v>61</v>
      </c>
      <c r="AK1449" t="s">
        <v>61</v>
      </c>
      <c r="AL1449" t="s">
        <v>61</v>
      </c>
      <c r="AM1449" t="s">
        <v>11878</v>
      </c>
      <c r="AN1449" t="s">
        <v>61</v>
      </c>
      <c r="AO1449" t="s">
        <v>61</v>
      </c>
      <c r="AP1449" t="s">
        <v>61</v>
      </c>
      <c r="AQ1449" t="s">
        <v>61</v>
      </c>
      <c r="AR1449" t="s">
        <v>61</v>
      </c>
      <c r="AS1449" t="s">
        <v>61</v>
      </c>
      <c r="AT1449" t="s">
        <v>61</v>
      </c>
      <c r="AU1449" t="s">
        <v>61</v>
      </c>
      <c r="AV1449" t="s">
        <v>61</v>
      </c>
      <c r="AW1449" t="s">
        <v>61</v>
      </c>
      <c r="AX1449" t="s">
        <v>61</v>
      </c>
      <c r="AY1449" t="s">
        <v>61</v>
      </c>
      <c r="AZ1449" t="s">
        <v>61</v>
      </c>
      <c r="BA1449" t="s">
        <v>61</v>
      </c>
      <c r="BB1449" t="s">
        <v>61</v>
      </c>
      <c r="BC1449" t="s">
        <v>61</v>
      </c>
      <c r="BD1449" t="s">
        <v>61</v>
      </c>
      <c r="BE1449" t="s">
        <v>61</v>
      </c>
      <c r="BF1449" t="s">
        <v>61</v>
      </c>
    </row>
    <row r="1450" spans="1:58">
      <c r="A1450" t="s">
        <v>58</v>
      </c>
      <c r="B1450" t="s">
        <v>11879</v>
      </c>
      <c r="C1450" t="s">
        <v>11880</v>
      </c>
      <c r="D1450" t="s">
        <v>11881</v>
      </c>
      <c r="E1450" t="s">
        <v>11881</v>
      </c>
      <c r="F1450">
        <v>2001</v>
      </c>
      <c r="G1450" s="1">
        <v>42444</v>
      </c>
      <c r="H1450">
        <v>71</v>
      </c>
      <c r="I1450">
        <v>5</v>
      </c>
      <c r="J1450">
        <v>591</v>
      </c>
      <c r="K1450">
        <v>593</v>
      </c>
      <c r="L1450" t="s">
        <v>11882</v>
      </c>
      <c r="M1450" t="s">
        <v>11883</v>
      </c>
      <c r="N1450" t="s">
        <v>11884</v>
      </c>
      <c r="O1450" t="s">
        <v>61</v>
      </c>
      <c r="Q1450" t="s">
        <v>61</v>
      </c>
      <c r="R1450" t="s">
        <v>61</v>
      </c>
      <c r="S1450" t="s">
        <v>61</v>
      </c>
      <c r="T1450" t="s">
        <v>61</v>
      </c>
      <c r="X1450" t="s">
        <v>61</v>
      </c>
      <c r="Y1450" t="s">
        <v>11885</v>
      </c>
      <c r="Z1450" t="s">
        <v>61</v>
      </c>
      <c r="AA1450" t="s">
        <v>11886</v>
      </c>
      <c r="AB1450">
        <v>11292284</v>
      </c>
      <c r="AC1450" t="s">
        <v>67</v>
      </c>
      <c r="AD1450" t="s">
        <v>61</v>
      </c>
      <c r="AE1450" t="s">
        <v>61</v>
      </c>
      <c r="AF1450" t="s">
        <v>61</v>
      </c>
      <c r="AG1450" t="s">
        <v>11887</v>
      </c>
      <c r="AH1450" t="s">
        <v>61</v>
      </c>
      <c r="AI1450" t="s">
        <v>61</v>
      </c>
      <c r="AJ1450" t="s">
        <v>61</v>
      </c>
      <c r="AK1450" t="s">
        <v>61</v>
      </c>
      <c r="AL1450" t="s">
        <v>61</v>
      </c>
      <c r="AM1450" t="s">
        <v>11888</v>
      </c>
      <c r="AN1450" t="s">
        <v>61</v>
      </c>
      <c r="AO1450" t="s">
        <v>61</v>
      </c>
      <c r="AP1450" t="s">
        <v>61</v>
      </c>
      <c r="AQ1450" t="s">
        <v>61</v>
      </c>
      <c r="AR1450" t="s">
        <v>61</v>
      </c>
      <c r="AS1450" t="s">
        <v>61</v>
      </c>
      <c r="AT1450" t="s">
        <v>61</v>
      </c>
      <c r="AU1450" t="s">
        <v>61</v>
      </c>
      <c r="AV1450" t="s">
        <v>61</v>
      </c>
      <c r="AW1450" t="s">
        <v>61</v>
      </c>
      <c r="AX1450" t="s">
        <v>61</v>
      </c>
      <c r="AY1450" t="s">
        <v>61</v>
      </c>
      <c r="AZ1450" t="s">
        <v>61</v>
      </c>
      <c r="BA1450" t="s">
        <v>61</v>
      </c>
      <c r="BB1450" t="s">
        <v>61</v>
      </c>
      <c r="BC1450" t="s">
        <v>61</v>
      </c>
      <c r="BD1450" t="s">
        <v>61</v>
      </c>
      <c r="BE1450" t="s">
        <v>61</v>
      </c>
      <c r="BF1450" t="s">
        <v>61</v>
      </c>
    </row>
    <row r="1451" spans="1:58">
      <c r="A1451" t="s">
        <v>58</v>
      </c>
      <c r="B1451" t="s">
        <v>11889</v>
      </c>
      <c r="C1451" t="s">
        <v>11890</v>
      </c>
      <c r="D1451" t="s">
        <v>4199</v>
      </c>
      <c r="E1451" t="s">
        <v>61</v>
      </c>
      <c r="F1451">
        <v>2012</v>
      </c>
      <c r="G1451" t="s">
        <v>1775</v>
      </c>
      <c r="H1451" t="s">
        <v>11891</v>
      </c>
      <c r="I1451" t="s">
        <v>61</v>
      </c>
      <c r="J1451" t="s">
        <v>11892</v>
      </c>
      <c r="K1451" t="s">
        <v>61</v>
      </c>
      <c r="L1451" t="s">
        <v>11893</v>
      </c>
      <c r="M1451" t="s">
        <v>11894</v>
      </c>
      <c r="N1451" t="s">
        <v>11895</v>
      </c>
      <c r="O1451" t="s">
        <v>61</v>
      </c>
      <c r="Q1451" t="s">
        <v>61</v>
      </c>
      <c r="R1451" t="s">
        <v>61</v>
      </c>
      <c r="S1451" t="s">
        <v>61</v>
      </c>
      <c r="T1451" t="s">
        <v>61</v>
      </c>
      <c r="X1451" t="s">
        <v>61</v>
      </c>
      <c r="Y1451" t="s">
        <v>7118</v>
      </c>
      <c r="Z1451" t="s">
        <v>61</v>
      </c>
      <c r="AA1451" t="s">
        <v>61</v>
      </c>
      <c r="AB1451" t="s">
        <v>61</v>
      </c>
      <c r="AC1451" t="s">
        <v>67</v>
      </c>
      <c r="AD1451" t="s">
        <v>61</v>
      </c>
      <c r="AE1451" t="s">
        <v>61</v>
      </c>
      <c r="AF1451" t="s">
        <v>61</v>
      </c>
      <c r="AG1451" t="s">
        <v>61</v>
      </c>
      <c r="AH1451" t="s">
        <v>61</v>
      </c>
      <c r="AI1451" t="s">
        <v>61</v>
      </c>
      <c r="AJ1451" t="s">
        <v>61</v>
      </c>
      <c r="AK1451" t="s">
        <v>61</v>
      </c>
      <c r="AL1451" t="s">
        <v>61</v>
      </c>
      <c r="AM1451" t="s">
        <v>11890</v>
      </c>
      <c r="AN1451" t="s">
        <v>61</v>
      </c>
      <c r="AO1451" t="s">
        <v>61</v>
      </c>
      <c r="AP1451" t="s">
        <v>61</v>
      </c>
      <c r="AQ1451" t="s">
        <v>61</v>
      </c>
      <c r="AR1451" t="s">
        <v>61</v>
      </c>
      <c r="AS1451" t="s">
        <v>61</v>
      </c>
      <c r="AT1451" t="s">
        <v>61</v>
      </c>
      <c r="AU1451" t="s">
        <v>61</v>
      </c>
      <c r="AV1451" t="s">
        <v>61</v>
      </c>
      <c r="AW1451" t="s">
        <v>61</v>
      </c>
      <c r="AX1451" t="s">
        <v>61</v>
      </c>
      <c r="AY1451" t="s">
        <v>61</v>
      </c>
      <c r="AZ1451" t="s">
        <v>61</v>
      </c>
      <c r="BA1451" t="s">
        <v>61</v>
      </c>
      <c r="BB1451" t="s">
        <v>61</v>
      </c>
      <c r="BC1451" t="s">
        <v>61</v>
      </c>
      <c r="BD1451" t="s">
        <v>61</v>
      </c>
      <c r="BE1451" t="s">
        <v>61</v>
      </c>
      <c r="BF1451" t="s">
        <v>61</v>
      </c>
    </row>
    <row r="1452" spans="1:58">
      <c r="A1452" t="s">
        <v>58</v>
      </c>
      <c r="B1452" t="s">
        <v>11896</v>
      </c>
      <c r="C1452" t="s">
        <v>11897</v>
      </c>
      <c r="D1452" t="s">
        <v>11898</v>
      </c>
      <c r="E1452" t="s">
        <v>61</v>
      </c>
      <c r="F1452">
        <v>1974</v>
      </c>
      <c r="G1452" t="s">
        <v>61</v>
      </c>
      <c r="H1452">
        <v>10</v>
      </c>
      <c r="I1452">
        <v>3</v>
      </c>
      <c r="J1452" t="s">
        <v>11899</v>
      </c>
      <c r="K1452" t="s">
        <v>61</v>
      </c>
      <c r="L1452" t="s">
        <v>11900</v>
      </c>
      <c r="M1452" t="s">
        <v>11901</v>
      </c>
      <c r="N1452" t="s">
        <v>11902</v>
      </c>
      <c r="O1452" t="s">
        <v>61</v>
      </c>
      <c r="Q1452" t="s">
        <v>61</v>
      </c>
      <c r="R1452" t="s">
        <v>61</v>
      </c>
      <c r="S1452" t="s">
        <v>61</v>
      </c>
      <c r="T1452" t="s">
        <v>61</v>
      </c>
      <c r="X1452" t="s">
        <v>61</v>
      </c>
      <c r="Y1452" t="s">
        <v>61</v>
      </c>
      <c r="Z1452" t="s">
        <v>61</v>
      </c>
      <c r="AA1452" t="s">
        <v>61</v>
      </c>
      <c r="AB1452">
        <v>1974206213</v>
      </c>
      <c r="AC1452" t="s">
        <v>67</v>
      </c>
      <c r="AD1452" t="s">
        <v>61</v>
      </c>
      <c r="AE1452" t="s">
        <v>61</v>
      </c>
      <c r="AF1452" t="s">
        <v>61</v>
      </c>
      <c r="AG1452" t="s">
        <v>61</v>
      </c>
      <c r="AH1452" t="s">
        <v>61</v>
      </c>
      <c r="AI1452" t="s">
        <v>61</v>
      </c>
      <c r="AJ1452" t="s">
        <v>61</v>
      </c>
      <c r="AK1452" t="s">
        <v>61</v>
      </c>
      <c r="AL1452" t="s">
        <v>61</v>
      </c>
      <c r="AM1452" t="s">
        <v>11897</v>
      </c>
      <c r="AN1452" t="s">
        <v>61</v>
      </c>
      <c r="AO1452" t="s">
        <v>61</v>
      </c>
      <c r="AP1452" t="s">
        <v>61</v>
      </c>
      <c r="AQ1452" t="s">
        <v>61</v>
      </c>
      <c r="AR1452" t="s">
        <v>61</v>
      </c>
      <c r="AS1452" t="s">
        <v>61</v>
      </c>
      <c r="AT1452" t="s">
        <v>61</v>
      </c>
      <c r="AU1452" t="s">
        <v>61</v>
      </c>
      <c r="AV1452" t="s">
        <v>61</v>
      </c>
      <c r="AW1452" t="s">
        <v>61</v>
      </c>
      <c r="AX1452" t="s">
        <v>61</v>
      </c>
      <c r="AY1452" t="s">
        <v>61</v>
      </c>
      <c r="AZ1452" t="s">
        <v>61</v>
      </c>
      <c r="BA1452" t="s">
        <v>61</v>
      </c>
      <c r="BB1452" t="s">
        <v>61</v>
      </c>
      <c r="BC1452" t="s">
        <v>61</v>
      </c>
      <c r="BD1452" t="s">
        <v>61</v>
      </c>
      <c r="BE1452" t="s">
        <v>61</v>
      </c>
      <c r="BF1452" t="s">
        <v>61</v>
      </c>
    </row>
    <row r="1453" spans="1:58">
      <c r="A1453" t="s">
        <v>58</v>
      </c>
      <c r="B1453" t="s">
        <v>11903</v>
      </c>
      <c r="C1453" t="s">
        <v>11904</v>
      </c>
      <c r="D1453" t="s">
        <v>335</v>
      </c>
      <c r="E1453" t="s">
        <v>61</v>
      </c>
      <c r="F1453">
        <v>2013</v>
      </c>
      <c r="G1453" s="1">
        <v>42614</v>
      </c>
      <c r="H1453" t="s">
        <v>11905</v>
      </c>
      <c r="I1453" t="s">
        <v>61</v>
      </c>
      <c r="J1453" t="s">
        <v>61</v>
      </c>
      <c r="K1453" t="s">
        <v>61</v>
      </c>
      <c r="L1453" t="s">
        <v>11906</v>
      </c>
      <c r="M1453" t="s">
        <v>11907</v>
      </c>
      <c r="N1453" t="s">
        <v>11908</v>
      </c>
      <c r="O1453" t="s">
        <v>61</v>
      </c>
      <c r="Q1453" t="s">
        <v>61</v>
      </c>
      <c r="R1453" t="s">
        <v>61</v>
      </c>
      <c r="S1453" t="s">
        <v>61</v>
      </c>
      <c r="T1453" t="s">
        <v>61</v>
      </c>
      <c r="X1453" t="s">
        <v>61</v>
      </c>
      <c r="Y1453" t="s">
        <v>340</v>
      </c>
      <c r="Z1453" t="s">
        <v>61</v>
      </c>
      <c r="AA1453" t="s">
        <v>61</v>
      </c>
      <c r="AB1453" t="s">
        <v>61</v>
      </c>
      <c r="AC1453" t="s">
        <v>67</v>
      </c>
      <c r="AD1453" t="s">
        <v>61</v>
      </c>
      <c r="AE1453" t="s">
        <v>61</v>
      </c>
      <c r="AF1453" t="s">
        <v>61</v>
      </c>
      <c r="AG1453" t="s">
        <v>61</v>
      </c>
      <c r="AH1453" t="s">
        <v>61</v>
      </c>
      <c r="AI1453" t="s">
        <v>61</v>
      </c>
      <c r="AJ1453" t="s">
        <v>61</v>
      </c>
      <c r="AK1453" t="s">
        <v>61</v>
      </c>
      <c r="AL1453" t="s">
        <v>61</v>
      </c>
      <c r="AM1453" t="s">
        <v>11904</v>
      </c>
      <c r="AN1453" t="s">
        <v>61</v>
      </c>
      <c r="AO1453" t="s">
        <v>61</v>
      </c>
      <c r="AP1453" t="s">
        <v>61</v>
      </c>
      <c r="AQ1453" t="s">
        <v>61</v>
      </c>
      <c r="AR1453" t="s">
        <v>61</v>
      </c>
      <c r="AS1453" t="s">
        <v>61</v>
      </c>
      <c r="AT1453" t="s">
        <v>61</v>
      </c>
      <c r="AU1453" t="s">
        <v>61</v>
      </c>
      <c r="AV1453" t="s">
        <v>61</v>
      </c>
      <c r="AW1453" t="s">
        <v>61</v>
      </c>
      <c r="AX1453" t="s">
        <v>61</v>
      </c>
      <c r="AY1453" t="s">
        <v>61</v>
      </c>
      <c r="AZ1453" t="s">
        <v>61</v>
      </c>
      <c r="BA1453" t="s">
        <v>61</v>
      </c>
      <c r="BB1453" t="s">
        <v>61</v>
      </c>
      <c r="BC1453" t="s">
        <v>61</v>
      </c>
      <c r="BD1453" t="s">
        <v>61</v>
      </c>
      <c r="BE1453" t="s">
        <v>61</v>
      </c>
      <c r="BF1453" t="s">
        <v>61</v>
      </c>
    </row>
    <row r="1454" spans="1:58">
      <c r="A1454" t="s">
        <v>58</v>
      </c>
      <c r="B1454" t="s">
        <v>11909</v>
      </c>
      <c r="C1454" t="s">
        <v>11910</v>
      </c>
      <c r="D1454" t="s">
        <v>11911</v>
      </c>
      <c r="E1454" t="s">
        <v>61</v>
      </c>
      <c r="F1454">
        <v>2013</v>
      </c>
      <c r="G1454" t="s">
        <v>273</v>
      </c>
      <c r="H1454">
        <v>10</v>
      </c>
      <c r="I1454">
        <v>1</v>
      </c>
      <c r="J1454">
        <v>67</v>
      </c>
      <c r="K1454">
        <v>70</v>
      </c>
      <c r="L1454" t="s">
        <v>11912</v>
      </c>
      <c r="M1454" t="s">
        <v>11913</v>
      </c>
      <c r="N1454" t="s">
        <v>11914</v>
      </c>
      <c r="O1454" t="s">
        <v>61</v>
      </c>
      <c r="Q1454" t="s">
        <v>61</v>
      </c>
      <c r="R1454" t="s">
        <v>61</v>
      </c>
      <c r="S1454" t="s">
        <v>61</v>
      </c>
      <c r="T1454" t="s">
        <v>61</v>
      </c>
      <c r="X1454" t="s">
        <v>61</v>
      </c>
      <c r="Y1454" t="s">
        <v>11915</v>
      </c>
      <c r="Z1454" t="s">
        <v>61</v>
      </c>
      <c r="AA1454" t="s">
        <v>11916</v>
      </c>
      <c r="AB1454">
        <v>22998048</v>
      </c>
      <c r="AC1454" t="s">
        <v>67</v>
      </c>
      <c r="AD1454" t="s">
        <v>61</v>
      </c>
      <c r="AE1454" t="s">
        <v>61</v>
      </c>
      <c r="AF1454" t="s">
        <v>61</v>
      </c>
      <c r="AG1454" t="s">
        <v>11917</v>
      </c>
      <c r="AH1454" t="s">
        <v>61</v>
      </c>
      <c r="AI1454" t="s">
        <v>61</v>
      </c>
      <c r="AJ1454" t="s">
        <v>61</v>
      </c>
      <c r="AK1454" t="s">
        <v>61</v>
      </c>
      <c r="AL1454" t="s">
        <v>61</v>
      </c>
      <c r="AM1454" t="s">
        <v>11918</v>
      </c>
      <c r="AN1454" t="s">
        <v>61</v>
      </c>
      <c r="AO1454" t="s">
        <v>61</v>
      </c>
      <c r="AP1454" t="s">
        <v>61</v>
      </c>
      <c r="AQ1454" t="s">
        <v>61</v>
      </c>
      <c r="AR1454" t="s">
        <v>61</v>
      </c>
      <c r="AS1454" t="s">
        <v>61</v>
      </c>
      <c r="AT1454" t="s">
        <v>61</v>
      </c>
      <c r="AU1454" t="s">
        <v>61</v>
      </c>
      <c r="AV1454" t="s">
        <v>61</v>
      </c>
      <c r="AW1454" t="s">
        <v>61</v>
      </c>
      <c r="AX1454" t="s">
        <v>61</v>
      </c>
      <c r="AY1454" t="s">
        <v>61</v>
      </c>
      <c r="AZ1454" t="s">
        <v>61</v>
      </c>
      <c r="BA1454" t="s">
        <v>61</v>
      </c>
      <c r="BB1454" t="s">
        <v>61</v>
      </c>
      <c r="BC1454" t="s">
        <v>61</v>
      </c>
      <c r="BD1454" t="s">
        <v>61</v>
      </c>
      <c r="BE1454" t="s">
        <v>61</v>
      </c>
      <c r="BF1454" t="s">
        <v>61</v>
      </c>
    </row>
    <row r="1455" spans="1:58">
      <c r="A1455" t="s">
        <v>58</v>
      </c>
      <c r="B1455" t="s">
        <v>11919</v>
      </c>
      <c r="C1455" t="s">
        <v>11920</v>
      </c>
      <c r="D1455" t="s">
        <v>11921</v>
      </c>
      <c r="E1455" t="s">
        <v>61</v>
      </c>
      <c r="F1455">
        <v>2013</v>
      </c>
      <c r="G1455" t="s">
        <v>61</v>
      </c>
      <c r="H1455">
        <v>17</v>
      </c>
      <c r="I1455">
        <v>3</v>
      </c>
      <c r="J1455">
        <v>175</v>
      </c>
      <c r="K1455">
        <v>180</v>
      </c>
      <c r="L1455" t="s">
        <v>11922</v>
      </c>
      <c r="M1455" t="s">
        <v>11923</v>
      </c>
      <c r="N1455" t="s">
        <v>11924</v>
      </c>
      <c r="O1455" t="s">
        <v>61</v>
      </c>
      <c r="Q1455" t="s">
        <v>61</v>
      </c>
      <c r="R1455" t="s">
        <v>61</v>
      </c>
      <c r="S1455" t="s">
        <v>61</v>
      </c>
      <c r="T1455" t="s">
        <v>61</v>
      </c>
      <c r="X1455" t="s">
        <v>61</v>
      </c>
      <c r="Y1455" t="s">
        <v>11925</v>
      </c>
      <c r="Z1455" t="s">
        <v>61</v>
      </c>
      <c r="AA1455" t="s">
        <v>61</v>
      </c>
      <c r="AB1455">
        <v>2013579080</v>
      </c>
      <c r="AC1455" t="s">
        <v>11926</v>
      </c>
      <c r="AD1455" t="s">
        <v>61</v>
      </c>
      <c r="AE1455" t="s">
        <v>61</v>
      </c>
      <c r="AF1455" t="s">
        <v>61</v>
      </c>
      <c r="AG1455" t="s">
        <v>61</v>
      </c>
      <c r="AH1455" t="s">
        <v>61</v>
      </c>
      <c r="AI1455" t="s">
        <v>61</v>
      </c>
      <c r="AJ1455" t="s">
        <v>61</v>
      </c>
      <c r="AK1455" t="s">
        <v>61</v>
      </c>
      <c r="AL1455" t="s">
        <v>61</v>
      </c>
      <c r="AM1455" t="s">
        <v>11927</v>
      </c>
      <c r="AN1455" t="s">
        <v>61</v>
      </c>
      <c r="AO1455" t="s">
        <v>61</v>
      </c>
      <c r="AP1455" t="s">
        <v>61</v>
      </c>
      <c r="AQ1455" t="s">
        <v>61</v>
      </c>
      <c r="AR1455" t="s">
        <v>61</v>
      </c>
      <c r="AS1455" t="s">
        <v>61</v>
      </c>
      <c r="AT1455" t="s">
        <v>61</v>
      </c>
      <c r="AU1455" t="s">
        <v>61</v>
      </c>
      <c r="AV1455" t="s">
        <v>61</v>
      </c>
      <c r="AW1455" t="s">
        <v>61</v>
      </c>
      <c r="AX1455" t="s">
        <v>61</v>
      </c>
      <c r="AY1455" t="s">
        <v>61</v>
      </c>
      <c r="AZ1455" t="s">
        <v>61</v>
      </c>
      <c r="BA1455" t="s">
        <v>61</v>
      </c>
      <c r="BB1455" t="s">
        <v>61</v>
      </c>
      <c r="BC1455" t="s">
        <v>61</v>
      </c>
      <c r="BD1455" t="s">
        <v>61</v>
      </c>
      <c r="BE1455" t="s">
        <v>61</v>
      </c>
      <c r="BF1455" t="s">
        <v>61</v>
      </c>
    </row>
    <row r="1456" spans="1:58">
      <c r="A1456" t="s">
        <v>58</v>
      </c>
      <c r="B1456" t="s">
        <v>11928</v>
      </c>
      <c r="C1456" t="s">
        <v>11929</v>
      </c>
      <c r="D1456" t="s">
        <v>428</v>
      </c>
      <c r="E1456" t="s">
        <v>61</v>
      </c>
      <c r="F1456">
        <v>2010</v>
      </c>
      <c r="G1456" t="s">
        <v>429</v>
      </c>
      <c r="H1456">
        <v>23</v>
      </c>
      <c r="I1456">
        <v>2</v>
      </c>
      <c r="J1456">
        <v>157</v>
      </c>
      <c r="K1456" t="s">
        <v>61</v>
      </c>
      <c r="L1456" t="s">
        <v>11930</v>
      </c>
      <c r="M1456" t="s">
        <v>11931</v>
      </c>
      <c r="N1456" t="s">
        <v>11932</v>
      </c>
      <c r="O1456" t="s">
        <v>61</v>
      </c>
      <c r="Q1456" t="s">
        <v>61</v>
      </c>
      <c r="R1456" t="s">
        <v>61</v>
      </c>
      <c r="S1456" t="s">
        <v>61</v>
      </c>
      <c r="T1456" t="s">
        <v>61</v>
      </c>
      <c r="X1456" t="s">
        <v>61</v>
      </c>
      <c r="Y1456" t="s">
        <v>433</v>
      </c>
      <c r="Z1456" t="s">
        <v>61</v>
      </c>
      <c r="AA1456" t="s">
        <v>61</v>
      </c>
      <c r="AB1456" t="s">
        <v>61</v>
      </c>
      <c r="AC1456" t="s">
        <v>67</v>
      </c>
      <c r="AD1456" t="s">
        <v>61</v>
      </c>
      <c r="AE1456" t="s">
        <v>61</v>
      </c>
      <c r="AF1456" t="s">
        <v>61</v>
      </c>
      <c r="AG1456" t="s">
        <v>61</v>
      </c>
      <c r="AH1456" t="s">
        <v>61</v>
      </c>
      <c r="AI1456" t="s">
        <v>61</v>
      </c>
      <c r="AJ1456" t="s">
        <v>61</v>
      </c>
      <c r="AK1456" t="s">
        <v>61</v>
      </c>
      <c r="AL1456" t="s">
        <v>61</v>
      </c>
      <c r="AM1456" t="s">
        <v>11929</v>
      </c>
      <c r="AN1456" t="s">
        <v>61</v>
      </c>
      <c r="AO1456" t="s">
        <v>61</v>
      </c>
      <c r="AP1456" t="s">
        <v>61</v>
      </c>
      <c r="AQ1456" t="s">
        <v>61</v>
      </c>
      <c r="AR1456" t="s">
        <v>61</v>
      </c>
      <c r="AS1456" t="s">
        <v>61</v>
      </c>
      <c r="AT1456" t="s">
        <v>61</v>
      </c>
      <c r="AU1456" t="s">
        <v>61</v>
      </c>
      <c r="AV1456" t="s">
        <v>61</v>
      </c>
      <c r="AW1456" t="s">
        <v>61</v>
      </c>
      <c r="AX1456" t="s">
        <v>61</v>
      </c>
      <c r="AY1456" t="s">
        <v>61</v>
      </c>
      <c r="AZ1456" t="s">
        <v>61</v>
      </c>
      <c r="BA1456" t="s">
        <v>61</v>
      </c>
      <c r="BB1456" t="s">
        <v>61</v>
      </c>
      <c r="BC1456" t="s">
        <v>61</v>
      </c>
      <c r="BD1456" t="s">
        <v>61</v>
      </c>
      <c r="BE1456" t="s">
        <v>61</v>
      </c>
      <c r="BF1456" t="s">
        <v>61</v>
      </c>
    </row>
    <row r="1457" spans="1:58">
      <c r="A1457" t="s">
        <v>58</v>
      </c>
      <c r="B1457" t="s">
        <v>11933</v>
      </c>
      <c r="C1457" t="s">
        <v>11934</v>
      </c>
      <c r="D1457" t="s">
        <v>11935</v>
      </c>
      <c r="E1457" t="s">
        <v>61</v>
      </c>
      <c r="F1457">
        <v>2011</v>
      </c>
      <c r="G1457" t="s">
        <v>11936</v>
      </c>
      <c r="H1457">
        <v>2</v>
      </c>
      <c r="I1457">
        <v>4</v>
      </c>
      <c r="J1457">
        <v>95</v>
      </c>
      <c r="K1457">
        <v>103</v>
      </c>
      <c r="L1457" t="s">
        <v>11937</v>
      </c>
      <c r="M1457" t="s">
        <v>11938</v>
      </c>
      <c r="N1457" t="s">
        <v>11939</v>
      </c>
      <c r="O1457" t="s">
        <v>61</v>
      </c>
      <c r="Q1457" t="s">
        <v>61</v>
      </c>
      <c r="R1457" t="s">
        <v>61</v>
      </c>
      <c r="S1457" t="s">
        <v>61</v>
      </c>
      <c r="T1457" t="s">
        <v>61</v>
      </c>
      <c r="X1457" t="s">
        <v>61</v>
      </c>
      <c r="Y1457" t="s">
        <v>11940</v>
      </c>
      <c r="Z1457" t="s">
        <v>61</v>
      </c>
      <c r="AA1457" t="s">
        <v>61</v>
      </c>
      <c r="AB1457">
        <v>2012020378</v>
      </c>
      <c r="AC1457" t="s">
        <v>67</v>
      </c>
      <c r="AD1457" t="s">
        <v>61</v>
      </c>
      <c r="AE1457" t="s">
        <v>61</v>
      </c>
      <c r="AF1457" t="s">
        <v>61</v>
      </c>
      <c r="AG1457" t="s">
        <v>61</v>
      </c>
      <c r="AH1457" t="s">
        <v>61</v>
      </c>
      <c r="AI1457" t="s">
        <v>61</v>
      </c>
      <c r="AJ1457" t="s">
        <v>61</v>
      </c>
      <c r="AK1457" t="s">
        <v>61</v>
      </c>
      <c r="AL1457" t="s">
        <v>61</v>
      </c>
      <c r="AM1457" t="s">
        <v>11934</v>
      </c>
      <c r="AN1457" t="s">
        <v>61</v>
      </c>
      <c r="AO1457" t="s">
        <v>61</v>
      </c>
      <c r="AP1457" t="s">
        <v>61</v>
      </c>
      <c r="AQ1457" t="s">
        <v>61</v>
      </c>
      <c r="AR1457" t="s">
        <v>61</v>
      </c>
      <c r="AS1457" t="s">
        <v>61</v>
      </c>
      <c r="AT1457" t="s">
        <v>61</v>
      </c>
      <c r="AU1457" t="s">
        <v>61</v>
      </c>
      <c r="AV1457" t="s">
        <v>61</v>
      </c>
      <c r="AW1457" t="s">
        <v>61</v>
      </c>
      <c r="AX1457" t="s">
        <v>61</v>
      </c>
      <c r="AY1457" t="s">
        <v>61</v>
      </c>
      <c r="AZ1457" t="s">
        <v>61</v>
      </c>
      <c r="BA1457" t="s">
        <v>61</v>
      </c>
      <c r="BB1457" t="s">
        <v>61</v>
      </c>
      <c r="BC1457" t="s">
        <v>61</v>
      </c>
      <c r="BD1457" t="s">
        <v>61</v>
      </c>
      <c r="BE1457" t="s">
        <v>61</v>
      </c>
      <c r="BF1457" t="s">
        <v>61</v>
      </c>
    </row>
    <row r="1458" spans="1:58">
      <c r="A1458" t="s">
        <v>58</v>
      </c>
      <c r="B1458" t="s">
        <v>11941</v>
      </c>
      <c r="C1458" t="s">
        <v>11942</v>
      </c>
      <c r="D1458" t="s">
        <v>153</v>
      </c>
      <c r="E1458" t="s">
        <v>61</v>
      </c>
      <c r="F1458">
        <v>2012</v>
      </c>
      <c r="G1458" t="s">
        <v>739</v>
      </c>
      <c r="H1458">
        <v>52</v>
      </c>
      <c r="I1458">
        <v>5</v>
      </c>
      <c r="J1458">
        <v>603</v>
      </c>
      <c r="K1458">
        <v>612</v>
      </c>
      <c r="L1458" t="s">
        <v>11943</v>
      </c>
      <c r="M1458" t="s">
        <v>11944</v>
      </c>
      <c r="N1458" t="s">
        <v>11945</v>
      </c>
      <c r="O1458" t="s">
        <v>61</v>
      </c>
      <c r="Q1458" t="s">
        <v>61</v>
      </c>
      <c r="R1458" t="s">
        <v>61</v>
      </c>
      <c r="S1458" t="s">
        <v>61</v>
      </c>
      <c r="T1458" t="s">
        <v>61</v>
      </c>
      <c r="X1458" t="s">
        <v>61</v>
      </c>
      <c r="Y1458" t="s">
        <v>157</v>
      </c>
      <c r="Z1458" t="s">
        <v>61</v>
      </c>
      <c r="AA1458" t="s">
        <v>11946</v>
      </c>
      <c r="AB1458">
        <v>23023840</v>
      </c>
      <c r="AC1458" t="s">
        <v>67</v>
      </c>
      <c r="AD1458" t="s">
        <v>61</v>
      </c>
      <c r="AE1458" t="s">
        <v>61</v>
      </c>
      <c r="AF1458" t="s">
        <v>61</v>
      </c>
      <c r="AG1458" t="s">
        <v>11947</v>
      </c>
      <c r="AH1458" t="s">
        <v>61</v>
      </c>
      <c r="AI1458" t="s">
        <v>61</v>
      </c>
      <c r="AJ1458" t="s">
        <v>61</v>
      </c>
      <c r="AK1458" t="s">
        <v>61</v>
      </c>
      <c r="AL1458" t="s">
        <v>61</v>
      </c>
      <c r="AM1458" t="s">
        <v>11948</v>
      </c>
      <c r="AN1458" t="s">
        <v>61</v>
      </c>
      <c r="AO1458" t="s">
        <v>61</v>
      </c>
      <c r="AP1458" t="s">
        <v>61</v>
      </c>
      <c r="AQ1458" t="s">
        <v>61</v>
      </c>
      <c r="AR1458" t="s">
        <v>61</v>
      </c>
      <c r="AS1458" t="s">
        <v>61</v>
      </c>
      <c r="AT1458" t="s">
        <v>61</v>
      </c>
      <c r="AU1458" t="s">
        <v>61</v>
      </c>
      <c r="AV1458" t="s">
        <v>61</v>
      </c>
      <c r="AW1458" t="s">
        <v>61</v>
      </c>
      <c r="AX1458" t="s">
        <v>61</v>
      </c>
      <c r="AY1458" t="s">
        <v>61</v>
      </c>
      <c r="AZ1458" t="s">
        <v>61</v>
      </c>
      <c r="BA1458" t="s">
        <v>61</v>
      </c>
      <c r="BB1458" t="s">
        <v>61</v>
      </c>
      <c r="BC1458" t="s">
        <v>61</v>
      </c>
      <c r="BD1458" t="s">
        <v>61</v>
      </c>
      <c r="BE1458" t="s">
        <v>61</v>
      </c>
      <c r="BF1458" t="s">
        <v>61</v>
      </c>
    </row>
    <row r="1459" spans="1:58">
      <c r="A1459" t="s">
        <v>58</v>
      </c>
      <c r="B1459" t="s">
        <v>11949</v>
      </c>
      <c r="C1459" t="s">
        <v>11950</v>
      </c>
      <c r="D1459" t="s">
        <v>627</v>
      </c>
      <c r="E1459" t="s">
        <v>61</v>
      </c>
      <c r="F1459">
        <v>2012</v>
      </c>
      <c r="G1459" t="s">
        <v>628</v>
      </c>
      <c r="H1459">
        <v>52</v>
      </c>
      <c r="I1459">
        <v>2</v>
      </c>
      <c r="J1459">
        <v>233</v>
      </c>
      <c r="K1459" t="s">
        <v>61</v>
      </c>
      <c r="L1459" t="s">
        <v>11951</v>
      </c>
      <c r="M1459" t="s">
        <v>11952</v>
      </c>
      <c r="N1459" t="s">
        <v>11953</v>
      </c>
      <c r="O1459" t="s">
        <v>61</v>
      </c>
      <c r="Q1459" t="s">
        <v>61</v>
      </c>
      <c r="R1459" t="s">
        <v>61</v>
      </c>
      <c r="S1459" t="s">
        <v>61</v>
      </c>
      <c r="T1459" t="s">
        <v>61</v>
      </c>
      <c r="X1459" t="s">
        <v>61</v>
      </c>
      <c r="Y1459" t="s">
        <v>632</v>
      </c>
      <c r="Z1459" t="s">
        <v>61</v>
      </c>
      <c r="AA1459" t="s">
        <v>61</v>
      </c>
      <c r="AB1459" t="s">
        <v>61</v>
      </c>
      <c r="AC1459" t="s">
        <v>67</v>
      </c>
      <c r="AD1459" t="s">
        <v>61</v>
      </c>
      <c r="AE1459" t="s">
        <v>61</v>
      </c>
      <c r="AF1459" t="s">
        <v>61</v>
      </c>
      <c r="AG1459" t="s">
        <v>61</v>
      </c>
      <c r="AH1459" t="s">
        <v>61</v>
      </c>
      <c r="AI1459" t="s">
        <v>61</v>
      </c>
      <c r="AJ1459" t="s">
        <v>61</v>
      </c>
      <c r="AK1459" t="s">
        <v>61</v>
      </c>
      <c r="AL1459" t="s">
        <v>61</v>
      </c>
      <c r="AM1459" t="s">
        <v>11950</v>
      </c>
      <c r="AN1459" t="s">
        <v>61</v>
      </c>
      <c r="AO1459" t="s">
        <v>61</v>
      </c>
      <c r="AP1459" t="s">
        <v>61</v>
      </c>
      <c r="AQ1459" t="s">
        <v>61</v>
      </c>
      <c r="AR1459" t="s">
        <v>61</v>
      </c>
      <c r="AS1459" t="s">
        <v>61</v>
      </c>
      <c r="AT1459" t="s">
        <v>61</v>
      </c>
      <c r="AU1459" t="s">
        <v>61</v>
      </c>
      <c r="AV1459" t="s">
        <v>61</v>
      </c>
      <c r="AW1459" t="s">
        <v>61</v>
      </c>
      <c r="AX1459" t="s">
        <v>61</v>
      </c>
      <c r="AY1459" t="s">
        <v>61</v>
      </c>
      <c r="AZ1459" t="s">
        <v>61</v>
      </c>
      <c r="BA1459" t="s">
        <v>61</v>
      </c>
      <c r="BB1459" t="s">
        <v>61</v>
      </c>
      <c r="BC1459" t="s">
        <v>61</v>
      </c>
      <c r="BD1459" t="s">
        <v>61</v>
      </c>
      <c r="BE1459" t="s">
        <v>61</v>
      </c>
      <c r="BF1459" t="s">
        <v>61</v>
      </c>
    </row>
    <row r="1460" spans="1:58">
      <c r="A1460" t="s">
        <v>58</v>
      </c>
      <c r="B1460" t="s">
        <v>11954</v>
      </c>
      <c r="C1460" t="s">
        <v>11955</v>
      </c>
      <c r="D1460" t="s">
        <v>153</v>
      </c>
      <c r="E1460" t="s">
        <v>61</v>
      </c>
      <c r="F1460">
        <v>2009</v>
      </c>
      <c r="G1460" t="s">
        <v>739</v>
      </c>
      <c r="H1460">
        <v>49</v>
      </c>
      <c r="I1460">
        <v>5</v>
      </c>
      <c r="J1460">
        <v>642</v>
      </c>
      <c r="K1460">
        <v>651</v>
      </c>
      <c r="L1460" t="s">
        <v>11956</v>
      </c>
      <c r="M1460" t="s">
        <v>11957</v>
      </c>
      <c r="N1460" t="s">
        <v>11958</v>
      </c>
      <c r="O1460" t="s">
        <v>61</v>
      </c>
      <c r="Q1460" t="s">
        <v>61</v>
      </c>
      <c r="R1460" t="s">
        <v>61</v>
      </c>
      <c r="S1460" t="s">
        <v>61</v>
      </c>
      <c r="T1460" t="s">
        <v>61</v>
      </c>
      <c r="X1460" t="s">
        <v>61</v>
      </c>
      <c r="Y1460" t="s">
        <v>157</v>
      </c>
      <c r="Z1460" t="s">
        <v>61</v>
      </c>
      <c r="AA1460" t="s">
        <v>11959</v>
      </c>
      <c r="AB1460">
        <v>19748873</v>
      </c>
      <c r="AC1460" t="s">
        <v>67</v>
      </c>
      <c r="AD1460" t="s">
        <v>61</v>
      </c>
      <c r="AE1460" t="s">
        <v>61</v>
      </c>
      <c r="AF1460" t="s">
        <v>61</v>
      </c>
      <c r="AG1460" t="s">
        <v>11960</v>
      </c>
      <c r="AH1460" t="s">
        <v>61</v>
      </c>
      <c r="AI1460" t="s">
        <v>11961</v>
      </c>
      <c r="AJ1460" t="s">
        <v>61</v>
      </c>
      <c r="AK1460" t="s">
        <v>61</v>
      </c>
      <c r="AL1460" t="s">
        <v>61</v>
      </c>
      <c r="AM1460" t="s">
        <v>11962</v>
      </c>
      <c r="AN1460" t="s">
        <v>61</v>
      </c>
      <c r="AO1460" t="s">
        <v>61</v>
      </c>
      <c r="AP1460" t="s">
        <v>61</v>
      </c>
      <c r="AQ1460" t="s">
        <v>61</v>
      </c>
      <c r="AR1460" t="s">
        <v>61</v>
      </c>
      <c r="AS1460" t="s">
        <v>61</v>
      </c>
      <c r="AT1460" t="s">
        <v>61</v>
      </c>
      <c r="AU1460" t="s">
        <v>61</v>
      </c>
      <c r="AV1460" t="s">
        <v>61</v>
      </c>
      <c r="AW1460" t="s">
        <v>61</v>
      </c>
      <c r="AX1460" t="s">
        <v>61</v>
      </c>
      <c r="AY1460" t="s">
        <v>61</v>
      </c>
      <c r="AZ1460" t="s">
        <v>61</v>
      </c>
      <c r="BA1460" t="s">
        <v>61</v>
      </c>
      <c r="BB1460" t="s">
        <v>61</v>
      </c>
      <c r="BC1460" t="s">
        <v>61</v>
      </c>
      <c r="BD1460" t="s">
        <v>61</v>
      </c>
      <c r="BE1460" t="s">
        <v>61</v>
      </c>
      <c r="BF1460" t="s">
        <v>61</v>
      </c>
    </row>
    <row r="1461" spans="1:58">
      <c r="A1461" t="s">
        <v>58</v>
      </c>
      <c r="B1461" t="s">
        <v>11963</v>
      </c>
      <c r="C1461" t="s">
        <v>11964</v>
      </c>
      <c r="D1461" t="s">
        <v>475</v>
      </c>
      <c r="E1461" t="s">
        <v>61</v>
      </c>
      <c r="F1461">
        <v>2012</v>
      </c>
      <c r="G1461" t="s">
        <v>381</v>
      </c>
      <c r="H1461">
        <v>34</v>
      </c>
      <c r="I1461">
        <v>1</v>
      </c>
      <c r="J1461">
        <v>152</v>
      </c>
      <c r="K1461">
        <v>153</v>
      </c>
      <c r="L1461" t="s">
        <v>11965</v>
      </c>
      <c r="M1461" t="s">
        <v>11966</v>
      </c>
      <c r="N1461" t="s">
        <v>11967</v>
      </c>
      <c r="O1461" t="s">
        <v>61</v>
      </c>
      <c r="Q1461" t="s">
        <v>61</v>
      </c>
      <c r="R1461" t="s">
        <v>61</v>
      </c>
      <c r="S1461" t="s">
        <v>61</v>
      </c>
      <c r="T1461" t="s">
        <v>61</v>
      </c>
      <c r="X1461" t="s">
        <v>61</v>
      </c>
      <c r="Y1461" t="s">
        <v>308</v>
      </c>
      <c r="Z1461" t="s">
        <v>61</v>
      </c>
      <c r="AA1461" t="s">
        <v>61</v>
      </c>
      <c r="AB1461" t="s">
        <v>61</v>
      </c>
      <c r="AC1461" t="s">
        <v>67</v>
      </c>
      <c r="AD1461" t="s">
        <v>61</v>
      </c>
      <c r="AE1461" t="s">
        <v>61</v>
      </c>
      <c r="AF1461" t="s">
        <v>61</v>
      </c>
      <c r="AG1461" t="s">
        <v>61</v>
      </c>
      <c r="AH1461" t="s">
        <v>61</v>
      </c>
      <c r="AI1461" t="s">
        <v>61</v>
      </c>
      <c r="AJ1461" t="s">
        <v>61</v>
      </c>
      <c r="AK1461" t="s">
        <v>61</v>
      </c>
      <c r="AL1461" t="s">
        <v>61</v>
      </c>
      <c r="AM1461" t="s">
        <v>11964</v>
      </c>
      <c r="AN1461" t="s">
        <v>61</v>
      </c>
      <c r="AO1461" t="s">
        <v>61</v>
      </c>
      <c r="AP1461" t="s">
        <v>61</v>
      </c>
      <c r="AQ1461" t="s">
        <v>61</v>
      </c>
      <c r="AR1461" t="s">
        <v>61</v>
      </c>
      <c r="AS1461" t="s">
        <v>61</v>
      </c>
      <c r="AT1461" t="s">
        <v>61</v>
      </c>
      <c r="AU1461" t="s">
        <v>61</v>
      </c>
      <c r="AV1461" t="s">
        <v>61</v>
      </c>
      <c r="AW1461" t="s">
        <v>61</v>
      </c>
      <c r="AX1461" t="s">
        <v>61</v>
      </c>
      <c r="AY1461" t="s">
        <v>61</v>
      </c>
      <c r="AZ1461" t="s">
        <v>61</v>
      </c>
      <c r="BA1461" t="s">
        <v>61</v>
      </c>
      <c r="BB1461" t="s">
        <v>61</v>
      </c>
      <c r="BC1461" t="s">
        <v>61</v>
      </c>
      <c r="BD1461" t="s">
        <v>61</v>
      </c>
      <c r="BE1461" t="s">
        <v>61</v>
      </c>
      <c r="BF1461" t="s">
        <v>61</v>
      </c>
    </row>
    <row r="1462" spans="1:58">
      <c r="A1462" t="s">
        <v>58</v>
      </c>
      <c r="B1462" t="s">
        <v>11968</v>
      </c>
      <c r="C1462" t="s">
        <v>11969</v>
      </c>
      <c r="D1462" t="s">
        <v>1749</v>
      </c>
      <c r="E1462" t="s">
        <v>1750</v>
      </c>
      <c r="F1462">
        <v>2000</v>
      </c>
      <c r="G1462" t="s">
        <v>363</v>
      </c>
      <c r="H1462">
        <v>55</v>
      </c>
      <c r="I1462">
        <v>10</v>
      </c>
      <c r="J1462">
        <v>707</v>
      </c>
      <c r="K1462">
        <v>711</v>
      </c>
      <c r="L1462" t="s">
        <v>11970</v>
      </c>
      <c r="M1462" t="s">
        <v>11971</v>
      </c>
      <c r="N1462" t="s">
        <v>11972</v>
      </c>
      <c r="O1462" t="s">
        <v>61</v>
      </c>
      <c r="Q1462" t="s">
        <v>61</v>
      </c>
      <c r="R1462" t="s">
        <v>61</v>
      </c>
      <c r="S1462" t="s">
        <v>61</v>
      </c>
      <c r="T1462" t="s">
        <v>61</v>
      </c>
      <c r="X1462" t="s">
        <v>61</v>
      </c>
      <c r="Y1462" t="s">
        <v>5161</v>
      </c>
      <c r="Z1462" t="s">
        <v>61</v>
      </c>
      <c r="AA1462" t="s">
        <v>11973</v>
      </c>
      <c r="AB1462">
        <v>10663447</v>
      </c>
      <c r="AC1462" t="s">
        <v>67</v>
      </c>
      <c r="AD1462" t="s">
        <v>61</v>
      </c>
      <c r="AE1462" t="s">
        <v>61</v>
      </c>
      <c r="AF1462" t="s">
        <v>61</v>
      </c>
      <c r="AG1462" t="s">
        <v>11974</v>
      </c>
      <c r="AH1462" t="s">
        <v>61</v>
      </c>
      <c r="AI1462" t="s">
        <v>61</v>
      </c>
      <c r="AJ1462" t="s">
        <v>61</v>
      </c>
      <c r="AK1462" t="s">
        <v>61</v>
      </c>
      <c r="AL1462" t="s">
        <v>61</v>
      </c>
      <c r="AM1462" t="s">
        <v>11975</v>
      </c>
      <c r="AN1462" t="s">
        <v>61</v>
      </c>
      <c r="AO1462" t="s">
        <v>61</v>
      </c>
      <c r="AP1462" t="s">
        <v>61</v>
      </c>
      <c r="AQ1462" t="s">
        <v>61</v>
      </c>
      <c r="AR1462" t="s">
        <v>61</v>
      </c>
      <c r="AS1462" t="s">
        <v>61</v>
      </c>
      <c r="AT1462" t="s">
        <v>61</v>
      </c>
      <c r="AU1462" t="s">
        <v>61</v>
      </c>
      <c r="AV1462" t="s">
        <v>61</v>
      </c>
      <c r="AW1462" t="s">
        <v>61</v>
      </c>
      <c r="AX1462" t="s">
        <v>61</v>
      </c>
      <c r="AY1462" t="s">
        <v>61</v>
      </c>
      <c r="AZ1462" t="s">
        <v>61</v>
      </c>
      <c r="BA1462" t="s">
        <v>61</v>
      </c>
      <c r="BB1462" t="s">
        <v>61</v>
      </c>
      <c r="BC1462" t="s">
        <v>61</v>
      </c>
      <c r="BD1462" t="s">
        <v>61</v>
      </c>
      <c r="BE1462" t="s">
        <v>61</v>
      </c>
      <c r="BF1462" t="s">
        <v>61</v>
      </c>
    </row>
    <row r="1463" spans="1:58">
      <c r="A1463" t="s">
        <v>58</v>
      </c>
      <c r="B1463" t="s">
        <v>11976</v>
      </c>
      <c r="C1463" t="s">
        <v>11977</v>
      </c>
      <c r="D1463" t="s">
        <v>11978</v>
      </c>
      <c r="E1463" t="s">
        <v>11979</v>
      </c>
      <c r="F1463">
        <v>2006</v>
      </c>
      <c r="G1463" t="s">
        <v>1152</v>
      </c>
      <c r="H1463">
        <v>14</v>
      </c>
      <c r="I1463">
        <v>3</v>
      </c>
      <c r="J1463">
        <v>117</v>
      </c>
      <c r="K1463">
        <v>121</v>
      </c>
      <c r="L1463" t="s">
        <v>11980</v>
      </c>
      <c r="M1463" t="s">
        <v>11981</v>
      </c>
      <c r="N1463" t="s">
        <v>11982</v>
      </c>
      <c r="O1463" t="s">
        <v>61</v>
      </c>
      <c r="Q1463" t="s">
        <v>61</v>
      </c>
      <c r="R1463" t="s">
        <v>61</v>
      </c>
      <c r="S1463" t="s">
        <v>61</v>
      </c>
      <c r="T1463" t="s">
        <v>61</v>
      </c>
      <c r="X1463" t="s">
        <v>61</v>
      </c>
      <c r="Y1463" t="s">
        <v>11983</v>
      </c>
      <c r="Z1463" t="s">
        <v>61</v>
      </c>
      <c r="AA1463" t="s">
        <v>11984</v>
      </c>
      <c r="AB1463">
        <v>17152222</v>
      </c>
      <c r="AC1463" t="s">
        <v>67</v>
      </c>
      <c r="AD1463" t="s">
        <v>61</v>
      </c>
      <c r="AE1463" t="s">
        <v>61</v>
      </c>
      <c r="AF1463" t="s">
        <v>61</v>
      </c>
      <c r="AG1463" t="s">
        <v>11985</v>
      </c>
      <c r="AH1463" t="s">
        <v>61</v>
      </c>
      <c r="AI1463" t="s">
        <v>61</v>
      </c>
      <c r="AJ1463" t="s">
        <v>61</v>
      </c>
      <c r="AK1463" t="s">
        <v>61</v>
      </c>
      <c r="AL1463" t="s">
        <v>61</v>
      </c>
      <c r="AM1463" t="s">
        <v>11986</v>
      </c>
      <c r="AN1463" t="s">
        <v>61</v>
      </c>
      <c r="AO1463" t="s">
        <v>61</v>
      </c>
      <c r="AP1463" t="s">
        <v>61</v>
      </c>
      <c r="AQ1463" t="s">
        <v>61</v>
      </c>
      <c r="AR1463" t="s">
        <v>61</v>
      </c>
      <c r="AS1463" t="s">
        <v>61</v>
      </c>
      <c r="AT1463" t="s">
        <v>61</v>
      </c>
      <c r="AU1463" t="s">
        <v>61</v>
      </c>
      <c r="AV1463" t="s">
        <v>61</v>
      </c>
      <c r="AW1463" t="s">
        <v>61</v>
      </c>
      <c r="AX1463" t="s">
        <v>61</v>
      </c>
      <c r="AY1463" t="s">
        <v>61</v>
      </c>
      <c r="AZ1463" t="s">
        <v>61</v>
      </c>
      <c r="BA1463" t="s">
        <v>61</v>
      </c>
      <c r="BB1463" t="s">
        <v>61</v>
      </c>
      <c r="BC1463" t="s">
        <v>61</v>
      </c>
      <c r="BD1463" t="s">
        <v>61</v>
      </c>
      <c r="BE1463" t="s">
        <v>61</v>
      </c>
      <c r="BF1463" t="s">
        <v>61</v>
      </c>
    </row>
    <row r="1464" spans="1:58">
      <c r="A1464" t="s">
        <v>58</v>
      </c>
      <c r="B1464" t="s">
        <v>11987</v>
      </c>
      <c r="C1464" t="s">
        <v>11988</v>
      </c>
      <c r="D1464" t="s">
        <v>11989</v>
      </c>
      <c r="E1464" t="s">
        <v>11990</v>
      </c>
      <c r="F1464">
        <v>2004</v>
      </c>
      <c r="G1464" t="s">
        <v>4981</v>
      </c>
      <c r="H1464" t="s">
        <v>61</v>
      </c>
      <c r="I1464">
        <v>418</v>
      </c>
      <c r="J1464">
        <v>9</v>
      </c>
      <c r="K1464">
        <v>17</v>
      </c>
      <c r="L1464" t="s">
        <v>11991</v>
      </c>
      <c r="M1464" t="s">
        <v>11992</v>
      </c>
      <c r="N1464" t="s">
        <v>11993</v>
      </c>
      <c r="O1464" t="s">
        <v>61</v>
      </c>
      <c r="Q1464" t="s">
        <v>61</v>
      </c>
      <c r="R1464" t="s">
        <v>61</v>
      </c>
      <c r="S1464" t="s">
        <v>61</v>
      </c>
      <c r="T1464" t="s">
        <v>61</v>
      </c>
      <c r="X1464" t="s">
        <v>61</v>
      </c>
      <c r="Y1464" t="s">
        <v>11994</v>
      </c>
      <c r="Z1464" t="s">
        <v>61</v>
      </c>
      <c r="AA1464" t="s">
        <v>61</v>
      </c>
      <c r="AB1464">
        <v>2004051311</v>
      </c>
      <c r="AC1464" t="s">
        <v>67</v>
      </c>
      <c r="AD1464" t="s">
        <v>61</v>
      </c>
      <c r="AE1464" t="s">
        <v>61</v>
      </c>
      <c r="AF1464" t="s">
        <v>61</v>
      </c>
      <c r="AG1464" t="s">
        <v>11995</v>
      </c>
      <c r="AH1464" t="s">
        <v>61</v>
      </c>
      <c r="AI1464" t="s">
        <v>61</v>
      </c>
      <c r="AJ1464" t="s">
        <v>61</v>
      </c>
      <c r="AK1464" t="s">
        <v>61</v>
      </c>
      <c r="AL1464" t="s">
        <v>61</v>
      </c>
      <c r="AM1464" t="s">
        <v>11996</v>
      </c>
      <c r="AN1464" t="s">
        <v>61</v>
      </c>
      <c r="AO1464" t="s">
        <v>61</v>
      </c>
      <c r="AP1464" t="s">
        <v>61</v>
      </c>
      <c r="AQ1464" t="s">
        <v>61</v>
      </c>
      <c r="AR1464" t="s">
        <v>61</v>
      </c>
      <c r="AS1464" t="s">
        <v>61</v>
      </c>
      <c r="AT1464" t="s">
        <v>61</v>
      </c>
      <c r="AU1464" t="s">
        <v>61</v>
      </c>
      <c r="AV1464" t="s">
        <v>61</v>
      </c>
      <c r="AW1464" t="s">
        <v>61</v>
      </c>
      <c r="AX1464" t="s">
        <v>61</v>
      </c>
      <c r="AY1464" t="s">
        <v>61</v>
      </c>
      <c r="AZ1464" t="s">
        <v>61</v>
      </c>
      <c r="BA1464" t="s">
        <v>61</v>
      </c>
      <c r="BB1464" t="s">
        <v>61</v>
      </c>
      <c r="BC1464" t="s">
        <v>61</v>
      </c>
      <c r="BD1464" t="s">
        <v>61</v>
      </c>
      <c r="BE1464" t="s">
        <v>61</v>
      </c>
      <c r="BF1464" t="s">
        <v>61</v>
      </c>
    </row>
    <row r="1465" spans="1:58">
      <c r="A1465" t="s">
        <v>58</v>
      </c>
      <c r="B1465" t="s">
        <v>11997</v>
      </c>
      <c r="C1465" t="s">
        <v>11998</v>
      </c>
      <c r="D1465" t="s">
        <v>11999</v>
      </c>
      <c r="E1465" t="s">
        <v>12000</v>
      </c>
      <c r="F1465">
        <v>1991</v>
      </c>
      <c r="G1465" t="s">
        <v>129</v>
      </c>
      <c r="H1465">
        <v>3</v>
      </c>
      <c r="I1465">
        <v>10</v>
      </c>
      <c r="J1465">
        <v>915</v>
      </c>
      <c r="K1465">
        <v>923</v>
      </c>
      <c r="L1465" t="s">
        <v>12001</v>
      </c>
      <c r="M1465" t="s">
        <v>12002</v>
      </c>
      <c r="N1465" t="s">
        <v>12003</v>
      </c>
      <c r="O1465" t="s">
        <v>61</v>
      </c>
      <c r="Q1465" t="s">
        <v>61</v>
      </c>
      <c r="R1465" t="s">
        <v>61</v>
      </c>
      <c r="S1465" t="s">
        <v>61</v>
      </c>
      <c r="T1465" t="s">
        <v>61</v>
      </c>
      <c r="X1465" t="s">
        <v>61</v>
      </c>
      <c r="Y1465" t="s">
        <v>12004</v>
      </c>
      <c r="Z1465" t="s">
        <v>61</v>
      </c>
      <c r="AA1465" t="s">
        <v>12005</v>
      </c>
      <c r="AB1465">
        <v>1662985</v>
      </c>
      <c r="AC1465" t="s">
        <v>67</v>
      </c>
      <c r="AD1465" t="s">
        <v>61</v>
      </c>
      <c r="AE1465" t="s">
        <v>61</v>
      </c>
      <c r="AF1465" t="s">
        <v>61</v>
      </c>
      <c r="AG1465" t="s">
        <v>12006</v>
      </c>
      <c r="AH1465" t="s">
        <v>61</v>
      </c>
      <c r="AI1465" t="s">
        <v>61</v>
      </c>
      <c r="AJ1465" t="s">
        <v>61</v>
      </c>
      <c r="AK1465" t="s">
        <v>61</v>
      </c>
      <c r="AL1465" t="s">
        <v>61</v>
      </c>
      <c r="AM1465" t="s">
        <v>12007</v>
      </c>
      <c r="AN1465" t="s">
        <v>61</v>
      </c>
      <c r="AO1465" t="s">
        <v>61</v>
      </c>
      <c r="AP1465" t="s">
        <v>61</v>
      </c>
      <c r="AQ1465" t="s">
        <v>61</v>
      </c>
      <c r="AR1465" t="s">
        <v>61</v>
      </c>
      <c r="AS1465" t="s">
        <v>61</v>
      </c>
      <c r="AT1465" t="s">
        <v>61</v>
      </c>
      <c r="AU1465" t="s">
        <v>61</v>
      </c>
      <c r="AV1465" t="s">
        <v>61</v>
      </c>
      <c r="AW1465" t="s">
        <v>61</v>
      </c>
      <c r="AX1465" t="s">
        <v>61</v>
      </c>
      <c r="AY1465" t="s">
        <v>61</v>
      </c>
      <c r="AZ1465" t="s">
        <v>61</v>
      </c>
      <c r="BA1465" t="s">
        <v>61</v>
      </c>
      <c r="BB1465" t="s">
        <v>61</v>
      </c>
      <c r="BC1465" t="s">
        <v>61</v>
      </c>
      <c r="BD1465" t="s">
        <v>61</v>
      </c>
      <c r="BE1465" t="s">
        <v>61</v>
      </c>
      <c r="BF1465" t="s">
        <v>61</v>
      </c>
    </row>
    <row r="1466" spans="1:58">
      <c r="A1466" t="s">
        <v>58</v>
      </c>
      <c r="B1466" t="s">
        <v>12008</v>
      </c>
      <c r="C1466" t="s">
        <v>12009</v>
      </c>
      <c r="D1466" t="s">
        <v>11999</v>
      </c>
      <c r="E1466" t="s">
        <v>12000</v>
      </c>
      <c r="F1466">
        <v>1991</v>
      </c>
      <c r="G1466" t="s">
        <v>61</v>
      </c>
      <c r="H1466">
        <v>3</v>
      </c>
      <c r="I1466">
        <v>10</v>
      </c>
      <c r="J1466">
        <v>915</v>
      </c>
      <c r="K1466">
        <v>923</v>
      </c>
      <c r="L1466" t="s">
        <v>12010</v>
      </c>
      <c r="M1466" t="s">
        <v>12011</v>
      </c>
      <c r="N1466" t="s">
        <v>12012</v>
      </c>
      <c r="O1466" t="s">
        <v>61</v>
      </c>
      <c r="Q1466" t="s">
        <v>61</v>
      </c>
      <c r="R1466" t="s">
        <v>61</v>
      </c>
      <c r="S1466" t="s">
        <v>61</v>
      </c>
      <c r="T1466" t="s">
        <v>61</v>
      </c>
      <c r="X1466" t="s">
        <v>61</v>
      </c>
      <c r="Y1466" t="s">
        <v>12004</v>
      </c>
      <c r="Z1466" t="s">
        <v>61</v>
      </c>
      <c r="AA1466" t="s">
        <v>61</v>
      </c>
      <c r="AB1466">
        <v>1991349911</v>
      </c>
      <c r="AC1466" t="s">
        <v>67</v>
      </c>
      <c r="AD1466" t="s">
        <v>61</v>
      </c>
      <c r="AE1466" t="s">
        <v>61</v>
      </c>
      <c r="AF1466" t="s">
        <v>61</v>
      </c>
      <c r="AG1466" t="s">
        <v>61</v>
      </c>
      <c r="AH1466" t="s">
        <v>61</v>
      </c>
      <c r="AI1466" t="s">
        <v>61</v>
      </c>
      <c r="AJ1466" t="s">
        <v>61</v>
      </c>
      <c r="AK1466" t="s">
        <v>61</v>
      </c>
      <c r="AL1466" t="s">
        <v>61</v>
      </c>
      <c r="AM1466" t="s">
        <v>12009</v>
      </c>
      <c r="AN1466" t="s">
        <v>61</v>
      </c>
      <c r="AO1466" t="s">
        <v>61</v>
      </c>
      <c r="AP1466" t="s">
        <v>61</v>
      </c>
      <c r="AQ1466" t="s">
        <v>61</v>
      </c>
      <c r="AR1466" t="s">
        <v>61</v>
      </c>
      <c r="AS1466" t="s">
        <v>61</v>
      </c>
      <c r="AT1466" t="s">
        <v>61</v>
      </c>
      <c r="AU1466" t="s">
        <v>61</v>
      </c>
      <c r="AV1466" t="s">
        <v>61</v>
      </c>
      <c r="AW1466" t="s">
        <v>61</v>
      </c>
      <c r="AX1466" t="s">
        <v>61</v>
      </c>
      <c r="AY1466" t="s">
        <v>61</v>
      </c>
      <c r="AZ1466" t="s">
        <v>61</v>
      </c>
      <c r="BA1466" t="s">
        <v>61</v>
      </c>
      <c r="BB1466" t="s">
        <v>61</v>
      </c>
      <c r="BC1466" t="s">
        <v>61</v>
      </c>
      <c r="BD1466" t="s">
        <v>61</v>
      </c>
      <c r="BE1466" t="s">
        <v>61</v>
      </c>
      <c r="BF1466" t="s">
        <v>61</v>
      </c>
    </row>
    <row r="1467" spans="1:58">
      <c r="A1467" t="s">
        <v>58</v>
      </c>
      <c r="B1467" t="s">
        <v>12013</v>
      </c>
      <c r="C1467" t="s">
        <v>12014</v>
      </c>
      <c r="D1467" t="s">
        <v>12015</v>
      </c>
      <c r="E1467" t="s">
        <v>61</v>
      </c>
      <c r="F1467">
        <v>2015</v>
      </c>
      <c r="G1467" t="s">
        <v>61</v>
      </c>
      <c r="H1467">
        <v>6</v>
      </c>
      <c r="I1467" t="s">
        <v>61</v>
      </c>
      <c r="J1467">
        <v>385</v>
      </c>
      <c r="K1467">
        <v>391</v>
      </c>
      <c r="L1467" t="s">
        <v>61</v>
      </c>
      <c r="M1467" t="s">
        <v>12016</v>
      </c>
      <c r="N1467" t="s">
        <v>12017</v>
      </c>
      <c r="O1467" t="s">
        <v>61</v>
      </c>
      <c r="Q1467" t="s">
        <v>61</v>
      </c>
      <c r="R1467" t="s">
        <v>61</v>
      </c>
      <c r="S1467" t="s">
        <v>61</v>
      </c>
      <c r="T1467" t="s">
        <v>61</v>
      </c>
      <c r="X1467" t="s">
        <v>61</v>
      </c>
      <c r="Y1467" t="s">
        <v>12018</v>
      </c>
      <c r="Z1467" t="s">
        <v>61</v>
      </c>
      <c r="AA1467" t="s">
        <v>12019</v>
      </c>
      <c r="AB1467">
        <v>26056513</v>
      </c>
      <c r="AC1467" t="s">
        <v>67</v>
      </c>
      <c r="AD1467" t="s">
        <v>61</v>
      </c>
      <c r="AE1467" t="s">
        <v>61</v>
      </c>
      <c r="AF1467" t="s">
        <v>61</v>
      </c>
      <c r="AG1467" t="s">
        <v>12020</v>
      </c>
      <c r="AH1467" t="s">
        <v>61</v>
      </c>
      <c r="AI1467" t="s">
        <v>12021</v>
      </c>
      <c r="AJ1467" t="s">
        <v>61</v>
      </c>
      <c r="AK1467" t="s">
        <v>61</v>
      </c>
      <c r="AL1467" t="s">
        <v>61</v>
      </c>
      <c r="AM1467" t="s">
        <v>12022</v>
      </c>
      <c r="AN1467" t="s">
        <v>61</v>
      </c>
      <c r="AO1467" t="s">
        <v>61</v>
      </c>
      <c r="AP1467" t="s">
        <v>61</v>
      </c>
      <c r="AQ1467" t="s">
        <v>61</v>
      </c>
      <c r="AR1467" t="s">
        <v>61</v>
      </c>
      <c r="AS1467" t="s">
        <v>61</v>
      </c>
      <c r="AT1467" t="s">
        <v>61</v>
      </c>
      <c r="AU1467" t="s">
        <v>61</v>
      </c>
      <c r="AV1467" t="s">
        <v>61</v>
      </c>
      <c r="AW1467" t="s">
        <v>61</v>
      </c>
      <c r="AX1467" t="s">
        <v>61</v>
      </c>
      <c r="AY1467" t="s">
        <v>61</v>
      </c>
      <c r="AZ1467" t="s">
        <v>61</v>
      </c>
      <c r="BA1467" t="s">
        <v>61</v>
      </c>
      <c r="BB1467" t="s">
        <v>61</v>
      </c>
      <c r="BC1467" t="s">
        <v>61</v>
      </c>
      <c r="BD1467" t="s">
        <v>61</v>
      </c>
      <c r="BE1467" t="s">
        <v>61</v>
      </c>
      <c r="BF1467" t="s">
        <v>61</v>
      </c>
    </row>
    <row r="1468" spans="1:58">
      <c r="A1468" t="s">
        <v>58</v>
      </c>
      <c r="B1468" t="s">
        <v>12023</v>
      </c>
      <c r="C1468" t="s">
        <v>12024</v>
      </c>
      <c r="D1468" t="s">
        <v>3679</v>
      </c>
      <c r="E1468" t="s">
        <v>3680</v>
      </c>
      <c r="F1468">
        <v>1985</v>
      </c>
      <c r="G1468" t="s">
        <v>12025</v>
      </c>
      <c r="H1468">
        <v>20</v>
      </c>
      <c r="I1468" s="1">
        <v>42528</v>
      </c>
      <c r="J1468">
        <v>1089</v>
      </c>
      <c r="K1468">
        <v>1112</v>
      </c>
      <c r="L1468" t="s">
        <v>12026</v>
      </c>
      <c r="M1468" t="s">
        <v>12027</v>
      </c>
      <c r="N1468" t="s">
        <v>12028</v>
      </c>
      <c r="O1468" t="s">
        <v>61</v>
      </c>
      <c r="Q1468" t="s">
        <v>61</v>
      </c>
      <c r="R1468" t="s">
        <v>61</v>
      </c>
      <c r="S1468" t="s">
        <v>61</v>
      </c>
      <c r="T1468" t="s">
        <v>61</v>
      </c>
      <c r="X1468" t="s">
        <v>61</v>
      </c>
      <c r="Y1468" t="s">
        <v>3684</v>
      </c>
      <c r="Z1468" t="s">
        <v>61</v>
      </c>
      <c r="AA1468" t="s">
        <v>61</v>
      </c>
      <c r="AB1468">
        <v>3908337</v>
      </c>
      <c r="AC1468" t="s">
        <v>67</v>
      </c>
      <c r="AD1468" t="s">
        <v>61</v>
      </c>
      <c r="AE1468" t="s">
        <v>61</v>
      </c>
      <c r="AF1468" t="s">
        <v>61</v>
      </c>
      <c r="AG1468" t="s">
        <v>12029</v>
      </c>
      <c r="AH1468" t="s">
        <v>61</v>
      </c>
      <c r="AI1468" t="s">
        <v>61</v>
      </c>
      <c r="AJ1468" t="s">
        <v>61</v>
      </c>
      <c r="AK1468" t="s">
        <v>61</v>
      </c>
      <c r="AL1468" t="s">
        <v>61</v>
      </c>
      <c r="AM1468" t="s">
        <v>12030</v>
      </c>
      <c r="AN1468" t="s">
        <v>61</v>
      </c>
      <c r="AO1468" t="s">
        <v>61</v>
      </c>
      <c r="AP1468" t="s">
        <v>61</v>
      </c>
      <c r="AQ1468" t="s">
        <v>61</v>
      </c>
      <c r="AR1468" t="s">
        <v>61</v>
      </c>
      <c r="AS1468" t="s">
        <v>61</v>
      </c>
      <c r="AT1468" t="s">
        <v>61</v>
      </c>
      <c r="AU1468" t="s">
        <v>61</v>
      </c>
      <c r="AV1468" t="s">
        <v>61</v>
      </c>
      <c r="AW1468" t="s">
        <v>61</v>
      </c>
      <c r="AX1468" t="s">
        <v>61</v>
      </c>
      <c r="AY1468" t="s">
        <v>61</v>
      </c>
      <c r="AZ1468" t="s">
        <v>61</v>
      </c>
      <c r="BA1468" t="s">
        <v>61</v>
      </c>
      <c r="BB1468" t="s">
        <v>61</v>
      </c>
      <c r="BC1468" t="s">
        <v>61</v>
      </c>
      <c r="BD1468" t="s">
        <v>61</v>
      </c>
      <c r="BE1468" t="s">
        <v>61</v>
      </c>
      <c r="BF1468" t="s">
        <v>61</v>
      </c>
    </row>
    <row r="1469" spans="1:58">
      <c r="A1469" t="s">
        <v>58</v>
      </c>
      <c r="B1469" t="s">
        <v>12031</v>
      </c>
      <c r="C1469" t="s">
        <v>12032</v>
      </c>
      <c r="D1469" t="s">
        <v>162</v>
      </c>
      <c r="E1469" t="s">
        <v>163</v>
      </c>
      <c r="F1469">
        <v>2005</v>
      </c>
      <c r="G1469" t="s">
        <v>409</v>
      </c>
      <c r="H1469">
        <v>45</v>
      </c>
      <c r="I1469">
        <v>11</v>
      </c>
      <c r="J1469">
        <v>1259</v>
      </c>
      <c r="K1469">
        <v>1267</v>
      </c>
      <c r="L1469" t="s">
        <v>12033</v>
      </c>
      <c r="M1469" t="s">
        <v>12034</v>
      </c>
      <c r="N1469" t="s">
        <v>12035</v>
      </c>
      <c r="O1469" t="s">
        <v>61</v>
      </c>
      <c r="Q1469" t="s">
        <v>61</v>
      </c>
      <c r="R1469" t="s">
        <v>61</v>
      </c>
      <c r="S1469" t="s">
        <v>61</v>
      </c>
      <c r="T1469" t="s">
        <v>61</v>
      </c>
      <c r="X1469" t="s">
        <v>61</v>
      </c>
      <c r="Y1469" t="s">
        <v>167</v>
      </c>
      <c r="Z1469" t="s">
        <v>61</v>
      </c>
      <c r="AA1469" t="s">
        <v>61</v>
      </c>
      <c r="AB1469">
        <v>2005482011</v>
      </c>
      <c r="AC1469" t="s">
        <v>67</v>
      </c>
      <c r="AD1469" t="s">
        <v>61</v>
      </c>
      <c r="AE1469" t="s">
        <v>61</v>
      </c>
      <c r="AF1469" t="s">
        <v>61</v>
      </c>
      <c r="AG1469" t="s">
        <v>12036</v>
      </c>
      <c r="AH1469" t="s">
        <v>61</v>
      </c>
      <c r="AI1469" t="s">
        <v>61</v>
      </c>
      <c r="AJ1469" t="s">
        <v>61</v>
      </c>
      <c r="AK1469" t="s">
        <v>61</v>
      </c>
      <c r="AL1469" t="s">
        <v>61</v>
      </c>
      <c r="AM1469" t="s">
        <v>12037</v>
      </c>
      <c r="AN1469" t="s">
        <v>61</v>
      </c>
      <c r="AO1469" t="s">
        <v>61</v>
      </c>
      <c r="AP1469" t="s">
        <v>61</v>
      </c>
      <c r="AQ1469" t="s">
        <v>61</v>
      </c>
      <c r="AR1469" t="s">
        <v>61</v>
      </c>
      <c r="AS1469" t="s">
        <v>61</v>
      </c>
      <c r="AT1469" t="s">
        <v>61</v>
      </c>
      <c r="AU1469" t="s">
        <v>61</v>
      </c>
      <c r="AV1469" t="s">
        <v>61</v>
      </c>
      <c r="AW1469" t="s">
        <v>61</v>
      </c>
      <c r="AX1469" t="s">
        <v>61</v>
      </c>
      <c r="AY1469" t="s">
        <v>61</v>
      </c>
      <c r="AZ1469" t="s">
        <v>61</v>
      </c>
      <c r="BA1469" t="s">
        <v>61</v>
      </c>
      <c r="BB1469" t="s">
        <v>61</v>
      </c>
      <c r="BC1469" t="s">
        <v>61</v>
      </c>
      <c r="BD1469" t="s">
        <v>61</v>
      </c>
      <c r="BE1469" t="s">
        <v>61</v>
      </c>
      <c r="BF1469" t="s">
        <v>61</v>
      </c>
    </row>
    <row r="1470" spans="1:58">
      <c r="A1470" t="s">
        <v>58</v>
      </c>
      <c r="B1470" t="s">
        <v>12038</v>
      </c>
      <c r="C1470" t="s">
        <v>12039</v>
      </c>
      <c r="D1470" t="s">
        <v>428</v>
      </c>
      <c r="E1470" t="s">
        <v>61</v>
      </c>
      <c r="F1470">
        <v>2013</v>
      </c>
      <c r="G1470" t="s">
        <v>457</v>
      </c>
      <c r="H1470">
        <v>26</v>
      </c>
      <c r="I1470">
        <v>3</v>
      </c>
      <c r="J1470">
        <v>318</v>
      </c>
      <c r="K1470">
        <v>319</v>
      </c>
      <c r="L1470" t="s">
        <v>12040</v>
      </c>
      <c r="M1470" t="s">
        <v>12041</v>
      </c>
      <c r="N1470" t="s">
        <v>12042</v>
      </c>
      <c r="O1470" t="s">
        <v>61</v>
      </c>
      <c r="Q1470" t="s">
        <v>61</v>
      </c>
      <c r="R1470" t="s">
        <v>61</v>
      </c>
      <c r="S1470" t="s">
        <v>61</v>
      </c>
      <c r="T1470" t="s">
        <v>61</v>
      </c>
      <c r="X1470" t="s">
        <v>61</v>
      </c>
      <c r="Y1470" t="s">
        <v>433</v>
      </c>
      <c r="Z1470" t="s">
        <v>61</v>
      </c>
      <c r="AA1470" t="s">
        <v>61</v>
      </c>
      <c r="AB1470" t="s">
        <v>61</v>
      </c>
      <c r="AC1470" t="s">
        <v>67</v>
      </c>
      <c r="AD1470" t="s">
        <v>61</v>
      </c>
      <c r="AE1470" t="s">
        <v>61</v>
      </c>
      <c r="AF1470" t="s">
        <v>61</v>
      </c>
      <c r="AG1470" t="s">
        <v>61</v>
      </c>
      <c r="AH1470" t="s">
        <v>61</v>
      </c>
      <c r="AI1470" t="s">
        <v>61</v>
      </c>
      <c r="AJ1470" t="s">
        <v>61</v>
      </c>
      <c r="AK1470" t="s">
        <v>61</v>
      </c>
      <c r="AL1470" t="s">
        <v>61</v>
      </c>
      <c r="AM1470" t="s">
        <v>12039</v>
      </c>
      <c r="AN1470" t="s">
        <v>61</v>
      </c>
      <c r="AO1470" t="s">
        <v>61</v>
      </c>
      <c r="AP1470" t="s">
        <v>61</v>
      </c>
      <c r="AQ1470" t="s">
        <v>61</v>
      </c>
      <c r="AR1470" t="s">
        <v>61</v>
      </c>
      <c r="AS1470" t="s">
        <v>61</v>
      </c>
      <c r="AT1470" t="s">
        <v>61</v>
      </c>
      <c r="AU1470" t="s">
        <v>61</v>
      </c>
      <c r="AV1470" t="s">
        <v>61</v>
      </c>
      <c r="AW1470" t="s">
        <v>61</v>
      </c>
      <c r="AX1470" t="s">
        <v>61</v>
      </c>
      <c r="AY1470" t="s">
        <v>61</v>
      </c>
      <c r="AZ1470" t="s">
        <v>61</v>
      </c>
      <c r="BA1470" t="s">
        <v>61</v>
      </c>
      <c r="BB1470" t="s">
        <v>61</v>
      </c>
      <c r="BC1470" t="s">
        <v>61</v>
      </c>
      <c r="BD1470" t="s">
        <v>61</v>
      </c>
      <c r="BE1470" t="s">
        <v>61</v>
      </c>
      <c r="BF1470" t="s">
        <v>61</v>
      </c>
    </row>
    <row r="1471" spans="1:58">
      <c r="A1471" t="s">
        <v>58</v>
      </c>
      <c r="B1471" t="s">
        <v>12043</v>
      </c>
      <c r="C1471" t="s">
        <v>12044</v>
      </c>
      <c r="D1471" t="s">
        <v>6122</v>
      </c>
      <c r="E1471" t="s">
        <v>6122</v>
      </c>
      <c r="F1471">
        <v>2011</v>
      </c>
      <c r="G1471" t="s">
        <v>61</v>
      </c>
      <c r="H1471">
        <v>131</v>
      </c>
      <c r="I1471">
        <v>12</v>
      </c>
      <c r="J1471">
        <v>1751</v>
      </c>
      <c r="K1471">
        <v>1753</v>
      </c>
      <c r="L1471" t="s">
        <v>12045</v>
      </c>
      <c r="M1471" t="s">
        <v>12046</v>
      </c>
      <c r="N1471" t="s">
        <v>12047</v>
      </c>
      <c r="O1471" t="s">
        <v>61</v>
      </c>
      <c r="Q1471" t="s">
        <v>61</v>
      </c>
      <c r="R1471" t="s">
        <v>61</v>
      </c>
      <c r="S1471" t="s">
        <v>61</v>
      </c>
      <c r="T1471" t="s">
        <v>61</v>
      </c>
      <c r="X1471" t="s">
        <v>61</v>
      </c>
      <c r="Y1471" t="s">
        <v>6126</v>
      </c>
      <c r="Z1471" t="s">
        <v>61</v>
      </c>
      <c r="AA1471" t="s">
        <v>61</v>
      </c>
      <c r="AB1471">
        <v>2011666578</v>
      </c>
      <c r="AC1471" t="s">
        <v>67</v>
      </c>
      <c r="AD1471" t="s">
        <v>61</v>
      </c>
      <c r="AE1471" t="s">
        <v>61</v>
      </c>
      <c r="AF1471" t="s">
        <v>61</v>
      </c>
      <c r="AG1471" t="s">
        <v>12048</v>
      </c>
      <c r="AH1471" t="s">
        <v>61</v>
      </c>
      <c r="AI1471" t="s">
        <v>61</v>
      </c>
      <c r="AJ1471" t="s">
        <v>61</v>
      </c>
      <c r="AK1471" t="s">
        <v>61</v>
      </c>
      <c r="AL1471" t="s">
        <v>61</v>
      </c>
      <c r="AM1471" t="s">
        <v>12049</v>
      </c>
      <c r="AN1471" t="s">
        <v>61</v>
      </c>
      <c r="AO1471" t="s">
        <v>61</v>
      </c>
      <c r="AP1471" t="s">
        <v>61</v>
      </c>
      <c r="AQ1471" t="s">
        <v>61</v>
      </c>
      <c r="AR1471" t="s">
        <v>61</v>
      </c>
      <c r="AS1471" t="s">
        <v>61</v>
      </c>
      <c r="AT1471" t="s">
        <v>61</v>
      </c>
      <c r="AU1471" t="s">
        <v>61</v>
      </c>
      <c r="AV1471" t="s">
        <v>61</v>
      </c>
      <c r="AW1471" t="s">
        <v>61</v>
      </c>
      <c r="AX1471" t="s">
        <v>61</v>
      </c>
      <c r="AY1471" t="s">
        <v>61</v>
      </c>
      <c r="AZ1471" t="s">
        <v>61</v>
      </c>
      <c r="BA1471" t="s">
        <v>61</v>
      </c>
      <c r="BB1471" t="s">
        <v>61</v>
      </c>
      <c r="BC1471" t="s">
        <v>61</v>
      </c>
      <c r="BD1471" t="s">
        <v>61</v>
      </c>
      <c r="BE1471" t="s">
        <v>61</v>
      </c>
      <c r="BF1471" t="s">
        <v>61</v>
      </c>
    </row>
    <row r="1472" spans="1:58">
      <c r="A1472" t="s">
        <v>58</v>
      </c>
      <c r="B1472" t="s">
        <v>12050</v>
      </c>
      <c r="C1472" t="s">
        <v>12051</v>
      </c>
      <c r="D1472" t="s">
        <v>12052</v>
      </c>
      <c r="E1472" t="s">
        <v>61</v>
      </c>
      <c r="F1472">
        <v>2002</v>
      </c>
      <c r="G1472" t="s">
        <v>237</v>
      </c>
      <c r="H1472">
        <v>92</v>
      </c>
      <c r="I1472">
        <v>7</v>
      </c>
      <c r="J1472">
        <v>547</v>
      </c>
      <c r="K1472">
        <v>549</v>
      </c>
      <c r="L1472" t="s">
        <v>12053</v>
      </c>
      <c r="M1472" t="s">
        <v>12054</v>
      </c>
      <c r="N1472" t="s">
        <v>12055</v>
      </c>
      <c r="O1472" t="s">
        <v>61</v>
      </c>
      <c r="Q1472" t="s">
        <v>61</v>
      </c>
      <c r="R1472" t="s">
        <v>61</v>
      </c>
      <c r="S1472" t="s">
        <v>61</v>
      </c>
      <c r="T1472" t="s">
        <v>61</v>
      </c>
      <c r="X1472" t="s">
        <v>61</v>
      </c>
      <c r="Y1472" t="s">
        <v>12056</v>
      </c>
      <c r="Z1472" t="s">
        <v>61</v>
      </c>
      <c r="AA1472" t="s">
        <v>12057</v>
      </c>
      <c r="AB1472">
        <v>12197198</v>
      </c>
      <c r="AC1472" t="s">
        <v>67</v>
      </c>
      <c r="AD1472" t="s">
        <v>61</v>
      </c>
      <c r="AE1472" t="s">
        <v>61</v>
      </c>
      <c r="AF1472" t="s">
        <v>61</v>
      </c>
      <c r="AG1472" t="s">
        <v>12058</v>
      </c>
      <c r="AH1472" t="s">
        <v>61</v>
      </c>
      <c r="AI1472" t="s">
        <v>61</v>
      </c>
      <c r="AJ1472" t="s">
        <v>61</v>
      </c>
      <c r="AK1472" t="s">
        <v>61</v>
      </c>
      <c r="AL1472" t="s">
        <v>61</v>
      </c>
      <c r="AM1472" t="s">
        <v>12059</v>
      </c>
      <c r="AN1472" t="s">
        <v>61</v>
      </c>
      <c r="AO1472" t="s">
        <v>61</v>
      </c>
      <c r="AP1472" t="s">
        <v>61</v>
      </c>
      <c r="AQ1472" t="s">
        <v>61</v>
      </c>
      <c r="AR1472" t="s">
        <v>61</v>
      </c>
      <c r="AS1472" t="s">
        <v>61</v>
      </c>
      <c r="AT1472" t="s">
        <v>61</v>
      </c>
      <c r="AU1472" t="s">
        <v>61</v>
      </c>
      <c r="AV1472" t="s">
        <v>61</v>
      </c>
      <c r="AW1472" t="s">
        <v>61</v>
      </c>
      <c r="AX1472" t="s">
        <v>61</v>
      </c>
      <c r="AY1472" t="s">
        <v>61</v>
      </c>
      <c r="AZ1472" t="s">
        <v>61</v>
      </c>
      <c r="BA1472" t="s">
        <v>61</v>
      </c>
      <c r="BB1472" t="s">
        <v>61</v>
      </c>
      <c r="BC1472" t="s">
        <v>61</v>
      </c>
      <c r="BD1472" t="s">
        <v>61</v>
      </c>
      <c r="BE1472" t="s">
        <v>61</v>
      </c>
      <c r="BF1472" t="s">
        <v>61</v>
      </c>
    </row>
    <row r="1473" spans="1:58">
      <c r="A1473" t="s">
        <v>58</v>
      </c>
      <c r="B1473" t="s">
        <v>12060</v>
      </c>
      <c r="C1473" t="s">
        <v>12061</v>
      </c>
      <c r="D1473" t="s">
        <v>428</v>
      </c>
      <c r="E1473" t="s">
        <v>61</v>
      </c>
      <c r="F1473">
        <v>2013</v>
      </c>
      <c r="G1473" t="s">
        <v>457</v>
      </c>
      <c r="H1473">
        <v>26</v>
      </c>
      <c r="I1473">
        <v>3</v>
      </c>
      <c r="J1473">
        <v>334</v>
      </c>
      <c r="K1473">
        <v>335</v>
      </c>
      <c r="L1473" t="s">
        <v>12062</v>
      </c>
      <c r="M1473" t="s">
        <v>12063</v>
      </c>
      <c r="N1473" t="s">
        <v>12064</v>
      </c>
      <c r="O1473" t="s">
        <v>61</v>
      </c>
      <c r="Q1473" t="s">
        <v>61</v>
      </c>
      <c r="R1473" t="s">
        <v>61</v>
      </c>
      <c r="S1473" t="s">
        <v>61</v>
      </c>
      <c r="T1473" t="s">
        <v>61</v>
      </c>
      <c r="X1473" t="s">
        <v>61</v>
      </c>
      <c r="Y1473" t="s">
        <v>433</v>
      </c>
      <c r="Z1473" t="s">
        <v>61</v>
      </c>
      <c r="AA1473" t="s">
        <v>61</v>
      </c>
      <c r="AB1473" t="s">
        <v>61</v>
      </c>
      <c r="AC1473" t="s">
        <v>67</v>
      </c>
      <c r="AD1473" t="s">
        <v>61</v>
      </c>
      <c r="AE1473" t="s">
        <v>61</v>
      </c>
      <c r="AF1473" t="s">
        <v>61</v>
      </c>
      <c r="AG1473" t="s">
        <v>61</v>
      </c>
      <c r="AH1473" t="s">
        <v>61</v>
      </c>
      <c r="AI1473" t="s">
        <v>61</v>
      </c>
      <c r="AJ1473" t="s">
        <v>61</v>
      </c>
      <c r="AK1473" t="s">
        <v>61</v>
      </c>
      <c r="AL1473" t="s">
        <v>61</v>
      </c>
      <c r="AM1473" t="s">
        <v>12061</v>
      </c>
      <c r="AN1473" t="s">
        <v>61</v>
      </c>
      <c r="AO1473" t="s">
        <v>61</v>
      </c>
      <c r="AP1473" t="s">
        <v>61</v>
      </c>
      <c r="AQ1473" t="s">
        <v>61</v>
      </c>
      <c r="AR1473" t="s">
        <v>61</v>
      </c>
      <c r="AS1473" t="s">
        <v>61</v>
      </c>
      <c r="AT1473" t="s">
        <v>61</v>
      </c>
      <c r="AU1473" t="s">
        <v>61</v>
      </c>
      <c r="AV1473" t="s">
        <v>61</v>
      </c>
      <c r="AW1473" t="s">
        <v>61</v>
      </c>
      <c r="AX1473" t="s">
        <v>61</v>
      </c>
      <c r="AY1473" t="s">
        <v>61</v>
      </c>
      <c r="AZ1473" t="s">
        <v>61</v>
      </c>
      <c r="BA1473" t="s">
        <v>61</v>
      </c>
      <c r="BB1473" t="s">
        <v>61</v>
      </c>
      <c r="BC1473" t="s">
        <v>61</v>
      </c>
      <c r="BD1473" t="s">
        <v>61</v>
      </c>
      <c r="BE1473" t="s">
        <v>61</v>
      </c>
      <c r="BF1473" t="s">
        <v>61</v>
      </c>
    </row>
    <row r="1474" spans="1:58">
      <c r="A1474" t="s">
        <v>58</v>
      </c>
      <c r="B1474" t="s">
        <v>12065</v>
      </c>
      <c r="C1474" t="s">
        <v>12066</v>
      </c>
      <c r="D1474" t="s">
        <v>2007</v>
      </c>
      <c r="E1474" t="s">
        <v>61</v>
      </c>
      <c r="F1474">
        <v>2013</v>
      </c>
      <c r="G1474" t="s">
        <v>1152</v>
      </c>
      <c r="H1474">
        <v>24</v>
      </c>
      <c r="I1474">
        <v>5</v>
      </c>
      <c r="J1474">
        <v>492</v>
      </c>
      <c r="K1474">
        <v>497</v>
      </c>
      <c r="L1474" t="s">
        <v>12067</v>
      </c>
      <c r="M1474" t="s">
        <v>12068</v>
      </c>
      <c r="N1474" t="s">
        <v>12069</v>
      </c>
      <c r="O1474" t="s">
        <v>61</v>
      </c>
      <c r="Q1474" t="s">
        <v>61</v>
      </c>
      <c r="R1474" t="s">
        <v>61</v>
      </c>
      <c r="S1474" t="s">
        <v>61</v>
      </c>
      <c r="T1474" t="s">
        <v>61</v>
      </c>
      <c r="X1474" t="s">
        <v>61</v>
      </c>
      <c r="Y1474" t="s">
        <v>7053</v>
      </c>
      <c r="Z1474" t="s">
        <v>61</v>
      </c>
      <c r="AA1474" t="s">
        <v>12070</v>
      </c>
      <c r="AB1474">
        <v>23567099</v>
      </c>
      <c r="AC1474" t="s">
        <v>67</v>
      </c>
      <c r="AD1474" t="s">
        <v>61</v>
      </c>
      <c r="AE1474" t="s">
        <v>61</v>
      </c>
      <c r="AF1474" t="s">
        <v>61</v>
      </c>
      <c r="AG1474" t="s">
        <v>12071</v>
      </c>
      <c r="AH1474" t="s">
        <v>61</v>
      </c>
      <c r="AI1474" t="s">
        <v>12072</v>
      </c>
      <c r="AJ1474" t="s">
        <v>61</v>
      </c>
      <c r="AK1474" t="s">
        <v>61</v>
      </c>
      <c r="AL1474" t="s">
        <v>61</v>
      </c>
      <c r="AM1474" t="s">
        <v>12073</v>
      </c>
      <c r="AN1474" t="s">
        <v>61</v>
      </c>
      <c r="AO1474" t="s">
        <v>61</v>
      </c>
      <c r="AP1474" t="s">
        <v>61</v>
      </c>
      <c r="AQ1474" t="s">
        <v>61</v>
      </c>
      <c r="AR1474" t="s">
        <v>61</v>
      </c>
      <c r="AS1474" t="s">
        <v>61</v>
      </c>
      <c r="AT1474" t="s">
        <v>61</v>
      </c>
      <c r="AU1474" t="s">
        <v>61</v>
      </c>
      <c r="AV1474" t="s">
        <v>61</v>
      </c>
      <c r="AW1474" t="s">
        <v>61</v>
      </c>
      <c r="AX1474" t="s">
        <v>61</v>
      </c>
      <c r="AY1474" t="s">
        <v>61</v>
      </c>
      <c r="AZ1474" t="s">
        <v>61</v>
      </c>
      <c r="BA1474" t="s">
        <v>61</v>
      </c>
      <c r="BB1474" t="s">
        <v>61</v>
      </c>
      <c r="BC1474" t="s">
        <v>61</v>
      </c>
      <c r="BD1474" t="s">
        <v>61</v>
      </c>
      <c r="BE1474" t="s">
        <v>61</v>
      </c>
      <c r="BF1474" t="s">
        <v>61</v>
      </c>
    </row>
    <row r="1475" spans="1:58">
      <c r="A1475" t="s">
        <v>58</v>
      </c>
      <c r="B1475" t="s">
        <v>12074</v>
      </c>
      <c r="C1475" t="s">
        <v>12075</v>
      </c>
      <c r="D1475" t="s">
        <v>10693</v>
      </c>
      <c r="E1475" t="s">
        <v>61</v>
      </c>
      <c r="F1475">
        <v>2014</v>
      </c>
      <c r="G1475" t="s">
        <v>61</v>
      </c>
      <c r="H1475">
        <v>8</v>
      </c>
      <c r="I1475" t="s">
        <v>61</v>
      </c>
      <c r="J1475">
        <v>38</v>
      </c>
      <c r="K1475" t="s">
        <v>61</v>
      </c>
      <c r="L1475" t="s">
        <v>61</v>
      </c>
      <c r="M1475" t="s">
        <v>12076</v>
      </c>
      <c r="N1475" t="s">
        <v>12077</v>
      </c>
      <c r="O1475" t="s">
        <v>61</v>
      </c>
      <c r="Q1475" t="s">
        <v>61</v>
      </c>
      <c r="R1475" t="s">
        <v>61</v>
      </c>
      <c r="S1475" t="s">
        <v>61</v>
      </c>
      <c r="T1475" t="s">
        <v>61</v>
      </c>
      <c r="X1475" t="s">
        <v>61</v>
      </c>
      <c r="Y1475" t="s">
        <v>10698</v>
      </c>
      <c r="Z1475" t="s">
        <v>61</v>
      </c>
      <c r="AA1475" t="s">
        <v>12078</v>
      </c>
      <c r="AB1475">
        <v>24860437</v>
      </c>
      <c r="AC1475" t="s">
        <v>67</v>
      </c>
      <c r="AD1475" t="s">
        <v>61</v>
      </c>
      <c r="AE1475" t="s">
        <v>61</v>
      </c>
      <c r="AF1475" t="s">
        <v>61</v>
      </c>
      <c r="AG1475" t="s">
        <v>12079</v>
      </c>
      <c r="AH1475" t="s">
        <v>61</v>
      </c>
      <c r="AI1475" t="s">
        <v>12080</v>
      </c>
      <c r="AJ1475" t="s">
        <v>61</v>
      </c>
      <c r="AK1475" t="s">
        <v>61</v>
      </c>
      <c r="AL1475" t="s">
        <v>61</v>
      </c>
      <c r="AM1475" t="s">
        <v>12081</v>
      </c>
      <c r="AN1475" t="s">
        <v>61</v>
      </c>
      <c r="AO1475" t="s">
        <v>61</v>
      </c>
      <c r="AP1475" t="s">
        <v>61</v>
      </c>
      <c r="AQ1475" t="s">
        <v>61</v>
      </c>
      <c r="AR1475" t="s">
        <v>61</v>
      </c>
      <c r="AS1475" t="s">
        <v>61</v>
      </c>
      <c r="AT1475" t="s">
        <v>61</v>
      </c>
      <c r="AU1475" t="s">
        <v>61</v>
      </c>
      <c r="AV1475" t="s">
        <v>61</v>
      </c>
      <c r="AW1475" t="s">
        <v>61</v>
      </c>
      <c r="AX1475" t="s">
        <v>61</v>
      </c>
      <c r="AY1475" t="s">
        <v>61</v>
      </c>
      <c r="AZ1475" t="s">
        <v>61</v>
      </c>
      <c r="BA1475" t="s">
        <v>61</v>
      </c>
      <c r="BB1475" t="s">
        <v>61</v>
      </c>
      <c r="BC1475" t="s">
        <v>61</v>
      </c>
      <c r="BD1475" t="s">
        <v>61</v>
      </c>
      <c r="BE1475" t="s">
        <v>61</v>
      </c>
      <c r="BF1475" t="s">
        <v>61</v>
      </c>
    </row>
    <row r="1476" spans="1:58">
      <c r="A1476" t="s">
        <v>58</v>
      </c>
      <c r="B1476" t="s">
        <v>12082</v>
      </c>
      <c r="C1476" t="s">
        <v>12083</v>
      </c>
      <c r="D1476" t="s">
        <v>84</v>
      </c>
      <c r="E1476" t="s">
        <v>61</v>
      </c>
      <c r="F1476">
        <v>2013</v>
      </c>
      <c r="G1476" t="s">
        <v>344</v>
      </c>
      <c r="H1476" t="s">
        <v>402</v>
      </c>
      <c r="I1476" t="s">
        <v>61</v>
      </c>
      <c r="J1476">
        <v>110</v>
      </c>
      <c r="K1476">
        <v>111</v>
      </c>
      <c r="L1476" t="s">
        <v>12084</v>
      </c>
      <c r="M1476" t="s">
        <v>12085</v>
      </c>
      <c r="N1476" t="s">
        <v>12086</v>
      </c>
      <c r="O1476" t="s">
        <v>61</v>
      </c>
      <c r="Q1476" t="s">
        <v>61</v>
      </c>
      <c r="R1476" t="s">
        <v>61</v>
      </c>
      <c r="S1476" t="s">
        <v>61</v>
      </c>
      <c r="T1476" t="s">
        <v>61</v>
      </c>
      <c r="X1476" t="s">
        <v>61</v>
      </c>
      <c r="Y1476" t="s">
        <v>303</v>
      </c>
      <c r="Z1476" t="s">
        <v>61</v>
      </c>
      <c r="AA1476" t="s">
        <v>61</v>
      </c>
      <c r="AB1476" t="s">
        <v>61</v>
      </c>
      <c r="AC1476" t="s">
        <v>67</v>
      </c>
      <c r="AD1476" t="s">
        <v>61</v>
      </c>
      <c r="AE1476" t="s">
        <v>61</v>
      </c>
      <c r="AF1476" t="s">
        <v>61</v>
      </c>
      <c r="AG1476" t="s">
        <v>61</v>
      </c>
      <c r="AH1476" t="s">
        <v>61</v>
      </c>
      <c r="AI1476" t="s">
        <v>61</v>
      </c>
      <c r="AJ1476" t="s">
        <v>61</v>
      </c>
      <c r="AK1476" t="s">
        <v>61</v>
      </c>
      <c r="AL1476" t="s">
        <v>61</v>
      </c>
      <c r="AM1476" t="s">
        <v>12083</v>
      </c>
      <c r="AN1476" t="s">
        <v>61</v>
      </c>
      <c r="AO1476" t="s">
        <v>61</v>
      </c>
      <c r="AP1476" t="s">
        <v>61</v>
      </c>
      <c r="AQ1476" t="s">
        <v>61</v>
      </c>
      <c r="AR1476" t="s">
        <v>61</v>
      </c>
      <c r="AS1476" t="s">
        <v>61</v>
      </c>
      <c r="AT1476" t="s">
        <v>61</v>
      </c>
      <c r="AU1476" t="s">
        <v>61</v>
      </c>
      <c r="AV1476" t="s">
        <v>61</v>
      </c>
      <c r="AW1476" t="s">
        <v>61</v>
      </c>
      <c r="AX1476" t="s">
        <v>61</v>
      </c>
      <c r="AY1476" t="s">
        <v>61</v>
      </c>
      <c r="AZ1476" t="s">
        <v>61</v>
      </c>
      <c r="BA1476" t="s">
        <v>61</v>
      </c>
      <c r="BB1476" t="s">
        <v>61</v>
      </c>
      <c r="BC1476" t="s">
        <v>61</v>
      </c>
      <c r="BD1476" t="s">
        <v>61</v>
      </c>
      <c r="BE1476" t="s">
        <v>61</v>
      </c>
      <c r="BF1476" t="s">
        <v>61</v>
      </c>
    </row>
    <row r="1477" spans="1:58">
      <c r="A1477" t="s">
        <v>58</v>
      </c>
      <c r="B1477" t="s">
        <v>12087</v>
      </c>
      <c r="C1477" t="s">
        <v>12088</v>
      </c>
      <c r="D1477" t="s">
        <v>8392</v>
      </c>
      <c r="E1477" t="s">
        <v>61</v>
      </c>
      <c r="F1477">
        <v>2015</v>
      </c>
      <c r="G1477" t="s">
        <v>61</v>
      </c>
      <c r="H1477">
        <v>11</v>
      </c>
      <c r="I1477" t="s">
        <v>61</v>
      </c>
      <c r="J1477">
        <v>9</v>
      </c>
      <c r="K1477">
        <v>15</v>
      </c>
      <c r="L1477" t="s">
        <v>61</v>
      </c>
      <c r="M1477" t="s">
        <v>12089</v>
      </c>
      <c r="N1477" t="s">
        <v>12090</v>
      </c>
      <c r="O1477" t="s">
        <v>61</v>
      </c>
      <c r="Q1477" t="s">
        <v>61</v>
      </c>
      <c r="R1477" t="s">
        <v>61</v>
      </c>
      <c r="S1477" t="s">
        <v>61</v>
      </c>
      <c r="T1477" t="s">
        <v>61</v>
      </c>
      <c r="X1477" t="s">
        <v>61</v>
      </c>
      <c r="Y1477" t="s">
        <v>8395</v>
      </c>
      <c r="Z1477" t="s">
        <v>61</v>
      </c>
      <c r="AA1477" t="s">
        <v>12091</v>
      </c>
      <c r="AB1477">
        <v>25565852</v>
      </c>
      <c r="AC1477" t="s">
        <v>67</v>
      </c>
      <c r="AD1477" t="s">
        <v>61</v>
      </c>
      <c r="AE1477" t="s">
        <v>61</v>
      </c>
      <c r="AF1477" t="s">
        <v>61</v>
      </c>
      <c r="AG1477" t="s">
        <v>12092</v>
      </c>
      <c r="AH1477" t="s">
        <v>61</v>
      </c>
      <c r="AI1477" t="s">
        <v>12093</v>
      </c>
      <c r="AJ1477" t="s">
        <v>61</v>
      </c>
      <c r="AK1477" t="s">
        <v>61</v>
      </c>
      <c r="AL1477" t="s">
        <v>61</v>
      </c>
      <c r="AM1477" t="s">
        <v>12094</v>
      </c>
      <c r="AN1477" t="s">
        <v>61</v>
      </c>
      <c r="AO1477" t="s">
        <v>61</v>
      </c>
      <c r="AP1477" t="s">
        <v>61</v>
      </c>
      <c r="AQ1477" t="s">
        <v>61</v>
      </c>
      <c r="AR1477" t="s">
        <v>61</v>
      </c>
      <c r="AS1477" t="s">
        <v>61</v>
      </c>
      <c r="AT1477" t="s">
        <v>61</v>
      </c>
      <c r="AU1477" t="s">
        <v>61</v>
      </c>
      <c r="AV1477" t="s">
        <v>61</v>
      </c>
      <c r="AW1477" t="s">
        <v>61</v>
      </c>
      <c r="AX1477" t="s">
        <v>61</v>
      </c>
      <c r="AY1477" t="s">
        <v>61</v>
      </c>
      <c r="AZ1477" t="s">
        <v>61</v>
      </c>
      <c r="BA1477" t="s">
        <v>61</v>
      </c>
      <c r="BB1477" t="s">
        <v>61</v>
      </c>
      <c r="BC1477" t="s">
        <v>61</v>
      </c>
      <c r="BD1477" t="s">
        <v>61</v>
      </c>
      <c r="BE1477" t="s">
        <v>61</v>
      </c>
      <c r="BF1477" t="s">
        <v>61</v>
      </c>
    </row>
    <row r="1478" spans="1:58">
      <c r="A1478" t="s">
        <v>58</v>
      </c>
      <c r="B1478" t="s">
        <v>12095</v>
      </c>
      <c r="C1478" t="s">
        <v>12096</v>
      </c>
      <c r="D1478" t="s">
        <v>428</v>
      </c>
      <c r="E1478" t="s">
        <v>61</v>
      </c>
      <c r="F1478">
        <v>2013</v>
      </c>
      <c r="G1478" t="s">
        <v>457</v>
      </c>
      <c r="H1478">
        <v>26</v>
      </c>
      <c r="I1478">
        <v>3</v>
      </c>
      <c r="J1478">
        <v>335</v>
      </c>
      <c r="K1478" t="s">
        <v>61</v>
      </c>
      <c r="L1478" t="s">
        <v>12097</v>
      </c>
      <c r="M1478" t="s">
        <v>12098</v>
      </c>
      <c r="N1478" t="s">
        <v>12099</v>
      </c>
      <c r="O1478" t="s">
        <v>61</v>
      </c>
      <c r="Q1478" t="s">
        <v>61</v>
      </c>
      <c r="R1478" t="s">
        <v>61</v>
      </c>
      <c r="S1478" t="s">
        <v>61</v>
      </c>
      <c r="T1478" t="s">
        <v>61</v>
      </c>
      <c r="X1478" t="s">
        <v>61</v>
      </c>
      <c r="Y1478" t="s">
        <v>433</v>
      </c>
      <c r="Z1478" t="s">
        <v>61</v>
      </c>
      <c r="AA1478" t="s">
        <v>61</v>
      </c>
      <c r="AB1478" t="s">
        <v>61</v>
      </c>
      <c r="AC1478" t="s">
        <v>67</v>
      </c>
      <c r="AD1478" t="s">
        <v>61</v>
      </c>
      <c r="AE1478" t="s">
        <v>61</v>
      </c>
      <c r="AF1478" t="s">
        <v>61</v>
      </c>
      <c r="AG1478" t="s">
        <v>61</v>
      </c>
      <c r="AH1478" t="s">
        <v>61</v>
      </c>
      <c r="AI1478" t="s">
        <v>61</v>
      </c>
      <c r="AJ1478" t="s">
        <v>61</v>
      </c>
      <c r="AK1478" t="s">
        <v>61</v>
      </c>
      <c r="AL1478" t="s">
        <v>61</v>
      </c>
      <c r="AM1478" t="s">
        <v>12096</v>
      </c>
      <c r="AN1478" t="s">
        <v>61</v>
      </c>
      <c r="AO1478" t="s">
        <v>61</v>
      </c>
      <c r="AP1478" t="s">
        <v>61</v>
      </c>
      <c r="AQ1478" t="s">
        <v>61</v>
      </c>
      <c r="AR1478" t="s">
        <v>61</v>
      </c>
      <c r="AS1478" t="s">
        <v>61</v>
      </c>
      <c r="AT1478" t="s">
        <v>61</v>
      </c>
      <c r="AU1478" t="s">
        <v>61</v>
      </c>
      <c r="AV1478" t="s">
        <v>61</v>
      </c>
      <c r="AW1478" t="s">
        <v>61</v>
      </c>
      <c r="AX1478" t="s">
        <v>61</v>
      </c>
      <c r="AY1478" t="s">
        <v>61</v>
      </c>
      <c r="AZ1478" t="s">
        <v>61</v>
      </c>
      <c r="BA1478" t="s">
        <v>61</v>
      </c>
      <c r="BB1478" t="s">
        <v>61</v>
      </c>
      <c r="BC1478" t="s">
        <v>61</v>
      </c>
      <c r="BD1478" t="s">
        <v>61</v>
      </c>
      <c r="BE1478" t="s">
        <v>61</v>
      </c>
      <c r="BF1478" t="s">
        <v>61</v>
      </c>
    </row>
    <row r="1479" spans="1:58">
      <c r="A1479" t="s">
        <v>58</v>
      </c>
      <c r="B1479" t="s">
        <v>12100</v>
      </c>
      <c r="C1479" t="s">
        <v>12101</v>
      </c>
      <c r="D1479" t="s">
        <v>12102</v>
      </c>
      <c r="E1479" t="s">
        <v>12103</v>
      </c>
      <c r="F1479">
        <v>2012</v>
      </c>
      <c r="G1479" t="s">
        <v>538</v>
      </c>
      <c r="H1479">
        <v>105</v>
      </c>
      <c r="I1479">
        <v>3</v>
      </c>
      <c r="J1479">
        <v>357</v>
      </c>
      <c r="K1479">
        <v>358</v>
      </c>
      <c r="L1479" t="s">
        <v>12104</v>
      </c>
      <c r="M1479" t="s">
        <v>12105</v>
      </c>
      <c r="N1479" t="s">
        <v>12106</v>
      </c>
      <c r="O1479" t="s">
        <v>61</v>
      </c>
      <c r="Q1479" t="s">
        <v>61</v>
      </c>
      <c r="R1479" t="s">
        <v>61</v>
      </c>
      <c r="S1479" t="s">
        <v>61</v>
      </c>
      <c r="T1479" t="s">
        <v>61</v>
      </c>
      <c r="X1479" t="s">
        <v>61</v>
      </c>
      <c r="Y1479" t="s">
        <v>12107</v>
      </c>
      <c r="Z1479" t="s">
        <v>61</v>
      </c>
      <c r="AA1479" t="s">
        <v>61</v>
      </c>
      <c r="AB1479" t="s">
        <v>61</v>
      </c>
      <c r="AC1479" t="s">
        <v>67</v>
      </c>
      <c r="AD1479" t="s">
        <v>61</v>
      </c>
      <c r="AE1479" t="s">
        <v>61</v>
      </c>
      <c r="AF1479" t="s">
        <v>61</v>
      </c>
      <c r="AG1479" t="s">
        <v>61</v>
      </c>
      <c r="AH1479" t="s">
        <v>61</v>
      </c>
      <c r="AI1479" t="s">
        <v>61</v>
      </c>
      <c r="AJ1479" t="s">
        <v>61</v>
      </c>
      <c r="AK1479" t="s">
        <v>61</v>
      </c>
      <c r="AL1479" t="s">
        <v>61</v>
      </c>
      <c r="AM1479" t="s">
        <v>12101</v>
      </c>
      <c r="AN1479" t="s">
        <v>61</v>
      </c>
      <c r="AO1479" t="s">
        <v>61</v>
      </c>
      <c r="AP1479" t="s">
        <v>61</v>
      </c>
      <c r="AQ1479" t="s">
        <v>61</v>
      </c>
      <c r="AR1479" t="s">
        <v>61</v>
      </c>
      <c r="AS1479" t="s">
        <v>61</v>
      </c>
      <c r="AT1479" t="s">
        <v>61</v>
      </c>
      <c r="AU1479" t="s">
        <v>61</v>
      </c>
      <c r="AV1479" t="s">
        <v>61</v>
      </c>
      <c r="AW1479" t="s">
        <v>61</v>
      </c>
      <c r="AX1479" t="s">
        <v>61</v>
      </c>
      <c r="AY1479" t="s">
        <v>61</v>
      </c>
      <c r="AZ1479" t="s">
        <v>61</v>
      </c>
      <c r="BA1479" t="s">
        <v>61</v>
      </c>
      <c r="BB1479" t="s">
        <v>61</v>
      </c>
      <c r="BC1479" t="s">
        <v>61</v>
      </c>
      <c r="BD1479" t="s">
        <v>61</v>
      </c>
      <c r="BE1479" t="s">
        <v>61</v>
      </c>
      <c r="BF1479" t="s">
        <v>61</v>
      </c>
    </row>
    <row r="1480" spans="1:58">
      <c r="A1480" t="s">
        <v>58</v>
      </c>
      <c r="B1480" t="s">
        <v>12108</v>
      </c>
      <c r="C1480" t="s">
        <v>12109</v>
      </c>
      <c r="D1480" t="s">
        <v>1085</v>
      </c>
      <c r="E1480" t="s">
        <v>1086</v>
      </c>
      <c r="F1480">
        <v>2005</v>
      </c>
      <c r="G1480" t="s">
        <v>391</v>
      </c>
      <c r="H1480">
        <v>39</v>
      </c>
      <c r="I1480">
        <v>3</v>
      </c>
      <c r="J1480">
        <v>527</v>
      </c>
      <c r="K1480">
        <v>532</v>
      </c>
      <c r="L1480" t="s">
        <v>12110</v>
      </c>
      <c r="M1480" t="s">
        <v>12111</v>
      </c>
      <c r="N1480" t="s">
        <v>12112</v>
      </c>
      <c r="O1480" t="s">
        <v>61</v>
      </c>
      <c r="Q1480" t="s">
        <v>61</v>
      </c>
      <c r="R1480" t="s">
        <v>61</v>
      </c>
      <c r="S1480" t="s">
        <v>61</v>
      </c>
      <c r="T1480" t="s">
        <v>61</v>
      </c>
      <c r="X1480" t="s">
        <v>61</v>
      </c>
      <c r="Y1480" t="s">
        <v>3286</v>
      </c>
      <c r="Z1480" t="s">
        <v>61</v>
      </c>
      <c r="AA1480" t="s">
        <v>12113</v>
      </c>
      <c r="AB1480">
        <v>15701777</v>
      </c>
      <c r="AC1480" t="s">
        <v>67</v>
      </c>
      <c r="AD1480" t="s">
        <v>61</v>
      </c>
      <c r="AE1480" t="s">
        <v>61</v>
      </c>
      <c r="AF1480" t="s">
        <v>61</v>
      </c>
      <c r="AG1480" t="s">
        <v>12114</v>
      </c>
      <c r="AH1480" t="s">
        <v>61</v>
      </c>
      <c r="AI1480" t="s">
        <v>61</v>
      </c>
      <c r="AJ1480" t="s">
        <v>61</v>
      </c>
      <c r="AK1480" t="s">
        <v>61</v>
      </c>
      <c r="AL1480" t="s">
        <v>61</v>
      </c>
      <c r="AM1480" t="s">
        <v>12115</v>
      </c>
      <c r="AN1480" t="s">
        <v>61</v>
      </c>
      <c r="AO1480" t="s">
        <v>61</v>
      </c>
      <c r="AP1480" t="s">
        <v>61</v>
      </c>
      <c r="AQ1480" t="s">
        <v>61</v>
      </c>
      <c r="AR1480" t="s">
        <v>61</v>
      </c>
      <c r="AS1480" t="s">
        <v>61</v>
      </c>
      <c r="AT1480" t="s">
        <v>61</v>
      </c>
      <c r="AU1480" t="s">
        <v>61</v>
      </c>
      <c r="AV1480" t="s">
        <v>61</v>
      </c>
      <c r="AW1480" t="s">
        <v>61</v>
      </c>
      <c r="AX1480" t="s">
        <v>61</v>
      </c>
      <c r="AY1480" t="s">
        <v>61</v>
      </c>
      <c r="AZ1480" t="s">
        <v>61</v>
      </c>
      <c r="BA1480" t="s">
        <v>61</v>
      </c>
      <c r="BB1480" t="s">
        <v>61</v>
      </c>
      <c r="BC1480" t="s">
        <v>61</v>
      </c>
      <c r="BD1480" t="s">
        <v>61</v>
      </c>
      <c r="BE1480" t="s">
        <v>61</v>
      </c>
      <c r="BF1480" t="s">
        <v>61</v>
      </c>
    </row>
    <row r="1481" spans="1:58">
      <c r="A1481" t="s">
        <v>58</v>
      </c>
      <c r="B1481" t="s">
        <v>12116</v>
      </c>
      <c r="C1481" t="s">
        <v>12117</v>
      </c>
      <c r="D1481" t="s">
        <v>12118</v>
      </c>
      <c r="E1481" t="s">
        <v>61</v>
      </c>
      <c r="F1481">
        <v>2013</v>
      </c>
      <c r="G1481">
        <v>1</v>
      </c>
      <c r="H1481">
        <v>3</v>
      </c>
      <c r="I1481">
        <v>2</v>
      </c>
      <c r="J1481">
        <v>99</v>
      </c>
      <c r="K1481">
        <v>120</v>
      </c>
      <c r="L1481" t="s">
        <v>12119</v>
      </c>
      <c r="M1481" t="s">
        <v>12120</v>
      </c>
      <c r="N1481" t="s">
        <v>12121</v>
      </c>
      <c r="O1481" t="s">
        <v>61</v>
      </c>
      <c r="Q1481" t="s">
        <v>61</v>
      </c>
      <c r="R1481" t="s">
        <v>61</v>
      </c>
      <c r="S1481" t="s">
        <v>61</v>
      </c>
      <c r="T1481" t="s">
        <v>61</v>
      </c>
      <c r="X1481" t="s">
        <v>61</v>
      </c>
      <c r="Y1481" t="s">
        <v>12122</v>
      </c>
      <c r="Z1481" t="s">
        <v>61</v>
      </c>
      <c r="AA1481" t="s">
        <v>61</v>
      </c>
      <c r="AB1481">
        <v>2013277401</v>
      </c>
      <c r="AC1481" t="s">
        <v>67</v>
      </c>
      <c r="AD1481" t="s">
        <v>61</v>
      </c>
      <c r="AE1481" t="s">
        <v>61</v>
      </c>
      <c r="AF1481" t="s">
        <v>61</v>
      </c>
      <c r="AG1481" t="s">
        <v>12123</v>
      </c>
      <c r="AH1481" t="s">
        <v>61</v>
      </c>
      <c r="AI1481" t="s">
        <v>61</v>
      </c>
      <c r="AJ1481" t="s">
        <v>61</v>
      </c>
      <c r="AK1481" t="s">
        <v>61</v>
      </c>
      <c r="AL1481" t="s">
        <v>61</v>
      </c>
      <c r="AM1481" t="s">
        <v>12124</v>
      </c>
      <c r="AN1481" t="s">
        <v>61</v>
      </c>
      <c r="AO1481" t="s">
        <v>61</v>
      </c>
      <c r="AP1481" t="s">
        <v>61</v>
      </c>
      <c r="AQ1481" t="s">
        <v>61</v>
      </c>
      <c r="AR1481" t="s">
        <v>61</v>
      </c>
      <c r="AS1481" t="s">
        <v>61</v>
      </c>
      <c r="AT1481" t="s">
        <v>61</v>
      </c>
      <c r="AU1481" t="s">
        <v>61</v>
      </c>
      <c r="AV1481" t="s">
        <v>61</v>
      </c>
      <c r="AW1481" t="s">
        <v>61</v>
      </c>
      <c r="AX1481" t="s">
        <v>61</v>
      </c>
      <c r="AY1481" t="s">
        <v>61</v>
      </c>
      <c r="AZ1481" t="s">
        <v>61</v>
      </c>
      <c r="BA1481" t="s">
        <v>61</v>
      </c>
      <c r="BB1481" t="s">
        <v>61</v>
      </c>
      <c r="BC1481" t="s">
        <v>61</v>
      </c>
      <c r="BD1481" t="s">
        <v>61</v>
      </c>
      <c r="BE1481" t="s">
        <v>61</v>
      </c>
      <c r="BF1481" t="s">
        <v>61</v>
      </c>
    </row>
    <row r="1482" spans="1:58">
      <c r="A1482" t="s">
        <v>58</v>
      </c>
      <c r="B1482" t="s">
        <v>12125</v>
      </c>
      <c r="C1482" t="s">
        <v>12126</v>
      </c>
      <c r="D1482" t="s">
        <v>6673</v>
      </c>
      <c r="E1482" t="s">
        <v>61</v>
      </c>
      <c r="F1482">
        <v>2015</v>
      </c>
      <c r="G1482" t="s">
        <v>851</v>
      </c>
      <c r="H1482">
        <v>53</v>
      </c>
      <c r="I1482">
        <v>9</v>
      </c>
      <c r="J1482">
        <v>901</v>
      </c>
      <c r="K1482">
        <v>907</v>
      </c>
      <c r="L1482" t="s">
        <v>12127</v>
      </c>
      <c r="M1482" t="s">
        <v>12128</v>
      </c>
      <c r="N1482" t="s">
        <v>12129</v>
      </c>
      <c r="O1482" t="s">
        <v>61</v>
      </c>
      <c r="Q1482" t="s">
        <v>61</v>
      </c>
      <c r="R1482" t="s">
        <v>61</v>
      </c>
      <c r="S1482" t="s">
        <v>61</v>
      </c>
      <c r="T1482" t="s">
        <v>61</v>
      </c>
      <c r="X1482" t="s">
        <v>61</v>
      </c>
      <c r="Y1482" t="s">
        <v>6677</v>
      </c>
      <c r="Z1482" t="s">
        <v>61</v>
      </c>
      <c r="AA1482" t="s">
        <v>12130</v>
      </c>
      <c r="AB1482">
        <v>26503790</v>
      </c>
      <c r="AC1482" t="s">
        <v>67</v>
      </c>
      <c r="AD1482" t="s">
        <v>61</v>
      </c>
      <c r="AE1482" t="s">
        <v>61</v>
      </c>
      <c r="AF1482" t="s">
        <v>61</v>
      </c>
      <c r="AG1482" t="s">
        <v>12131</v>
      </c>
      <c r="AH1482" t="s">
        <v>61</v>
      </c>
      <c r="AI1482" t="s">
        <v>12132</v>
      </c>
      <c r="AJ1482" t="s">
        <v>61</v>
      </c>
      <c r="AK1482" t="s">
        <v>61</v>
      </c>
      <c r="AL1482" t="s">
        <v>61</v>
      </c>
      <c r="AM1482" t="s">
        <v>12133</v>
      </c>
      <c r="AN1482" t="s">
        <v>61</v>
      </c>
      <c r="AO1482" t="s">
        <v>61</v>
      </c>
      <c r="AP1482" t="s">
        <v>61</v>
      </c>
      <c r="AQ1482" t="s">
        <v>61</v>
      </c>
      <c r="AR1482" t="s">
        <v>61</v>
      </c>
      <c r="AS1482" t="s">
        <v>61</v>
      </c>
      <c r="AT1482" t="s">
        <v>61</v>
      </c>
      <c r="AU1482" t="s">
        <v>61</v>
      </c>
      <c r="AV1482" t="s">
        <v>61</v>
      </c>
      <c r="AW1482" t="s">
        <v>61</v>
      </c>
      <c r="AX1482" t="s">
        <v>61</v>
      </c>
      <c r="AY1482" t="s">
        <v>61</v>
      </c>
      <c r="AZ1482" t="s">
        <v>61</v>
      </c>
      <c r="BA1482" t="s">
        <v>61</v>
      </c>
      <c r="BB1482" t="s">
        <v>61</v>
      </c>
      <c r="BC1482" t="s">
        <v>61</v>
      </c>
      <c r="BD1482" t="s">
        <v>61</v>
      </c>
      <c r="BE1482" t="s">
        <v>61</v>
      </c>
      <c r="BF1482" t="s">
        <v>61</v>
      </c>
    </row>
    <row r="1483" spans="1:58">
      <c r="A1483" t="s">
        <v>58</v>
      </c>
      <c r="B1483" t="s">
        <v>12134</v>
      </c>
      <c r="C1483" t="s">
        <v>12135</v>
      </c>
      <c r="D1483" t="s">
        <v>3593</v>
      </c>
      <c r="E1483" t="s">
        <v>61</v>
      </c>
      <c r="F1483">
        <v>2013</v>
      </c>
      <c r="G1483" t="s">
        <v>344</v>
      </c>
      <c r="H1483" t="s">
        <v>12136</v>
      </c>
      <c r="I1483" t="s">
        <v>61</v>
      </c>
      <c r="J1483">
        <v>9</v>
      </c>
      <c r="K1483">
        <v>10</v>
      </c>
      <c r="L1483" t="s">
        <v>12137</v>
      </c>
      <c r="M1483" t="s">
        <v>12138</v>
      </c>
      <c r="N1483" t="s">
        <v>12139</v>
      </c>
      <c r="O1483" t="s">
        <v>61</v>
      </c>
      <c r="Q1483" t="s">
        <v>61</v>
      </c>
      <c r="R1483" t="s">
        <v>61</v>
      </c>
      <c r="S1483" t="s">
        <v>61</v>
      </c>
      <c r="T1483" t="s">
        <v>61</v>
      </c>
      <c r="X1483" t="s">
        <v>61</v>
      </c>
      <c r="Y1483" t="s">
        <v>3598</v>
      </c>
      <c r="Z1483" t="s">
        <v>61</v>
      </c>
      <c r="AA1483" t="s">
        <v>61</v>
      </c>
      <c r="AB1483" t="s">
        <v>61</v>
      </c>
      <c r="AC1483" t="s">
        <v>67</v>
      </c>
      <c r="AD1483" t="s">
        <v>61</v>
      </c>
      <c r="AE1483" t="s">
        <v>61</v>
      </c>
      <c r="AF1483" t="s">
        <v>61</v>
      </c>
      <c r="AG1483" t="s">
        <v>61</v>
      </c>
      <c r="AH1483" t="s">
        <v>61</v>
      </c>
      <c r="AI1483" t="s">
        <v>61</v>
      </c>
      <c r="AJ1483" t="s">
        <v>61</v>
      </c>
      <c r="AK1483" t="s">
        <v>61</v>
      </c>
      <c r="AL1483" t="s">
        <v>61</v>
      </c>
      <c r="AM1483" t="s">
        <v>12135</v>
      </c>
      <c r="AN1483" t="s">
        <v>61</v>
      </c>
      <c r="AO1483" t="s">
        <v>61</v>
      </c>
      <c r="AP1483" t="s">
        <v>61</v>
      </c>
      <c r="AQ1483" t="s">
        <v>61</v>
      </c>
      <c r="AR1483" t="s">
        <v>61</v>
      </c>
      <c r="AS1483" t="s">
        <v>61</v>
      </c>
      <c r="AT1483" t="s">
        <v>61</v>
      </c>
      <c r="AU1483" t="s">
        <v>61</v>
      </c>
      <c r="AV1483" t="s">
        <v>61</v>
      </c>
      <c r="AW1483" t="s">
        <v>61</v>
      </c>
      <c r="AX1483" t="s">
        <v>61</v>
      </c>
      <c r="AY1483" t="s">
        <v>61</v>
      </c>
      <c r="AZ1483" t="s">
        <v>61</v>
      </c>
      <c r="BA1483" t="s">
        <v>61</v>
      </c>
      <c r="BB1483" t="s">
        <v>61</v>
      </c>
      <c r="BC1483" t="s">
        <v>61</v>
      </c>
      <c r="BD1483" t="s">
        <v>61</v>
      </c>
      <c r="BE1483" t="s">
        <v>61</v>
      </c>
      <c r="BF1483" t="s">
        <v>61</v>
      </c>
    </row>
    <row r="1484" spans="1:58">
      <c r="A1484" t="s">
        <v>58</v>
      </c>
      <c r="B1484" t="s">
        <v>12140</v>
      </c>
      <c r="C1484" t="s">
        <v>12141</v>
      </c>
      <c r="D1484" t="s">
        <v>271</v>
      </c>
      <c r="E1484" t="s">
        <v>272</v>
      </c>
      <c r="F1484">
        <v>1976</v>
      </c>
      <c r="G1484" t="s">
        <v>363</v>
      </c>
      <c r="H1484">
        <v>16</v>
      </c>
      <c r="I1484">
        <v>1</v>
      </c>
      <c r="J1484">
        <v>30</v>
      </c>
      <c r="K1484" t="s">
        <v>12142</v>
      </c>
      <c r="L1484" t="s">
        <v>12143</v>
      </c>
      <c r="M1484" t="s">
        <v>61</v>
      </c>
      <c r="N1484" t="s">
        <v>12144</v>
      </c>
      <c r="O1484" t="s">
        <v>61</v>
      </c>
      <c r="Q1484" t="s">
        <v>61</v>
      </c>
      <c r="R1484" t="s">
        <v>61</v>
      </c>
      <c r="S1484" t="s">
        <v>61</v>
      </c>
      <c r="T1484" t="s">
        <v>61</v>
      </c>
      <c r="X1484" t="s">
        <v>61</v>
      </c>
      <c r="Y1484" t="s">
        <v>276</v>
      </c>
      <c r="Z1484" t="s">
        <v>61</v>
      </c>
      <c r="AA1484" t="s">
        <v>61</v>
      </c>
      <c r="AB1484">
        <v>942741</v>
      </c>
      <c r="AC1484" t="s">
        <v>67</v>
      </c>
      <c r="AD1484" t="s">
        <v>61</v>
      </c>
      <c r="AE1484" t="s">
        <v>61</v>
      </c>
      <c r="AF1484" t="s">
        <v>61</v>
      </c>
      <c r="AG1484" t="s">
        <v>12145</v>
      </c>
      <c r="AH1484" t="s">
        <v>61</v>
      </c>
      <c r="AI1484" t="s">
        <v>61</v>
      </c>
      <c r="AJ1484" t="s">
        <v>61</v>
      </c>
      <c r="AK1484" t="s">
        <v>61</v>
      </c>
      <c r="AL1484" t="s">
        <v>61</v>
      </c>
      <c r="AM1484" t="s">
        <v>12146</v>
      </c>
      <c r="AN1484" t="s">
        <v>61</v>
      </c>
      <c r="AO1484" t="s">
        <v>61</v>
      </c>
      <c r="AP1484" t="s">
        <v>61</v>
      </c>
      <c r="AQ1484" t="s">
        <v>61</v>
      </c>
      <c r="AR1484" t="s">
        <v>61</v>
      </c>
      <c r="AS1484" t="s">
        <v>61</v>
      </c>
      <c r="AT1484" t="s">
        <v>61</v>
      </c>
      <c r="AU1484" t="s">
        <v>61</v>
      </c>
      <c r="AV1484" t="s">
        <v>61</v>
      </c>
      <c r="AW1484" t="s">
        <v>61</v>
      </c>
      <c r="AX1484" t="s">
        <v>61</v>
      </c>
      <c r="AY1484" t="s">
        <v>61</v>
      </c>
      <c r="AZ1484" t="s">
        <v>61</v>
      </c>
      <c r="BA1484" t="s">
        <v>61</v>
      </c>
      <c r="BB1484" t="s">
        <v>61</v>
      </c>
      <c r="BC1484" t="s">
        <v>61</v>
      </c>
      <c r="BD1484" t="s">
        <v>61</v>
      </c>
      <c r="BE1484" t="s">
        <v>61</v>
      </c>
      <c r="BF1484" t="s">
        <v>61</v>
      </c>
    </row>
    <row r="1485" spans="1:58">
      <c r="A1485" t="s">
        <v>12147</v>
      </c>
      <c r="B1485" t="s">
        <v>12148</v>
      </c>
      <c r="C1485" t="s">
        <v>12149</v>
      </c>
      <c r="D1485" t="s">
        <v>61</v>
      </c>
      <c r="E1485" t="s">
        <v>61</v>
      </c>
      <c r="F1485">
        <v>1991</v>
      </c>
      <c r="G1485" t="s">
        <v>61</v>
      </c>
      <c r="H1485" t="s">
        <v>12150</v>
      </c>
      <c r="I1485" t="s">
        <v>61</v>
      </c>
      <c r="J1485" t="s">
        <v>12151</v>
      </c>
      <c r="K1485" t="s">
        <v>12152</v>
      </c>
      <c r="L1485" t="s">
        <v>12153</v>
      </c>
      <c r="M1485" t="s">
        <v>12154</v>
      </c>
      <c r="N1485" t="s">
        <v>12155</v>
      </c>
      <c r="O1485" t="s">
        <v>61</v>
      </c>
      <c r="Q1485" t="s">
        <v>61</v>
      </c>
      <c r="R1485" t="s">
        <v>61</v>
      </c>
      <c r="S1485" t="s">
        <v>12156</v>
      </c>
      <c r="T1485" t="s">
        <v>61</v>
      </c>
      <c r="X1485" t="s">
        <v>61</v>
      </c>
      <c r="Y1485" t="s">
        <v>61</v>
      </c>
      <c r="Z1485" t="s">
        <v>61</v>
      </c>
      <c r="AA1485" t="s">
        <v>61</v>
      </c>
      <c r="AB1485">
        <v>109870327</v>
      </c>
      <c r="AC1485" t="s">
        <v>67</v>
      </c>
      <c r="AD1485" t="s">
        <v>61</v>
      </c>
      <c r="AE1485" t="s">
        <v>61</v>
      </c>
      <c r="AF1485" t="s">
        <v>61</v>
      </c>
      <c r="AG1485" t="s">
        <v>12157</v>
      </c>
      <c r="AH1485" t="s">
        <v>61</v>
      </c>
      <c r="AI1485" t="s">
        <v>61</v>
      </c>
      <c r="AJ1485" t="s">
        <v>61</v>
      </c>
      <c r="AK1485" t="s">
        <v>61</v>
      </c>
      <c r="AL1485" t="s">
        <v>61</v>
      </c>
      <c r="AM1485" t="s">
        <v>12158</v>
      </c>
      <c r="AN1485" t="s">
        <v>61</v>
      </c>
      <c r="AO1485" t="s">
        <v>61</v>
      </c>
      <c r="AP1485" t="s">
        <v>61</v>
      </c>
      <c r="AQ1485" t="s">
        <v>61</v>
      </c>
      <c r="AR1485" t="s">
        <v>61</v>
      </c>
      <c r="AS1485" t="s">
        <v>61</v>
      </c>
      <c r="AT1485" t="s">
        <v>61</v>
      </c>
      <c r="AU1485" t="s">
        <v>61</v>
      </c>
      <c r="AV1485" t="s">
        <v>61</v>
      </c>
      <c r="AW1485" t="s">
        <v>61</v>
      </c>
      <c r="AX1485" t="s">
        <v>61</v>
      </c>
      <c r="AY1485" t="s">
        <v>61</v>
      </c>
      <c r="AZ1485" t="s">
        <v>61</v>
      </c>
      <c r="BA1485" t="s">
        <v>61</v>
      </c>
      <c r="BB1485" t="s">
        <v>61</v>
      </c>
      <c r="BC1485" t="s">
        <v>61</v>
      </c>
      <c r="BD1485" t="s">
        <v>61</v>
      </c>
      <c r="BE1485" t="s">
        <v>61</v>
      </c>
      <c r="BF1485" t="s">
        <v>61</v>
      </c>
    </row>
    <row r="1486" spans="1:58">
      <c r="A1486" t="s">
        <v>58</v>
      </c>
      <c r="B1486" t="s">
        <v>12159</v>
      </c>
      <c r="C1486" t="s">
        <v>12160</v>
      </c>
      <c r="D1486" t="s">
        <v>12161</v>
      </c>
      <c r="E1486" t="s">
        <v>61</v>
      </c>
      <c r="F1486">
        <v>2010</v>
      </c>
      <c r="G1486" t="s">
        <v>61</v>
      </c>
      <c r="H1486">
        <v>3</v>
      </c>
      <c r="I1486" t="s">
        <v>61</v>
      </c>
      <c r="J1486">
        <v>311</v>
      </c>
      <c r="K1486" t="s">
        <v>61</v>
      </c>
      <c r="L1486" t="s">
        <v>61</v>
      </c>
      <c r="M1486" t="s">
        <v>12162</v>
      </c>
      <c r="N1486" t="s">
        <v>12163</v>
      </c>
      <c r="O1486" t="s">
        <v>61</v>
      </c>
      <c r="Q1486" t="s">
        <v>61</v>
      </c>
      <c r="R1486" t="s">
        <v>61</v>
      </c>
      <c r="S1486" t="s">
        <v>61</v>
      </c>
      <c r="T1486" t="s">
        <v>61</v>
      </c>
      <c r="X1486" t="s">
        <v>61</v>
      </c>
      <c r="Y1486" t="s">
        <v>12164</v>
      </c>
      <c r="Z1486" t="s">
        <v>61</v>
      </c>
      <c r="AA1486" t="s">
        <v>12165</v>
      </c>
      <c r="AB1486">
        <v>21083899</v>
      </c>
      <c r="AC1486" t="s">
        <v>67</v>
      </c>
      <c r="AD1486" t="s">
        <v>61</v>
      </c>
      <c r="AE1486" t="s">
        <v>61</v>
      </c>
      <c r="AF1486" t="s">
        <v>61</v>
      </c>
      <c r="AG1486" t="s">
        <v>12166</v>
      </c>
      <c r="AH1486" t="s">
        <v>61</v>
      </c>
      <c r="AI1486" t="s">
        <v>12167</v>
      </c>
      <c r="AJ1486" t="s">
        <v>61</v>
      </c>
      <c r="AK1486" t="s">
        <v>61</v>
      </c>
      <c r="AL1486" t="s">
        <v>61</v>
      </c>
      <c r="AM1486" t="s">
        <v>12168</v>
      </c>
      <c r="AN1486" t="s">
        <v>61</v>
      </c>
      <c r="AO1486" t="s">
        <v>61</v>
      </c>
      <c r="AP1486" t="s">
        <v>61</v>
      </c>
      <c r="AQ1486" t="s">
        <v>61</v>
      </c>
      <c r="AR1486" t="s">
        <v>61</v>
      </c>
      <c r="AS1486" t="s">
        <v>61</v>
      </c>
      <c r="AT1486" t="s">
        <v>61</v>
      </c>
      <c r="AU1486" t="s">
        <v>61</v>
      </c>
      <c r="AV1486" t="s">
        <v>61</v>
      </c>
      <c r="AW1486" t="s">
        <v>61</v>
      </c>
      <c r="AX1486" t="s">
        <v>61</v>
      </c>
      <c r="AY1486" t="s">
        <v>61</v>
      </c>
      <c r="AZ1486" t="s">
        <v>61</v>
      </c>
      <c r="BA1486" t="s">
        <v>61</v>
      </c>
      <c r="BB1486" t="s">
        <v>61</v>
      </c>
      <c r="BC1486" t="s">
        <v>61</v>
      </c>
      <c r="BD1486" t="s">
        <v>61</v>
      </c>
      <c r="BE1486" t="s">
        <v>61</v>
      </c>
      <c r="BF1486" t="s">
        <v>61</v>
      </c>
    </row>
    <row r="1487" spans="1:58">
      <c r="A1487" t="s">
        <v>58</v>
      </c>
      <c r="B1487" t="s">
        <v>12169</v>
      </c>
      <c r="C1487" t="s">
        <v>12170</v>
      </c>
      <c r="D1487" t="s">
        <v>849</v>
      </c>
      <c r="E1487" t="s">
        <v>850</v>
      </c>
      <c r="F1487">
        <v>2009</v>
      </c>
      <c r="G1487" t="s">
        <v>237</v>
      </c>
      <c r="H1487">
        <v>18</v>
      </c>
      <c r="I1487">
        <v>13</v>
      </c>
      <c r="J1487">
        <v>1819</v>
      </c>
      <c r="K1487">
        <v>1826</v>
      </c>
      <c r="L1487" t="s">
        <v>12171</v>
      </c>
      <c r="M1487" t="s">
        <v>12172</v>
      </c>
      <c r="N1487" t="s">
        <v>12173</v>
      </c>
      <c r="O1487" t="s">
        <v>61</v>
      </c>
      <c r="Q1487" t="s">
        <v>61</v>
      </c>
      <c r="R1487" t="s">
        <v>61</v>
      </c>
      <c r="S1487" t="s">
        <v>61</v>
      </c>
      <c r="T1487" t="s">
        <v>61</v>
      </c>
      <c r="X1487" t="s">
        <v>61</v>
      </c>
      <c r="Y1487" t="s">
        <v>855</v>
      </c>
      <c r="Z1487" t="s">
        <v>61</v>
      </c>
      <c r="AA1487" t="s">
        <v>12174</v>
      </c>
      <c r="AB1487">
        <v>19638045</v>
      </c>
      <c r="AC1487" t="s">
        <v>67</v>
      </c>
      <c r="AD1487" t="s">
        <v>61</v>
      </c>
      <c r="AE1487" t="s">
        <v>61</v>
      </c>
      <c r="AF1487" t="s">
        <v>61</v>
      </c>
      <c r="AG1487" t="s">
        <v>12175</v>
      </c>
      <c r="AH1487" t="s">
        <v>61</v>
      </c>
      <c r="AI1487" t="s">
        <v>12176</v>
      </c>
      <c r="AJ1487" t="s">
        <v>61</v>
      </c>
      <c r="AK1487" t="s">
        <v>61</v>
      </c>
      <c r="AL1487" t="s">
        <v>61</v>
      </c>
      <c r="AM1487" t="s">
        <v>12177</v>
      </c>
      <c r="AN1487" t="s">
        <v>61</v>
      </c>
      <c r="AO1487" t="s">
        <v>61</v>
      </c>
      <c r="AP1487" t="s">
        <v>61</v>
      </c>
      <c r="AQ1487" t="s">
        <v>61</v>
      </c>
      <c r="AR1487" t="s">
        <v>61</v>
      </c>
      <c r="AS1487" t="s">
        <v>61</v>
      </c>
      <c r="AT1487" t="s">
        <v>61</v>
      </c>
      <c r="AU1487" t="s">
        <v>61</v>
      </c>
      <c r="AV1487" t="s">
        <v>61</v>
      </c>
      <c r="AW1487" t="s">
        <v>61</v>
      </c>
      <c r="AX1487" t="s">
        <v>61</v>
      </c>
      <c r="AY1487" t="s">
        <v>61</v>
      </c>
      <c r="AZ1487" t="s">
        <v>61</v>
      </c>
      <c r="BA1487" t="s">
        <v>61</v>
      </c>
      <c r="BB1487" t="s">
        <v>61</v>
      </c>
      <c r="BC1487" t="s">
        <v>61</v>
      </c>
      <c r="BD1487" t="s">
        <v>61</v>
      </c>
      <c r="BE1487" t="s">
        <v>61</v>
      </c>
      <c r="BF1487" t="s">
        <v>61</v>
      </c>
    </row>
    <row r="1488" spans="1:58">
      <c r="A1488" t="s">
        <v>58</v>
      </c>
      <c r="B1488" t="s">
        <v>12178</v>
      </c>
      <c r="C1488" t="s">
        <v>12179</v>
      </c>
      <c r="D1488" t="s">
        <v>2007</v>
      </c>
      <c r="E1488" t="s">
        <v>61</v>
      </c>
      <c r="F1488">
        <v>2015</v>
      </c>
      <c r="G1488" t="s">
        <v>363</v>
      </c>
      <c r="H1488">
        <v>26</v>
      </c>
      <c r="I1488">
        <v>1</v>
      </c>
      <c r="J1488">
        <v>67</v>
      </c>
      <c r="K1488">
        <v>77</v>
      </c>
      <c r="L1488" t="s">
        <v>12180</v>
      </c>
      <c r="M1488" t="s">
        <v>12181</v>
      </c>
      <c r="N1488" t="s">
        <v>12182</v>
      </c>
      <c r="O1488" t="s">
        <v>61</v>
      </c>
      <c r="Q1488" t="s">
        <v>61</v>
      </c>
      <c r="R1488" t="s">
        <v>61</v>
      </c>
      <c r="S1488" t="s">
        <v>61</v>
      </c>
      <c r="T1488" t="s">
        <v>61</v>
      </c>
      <c r="X1488" t="s">
        <v>61</v>
      </c>
      <c r="Y1488" t="s">
        <v>7053</v>
      </c>
      <c r="Z1488" t="s">
        <v>61</v>
      </c>
      <c r="AA1488" t="s">
        <v>12183</v>
      </c>
      <c r="AB1488">
        <v>25052240</v>
      </c>
      <c r="AC1488" t="s">
        <v>67</v>
      </c>
      <c r="AD1488" t="s">
        <v>61</v>
      </c>
      <c r="AE1488" t="s">
        <v>61</v>
      </c>
      <c r="AF1488" t="s">
        <v>61</v>
      </c>
      <c r="AG1488" t="s">
        <v>12184</v>
      </c>
      <c r="AH1488" t="s">
        <v>61</v>
      </c>
      <c r="AI1488" t="s">
        <v>12185</v>
      </c>
      <c r="AJ1488" t="s">
        <v>61</v>
      </c>
      <c r="AK1488" t="s">
        <v>61</v>
      </c>
      <c r="AL1488" t="s">
        <v>61</v>
      </c>
      <c r="AM1488" t="s">
        <v>12186</v>
      </c>
      <c r="AN1488" t="s">
        <v>61</v>
      </c>
      <c r="AO1488" t="s">
        <v>61</v>
      </c>
      <c r="AP1488" t="s">
        <v>61</v>
      </c>
      <c r="AQ1488" t="s">
        <v>61</v>
      </c>
      <c r="AR1488" t="s">
        <v>61</v>
      </c>
      <c r="AS1488" t="s">
        <v>61</v>
      </c>
      <c r="AT1488" t="s">
        <v>61</v>
      </c>
      <c r="AU1488" t="s">
        <v>61</v>
      </c>
      <c r="AV1488" t="s">
        <v>61</v>
      </c>
      <c r="AW1488" t="s">
        <v>61</v>
      </c>
      <c r="AX1488" t="s">
        <v>61</v>
      </c>
      <c r="AY1488" t="s">
        <v>61</v>
      </c>
      <c r="AZ1488" t="s">
        <v>61</v>
      </c>
      <c r="BA1488" t="s">
        <v>61</v>
      </c>
      <c r="BB1488" t="s">
        <v>61</v>
      </c>
      <c r="BC1488" t="s">
        <v>61</v>
      </c>
      <c r="BD1488" t="s">
        <v>61</v>
      </c>
      <c r="BE1488" t="s">
        <v>61</v>
      </c>
      <c r="BF1488" t="s">
        <v>61</v>
      </c>
    </row>
    <row r="1489" spans="1:58">
      <c r="A1489" t="s">
        <v>58</v>
      </c>
      <c r="B1489" t="s">
        <v>12187</v>
      </c>
      <c r="C1489" t="s">
        <v>12188</v>
      </c>
      <c r="D1489" t="s">
        <v>1085</v>
      </c>
      <c r="E1489" t="s">
        <v>1086</v>
      </c>
      <c r="F1489">
        <v>2005</v>
      </c>
      <c r="G1489" t="s">
        <v>129</v>
      </c>
      <c r="H1489">
        <v>39</v>
      </c>
      <c r="I1489">
        <v>10</v>
      </c>
      <c r="J1489">
        <v>1720</v>
      </c>
      <c r="K1489">
        <v>1725</v>
      </c>
      <c r="L1489" t="s">
        <v>12189</v>
      </c>
      <c r="M1489" t="s">
        <v>12190</v>
      </c>
      <c r="N1489" t="s">
        <v>12191</v>
      </c>
      <c r="O1489" t="s">
        <v>61</v>
      </c>
      <c r="Q1489" t="s">
        <v>61</v>
      </c>
      <c r="R1489" t="s">
        <v>61</v>
      </c>
      <c r="S1489" t="s">
        <v>61</v>
      </c>
      <c r="T1489" t="s">
        <v>61</v>
      </c>
      <c r="X1489" t="s">
        <v>61</v>
      </c>
      <c r="Y1489" t="s">
        <v>3286</v>
      </c>
      <c r="Z1489" t="s">
        <v>61</v>
      </c>
      <c r="AA1489" t="s">
        <v>12192</v>
      </c>
      <c r="AB1489">
        <v>16144881</v>
      </c>
      <c r="AC1489" t="s">
        <v>67</v>
      </c>
      <c r="AD1489" t="s">
        <v>61</v>
      </c>
      <c r="AE1489" t="s">
        <v>61</v>
      </c>
      <c r="AF1489" t="s">
        <v>61</v>
      </c>
      <c r="AG1489" t="s">
        <v>12193</v>
      </c>
      <c r="AH1489" t="s">
        <v>61</v>
      </c>
      <c r="AI1489" t="s">
        <v>61</v>
      </c>
      <c r="AJ1489" t="s">
        <v>61</v>
      </c>
      <c r="AK1489" t="s">
        <v>61</v>
      </c>
      <c r="AL1489" t="s">
        <v>61</v>
      </c>
      <c r="AM1489" t="s">
        <v>12194</v>
      </c>
      <c r="AN1489" t="s">
        <v>61</v>
      </c>
      <c r="AO1489" t="s">
        <v>61</v>
      </c>
      <c r="AP1489" t="s">
        <v>61</v>
      </c>
      <c r="AQ1489" t="s">
        <v>61</v>
      </c>
      <c r="AR1489" t="s">
        <v>61</v>
      </c>
      <c r="AS1489" t="s">
        <v>61</v>
      </c>
      <c r="AT1489" t="s">
        <v>61</v>
      </c>
      <c r="AU1489" t="s">
        <v>61</v>
      </c>
      <c r="AV1489" t="s">
        <v>61</v>
      </c>
      <c r="AW1489" t="s">
        <v>61</v>
      </c>
      <c r="AX1489" t="s">
        <v>61</v>
      </c>
      <c r="AY1489" t="s">
        <v>61</v>
      </c>
      <c r="AZ1489" t="s">
        <v>61</v>
      </c>
      <c r="BA1489" t="s">
        <v>61</v>
      </c>
      <c r="BB1489" t="s">
        <v>61</v>
      </c>
      <c r="BC1489" t="s">
        <v>61</v>
      </c>
      <c r="BD1489" t="s">
        <v>61</v>
      </c>
      <c r="BE1489" t="s">
        <v>61</v>
      </c>
      <c r="BF1489" t="s">
        <v>61</v>
      </c>
    </row>
    <row r="1490" spans="1:58">
      <c r="A1490" t="s">
        <v>58</v>
      </c>
      <c r="B1490" t="s">
        <v>12195</v>
      </c>
      <c r="C1490" t="s">
        <v>12196</v>
      </c>
      <c r="D1490" t="s">
        <v>627</v>
      </c>
      <c r="E1490" t="s">
        <v>61</v>
      </c>
      <c r="F1490">
        <v>2010</v>
      </c>
      <c r="G1490" t="s">
        <v>628</v>
      </c>
      <c r="H1490">
        <v>50</v>
      </c>
      <c r="I1490">
        <v>2</v>
      </c>
      <c r="J1490">
        <v>302</v>
      </c>
      <c r="K1490">
        <v>303</v>
      </c>
      <c r="L1490" t="s">
        <v>12197</v>
      </c>
      <c r="M1490" t="s">
        <v>12198</v>
      </c>
      <c r="N1490" t="s">
        <v>12199</v>
      </c>
      <c r="O1490" t="s">
        <v>61</v>
      </c>
      <c r="Q1490" t="s">
        <v>61</v>
      </c>
      <c r="R1490" t="s">
        <v>61</v>
      </c>
      <c r="S1490" t="s">
        <v>61</v>
      </c>
      <c r="T1490" t="s">
        <v>61</v>
      </c>
      <c r="X1490" t="s">
        <v>61</v>
      </c>
      <c r="Y1490" t="s">
        <v>632</v>
      </c>
      <c r="Z1490" t="s">
        <v>61</v>
      </c>
      <c r="AA1490" t="s">
        <v>61</v>
      </c>
      <c r="AB1490" t="s">
        <v>61</v>
      </c>
      <c r="AC1490" t="s">
        <v>67</v>
      </c>
      <c r="AD1490" t="s">
        <v>61</v>
      </c>
      <c r="AE1490" t="s">
        <v>61</v>
      </c>
      <c r="AF1490" t="s">
        <v>61</v>
      </c>
      <c r="AG1490" t="s">
        <v>61</v>
      </c>
      <c r="AH1490" t="s">
        <v>61</v>
      </c>
      <c r="AI1490" t="s">
        <v>61</v>
      </c>
      <c r="AJ1490" t="s">
        <v>61</v>
      </c>
      <c r="AK1490" t="s">
        <v>61</v>
      </c>
      <c r="AL1490" t="s">
        <v>61</v>
      </c>
      <c r="AM1490" t="s">
        <v>12196</v>
      </c>
      <c r="AN1490" t="s">
        <v>61</v>
      </c>
      <c r="AO1490" t="s">
        <v>61</v>
      </c>
      <c r="AP1490" t="s">
        <v>61</v>
      </c>
      <c r="AQ1490" t="s">
        <v>61</v>
      </c>
      <c r="AR1490" t="s">
        <v>61</v>
      </c>
      <c r="AS1490" t="s">
        <v>61</v>
      </c>
      <c r="AT1490" t="s">
        <v>61</v>
      </c>
      <c r="AU1490" t="s">
        <v>61</v>
      </c>
      <c r="AV1490" t="s">
        <v>61</v>
      </c>
      <c r="AW1490" t="s">
        <v>61</v>
      </c>
      <c r="AX1490" t="s">
        <v>61</v>
      </c>
      <c r="AY1490" t="s">
        <v>61</v>
      </c>
      <c r="AZ1490" t="s">
        <v>61</v>
      </c>
      <c r="BA1490" t="s">
        <v>61</v>
      </c>
      <c r="BB1490" t="s">
        <v>61</v>
      </c>
      <c r="BC1490" t="s">
        <v>61</v>
      </c>
      <c r="BD1490" t="s">
        <v>61</v>
      </c>
      <c r="BE1490" t="s">
        <v>61</v>
      </c>
      <c r="BF1490" t="s">
        <v>61</v>
      </c>
    </row>
    <row r="1491" spans="1:58">
      <c r="A1491" t="s">
        <v>58</v>
      </c>
      <c r="B1491" t="s">
        <v>12200</v>
      </c>
      <c r="C1491" t="s">
        <v>12201</v>
      </c>
      <c r="D1491" t="s">
        <v>1749</v>
      </c>
      <c r="E1491" t="s">
        <v>1750</v>
      </c>
      <c r="F1491">
        <v>2002</v>
      </c>
      <c r="G1491" t="s">
        <v>559</v>
      </c>
      <c r="H1491">
        <v>58</v>
      </c>
      <c r="I1491">
        <v>2</v>
      </c>
      <c r="J1491">
        <v>157</v>
      </c>
      <c r="K1491">
        <v>161</v>
      </c>
      <c r="L1491" t="s">
        <v>12202</v>
      </c>
      <c r="M1491" t="s">
        <v>12203</v>
      </c>
      <c r="N1491" t="s">
        <v>12204</v>
      </c>
      <c r="O1491" t="s">
        <v>61</v>
      </c>
      <c r="Q1491" t="s">
        <v>61</v>
      </c>
      <c r="R1491" t="s">
        <v>61</v>
      </c>
      <c r="S1491" t="s">
        <v>61</v>
      </c>
      <c r="T1491" t="s">
        <v>61</v>
      </c>
      <c r="X1491" t="s">
        <v>61</v>
      </c>
      <c r="Y1491" t="s">
        <v>5161</v>
      </c>
      <c r="Z1491" t="s">
        <v>61</v>
      </c>
      <c r="AA1491" t="s">
        <v>12205</v>
      </c>
      <c r="AB1491">
        <v>12012150</v>
      </c>
      <c r="AC1491" t="s">
        <v>67</v>
      </c>
      <c r="AD1491" t="s">
        <v>61</v>
      </c>
      <c r="AE1491" t="s">
        <v>61</v>
      </c>
      <c r="AF1491" t="s">
        <v>61</v>
      </c>
      <c r="AG1491" t="s">
        <v>12206</v>
      </c>
      <c r="AH1491" t="s">
        <v>61</v>
      </c>
      <c r="AI1491" t="s">
        <v>61</v>
      </c>
      <c r="AJ1491" t="s">
        <v>61</v>
      </c>
      <c r="AK1491" t="s">
        <v>61</v>
      </c>
      <c r="AL1491" t="s">
        <v>61</v>
      </c>
      <c r="AM1491" t="s">
        <v>12207</v>
      </c>
      <c r="AN1491" t="s">
        <v>61</v>
      </c>
      <c r="AO1491" t="s">
        <v>61</v>
      </c>
      <c r="AP1491" t="s">
        <v>61</v>
      </c>
      <c r="AQ1491" t="s">
        <v>61</v>
      </c>
      <c r="AR1491" t="s">
        <v>61</v>
      </c>
      <c r="AS1491" t="s">
        <v>61</v>
      </c>
      <c r="AT1491" t="s">
        <v>61</v>
      </c>
      <c r="AU1491" t="s">
        <v>61</v>
      </c>
      <c r="AV1491" t="s">
        <v>61</v>
      </c>
      <c r="AW1491" t="s">
        <v>61</v>
      </c>
      <c r="AX1491" t="s">
        <v>61</v>
      </c>
      <c r="AY1491" t="s">
        <v>61</v>
      </c>
      <c r="AZ1491" t="s">
        <v>61</v>
      </c>
      <c r="BA1491" t="s">
        <v>61</v>
      </c>
      <c r="BB1491" t="s">
        <v>61</v>
      </c>
      <c r="BC1491" t="s">
        <v>61</v>
      </c>
      <c r="BD1491" t="s">
        <v>61</v>
      </c>
      <c r="BE1491" t="s">
        <v>61</v>
      </c>
      <c r="BF1491" t="s">
        <v>61</v>
      </c>
    </row>
    <row r="1492" spans="1:58">
      <c r="A1492" t="s">
        <v>58</v>
      </c>
      <c r="B1492" t="s">
        <v>12208</v>
      </c>
      <c r="C1492" t="s">
        <v>12209</v>
      </c>
      <c r="D1492" t="s">
        <v>12210</v>
      </c>
      <c r="E1492" t="s">
        <v>61</v>
      </c>
      <c r="F1492">
        <v>2004</v>
      </c>
      <c r="G1492" t="s">
        <v>85</v>
      </c>
      <c r="H1492">
        <v>10</v>
      </c>
      <c r="I1492">
        <v>1</v>
      </c>
      <c r="J1492">
        <v>13</v>
      </c>
      <c r="K1492">
        <v>16</v>
      </c>
      <c r="L1492" t="s">
        <v>12211</v>
      </c>
      <c r="M1492" t="s">
        <v>12212</v>
      </c>
      <c r="N1492" t="s">
        <v>12213</v>
      </c>
      <c r="O1492" t="s">
        <v>61</v>
      </c>
      <c r="Q1492" t="s">
        <v>61</v>
      </c>
      <c r="R1492" t="s">
        <v>61</v>
      </c>
      <c r="S1492" t="s">
        <v>61</v>
      </c>
      <c r="T1492" t="s">
        <v>61</v>
      </c>
      <c r="X1492" t="s">
        <v>61</v>
      </c>
      <c r="Y1492" t="s">
        <v>12214</v>
      </c>
      <c r="Z1492" t="s">
        <v>61</v>
      </c>
      <c r="AA1492" t="s">
        <v>61</v>
      </c>
      <c r="AB1492">
        <v>2004245592</v>
      </c>
      <c r="AC1492" t="s">
        <v>67</v>
      </c>
      <c r="AD1492" t="s">
        <v>61</v>
      </c>
      <c r="AE1492" t="s">
        <v>61</v>
      </c>
      <c r="AF1492" t="s">
        <v>61</v>
      </c>
      <c r="AG1492" t="s">
        <v>61</v>
      </c>
      <c r="AH1492" t="s">
        <v>61</v>
      </c>
      <c r="AI1492" t="s">
        <v>61</v>
      </c>
      <c r="AJ1492" t="s">
        <v>61</v>
      </c>
      <c r="AK1492" t="s">
        <v>61</v>
      </c>
      <c r="AL1492" t="s">
        <v>61</v>
      </c>
      <c r="AM1492" t="s">
        <v>12209</v>
      </c>
      <c r="AN1492" t="s">
        <v>61</v>
      </c>
      <c r="AO1492" t="s">
        <v>61</v>
      </c>
      <c r="AP1492" t="s">
        <v>61</v>
      </c>
      <c r="AQ1492" t="s">
        <v>61</v>
      </c>
      <c r="AR1492" t="s">
        <v>61</v>
      </c>
      <c r="AS1492" t="s">
        <v>61</v>
      </c>
      <c r="AT1492" t="s">
        <v>61</v>
      </c>
      <c r="AU1492" t="s">
        <v>61</v>
      </c>
      <c r="AV1492" t="s">
        <v>61</v>
      </c>
      <c r="AW1492" t="s">
        <v>61</v>
      </c>
      <c r="AX1492" t="s">
        <v>61</v>
      </c>
      <c r="AY1492" t="s">
        <v>61</v>
      </c>
      <c r="AZ1492" t="s">
        <v>61</v>
      </c>
      <c r="BA1492" t="s">
        <v>61</v>
      </c>
      <c r="BB1492" t="s">
        <v>61</v>
      </c>
      <c r="BC1492" t="s">
        <v>61</v>
      </c>
      <c r="BD1492" t="s">
        <v>61</v>
      </c>
      <c r="BE1492" t="s">
        <v>61</v>
      </c>
      <c r="BF1492" t="s">
        <v>61</v>
      </c>
    </row>
    <row r="1493" spans="1:58">
      <c r="A1493" t="s">
        <v>58</v>
      </c>
      <c r="B1493" t="s">
        <v>12215</v>
      </c>
      <c r="C1493" t="s">
        <v>12216</v>
      </c>
      <c r="D1493" t="s">
        <v>12217</v>
      </c>
      <c r="E1493" t="s">
        <v>12217</v>
      </c>
      <c r="F1493">
        <v>2011</v>
      </c>
      <c r="G1493" t="s">
        <v>61</v>
      </c>
      <c r="H1493">
        <v>11</v>
      </c>
      <c r="I1493" t="s">
        <v>61</v>
      </c>
      <c r="J1493">
        <v>133</v>
      </c>
      <c r="K1493" t="s">
        <v>61</v>
      </c>
      <c r="L1493" t="s">
        <v>12218</v>
      </c>
      <c r="M1493" t="s">
        <v>12219</v>
      </c>
      <c r="N1493" t="s">
        <v>12220</v>
      </c>
      <c r="O1493" t="s">
        <v>61</v>
      </c>
      <c r="Q1493" t="s">
        <v>61</v>
      </c>
      <c r="R1493" t="s">
        <v>61</v>
      </c>
      <c r="S1493" t="s">
        <v>61</v>
      </c>
      <c r="T1493" t="s">
        <v>61</v>
      </c>
      <c r="X1493" t="s">
        <v>61</v>
      </c>
      <c r="Y1493" t="s">
        <v>12221</v>
      </c>
      <c r="Z1493" t="s">
        <v>61</v>
      </c>
      <c r="AA1493" t="s">
        <v>12222</v>
      </c>
      <c r="AB1493">
        <v>21849078</v>
      </c>
      <c r="AC1493" t="s">
        <v>67</v>
      </c>
      <c r="AD1493" t="s">
        <v>61</v>
      </c>
      <c r="AE1493" t="s">
        <v>61</v>
      </c>
      <c r="AF1493" t="s">
        <v>61</v>
      </c>
      <c r="AG1493" t="s">
        <v>12223</v>
      </c>
      <c r="AH1493" t="s">
        <v>61</v>
      </c>
      <c r="AI1493" t="s">
        <v>12224</v>
      </c>
      <c r="AJ1493" t="s">
        <v>61</v>
      </c>
      <c r="AK1493" t="s">
        <v>61</v>
      </c>
      <c r="AL1493" t="s">
        <v>61</v>
      </c>
      <c r="AM1493" t="s">
        <v>12225</v>
      </c>
      <c r="AN1493" t="s">
        <v>61</v>
      </c>
      <c r="AO1493" t="s">
        <v>61</v>
      </c>
      <c r="AP1493" t="s">
        <v>61</v>
      </c>
      <c r="AQ1493" t="s">
        <v>61</v>
      </c>
      <c r="AR1493" t="s">
        <v>61</v>
      </c>
      <c r="AS1493" t="s">
        <v>61</v>
      </c>
      <c r="AT1493" t="s">
        <v>61</v>
      </c>
      <c r="AU1493" t="s">
        <v>61</v>
      </c>
      <c r="AV1493" t="s">
        <v>61</v>
      </c>
      <c r="AW1493" t="s">
        <v>61</v>
      </c>
      <c r="AX1493" t="s">
        <v>61</v>
      </c>
      <c r="AY1493" t="s">
        <v>61</v>
      </c>
      <c r="AZ1493" t="s">
        <v>61</v>
      </c>
      <c r="BA1493" t="s">
        <v>61</v>
      </c>
      <c r="BB1493" t="s">
        <v>61</v>
      </c>
      <c r="BC1493" t="s">
        <v>61</v>
      </c>
      <c r="BD1493" t="s">
        <v>61</v>
      </c>
      <c r="BE1493" t="s">
        <v>61</v>
      </c>
      <c r="BF1493" t="s">
        <v>61</v>
      </c>
    </row>
    <row r="1494" spans="1:58">
      <c r="A1494" t="s">
        <v>58</v>
      </c>
      <c r="B1494" t="s">
        <v>12226</v>
      </c>
      <c r="C1494" t="s">
        <v>12227</v>
      </c>
      <c r="D1494" t="s">
        <v>2704</v>
      </c>
      <c r="E1494" t="s">
        <v>61</v>
      </c>
      <c r="F1494">
        <v>2015</v>
      </c>
      <c r="G1494" t="s">
        <v>645</v>
      </c>
      <c r="H1494">
        <v>38</v>
      </c>
      <c r="I1494">
        <v>10</v>
      </c>
      <c r="J1494">
        <v>1037</v>
      </c>
      <c r="K1494" t="s">
        <v>61</v>
      </c>
      <c r="L1494" t="s">
        <v>12228</v>
      </c>
      <c r="M1494" t="s">
        <v>12229</v>
      </c>
      <c r="N1494" t="s">
        <v>12230</v>
      </c>
      <c r="O1494" t="s">
        <v>61</v>
      </c>
      <c r="Q1494" t="s">
        <v>61</v>
      </c>
      <c r="R1494" t="s">
        <v>61</v>
      </c>
      <c r="S1494" t="s">
        <v>61</v>
      </c>
      <c r="T1494" t="s">
        <v>61</v>
      </c>
      <c r="X1494" t="s">
        <v>61</v>
      </c>
      <c r="Y1494" t="s">
        <v>313</v>
      </c>
      <c r="Z1494" t="s">
        <v>61</v>
      </c>
      <c r="AA1494" t="s">
        <v>61</v>
      </c>
      <c r="AB1494" t="s">
        <v>61</v>
      </c>
      <c r="AC1494" t="s">
        <v>67</v>
      </c>
      <c r="AD1494" t="s">
        <v>61</v>
      </c>
      <c r="AE1494" t="s">
        <v>61</v>
      </c>
      <c r="AF1494" t="s">
        <v>61</v>
      </c>
      <c r="AG1494" t="s">
        <v>61</v>
      </c>
      <c r="AH1494" t="s">
        <v>61</v>
      </c>
      <c r="AI1494" t="s">
        <v>61</v>
      </c>
      <c r="AJ1494" t="s">
        <v>61</v>
      </c>
      <c r="AK1494" t="s">
        <v>61</v>
      </c>
      <c r="AL1494" t="s">
        <v>61</v>
      </c>
      <c r="AM1494" t="s">
        <v>12227</v>
      </c>
      <c r="AN1494" t="s">
        <v>61</v>
      </c>
      <c r="AO1494" t="s">
        <v>61</v>
      </c>
      <c r="AP1494" t="s">
        <v>61</v>
      </c>
      <c r="AQ1494" t="s">
        <v>61</v>
      </c>
      <c r="AR1494" t="s">
        <v>61</v>
      </c>
      <c r="AS1494" t="s">
        <v>61</v>
      </c>
      <c r="AT1494" t="s">
        <v>61</v>
      </c>
      <c r="AU1494" t="s">
        <v>61</v>
      </c>
      <c r="AV1494" t="s">
        <v>61</v>
      </c>
      <c r="AW1494" t="s">
        <v>61</v>
      </c>
      <c r="AX1494" t="s">
        <v>61</v>
      </c>
      <c r="AY1494" t="s">
        <v>61</v>
      </c>
      <c r="AZ1494" t="s">
        <v>61</v>
      </c>
      <c r="BA1494" t="s">
        <v>61</v>
      </c>
      <c r="BB1494" t="s">
        <v>61</v>
      </c>
      <c r="BC1494" t="s">
        <v>61</v>
      </c>
      <c r="BD1494" t="s">
        <v>61</v>
      </c>
      <c r="BE1494" t="s">
        <v>61</v>
      </c>
      <c r="BF1494" t="s">
        <v>61</v>
      </c>
    </row>
    <row r="1495" spans="1:58">
      <c r="A1495" t="s">
        <v>58</v>
      </c>
      <c r="B1495" t="s">
        <v>12231</v>
      </c>
      <c r="C1495" t="s">
        <v>12232</v>
      </c>
      <c r="D1495" t="s">
        <v>12233</v>
      </c>
      <c r="E1495" t="s">
        <v>61</v>
      </c>
      <c r="F1495">
        <v>2008</v>
      </c>
      <c r="G1495" t="s">
        <v>119</v>
      </c>
      <c r="H1495">
        <v>76</v>
      </c>
      <c r="I1495">
        <v>3</v>
      </c>
      <c r="J1495">
        <v>449</v>
      </c>
      <c r="K1495">
        <v>458</v>
      </c>
      <c r="L1495" t="s">
        <v>12234</v>
      </c>
      <c r="M1495" t="s">
        <v>12235</v>
      </c>
      <c r="N1495" t="s">
        <v>12236</v>
      </c>
      <c r="O1495" t="s">
        <v>61</v>
      </c>
      <c r="Q1495" t="s">
        <v>61</v>
      </c>
      <c r="R1495" t="s">
        <v>61</v>
      </c>
      <c r="S1495" t="s">
        <v>61</v>
      </c>
      <c r="T1495" t="s">
        <v>61</v>
      </c>
      <c r="X1495" t="s">
        <v>61</v>
      </c>
      <c r="Y1495" t="s">
        <v>12237</v>
      </c>
      <c r="Z1495" t="s">
        <v>61</v>
      </c>
      <c r="AA1495" t="s">
        <v>12238</v>
      </c>
      <c r="AB1495">
        <v>18540738</v>
      </c>
      <c r="AC1495" t="s">
        <v>67</v>
      </c>
      <c r="AD1495" t="s">
        <v>61</v>
      </c>
      <c r="AE1495" t="s">
        <v>61</v>
      </c>
      <c r="AF1495" t="s">
        <v>61</v>
      </c>
      <c r="AG1495" t="s">
        <v>12239</v>
      </c>
      <c r="AH1495" t="s">
        <v>61</v>
      </c>
      <c r="AI1495" t="s">
        <v>12240</v>
      </c>
      <c r="AJ1495" t="s">
        <v>61</v>
      </c>
      <c r="AK1495" t="s">
        <v>61</v>
      </c>
      <c r="AL1495" t="s">
        <v>61</v>
      </c>
      <c r="AM1495" t="s">
        <v>12241</v>
      </c>
      <c r="AN1495" t="s">
        <v>61</v>
      </c>
      <c r="AO1495" t="s">
        <v>61</v>
      </c>
      <c r="AP1495" t="s">
        <v>61</v>
      </c>
      <c r="AQ1495" t="s">
        <v>61</v>
      </c>
      <c r="AR1495" t="s">
        <v>61</v>
      </c>
      <c r="AS1495" t="s">
        <v>61</v>
      </c>
      <c r="AT1495" t="s">
        <v>61</v>
      </c>
      <c r="AU1495" t="s">
        <v>61</v>
      </c>
      <c r="AV1495" t="s">
        <v>61</v>
      </c>
      <c r="AW1495" t="s">
        <v>61</v>
      </c>
      <c r="AX1495" t="s">
        <v>61</v>
      </c>
      <c r="AY1495" t="s">
        <v>61</v>
      </c>
      <c r="AZ1495" t="s">
        <v>61</v>
      </c>
      <c r="BA1495" t="s">
        <v>61</v>
      </c>
      <c r="BB1495" t="s">
        <v>61</v>
      </c>
      <c r="BC1495" t="s">
        <v>61</v>
      </c>
      <c r="BD1495" t="s">
        <v>61</v>
      </c>
      <c r="BE1495" t="s">
        <v>61</v>
      </c>
      <c r="BF1495" t="s">
        <v>61</v>
      </c>
    </row>
    <row r="1496" spans="1:58">
      <c r="A1496" t="s">
        <v>58</v>
      </c>
      <c r="B1496" t="s">
        <v>12242</v>
      </c>
      <c r="C1496" t="s">
        <v>12243</v>
      </c>
      <c r="D1496" t="s">
        <v>1000</v>
      </c>
      <c r="E1496" t="s">
        <v>1000</v>
      </c>
      <c r="F1496">
        <v>1998</v>
      </c>
      <c r="G1496" t="s">
        <v>61</v>
      </c>
      <c r="H1496">
        <v>93</v>
      </c>
      <c r="I1496">
        <v>2</v>
      </c>
      <c r="J1496">
        <v>231</v>
      </c>
      <c r="K1496" t="s">
        <v>12244</v>
      </c>
      <c r="L1496" t="s">
        <v>12245</v>
      </c>
      <c r="M1496" t="s">
        <v>12246</v>
      </c>
      <c r="N1496" t="s">
        <v>12247</v>
      </c>
      <c r="O1496" t="s">
        <v>61</v>
      </c>
      <c r="Q1496" t="s">
        <v>61</v>
      </c>
      <c r="R1496" t="s">
        <v>61</v>
      </c>
      <c r="S1496" t="s">
        <v>61</v>
      </c>
      <c r="T1496" t="s">
        <v>61</v>
      </c>
      <c r="X1496" t="s">
        <v>61</v>
      </c>
      <c r="Y1496" t="s">
        <v>1004</v>
      </c>
      <c r="Z1496" t="s">
        <v>61</v>
      </c>
      <c r="AA1496" t="s">
        <v>12248</v>
      </c>
      <c r="AB1496">
        <v>104797891</v>
      </c>
      <c r="AC1496" t="s">
        <v>67</v>
      </c>
      <c r="AD1496" t="s">
        <v>61</v>
      </c>
      <c r="AE1496" t="s">
        <v>61</v>
      </c>
      <c r="AF1496" t="s">
        <v>61</v>
      </c>
      <c r="AG1496" t="s">
        <v>12249</v>
      </c>
      <c r="AH1496" t="s">
        <v>61</v>
      </c>
      <c r="AI1496" t="s">
        <v>12250</v>
      </c>
      <c r="AJ1496" t="s">
        <v>61</v>
      </c>
      <c r="AK1496" t="s">
        <v>61</v>
      </c>
      <c r="AL1496" t="s">
        <v>61</v>
      </c>
      <c r="AM1496" t="s">
        <v>12251</v>
      </c>
      <c r="AN1496" t="s">
        <v>61</v>
      </c>
      <c r="AO1496" t="s">
        <v>61</v>
      </c>
      <c r="AP1496" t="s">
        <v>61</v>
      </c>
      <c r="AQ1496" t="s">
        <v>61</v>
      </c>
      <c r="AR1496" t="s">
        <v>61</v>
      </c>
      <c r="AS1496" t="s">
        <v>61</v>
      </c>
      <c r="AT1496" t="s">
        <v>61</v>
      </c>
      <c r="AU1496" t="s">
        <v>61</v>
      </c>
      <c r="AV1496" t="s">
        <v>61</v>
      </c>
      <c r="AW1496" t="s">
        <v>61</v>
      </c>
      <c r="AX1496" t="s">
        <v>61</v>
      </c>
      <c r="AY1496" t="s">
        <v>61</v>
      </c>
      <c r="AZ1496" t="s">
        <v>61</v>
      </c>
      <c r="BA1496" t="s">
        <v>61</v>
      </c>
      <c r="BB1496" t="s">
        <v>61</v>
      </c>
      <c r="BC1496" t="s">
        <v>61</v>
      </c>
      <c r="BD1496" t="s">
        <v>61</v>
      </c>
      <c r="BE1496" t="s">
        <v>61</v>
      </c>
      <c r="BF1496" t="s">
        <v>61</v>
      </c>
    </row>
    <row r="1497" spans="1:58">
      <c r="A1497" t="s">
        <v>58</v>
      </c>
      <c r="B1497" t="s">
        <v>12252</v>
      </c>
      <c r="C1497" t="s">
        <v>12253</v>
      </c>
      <c r="D1497" t="s">
        <v>12254</v>
      </c>
      <c r="E1497" t="s">
        <v>12255</v>
      </c>
      <c r="F1497">
        <v>2003</v>
      </c>
      <c r="G1497" t="s">
        <v>3037</v>
      </c>
      <c r="H1497">
        <v>60</v>
      </c>
      <c r="I1497">
        <v>2</v>
      </c>
      <c r="J1497">
        <v>214</v>
      </c>
      <c r="K1497">
        <v>217</v>
      </c>
      <c r="L1497" t="s">
        <v>12256</v>
      </c>
      <c r="M1497" t="s">
        <v>12257</v>
      </c>
      <c r="N1497" t="s">
        <v>12258</v>
      </c>
      <c r="O1497" t="s">
        <v>61</v>
      </c>
      <c r="Q1497" t="s">
        <v>61</v>
      </c>
      <c r="R1497" t="s">
        <v>61</v>
      </c>
      <c r="S1497" t="s">
        <v>61</v>
      </c>
      <c r="T1497" t="s">
        <v>61</v>
      </c>
      <c r="X1497" t="s">
        <v>61</v>
      </c>
      <c r="Y1497" t="s">
        <v>12259</v>
      </c>
      <c r="Z1497" t="s">
        <v>61</v>
      </c>
      <c r="AA1497" t="s">
        <v>12260</v>
      </c>
      <c r="AB1497">
        <v>14972299</v>
      </c>
      <c r="AC1497" t="s">
        <v>67</v>
      </c>
      <c r="AD1497" t="s">
        <v>61</v>
      </c>
      <c r="AE1497" t="s">
        <v>61</v>
      </c>
      <c r="AF1497" t="s">
        <v>61</v>
      </c>
      <c r="AG1497" t="s">
        <v>12261</v>
      </c>
      <c r="AH1497" t="s">
        <v>61</v>
      </c>
      <c r="AI1497" t="s">
        <v>61</v>
      </c>
      <c r="AJ1497" t="s">
        <v>61</v>
      </c>
      <c r="AK1497" t="s">
        <v>61</v>
      </c>
      <c r="AL1497" t="s">
        <v>61</v>
      </c>
      <c r="AM1497" t="s">
        <v>12262</v>
      </c>
      <c r="AN1497" t="s">
        <v>61</v>
      </c>
      <c r="AO1497" t="s">
        <v>61</v>
      </c>
      <c r="AP1497" t="s">
        <v>61</v>
      </c>
      <c r="AQ1497" t="s">
        <v>61</v>
      </c>
      <c r="AR1497" t="s">
        <v>61</v>
      </c>
      <c r="AS1497" t="s">
        <v>61</v>
      </c>
      <c r="AT1497" t="s">
        <v>61</v>
      </c>
      <c r="AU1497" t="s">
        <v>61</v>
      </c>
      <c r="AV1497" t="s">
        <v>61</v>
      </c>
      <c r="AW1497" t="s">
        <v>61</v>
      </c>
      <c r="AX1497" t="s">
        <v>61</v>
      </c>
      <c r="AY1497" t="s">
        <v>61</v>
      </c>
      <c r="AZ1497" t="s">
        <v>61</v>
      </c>
      <c r="BA1497" t="s">
        <v>61</v>
      </c>
      <c r="BB1497" t="s">
        <v>61</v>
      </c>
      <c r="BC1497" t="s">
        <v>61</v>
      </c>
      <c r="BD1497" t="s">
        <v>61</v>
      </c>
      <c r="BE1497" t="s">
        <v>61</v>
      </c>
      <c r="BF1497" t="s">
        <v>61</v>
      </c>
    </row>
    <row r="1498" spans="1:58">
      <c r="A1498" t="s">
        <v>58</v>
      </c>
      <c r="B1498" t="s">
        <v>12263</v>
      </c>
      <c r="C1498" t="s">
        <v>12264</v>
      </c>
      <c r="D1498" t="s">
        <v>1454</v>
      </c>
      <c r="E1498" t="s">
        <v>1455</v>
      </c>
      <c r="F1498">
        <v>1982</v>
      </c>
      <c r="G1498" t="s">
        <v>61</v>
      </c>
      <c r="H1498">
        <v>12</v>
      </c>
      <c r="I1498">
        <v>3</v>
      </c>
      <c r="J1498">
        <v>273</v>
      </c>
      <c r="K1498">
        <v>283</v>
      </c>
      <c r="L1498" t="s">
        <v>12265</v>
      </c>
      <c r="M1498" t="s">
        <v>12266</v>
      </c>
      <c r="N1498" t="s">
        <v>12267</v>
      </c>
      <c r="O1498" t="s">
        <v>61</v>
      </c>
      <c r="Q1498" t="s">
        <v>61</v>
      </c>
      <c r="R1498" t="s">
        <v>61</v>
      </c>
      <c r="S1498" t="s">
        <v>61</v>
      </c>
      <c r="T1498" t="s">
        <v>61</v>
      </c>
      <c r="X1498" t="s">
        <v>61</v>
      </c>
      <c r="Y1498" t="s">
        <v>1459</v>
      </c>
      <c r="Z1498" t="s">
        <v>61</v>
      </c>
      <c r="AA1498" t="s">
        <v>61</v>
      </c>
      <c r="AB1498">
        <v>1983029936</v>
      </c>
      <c r="AC1498" t="s">
        <v>67</v>
      </c>
      <c r="AD1498" t="s">
        <v>61</v>
      </c>
      <c r="AE1498" t="s">
        <v>61</v>
      </c>
      <c r="AF1498" t="s">
        <v>61</v>
      </c>
      <c r="AG1498" t="s">
        <v>61</v>
      </c>
      <c r="AH1498" t="s">
        <v>61</v>
      </c>
      <c r="AI1498" t="s">
        <v>61</v>
      </c>
      <c r="AJ1498" t="s">
        <v>61</v>
      </c>
      <c r="AK1498" t="s">
        <v>61</v>
      </c>
      <c r="AL1498" t="s">
        <v>61</v>
      </c>
      <c r="AM1498" t="s">
        <v>12264</v>
      </c>
      <c r="AN1498" t="s">
        <v>61</v>
      </c>
      <c r="AO1498" t="s">
        <v>61</v>
      </c>
      <c r="AP1498" t="s">
        <v>61</v>
      </c>
      <c r="AQ1498" t="s">
        <v>61</v>
      </c>
      <c r="AR1498" t="s">
        <v>61</v>
      </c>
      <c r="AS1498" t="s">
        <v>61</v>
      </c>
      <c r="AT1498" t="s">
        <v>61</v>
      </c>
      <c r="AU1498" t="s">
        <v>61</v>
      </c>
      <c r="AV1498" t="s">
        <v>61</v>
      </c>
      <c r="AW1498" t="s">
        <v>61</v>
      </c>
      <c r="AX1498" t="s">
        <v>61</v>
      </c>
      <c r="AY1498" t="s">
        <v>61</v>
      </c>
      <c r="AZ1498" t="s">
        <v>61</v>
      </c>
      <c r="BA1498" t="s">
        <v>61</v>
      </c>
      <c r="BB1498" t="s">
        <v>61</v>
      </c>
      <c r="BC1498" t="s">
        <v>61</v>
      </c>
      <c r="BD1498" t="s">
        <v>61</v>
      </c>
      <c r="BE1498" t="s">
        <v>61</v>
      </c>
      <c r="BF1498" t="s">
        <v>61</v>
      </c>
    </row>
    <row r="1499" spans="1:58">
      <c r="A1499" t="s">
        <v>58</v>
      </c>
      <c r="B1499" t="s">
        <v>12268</v>
      </c>
      <c r="C1499" t="s">
        <v>12269</v>
      </c>
      <c r="D1499" t="s">
        <v>11168</v>
      </c>
      <c r="E1499" t="s">
        <v>11169</v>
      </c>
      <c r="F1499">
        <v>2012</v>
      </c>
      <c r="G1499" t="s">
        <v>1396</v>
      </c>
      <c r="H1499">
        <v>49</v>
      </c>
      <c r="I1499">
        <v>4</v>
      </c>
      <c r="J1499">
        <v>327</v>
      </c>
      <c r="K1499">
        <v>335</v>
      </c>
      <c r="L1499" t="s">
        <v>12270</v>
      </c>
      <c r="M1499" t="s">
        <v>12271</v>
      </c>
      <c r="N1499" t="s">
        <v>12272</v>
      </c>
      <c r="O1499" t="s">
        <v>61</v>
      </c>
      <c r="Q1499" t="s">
        <v>61</v>
      </c>
      <c r="R1499" t="s">
        <v>61</v>
      </c>
      <c r="S1499" t="s">
        <v>61</v>
      </c>
      <c r="T1499" t="s">
        <v>61</v>
      </c>
      <c r="X1499" t="s">
        <v>61</v>
      </c>
      <c r="Y1499" t="s">
        <v>11174</v>
      </c>
      <c r="Z1499" t="s">
        <v>61</v>
      </c>
      <c r="AA1499" t="s">
        <v>12273</v>
      </c>
      <c r="AB1499">
        <v>23442394</v>
      </c>
      <c r="AC1499" t="s">
        <v>67</v>
      </c>
      <c r="AD1499" t="s">
        <v>61</v>
      </c>
      <c r="AE1499" t="s">
        <v>61</v>
      </c>
      <c r="AF1499" t="s">
        <v>61</v>
      </c>
      <c r="AG1499" t="s">
        <v>12274</v>
      </c>
      <c r="AH1499" t="s">
        <v>61</v>
      </c>
      <c r="AI1499" t="s">
        <v>12275</v>
      </c>
      <c r="AJ1499" t="s">
        <v>61</v>
      </c>
      <c r="AK1499" t="s">
        <v>61</v>
      </c>
      <c r="AL1499" t="s">
        <v>61</v>
      </c>
      <c r="AM1499" t="s">
        <v>12276</v>
      </c>
      <c r="AN1499" t="s">
        <v>61</v>
      </c>
      <c r="AO1499" t="s">
        <v>61</v>
      </c>
      <c r="AP1499" t="s">
        <v>61</v>
      </c>
      <c r="AQ1499" t="s">
        <v>61</v>
      </c>
      <c r="AR1499" t="s">
        <v>61</v>
      </c>
      <c r="AS1499" t="s">
        <v>61</v>
      </c>
      <c r="AT1499" t="s">
        <v>61</v>
      </c>
      <c r="AU1499" t="s">
        <v>61</v>
      </c>
      <c r="AV1499" t="s">
        <v>61</v>
      </c>
      <c r="AW1499" t="s">
        <v>61</v>
      </c>
      <c r="AX1499" t="s">
        <v>61</v>
      </c>
      <c r="AY1499" t="s">
        <v>61</v>
      </c>
      <c r="AZ1499" t="s">
        <v>61</v>
      </c>
      <c r="BA1499" t="s">
        <v>61</v>
      </c>
      <c r="BB1499" t="s">
        <v>61</v>
      </c>
      <c r="BC1499" t="s">
        <v>61</v>
      </c>
      <c r="BD1499" t="s">
        <v>61</v>
      </c>
      <c r="BE1499" t="s">
        <v>61</v>
      </c>
      <c r="BF1499" t="s">
        <v>61</v>
      </c>
    </row>
    <row r="1500" spans="1:58">
      <c r="A1500" t="s">
        <v>58</v>
      </c>
      <c r="B1500" t="s">
        <v>12277</v>
      </c>
      <c r="C1500" t="s">
        <v>12278</v>
      </c>
      <c r="D1500" t="s">
        <v>8363</v>
      </c>
      <c r="E1500" t="s">
        <v>61</v>
      </c>
      <c r="F1500">
        <v>2010</v>
      </c>
      <c r="G1500" t="s">
        <v>12279</v>
      </c>
      <c r="H1500">
        <v>3</v>
      </c>
      <c r="I1500">
        <v>1</v>
      </c>
      <c r="J1500">
        <v>60</v>
      </c>
      <c r="K1500">
        <v>64</v>
      </c>
      <c r="L1500" t="s">
        <v>12280</v>
      </c>
      <c r="M1500" t="s">
        <v>12281</v>
      </c>
      <c r="N1500" t="s">
        <v>12282</v>
      </c>
      <c r="O1500" t="s">
        <v>61</v>
      </c>
      <c r="Q1500" t="s">
        <v>61</v>
      </c>
      <c r="R1500" t="s">
        <v>61</v>
      </c>
      <c r="S1500" t="s">
        <v>61</v>
      </c>
      <c r="T1500" t="s">
        <v>61</v>
      </c>
      <c r="X1500" t="s">
        <v>61</v>
      </c>
      <c r="Y1500" t="s">
        <v>8367</v>
      </c>
      <c r="Z1500" t="s">
        <v>61</v>
      </c>
      <c r="AA1500" t="s">
        <v>61</v>
      </c>
      <c r="AB1500">
        <v>2010083246</v>
      </c>
      <c r="AC1500" t="s">
        <v>67</v>
      </c>
      <c r="AD1500" t="s">
        <v>61</v>
      </c>
      <c r="AE1500" t="s">
        <v>61</v>
      </c>
      <c r="AF1500" t="s">
        <v>61</v>
      </c>
      <c r="AG1500" t="s">
        <v>61</v>
      </c>
      <c r="AH1500" t="s">
        <v>61</v>
      </c>
      <c r="AI1500" t="s">
        <v>61</v>
      </c>
      <c r="AJ1500" t="s">
        <v>61</v>
      </c>
      <c r="AK1500" t="s">
        <v>61</v>
      </c>
      <c r="AL1500" t="s">
        <v>61</v>
      </c>
      <c r="AM1500" t="s">
        <v>12278</v>
      </c>
      <c r="AN1500" t="s">
        <v>61</v>
      </c>
      <c r="AO1500" t="s">
        <v>61</v>
      </c>
      <c r="AP1500" t="s">
        <v>61</v>
      </c>
      <c r="AQ1500" t="s">
        <v>61</v>
      </c>
      <c r="AR1500" t="s">
        <v>61</v>
      </c>
      <c r="AS1500" t="s">
        <v>61</v>
      </c>
      <c r="AT1500" t="s">
        <v>61</v>
      </c>
      <c r="AU1500" t="s">
        <v>61</v>
      </c>
      <c r="AV1500" t="s">
        <v>61</v>
      </c>
      <c r="AW1500" t="s">
        <v>61</v>
      </c>
      <c r="AX1500" t="s">
        <v>61</v>
      </c>
      <c r="AY1500" t="s">
        <v>61</v>
      </c>
      <c r="AZ1500" t="s">
        <v>61</v>
      </c>
      <c r="BA1500" t="s">
        <v>61</v>
      </c>
      <c r="BB1500" t="s">
        <v>61</v>
      </c>
      <c r="BC1500" t="s">
        <v>61</v>
      </c>
      <c r="BD1500" t="s">
        <v>61</v>
      </c>
      <c r="BE1500" t="s">
        <v>61</v>
      </c>
      <c r="BF1500" t="s">
        <v>61</v>
      </c>
    </row>
    <row r="1501" spans="1:58">
      <c r="A1501" t="s">
        <v>58</v>
      </c>
      <c r="B1501" t="s">
        <v>12283</v>
      </c>
      <c r="C1501" t="s">
        <v>12284</v>
      </c>
      <c r="D1501" t="s">
        <v>12285</v>
      </c>
      <c r="E1501" t="s">
        <v>61</v>
      </c>
      <c r="F1501">
        <v>2009</v>
      </c>
      <c r="G1501" t="s">
        <v>61</v>
      </c>
      <c r="H1501">
        <v>23</v>
      </c>
      <c r="I1501">
        <v>1</v>
      </c>
      <c r="J1501" t="s">
        <v>12286</v>
      </c>
      <c r="K1501" t="s">
        <v>12287</v>
      </c>
      <c r="L1501" t="s">
        <v>12288</v>
      </c>
      <c r="M1501" t="s">
        <v>12289</v>
      </c>
      <c r="N1501" t="s">
        <v>12290</v>
      </c>
      <c r="O1501" t="s">
        <v>61</v>
      </c>
      <c r="Q1501" t="s">
        <v>61</v>
      </c>
      <c r="R1501" t="s">
        <v>61</v>
      </c>
      <c r="S1501" t="s">
        <v>61</v>
      </c>
      <c r="T1501" t="s">
        <v>61</v>
      </c>
      <c r="X1501" t="s">
        <v>61</v>
      </c>
      <c r="Y1501" t="s">
        <v>12291</v>
      </c>
      <c r="Z1501" t="s">
        <v>61</v>
      </c>
      <c r="AA1501" t="s">
        <v>12292</v>
      </c>
      <c r="AB1501">
        <v>105450242</v>
      </c>
      <c r="AC1501" t="s">
        <v>67</v>
      </c>
      <c r="AD1501" t="s">
        <v>61</v>
      </c>
      <c r="AE1501" t="s">
        <v>61</v>
      </c>
      <c r="AF1501" t="s">
        <v>61</v>
      </c>
      <c r="AG1501" t="s">
        <v>12293</v>
      </c>
      <c r="AH1501" t="s">
        <v>61</v>
      </c>
      <c r="AI1501" t="s">
        <v>12294</v>
      </c>
      <c r="AJ1501" t="s">
        <v>61</v>
      </c>
      <c r="AK1501" t="s">
        <v>61</v>
      </c>
      <c r="AL1501" t="s">
        <v>61</v>
      </c>
      <c r="AM1501" t="s">
        <v>12295</v>
      </c>
      <c r="AN1501" t="s">
        <v>61</v>
      </c>
      <c r="AO1501" t="s">
        <v>61</v>
      </c>
      <c r="AP1501" t="s">
        <v>61</v>
      </c>
      <c r="AQ1501" t="s">
        <v>61</v>
      </c>
      <c r="AR1501" t="s">
        <v>61</v>
      </c>
      <c r="AS1501" t="s">
        <v>61</v>
      </c>
      <c r="AT1501" t="s">
        <v>61</v>
      </c>
      <c r="AU1501" t="s">
        <v>61</v>
      </c>
      <c r="AV1501" t="s">
        <v>61</v>
      </c>
      <c r="AW1501" t="s">
        <v>61</v>
      </c>
      <c r="AX1501" t="s">
        <v>61</v>
      </c>
      <c r="AY1501" t="s">
        <v>61</v>
      </c>
      <c r="AZ1501" t="s">
        <v>61</v>
      </c>
      <c r="BA1501" t="s">
        <v>61</v>
      </c>
      <c r="BB1501" t="s">
        <v>61</v>
      </c>
      <c r="BC1501" t="s">
        <v>61</v>
      </c>
      <c r="BD1501" t="s">
        <v>61</v>
      </c>
      <c r="BE1501" t="s">
        <v>61</v>
      </c>
      <c r="BF1501" t="s">
        <v>61</v>
      </c>
    </row>
    <row r="1502" spans="1:58">
      <c r="A1502" t="s">
        <v>58</v>
      </c>
      <c r="B1502" t="s">
        <v>12296</v>
      </c>
      <c r="C1502" t="s">
        <v>12297</v>
      </c>
      <c r="D1502" t="s">
        <v>8664</v>
      </c>
      <c r="E1502" t="s">
        <v>8664</v>
      </c>
      <c r="F1502">
        <v>2006</v>
      </c>
      <c r="G1502" t="s">
        <v>559</v>
      </c>
      <c r="H1502">
        <v>18</v>
      </c>
      <c r="I1502">
        <v>4</v>
      </c>
      <c r="J1502">
        <v>332</v>
      </c>
      <c r="K1502">
        <v>338</v>
      </c>
      <c r="L1502" t="s">
        <v>12298</v>
      </c>
      <c r="M1502" t="s">
        <v>12299</v>
      </c>
      <c r="N1502" t="s">
        <v>12300</v>
      </c>
      <c r="O1502" t="s">
        <v>61</v>
      </c>
      <c r="Q1502" t="s">
        <v>61</v>
      </c>
      <c r="R1502" t="s">
        <v>61</v>
      </c>
      <c r="S1502" t="s">
        <v>61</v>
      </c>
      <c r="T1502" t="s">
        <v>61</v>
      </c>
      <c r="X1502" t="s">
        <v>61</v>
      </c>
      <c r="Y1502" t="s">
        <v>8668</v>
      </c>
      <c r="Z1502" t="s">
        <v>61</v>
      </c>
      <c r="AA1502" t="s">
        <v>12301</v>
      </c>
      <c r="AB1502">
        <v>16809110</v>
      </c>
      <c r="AC1502" t="s">
        <v>67</v>
      </c>
      <c r="AD1502" t="s">
        <v>61</v>
      </c>
      <c r="AE1502" t="s">
        <v>61</v>
      </c>
      <c r="AF1502" t="s">
        <v>61</v>
      </c>
      <c r="AG1502" t="s">
        <v>12302</v>
      </c>
      <c r="AH1502" t="s">
        <v>61</v>
      </c>
      <c r="AI1502" t="s">
        <v>61</v>
      </c>
      <c r="AJ1502" t="s">
        <v>61</v>
      </c>
      <c r="AK1502" t="s">
        <v>61</v>
      </c>
      <c r="AL1502" t="s">
        <v>61</v>
      </c>
      <c r="AM1502" t="s">
        <v>12303</v>
      </c>
      <c r="AN1502" t="s">
        <v>61</v>
      </c>
      <c r="AO1502" t="s">
        <v>61</v>
      </c>
      <c r="AP1502" t="s">
        <v>61</v>
      </c>
      <c r="AQ1502" t="s">
        <v>61</v>
      </c>
      <c r="AR1502" t="s">
        <v>61</v>
      </c>
      <c r="AS1502" t="s">
        <v>61</v>
      </c>
      <c r="AT1502" t="s">
        <v>61</v>
      </c>
      <c r="AU1502" t="s">
        <v>61</v>
      </c>
      <c r="AV1502" t="s">
        <v>61</v>
      </c>
      <c r="AW1502" t="s">
        <v>61</v>
      </c>
      <c r="AX1502" t="s">
        <v>61</v>
      </c>
      <c r="AY1502" t="s">
        <v>61</v>
      </c>
      <c r="AZ1502" t="s">
        <v>61</v>
      </c>
      <c r="BA1502" t="s">
        <v>61</v>
      </c>
      <c r="BB1502" t="s">
        <v>61</v>
      </c>
      <c r="BC1502" t="s">
        <v>61</v>
      </c>
      <c r="BD1502" t="s">
        <v>61</v>
      </c>
      <c r="BE1502" t="s">
        <v>61</v>
      </c>
      <c r="BF1502" t="s">
        <v>61</v>
      </c>
    </row>
    <row r="1503" spans="1:58">
      <c r="A1503" t="s">
        <v>58</v>
      </c>
      <c r="B1503" t="s">
        <v>12304</v>
      </c>
      <c r="C1503" t="s">
        <v>12305</v>
      </c>
      <c r="D1503" t="s">
        <v>1749</v>
      </c>
      <c r="E1503" t="s">
        <v>1750</v>
      </c>
      <c r="F1503">
        <v>1998</v>
      </c>
      <c r="G1503" t="s">
        <v>1332</v>
      </c>
      <c r="H1503">
        <v>54</v>
      </c>
      <c r="I1503" s="1">
        <v>42623</v>
      </c>
      <c r="J1503">
        <v>685</v>
      </c>
      <c r="K1503">
        <v>689</v>
      </c>
      <c r="L1503" t="s">
        <v>12306</v>
      </c>
      <c r="M1503" t="s">
        <v>12307</v>
      </c>
      <c r="N1503" t="s">
        <v>12308</v>
      </c>
      <c r="O1503" t="s">
        <v>61</v>
      </c>
      <c r="Q1503" t="s">
        <v>61</v>
      </c>
      <c r="R1503" t="s">
        <v>61</v>
      </c>
      <c r="S1503" t="s">
        <v>61</v>
      </c>
      <c r="T1503" t="s">
        <v>61</v>
      </c>
      <c r="X1503" t="s">
        <v>61</v>
      </c>
      <c r="Y1503" t="s">
        <v>5161</v>
      </c>
      <c r="Z1503" t="s">
        <v>61</v>
      </c>
      <c r="AA1503" t="s">
        <v>12309</v>
      </c>
      <c r="AB1503">
        <v>9923568</v>
      </c>
      <c r="AC1503" t="s">
        <v>67</v>
      </c>
      <c r="AD1503" t="s">
        <v>61</v>
      </c>
      <c r="AE1503" t="s">
        <v>61</v>
      </c>
      <c r="AF1503" t="s">
        <v>61</v>
      </c>
      <c r="AG1503" t="s">
        <v>12310</v>
      </c>
      <c r="AH1503" t="s">
        <v>61</v>
      </c>
      <c r="AI1503" t="s">
        <v>61</v>
      </c>
      <c r="AJ1503" t="s">
        <v>61</v>
      </c>
      <c r="AK1503" t="s">
        <v>61</v>
      </c>
      <c r="AL1503" t="s">
        <v>61</v>
      </c>
      <c r="AM1503" t="s">
        <v>12311</v>
      </c>
      <c r="AN1503" t="s">
        <v>61</v>
      </c>
      <c r="AO1503" t="s">
        <v>61</v>
      </c>
      <c r="AP1503" t="s">
        <v>61</v>
      </c>
      <c r="AQ1503" t="s">
        <v>61</v>
      </c>
      <c r="AR1503" t="s">
        <v>61</v>
      </c>
      <c r="AS1503" t="s">
        <v>61</v>
      </c>
      <c r="AT1503" t="s">
        <v>61</v>
      </c>
      <c r="AU1503" t="s">
        <v>61</v>
      </c>
      <c r="AV1503" t="s">
        <v>61</v>
      </c>
      <c r="AW1503" t="s">
        <v>61</v>
      </c>
      <c r="AX1503" t="s">
        <v>61</v>
      </c>
      <c r="AY1503" t="s">
        <v>61</v>
      </c>
      <c r="AZ1503" t="s">
        <v>61</v>
      </c>
      <c r="BA1503" t="s">
        <v>61</v>
      </c>
      <c r="BB1503" t="s">
        <v>61</v>
      </c>
      <c r="BC1503" t="s">
        <v>61</v>
      </c>
      <c r="BD1503" t="s">
        <v>61</v>
      </c>
      <c r="BE1503" t="s">
        <v>61</v>
      </c>
      <c r="BF1503" t="s">
        <v>61</v>
      </c>
    </row>
    <row r="1504" spans="1:58">
      <c r="A1504" t="s">
        <v>58</v>
      </c>
      <c r="B1504" t="s">
        <v>12312</v>
      </c>
      <c r="C1504" t="s">
        <v>12313</v>
      </c>
      <c r="D1504" t="s">
        <v>10354</v>
      </c>
      <c r="E1504" t="s">
        <v>61</v>
      </c>
      <c r="F1504">
        <v>2003</v>
      </c>
      <c r="G1504" t="s">
        <v>61</v>
      </c>
      <c r="H1504">
        <v>4</v>
      </c>
      <c r="I1504">
        <v>2</v>
      </c>
      <c r="J1504">
        <v>67</v>
      </c>
      <c r="K1504" t="s">
        <v>12314</v>
      </c>
      <c r="L1504" t="s">
        <v>12315</v>
      </c>
      <c r="M1504" t="s">
        <v>12316</v>
      </c>
      <c r="N1504" t="s">
        <v>12317</v>
      </c>
      <c r="O1504" t="s">
        <v>61</v>
      </c>
      <c r="Q1504" t="s">
        <v>61</v>
      </c>
      <c r="R1504" t="s">
        <v>61</v>
      </c>
      <c r="S1504" t="s">
        <v>61</v>
      </c>
      <c r="T1504" t="s">
        <v>61</v>
      </c>
      <c r="X1504" t="s">
        <v>61</v>
      </c>
      <c r="Y1504" t="s">
        <v>12318</v>
      </c>
      <c r="Z1504" t="s">
        <v>61</v>
      </c>
      <c r="AA1504" t="s">
        <v>12319</v>
      </c>
      <c r="AB1504">
        <v>106706901</v>
      </c>
      <c r="AC1504" t="s">
        <v>67</v>
      </c>
      <c r="AD1504" t="s">
        <v>61</v>
      </c>
      <c r="AE1504" t="s">
        <v>61</v>
      </c>
      <c r="AF1504" t="s">
        <v>61</v>
      </c>
      <c r="AG1504" t="s">
        <v>12320</v>
      </c>
      <c r="AH1504" t="s">
        <v>61</v>
      </c>
      <c r="AI1504" t="s">
        <v>61</v>
      </c>
      <c r="AJ1504" t="s">
        <v>61</v>
      </c>
      <c r="AK1504" t="s">
        <v>61</v>
      </c>
      <c r="AL1504" t="s">
        <v>61</v>
      </c>
      <c r="AM1504" t="s">
        <v>12321</v>
      </c>
      <c r="AN1504" t="s">
        <v>61</v>
      </c>
      <c r="AO1504" t="s">
        <v>61</v>
      </c>
      <c r="AP1504" t="s">
        <v>61</v>
      </c>
      <c r="AQ1504" t="s">
        <v>61</v>
      </c>
      <c r="AR1504" t="s">
        <v>61</v>
      </c>
      <c r="AS1504" t="s">
        <v>61</v>
      </c>
      <c r="AT1504" t="s">
        <v>61</v>
      </c>
      <c r="AU1504" t="s">
        <v>61</v>
      </c>
      <c r="AV1504" t="s">
        <v>61</v>
      </c>
      <c r="AW1504" t="s">
        <v>61</v>
      </c>
      <c r="AX1504" t="s">
        <v>61</v>
      </c>
      <c r="AY1504" t="s">
        <v>61</v>
      </c>
      <c r="AZ1504" t="s">
        <v>61</v>
      </c>
      <c r="BA1504" t="s">
        <v>61</v>
      </c>
      <c r="BB1504" t="s">
        <v>61</v>
      </c>
      <c r="BC1504" t="s">
        <v>61</v>
      </c>
      <c r="BD1504" t="s">
        <v>61</v>
      </c>
      <c r="BE1504" t="s">
        <v>61</v>
      </c>
      <c r="BF1504" t="s">
        <v>61</v>
      </c>
    </row>
    <row r="1505" spans="1:58">
      <c r="A1505" t="s">
        <v>58</v>
      </c>
      <c r="B1505" t="s">
        <v>12322</v>
      </c>
      <c r="C1505" t="s">
        <v>12323</v>
      </c>
      <c r="D1505" t="s">
        <v>475</v>
      </c>
      <c r="E1505" t="s">
        <v>61</v>
      </c>
      <c r="F1505">
        <v>2013</v>
      </c>
      <c r="G1505" t="s">
        <v>61</v>
      </c>
      <c r="H1505">
        <v>35</v>
      </c>
      <c r="I1505">
        <v>3</v>
      </c>
      <c r="J1505">
        <v>498</v>
      </c>
      <c r="K1505" t="s">
        <v>61</v>
      </c>
      <c r="L1505" t="s">
        <v>12324</v>
      </c>
      <c r="M1505" t="s">
        <v>12325</v>
      </c>
      <c r="N1505" t="s">
        <v>12326</v>
      </c>
      <c r="O1505" t="s">
        <v>61</v>
      </c>
      <c r="Q1505" t="s">
        <v>61</v>
      </c>
      <c r="R1505" t="s">
        <v>61</v>
      </c>
      <c r="S1505" t="s">
        <v>61</v>
      </c>
      <c r="T1505" t="s">
        <v>61</v>
      </c>
      <c r="X1505" t="s">
        <v>61</v>
      </c>
      <c r="Y1505" t="s">
        <v>308</v>
      </c>
      <c r="Z1505" t="s">
        <v>61</v>
      </c>
      <c r="AA1505" t="s">
        <v>61</v>
      </c>
      <c r="AB1505" t="s">
        <v>61</v>
      </c>
      <c r="AC1505" t="s">
        <v>67</v>
      </c>
      <c r="AD1505" t="s">
        <v>61</v>
      </c>
      <c r="AE1505" t="s">
        <v>61</v>
      </c>
      <c r="AF1505" t="s">
        <v>61</v>
      </c>
      <c r="AG1505" t="s">
        <v>61</v>
      </c>
      <c r="AH1505" t="s">
        <v>61</v>
      </c>
      <c r="AI1505" t="s">
        <v>61</v>
      </c>
      <c r="AJ1505" t="s">
        <v>61</v>
      </c>
      <c r="AK1505" t="s">
        <v>61</v>
      </c>
      <c r="AL1505" t="s">
        <v>61</v>
      </c>
      <c r="AM1505" t="s">
        <v>12323</v>
      </c>
      <c r="AN1505" t="s">
        <v>61</v>
      </c>
      <c r="AO1505" t="s">
        <v>61</v>
      </c>
      <c r="AP1505" t="s">
        <v>61</v>
      </c>
      <c r="AQ1505" t="s">
        <v>61</v>
      </c>
      <c r="AR1505" t="s">
        <v>61</v>
      </c>
      <c r="AS1505" t="s">
        <v>61</v>
      </c>
      <c r="AT1505" t="s">
        <v>61</v>
      </c>
      <c r="AU1505" t="s">
        <v>61</v>
      </c>
      <c r="AV1505" t="s">
        <v>61</v>
      </c>
      <c r="AW1505" t="s">
        <v>61</v>
      </c>
      <c r="AX1505" t="s">
        <v>61</v>
      </c>
      <c r="AY1505" t="s">
        <v>61</v>
      </c>
      <c r="AZ1505" t="s">
        <v>61</v>
      </c>
      <c r="BA1505" t="s">
        <v>61</v>
      </c>
      <c r="BB1505" t="s">
        <v>61</v>
      </c>
      <c r="BC1505" t="s">
        <v>61</v>
      </c>
      <c r="BD1505" t="s">
        <v>61</v>
      </c>
      <c r="BE1505" t="s">
        <v>61</v>
      </c>
      <c r="BF1505" t="s">
        <v>61</v>
      </c>
    </row>
    <row r="1506" spans="1:58">
      <c r="A1506" t="s">
        <v>58</v>
      </c>
      <c r="B1506" t="s">
        <v>12327</v>
      </c>
      <c r="C1506" t="s">
        <v>12328</v>
      </c>
      <c r="D1506" t="s">
        <v>5879</v>
      </c>
      <c r="E1506" t="s">
        <v>61</v>
      </c>
      <c r="F1506">
        <v>2008</v>
      </c>
      <c r="G1506" t="s">
        <v>280</v>
      </c>
      <c r="H1506">
        <v>16</v>
      </c>
      <c r="I1506">
        <v>6</v>
      </c>
      <c r="J1506">
        <v>484</v>
      </c>
      <c r="K1506">
        <v>497</v>
      </c>
      <c r="L1506" t="s">
        <v>12329</v>
      </c>
      <c r="M1506" t="s">
        <v>12330</v>
      </c>
      <c r="N1506" t="s">
        <v>12331</v>
      </c>
      <c r="O1506" t="s">
        <v>61</v>
      </c>
      <c r="Q1506" t="s">
        <v>61</v>
      </c>
      <c r="R1506" t="s">
        <v>61</v>
      </c>
      <c r="S1506" t="s">
        <v>61</v>
      </c>
      <c r="T1506" t="s">
        <v>61</v>
      </c>
      <c r="X1506" t="s">
        <v>61</v>
      </c>
      <c r="Y1506" t="s">
        <v>5883</v>
      </c>
      <c r="Z1506" t="s">
        <v>61</v>
      </c>
      <c r="AA1506" t="s">
        <v>12332</v>
      </c>
      <c r="AB1506">
        <v>19086769</v>
      </c>
      <c r="AC1506" t="s">
        <v>67</v>
      </c>
      <c r="AD1506" t="s">
        <v>61</v>
      </c>
      <c r="AE1506" t="s">
        <v>61</v>
      </c>
      <c r="AF1506" t="s">
        <v>61</v>
      </c>
      <c r="AG1506" t="s">
        <v>12333</v>
      </c>
      <c r="AH1506" t="s">
        <v>61</v>
      </c>
      <c r="AI1506" t="s">
        <v>12334</v>
      </c>
      <c r="AJ1506" t="s">
        <v>61</v>
      </c>
      <c r="AK1506" t="s">
        <v>61</v>
      </c>
      <c r="AL1506" t="s">
        <v>61</v>
      </c>
      <c r="AM1506" t="s">
        <v>12335</v>
      </c>
      <c r="AN1506" t="s">
        <v>61</v>
      </c>
      <c r="AO1506" t="s">
        <v>61</v>
      </c>
      <c r="AP1506" t="s">
        <v>61</v>
      </c>
      <c r="AQ1506" t="s">
        <v>61</v>
      </c>
      <c r="AR1506" t="s">
        <v>61</v>
      </c>
      <c r="AS1506" t="s">
        <v>61</v>
      </c>
      <c r="AT1506" t="s">
        <v>61</v>
      </c>
      <c r="AU1506" t="s">
        <v>61</v>
      </c>
      <c r="AV1506" t="s">
        <v>61</v>
      </c>
      <c r="AW1506" t="s">
        <v>61</v>
      </c>
      <c r="AX1506" t="s">
        <v>61</v>
      </c>
      <c r="AY1506" t="s">
        <v>61</v>
      </c>
      <c r="AZ1506" t="s">
        <v>61</v>
      </c>
      <c r="BA1506" t="s">
        <v>61</v>
      </c>
      <c r="BB1506" t="s">
        <v>61</v>
      </c>
      <c r="BC1506" t="s">
        <v>61</v>
      </c>
      <c r="BD1506" t="s">
        <v>61</v>
      </c>
      <c r="BE1506" t="s">
        <v>61</v>
      </c>
      <c r="BF1506" t="s">
        <v>61</v>
      </c>
    </row>
    <row r="1507" spans="1:58">
      <c r="A1507" t="s">
        <v>58</v>
      </c>
      <c r="B1507" t="s">
        <v>12336</v>
      </c>
      <c r="C1507" t="s">
        <v>12337</v>
      </c>
      <c r="D1507" t="s">
        <v>428</v>
      </c>
      <c r="E1507" t="s">
        <v>61</v>
      </c>
      <c r="F1507">
        <v>2014</v>
      </c>
      <c r="G1507" t="s">
        <v>85</v>
      </c>
      <c r="H1507">
        <v>27</v>
      </c>
      <c r="I1507">
        <v>2</v>
      </c>
      <c r="J1507">
        <v>158</v>
      </c>
      <c r="K1507">
        <v>168</v>
      </c>
      <c r="L1507" t="s">
        <v>12338</v>
      </c>
      <c r="M1507" t="s">
        <v>12339</v>
      </c>
      <c r="N1507" t="s">
        <v>12340</v>
      </c>
      <c r="O1507" t="s">
        <v>61</v>
      </c>
      <c r="Q1507" t="s">
        <v>61</v>
      </c>
      <c r="R1507" t="s">
        <v>61</v>
      </c>
      <c r="S1507" t="s">
        <v>61</v>
      </c>
      <c r="T1507" t="s">
        <v>61</v>
      </c>
      <c r="X1507" t="s">
        <v>61</v>
      </c>
      <c r="Y1507" t="s">
        <v>11381</v>
      </c>
      <c r="Z1507" t="s">
        <v>61</v>
      </c>
      <c r="AA1507" t="s">
        <v>12341</v>
      </c>
      <c r="AB1507">
        <v>24310525</v>
      </c>
      <c r="AC1507" t="s">
        <v>67</v>
      </c>
      <c r="AD1507" t="s">
        <v>61</v>
      </c>
      <c r="AE1507" t="s">
        <v>61</v>
      </c>
      <c r="AF1507" t="s">
        <v>61</v>
      </c>
      <c r="AG1507" t="s">
        <v>12342</v>
      </c>
      <c r="AH1507" t="s">
        <v>61</v>
      </c>
      <c r="AI1507" t="s">
        <v>12343</v>
      </c>
      <c r="AJ1507" t="s">
        <v>61</v>
      </c>
      <c r="AK1507" t="s">
        <v>61</v>
      </c>
      <c r="AL1507" t="s">
        <v>61</v>
      </c>
      <c r="AM1507" t="s">
        <v>12344</v>
      </c>
      <c r="AN1507" t="s">
        <v>61</v>
      </c>
      <c r="AO1507" t="s">
        <v>61</v>
      </c>
      <c r="AP1507" t="s">
        <v>61</v>
      </c>
      <c r="AQ1507" t="s">
        <v>61</v>
      </c>
      <c r="AR1507" t="s">
        <v>61</v>
      </c>
      <c r="AS1507" t="s">
        <v>61</v>
      </c>
      <c r="AT1507" t="s">
        <v>61</v>
      </c>
      <c r="AU1507" t="s">
        <v>61</v>
      </c>
      <c r="AV1507" t="s">
        <v>61</v>
      </c>
      <c r="AW1507" t="s">
        <v>61</v>
      </c>
      <c r="AX1507" t="s">
        <v>61</v>
      </c>
      <c r="AY1507" t="s">
        <v>61</v>
      </c>
      <c r="AZ1507" t="s">
        <v>61</v>
      </c>
      <c r="BA1507" t="s">
        <v>61</v>
      </c>
      <c r="BB1507" t="s">
        <v>61</v>
      </c>
      <c r="BC1507" t="s">
        <v>61</v>
      </c>
      <c r="BD1507" t="s">
        <v>61</v>
      </c>
      <c r="BE1507" t="s">
        <v>61</v>
      </c>
      <c r="BF1507" t="s">
        <v>61</v>
      </c>
    </row>
    <row r="1508" spans="1:58">
      <c r="A1508" t="s">
        <v>58</v>
      </c>
      <c r="B1508" t="s">
        <v>12345</v>
      </c>
      <c r="C1508" t="s">
        <v>12346</v>
      </c>
      <c r="D1508" t="s">
        <v>436</v>
      </c>
      <c r="E1508" t="s">
        <v>436</v>
      </c>
      <c r="F1508">
        <v>2014</v>
      </c>
      <c r="G1508" t="s">
        <v>637</v>
      </c>
      <c r="H1508">
        <v>39</v>
      </c>
      <c r="I1508">
        <v>9</v>
      </c>
      <c r="J1508">
        <v>2200</v>
      </c>
      <c r="K1508">
        <v>2210</v>
      </c>
      <c r="L1508" t="s">
        <v>12347</v>
      </c>
      <c r="M1508" t="s">
        <v>12348</v>
      </c>
      <c r="N1508" t="s">
        <v>12349</v>
      </c>
      <c r="O1508" t="s">
        <v>61</v>
      </c>
      <c r="Q1508" t="s">
        <v>61</v>
      </c>
      <c r="R1508" t="s">
        <v>61</v>
      </c>
      <c r="S1508" t="s">
        <v>61</v>
      </c>
      <c r="T1508" t="s">
        <v>61</v>
      </c>
      <c r="X1508" t="s">
        <v>61</v>
      </c>
      <c r="Y1508" t="s">
        <v>9514</v>
      </c>
      <c r="Z1508" t="s">
        <v>61</v>
      </c>
      <c r="AA1508" t="s">
        <v>61</v>
      </c>
      <c r="AB1508">
        <v>2014480655</v>
      </c>
      <c r="AC1508" t="s">
        <v>67</v>
      </c>
      <c r="AD1508" t="s">
        <v>61</v>
      </c>
      <c r="AE1508" t="s">
        <v>61</v>
      </c>
      <c r="AF1508" t="s">
        <v>61</v>
      </c>
      <c r="AG1508" t="s">
        <v>12350</v>
      </c>
      <c r="AH1508" t="s">
        <v>61</v>
      </c>
      <c r="AI1508" t="s">
        <v>61</v>
      </c>
      <c r="AJ1508" t="s">
        <v>61</v>
      </c>
      <c r="AK1508" t="s">
        <v>61</v>
      </c>
      <c r="AL1508" t="s">
        <v>61</v>
      </c>
      <c r="AM1508" t="s">
        <v>12351</v>
      </c>
      <c r="AN1508" t="s">
        <v>61</v>
      </c>
      <c r="AO1508" t="s">
        <v>61</v>
      </c>
      <c r="AP1508" t="s">
        <v>61</v>
      </c>
      <c r="AQ1508" t="s">
        <v>61</v>
      </c>
      <c r="AR1508" t="s">
        <v>61</v>
      </c>
      <c r="AS1508" t="s">
        <v>61</v>
      </c>
      <c r="AT1508" t="s">
        <v>61</v>
      </c>
      <c r="AU1508" t="s">
        <v>61</v>
      </c>
      <c r="AV1508" t="s">
        <v>61</v>
      </c>
      <c r="AW1508" t="s">
        <v>61</v>
      </c>
      <c r="AX1508" t="s">
        <v>61</v>
      </c>
      <c r="AY1508" t="s">
        <v>61</v>
      </c>
      <c r="AZ1508" t="s">
        <v>61</v>
      </c>
      <c r="BA1508" t="s">
        <v>61</v>
      </c>
      <c r="BB1508" t="s">
        <v>61</v>
      </c>
      <c r="BC1508" t="s">
        <v>61</v>
      </c>
      <c r="BD1508" t="s">
        <v>61</v>
      </c>
      <c r="BE1508" t="s">
        <v>61</v>
      </c>
      <c r="BF1508" t="s">
        <v>61</v>
      </c>
    </row>
    <row r="1509" spans="1:58">
      <c r="A1509" t="s">
        <v>58</v>
      </c>
      <c r="B1509" t="s">
        <v>12352</v>
      </c>
      <c r="C1509" t="s">
        <v>12353</v>
      </c>
      <c r="D1509" t="s">
        <v>1465</v>
      </c>
      <c r="E1509" t="s">
        <v>61</v>
      </c>
      <c r="F1509">
        <v>2009</v>
      </c>
      <c r="G1509" t="s">
        <v>851</v>
      </c>
      <c r="H1509">
        <v>86</v>
      </c>
      <c r="I1509">
        <v>6</v>
      </c>
      <c r="J1509">
        <v>918</v>
      </c>
      <c r="K1509">
        <v>928</v>
      </c>
      <c r="L1509" t="s">
        <v>12354</v>
      </c>
      <c r="M1509" t="s">
        <v>12355</v>
      </c>
      <c r="N1509" t="s">
        <v>12356</v>
      </c>
      <c r="O1509" t="s">
        <v>61</v>
      </c>
      <c r="Q1509" t="s">
        <v>61</v>
      </c>
      <c r="R1509" t="s">
        <v>61</v>
      </c>
      <c r="S1509" t="s">
        <v>61</v>
      </c>
      <c r="T1509" t="s">
        <v>61</v>
      </c>
      <c r="X1509" t="s">
        <v>61</v>
      </c>
      <c r="Y1509" t="s">
        <v>1469</v>
      </c>
      <c r="Z1509" t="s">
        <v>61</v>
      </c>
      <c r="AA1509" t="s">
        <v>12357</v>
      </c>
      <c r="AB1509">
        <v>19921542</v>
      </c>
      <c r="AC1509" t="s">
        <v>67</v>
      </c>
      <c r="AD1509" t="s">
        <v>61</v>
      </c>
      <c r="AE1509" t="s">
        <v>61</v>
      </c>
      <c r="AF1509" t="s">
        <v>61</v>
      </c>
      <c r="AG1509" t="s">
        <v>12358</v>
      </c>
      <c r="AH1509" t="s">
        <v>61</v>
      </c>
      <c r="AI1509" t="s">
        <v>12359</v>
      </c>
      <c r="AJ1509" t="s">
        <v>61</v>
      </c>
      <c r="AK1509" t="s">
        <v>61</v>
      </c>
      <c r="AL1509" t="s">
        <v>61</v>
      </c>
      <c r="AM1509" t="s">
        <v>12360</v>
      </c>
      <c r="AN1509" t="s">
        <v>61</v>
      </c>
      <c r="AO1509" t="s">
        <v>61</v>
      </c>
      <c r="AP1509" t="s">
        <v>61</v>
      </c>
      <c r="AQ1509" t="s">
        <v>61</v>
      </c>
      <c r="AR1509" t="s">
        <v>61</v>
      </c>
      <c r="AS1509" t="s">
        <v>61</v>
      </c>
      <c r="AT1509" t="s">
        <v>61</v>
      </c>
      <c r="AU1509" t="s">
        <v>61</v>
      </c>
      <c r="AV1509" t="s">
        <v>61</v>
      </c>
      <c r="AW1509" t="s">
        <v>61</v>
      </c>
      <c r="AX1509" t="s">
        <v>61</v>
      </c>
      <c r="AY1509" t="s">
        <v>61</v>
      </c>
      <c r="AZ1509" t="s">
        <v>61</v>
      </c>
      <c r="BA1509" t="s">
        <v>61</v>
      </c>
      <c r="BB1509" t="s">
        <v>61</v>
      </c>
      <c r="BC1509" t="s">
        <v>61</v>
      </c>
      <c r="BD1509" t="s">
        <v>61</v>
      </c>
      <c r="BE1509" t="s">
        <v>61</v>
      </c>
      <c r="BF1509" t="s">
        <v>61</v>
      </c>
    </row>
    <row r="1510" spans="1:58">
      <c r="A1510" t="s">
        <v>58</v>
      </c>
      <c r="B1510" t="s">
        <v>12361</v>
      </c>
      <c r="C1510" t="s">
        <v>12362</v>
      </c>
      <c r="D1510" t="s">
        <v>1813</v>
      </c>
      <c r="E1510" t="s">
        <v>61</v>
      </c>
      <c r="F1510">
        <v>2015</v>
      </c>
      <c r="G1510">
        <v>1</v>
      </c>
      <c r="H1510">
        <v>7</v>
      </c>
      <c r="I1510">
        <v>5</v>
      </c>
      <c r="J1510">
        <v>691</v>
      </c>
      <c r="K1510">
        <v>699</v>
      </c>
      <c r="L1510" t="s">
        <v>12363</v>
      </c>
      <c r="M1510" t="s">
        <v>12364</v>
      </c>
      <c r="N1510" t="s">
        <v>12365</v>
      </c>
      <c r="O1510" t="s">
        <v>61</v>
      </c>
      <c r="Q1510" t="s">
        <v>61</v>
      </c>
      <c r="R1510" t="s">
        <v>61</v>
      </c>
      <c r="S1510" t="s">
        <v>61</v>
      </c>
      <c r="T1510" t="s">
        <v>61</v>
      </c>
      <c r="X1510" t="s">
        <v>61</v>
      </c>
      <c r="Y1510" t="s">
        <v>1817</v>
      </c>
      <c r="Z1510" t="s">
        <v>61</v>
      </c>
      <c r="AA1510" t="s">
        <v>61</v>
      </c>
      <c r="AB1510" t="s">
        <v>12366</v>
      </c>
      <c r="AC1510" t="s">
        <v>67</v>
      </c>
      <c r="AD1510" t="s">
        <v>61</v>
      </c>
      <c r="AE1510" t="s">
        <v>61</v>
      </c>
      <c r="AF1510" t="s">
        <v>61</v>
      </c>
      <c r="AG1510" t="s">
        <v>61</v>
      </c>
      <c r="AH1510" t="s">
        <v>61</v>
      </c>
      <c r="AI1510" t="s">
        <v>61</v>
      </c>
      <c r="AJ1510" t="s">
        <v>61</v>
      </c>
      <c r="AK1510" t="s">
        <v>61</v>
      </c>
      <c r="AL1510" t="s">
        <v>61</v>
      </c>
      <c r="AM1510" t="s">
        <v>12362</v>
      </c>
      <c r="AN1510" t="s">
        <v>61</v>
      </c>
      <c r="AO1510" t="s">
        <v>61</v>
      </c>
      <c r="AP1510" t="s">
        <v>61</v>
      </c>
      <c r="AQ1510" t="s">
        <v>61</v>
      </c>
      <c r="AR1510" t="s">
        <v>61</v>
      </c>
      <c r="AS1510" t="s">
        <v>61</v>
      </c>
      <c r="AT1510" t="s">
        <v>61</v>
      </c>
      <c r="AU1510" t="s">
        <v>61</v>
      </c>
      <c r="AV1510" t="s">
        <v>61</v>
      </c>
      <c r="AW1510" t="s">
        <v>61</v>
      </c>
      <c r="AX1510" t="s">
        <v>61</v>
      </c>
      <c r="AY1510" t="s">
        <v>61</v>
      </c>
      <c r="AZ1510" t="s">
        <v>61</v>
      </c>
      <c r="BA1510" t="s">
        <v>61</v>
      </c>
      <c r="BB1510" t="s">
        <v>61</v>
      </c>
      <c r="BC1510" t="s">
        <v>61</v>
      </c>
      <c r="BD1510" t="s">
        <v>61</v>
      </c>
      <c r="BE1510" t="s">
        <v>61</v>
      </c>
      <c r="BF1510" t="s">
        <v>61</v>
      </c>
    </row>
    <row r="1511" spans="1:58">
      <c r="A1511" t="s">
        <v>58</v>
      </c>
      <c r="B1511" t="s">
        <v>12367</v>
      </c>
      <c r="C1511" t="s">
        <v>12368</v>
      </c>
      <c r="D1511" t="s">
        <v>6567</v>
      </c>
      <c r="E1511" t="s">
        <v>61</v>
      </c>
      <c r="F1511">
        <v>1997</v>
      </c>
      <c r="G1511" t="s">
        <v>363</v>
      </c>
      <c r="H1511">
        <v>6</v>
      </c>
      <c r="I1511">
        <v>1</v>
      </c>
      <c r="J1511">
        <v>49</v>
      </c>
      <c r="K1511">
        <v>56</v>
      </c>
      <c r="L1511" t="s">
        <v>61</v>
      </c>
      <c r="M1511" t="s">
        <v>12369</v>
      </c>
      <c r="N1511" t="s">
        <v>12370</v>
      </c>
      <c r="O1511" t="s">
        <v>61</v>
      </c>
      <c r="Q1511" t="s">
        <v>61</v>
      </c>
      <c r="R1511" t="s">
        <v>61</v>
      </c>
      <c r="S1511" t="s">
        <v>61</v>
      </c>
      <c r="T1511" t="s">
        <v>61</v>
      </c>
      <c r="X1511" t="s">
        <v>61</v>
      </c>
      <c r="Y1511" t="s">
        <v>642</v>
      </c>
      <c r="Z1511" t="s">
        <v>61</v>
      </c>
      <c r="AA1511" t="s">
        <v>12371</v>
      </c>
      <c r="AB1511">
        <v>15073805</v>
      </c>
      <c r="AC1511" t="s">
        <v>67</v>
      </c>
      <c r="AD1511" t="s">
        <v>61</v>
      </c>
      <c r="AE1511" t="s">
        <v>61</v>
      </c>
      <c r="AF1511" t="s">
        <v>61</v>
      </c>
      <c r="AG1511" t="s">
        <v>12372</v>
      </c>
      <c r="AH1511" t="s">
        <v>61</v>
      </c>
      <c r="AI1511" t="s">
        <v>61</v>
      </c>
      <c r="AJ1511" t="s">
        <v>61</v>
      </c>
      <c r="AK1511" t="s">
        <v>61</v>
      </c>
      <c r="AL1511" t="s">
        <v>61</v>
      </c>
      <c r="AM1511" t="s">
        <v>12373</v>
      </c>
      <c r="AN1511" t="s">
        <v>61</v>
      </c>
      <c r="AO1511" t="s">
        <v>61</v>
      </c>
      <c r="AP1511" t="s">
        <v>61</v>
      </c>
      <c r="AQ1511" t="s">
        <v>61</v>
      </c>
      <c r="AR1511" t="s">
        <v>61</v>
      </c>
      <c r="AS1511" t="s">
        <v>61</v>
      </c>
      <c r="AT1511" t="s">
        <v>61</v>
      </c>
      <c r="AU1511" t="s">
        <v>61</v>
      </c>
      <c r="AV1511" t="s">
        <v>61</v>
      </c>
      <c r="AW1511" t="s">
        <v>61</v>
      </c>
      <c r="AX1511" t="s">
        <v>61</v>
      </c>
      <c r="AY1511" t="s">
        <v>61</v>
      </c>
      <c r="AZ1511" t="s">
        <v>61</v>
      </c>
      <c r="BA1511" t="s">
        <v>61</v>
      </c>
      <c r="BB1511" t="s">
        <v>61</v>
      </c>
      <c r="BC1511" t="s">
        <v>61</v>
      </c>
      <c r="BD1511" t="s">
        <v>61</v>
      </c>
      <c r="BE1511" t="s">
        <v>61</v>
      </c>
      <c r="BF1511" t="s">
        <v>61</v>
      </c>
    </row>
    <row r="1512" spans="1:58">
      <c r="A1512" t="s">
        <v>58</v>
      </c>
      <c r="B1512" t="s">
        <v>12374</v>
      </c>
      <c r="C1512" t="s">
        <v>12368</v>
      </c>
      <c r="D1512" t="s">
        <v>12375</v>
      </c>
      <c r="E1512" t="s">
        <v>61</v>
      </c>
      <c r="F1512">
        <v>1994</v>
      </c>
      <c r="G1512" t="s">
        <v>61</v>
      </c>
      <c r="H1512">
        <v>32</v>
      </c>
      <c r="I1512">
        <v>3</v>
      </c>
      <c r="J1512">
        <v>257</v>
      </c>
      <c r="K1512">
        <v>269</v>
      </c>
      <c r="L1512" t="s">
        <v>12376</v>
      </c>
      <c r="M1512" t="s">
        <v>12377</v>
      </c>
      <c r="N1512" t="s">
        <v>12378</v>
      </c>
      <c r="O1512" t="s">
        <v>61</v>
      </c>
      <c r="Q1512" t="s">
        <v>61</v>
      </c>
      <c r="R1512" t="s">
        <v>61</v>
      </c>
      <c r="S1512" t="s">
        <v>61</v>
      </c>
      <c r="T1512" t="s">
        <v>61</v>
      </c>
      <c r="X1512" t="s">
        <v>61</v>
      </c>
      <c r="Y1512" t="s">
        <v>12379</v>
      </c>
      <c r="Z1512" t="s">
        <v>61</v>
      </c>
      <c r="AA1512" t="s">
        <v>61</v>
      </c>
      <c r="AB1512">
        <v>1995034523</v>
      </c>
      <c r="AC1512" t="s">
        <v>67</v>
      </c>
      <c r="AD1512" t="s">
        <v>61</v>
      </c>
      <c r="AE1512" t="s">
        <v>61</v>
      </c>
      <c r="AF1512" t="s">
        <v>61</v>
      </c>
      <c r="AG1512" t="s">
        <v>61</v>
      </c>
      <c r="AH1512" t="s">
        <v>61</v>
      </c>
      <c r="AI1512" t="s">
        <v>61</v>
      </c>
      <c r="AJ1512" t="s">
        <v>61</v>
      </c>
      <c r="AK1512" t="s">
        <v>61</v>
      </c>
      <c r="AL1512" t="s">
        <v>61</v>
      </c>
      <c r="AM1512" t="s">
        <v>12368</v>
      </c>
      <c r="AN1512" t="s">
        <v>61</v>
      </c>
      <c r="AO1512" t="s">
        <v>61</v>
      </c>
      <c r="AP1512" t="s">
        <v>61</v>
      </c>
      <c r="AQ1512" t="s">
        <v>61</v>
      </c>
      <c r="AR1512" t="s">
        <v>61</v>
      </c>
      <c r="AS1512" t="s">
        <v>61</v>
      </c>
      <c r="AT1512" t="s">
        <v>61</v>
      </c>
      <c r="AU1512" t="s">
        <v>61</v>
      </c>
      <c r="AV1512" t="s">
        <v>61</v>
      </c>
      <c r="AW1512" t="s">
        <v>61</v>
      </c>
      <c r="AX1512" t="s">
        <v>61</v>
      </c>
      <c r="AY1512" t="s">
        <v>61</v>
      </c>
      <c r="AZ1512" t="s">
        <v>61</v>
      </c>
      <c r="BA1512" t="s">
        <v>61</v>
      </c>
      <c r="BB1512" t="s">
        <v>61</v>
      </c>
      <c r="BC1512" t="s">
        <v>61</v>
      </c>
      <c r="BD1512" t="s">
        <v>61</v>
      </c>
      <c r="BE1512" t="s">
        <v>61</v>
      </c>
      <c r="BF1512" t="s">
        <v>61</v>
      </c>
    </row>
    <row r="1513" spans="1:58">
      <c r="A1513" t="s">
        <v>58</v>
      </c>
      <c r="B1513" t="s">
        <v>12380</v>
      </c>
      <c r="C1513" t="s">
        <v>12381</v>
      </c>
      <c r="D1513" t="s">
        <v>5879</v>
      </c>
      <c r="E1513" t="s">
        <v>61</v>
      </c>
      <c r="F1513">
        <v>2002</v>
      </c>
      <c r="G1513" t="s">
        <v>559</v>
      </c>
      <c r="H1513">
        <v>10</v>
      </c>
      <c r="I1513">
        <v>2</v>
      </c>
      <c r="J1513">
        <v>99</v>
      </c>
      <c r="K1513" t="s">
        <v>12382</v>
      </c>
      <c r="L1513" t="s">
        <v>12383</v>
      </c>
      <c r="M1513" t="s">
        <v>12384</v>
      </c>
      <c r="N1513" t="s">
        <v>12385</v>
      </c>
      <c r="O1513" t="s">
        <v>61</v>
      </c>
      <c r="Q1513" t="s">
        <v>61</v>
      </c>
      <c r="R1513" t="s">
        <v>61</v>
      </c>
      <c r="S1513" t="s">
        <v>61</v>
      </c>
      <c r="T1513" t="s">
        <v>61</v>
      </c>
      <c r="X1513" t="s">
        <v>61</v>
      </c>
      <c r="Y1513" t="s">
        <v>5883</v>
      </c>
      <c r="Z1513" t="s">
        <v>61</v>
      </c>
      <c r="AA1513" t="s">
        <v>12386</v>
      </c>
      <c r="AB1513">
        <v>12022807</v>
      </c>
      <c r="AC1513" t="s">
        <v>67</v>
      </c>
      <c r="AD1513" t="s">
        <v>61</v>
      </c>
      <c r="AE1513" t="s">
        <v>61</v>
      </c>
      <c r="AF1513" t="s">
        <v>61</v>
      </c>
      <c r="AG1513" t="s">
        <v>12387</v>
      </c>
      <c r="AH1513" t="s">
        <v>61</v>
      </c>
      <c r="AI1513" t="s">
        <v>61</v>
      </c>
      <c r="AJ1513" t="s">
        <v>61</v>
      </c>
      <c r="AK1513" t="s">
        <v>61</v>
      </c>
      <c r="AL1513" t="s">
        <v>61</v>
      </c>
      <c r="AM1513" t="s">
        <v>12388</v>
      </c>
      <c r="AN1513" t="s">
        <v>61</v>
      </c>
      <c r="AO1513" t="s">
        <v>61</v>
      </c>
      <c r="AP1513" t="s">
        <v>61</v>
      </c>
      <c r="AQ1513" t="s">
        <v>61</v>
      </c>
      <c r="AR1513" t="s">
        <v>61</v>
      </c>
      <c r="AS1513" t="s">
        <v>61</v>
      </c>
      <c r="AT1513" t="s">
        <v>61</v>
      </c>
      <c r="AU1513" t="s">
        <v>61</v>
      </c>
      <c r="AV1513" t="s">
        <v>61</v>
      </c>
      <c r="AW1513" t="s">
        <v>61</v>
      </c>
      <c r="AX1513" t="s">
        <v>61</v>
      </c>
      <c r="AY1513" t="s">
        <v>61</v>
      </c>
      <c r="AZ1513" t="s">
        <v>61</v>
      </c>
      <c r="BA1513" t="s">
        <v>61</v>
      </c>
      <c r="BB1513" t="s">
        <v>61</v>
      </c>
      <c r="BC1513" t="s">
        <v>61</v>
      </c>
      <c r="BD1513" t="s">
        <v>61</v>
      </c>
      <c r="BE1513" t="s">
        <v>61</v>
      </c>
      <c r="BF1513" t="s">
        <v>61</v>
      </c>
    </row>
    <row r="1514" spans="1:58">
      <c r="A1514" t="s">
        <v>58</v>
      </c>
      <c r="B1514" t="s">
        <v>12389</v>
      </c>
      <c r="C1514" t="s">
        <v>12390</v>
      </c>
      <c r="D1514" t="s">
        <v>12391</v>
      </c>
      <c r="E1514" t="s">
        <v>61</v>
      </c>
      <c r="F1514">
        <v>2013</v>
      </c>
      <c r="G1514" t="s">
        <v>418</v>
      </c>
      <c r="H1514">
        <v>8</v>
      </c>
      <c r="I1514">
        <v>4</v>
      </c>
      <c r="J1514">
        <v>272</v>
      </c>
      <c r="K1514">
        <v>278</v>
      </c>
      <c r="L1514" t="s">
        <v>12392</v>
      </c>
      <c r="M1514" t="s">
        <v>61</v>
      </c>
      <c r="N1514" t="s">
        <v>12393</v>
      </c>
      <c r="O1514" t="s">
        <v>61</v>
      </c>
      <c r="Q1514" t="s">
        <v>61</v>
      </c>
      <c r="R1514" t="s">
        <v>61</v>
      </c>
      <c r="S1514" t="s">
        <v>61</v>
      </c>
      <c r="T1514" t="s">
        <v>61</v>
      </c>
      <c r="X1514" t="s">
        <v>61</v>
      </c>
      <c r="Y1514" t="s">
        <v>12394</v>
      </c>
      <c r="Z1514" t="s">
        <v>61</v>
      </c>
      <c r="AA1514" t="s">
        <v>12395</v>
      </c>
      <c r="AB1514">
        <v>23912070</v>
      </c>
      <c r="AC1514" t="s">
        <v>67</v>
      </c>
      <c r="AD1514" t="s">
        <v>61</v>
      </c>
      <c r="AE1514" t="s">
        <v>61</v>
      </c>
      <c r="AF1514" t="s">
        <v>61</v>
      </c>
      <c r="AG1514" t="s">
        <v>12396</v>
      </c>
      <c r="AH1514" t="s">
        <v>61</v>
      </c>
      <c r="AI1514" t="s">
        <v>12397</v>
      </c>
      <c r="AJ1514" t="s">
        <v>61</v>
      </c>
      <c r="AK1514" t="s">
        <v>61</v>
      </c>
      <c r="AL1514" t="s">
        <v>61</v>
      </c>
      <c r="AM1514" t="s">
        <v>12398</v>
      </c>
      <c r="AN1514" t="s">
        <v>61</v>
      </c>
      <c r="AO1514" t="s">
        <v>61</v>
      </c>
      <c r="AP1514" t="s">
        <v>61</v>
      </c>
      <c r="AQ1514" t="s">
        <v>61</v>
      </c>
      <c r="AR1514" t="s">
        <v>61</v>
      </c>
      <c r="AS1514" t="s">
        <v>61</v>
      </c>
      <c r="AT1514" t="s">
        <v>61</v>
      </c>
      <c r="AU1514" t="s">
        <v>61</v>
      </c>
      <c r="AV1514" t="s">
        <v>61</v>
      </c>
      <c r="AW1514" t="s">
        <v>61</v>
      </c>
      <c r="AX1514" t="s">
        <v>61</v>
      </c>
      <c r="AY1514" t="s">
        <v>61</v>
      </c>
      <c r="AZ1514" t="s">
        <v>61</v>
      </c>
      <c r="BA1514" t="s">
        <v>61</v>
      </c>
      <c r="BB1514" t="s">
        <v>61</v>
      </c>
      <c r="BC1514" t="s">
        <v>61</v>
      </c>
      <c r="BD1514" t="s">
        <v>61</v>
      </c>
      <c r="BE1514" t="s">
        <v>61</v>
      </c>
      <c r="BF1514" t="s">
        <v>61</v>
      </c>
    </row>
    <row r="1515" spans="1:58">
      <c r="A1515" t="s">
        <v>58</v>
      </c>
      <c r="B1515" t="s">
        <v>12399</v>
      </c>
      <c r="C1515" t="s">
        <v>12400</v>
      </c>
      <c r="D1515" t="s">
        <v>428</v>
      </c>
      <c r="E1515" t="s">
        <v>61</v>
      </c>
      <c r="F1515">
        <v>2010</v>
      </c>
      <c r="G1515" t="s">
        <v>429</v>
      </c>
      <c r="H1515">
        <v>23</v>
      </c>
      <c r="I1515">
        <v>2</v>
      </c>
      <c r="J1515">
        <v>165</v>
      </c>
      <c r="K1515" t="s">
        <v>61</v>
      </c>
      <c r="L1515" t="s">
        <v>12401</v>
      </c>
      <c r="M1515" t="s">
        <v>12402</v>
      </c>
      <c r="N1515" t="s">
        <v>12403</v>
      </c>
      <c r="O1515" t="s">
        <v>61</v>
      </c>
      <c r="Q1515" t="s">
        <v>61</v>
      </c>
      <c r="R1515" t="s">
        <v>61</v>
      </c>
      <c r="S1515" t="s">
        <v>61</v>
      </c>
      <c r="T1515" t="s">
        <v>61</v>
      </c>
      <c r="X1515" t="s">
        <v>61</v>
      </c>
      <c r="Y1515" t="s">
        <v>433</v>
      </c>
      <c r="Z1515" t="s">
        <v>61</v>
      </c>
      <c r="AA1515" t="s">
        <v>61</v>
      </c>
      <c r="AB1515" t="s">
        <v>61</v>
      </c>
      <c r="AC1515" t="s">
        <v>67</v>
      </c>
      <c r="AD1515" t="s">
        <v>61</v>
      </c>
      <c r="AE1515" t="s">
        <v>61</v>
      </c>
      <c r="AF1515" t="s">
        <v>61</v>
      </c>
      <c r="AG1515" t="s">
        <v>61</v>
      </c>
      <c r="AH1515" t="s">
        <v>61</v>
      </c>
      <c r="AI1515" t="s">
        <v>61</v>
      </c>
      <c r="AJ1515" t="s">
        <v>61</v>
      </c>
      <c r="AK1515" t="s">
        <v>61</v>
      </c>
      <c r="AL1515" t="s">
        <v>61</v>
      </c>
      <c r="AM1515" t="s">
        <v>12400</v>
      </c>
      <c r="AN1515" t="s">
        <v>61</v>
      </c>
      <c r="AO1515" t="s">
        <v>61</v>
      </c>
      <c r="AP1515" t="s">
        <v>61</v>
      </c>
      <c r="AQ1515" t="s">
        <v>61</v>
      </c>
      <c r="AR1515" t="s">
        <v>61</v>
      </c>
      <c r="AS1515" t="s">
        <v>61</v>
      </c>
      <c r="AT1515" t="s">
        <v>61</v>
      </c>
      <c r="AU1515" t="s">
        <v>61</v>
      </c>
      <c r="AV1515" t="s">
        <v>61</v>
      </c>
      <c r="AW1515" t="s">
        <v>61</v>
      </c>
      <c r="AX1515" t="s">
        <v>61</v>
      </c>
      <c r="AY1515" t="s">
        <v>61</v>
      </c>
      <c r="AZ1515" t="s">
        <v>61</v>
      </c>
      <c r="BA1515" t="s">
        <v>61</v>
      </c>
      <c r="BB1515" t="s">
        <v>61</v>
      </c>
      <c r="BC1515" t="s">
        <v>61</v>
      </c>
      <c r="BD1515" t="s">
        <v>61</v>
      </c>
      <c r="BE1515" t="s">
        <v>61</v>
      </c>
      <c r="BF1515" t="s">
        <v>61</v>
      </c>
    </row>
    <row r="1516" spans="1:58">
      <c r="A1516" t="s">
        <v>58</v>
      </c>
      <c r="B1516" t="s">
        <v>12404</v>
      </c>
      <c r="C1516" t="s">
        <v>12405</v>
      </c>
      <c r="D1516" t="s">
        <v>7070</v>
      </c>
      <c r="E1516" t="s">
        <v>61</v>
      </c>
      <c r="F1516">
        <v>1976</v>
      </c>
      <c r="G1516" t="s">
        <v>559</v>
      </c>
      <c r="H1516">
        <v>19</v>
      </c>
      <c r="I1516">
        <v>5</v>
      </c>
      <c r="J1516">
        <v>651</v>
      </c>
      <c r="K1516">
        <v>656</v>
      </c>
      <c r="L1516" t="s">
        <v>12406</v>
      </c>
      <c r="M1516" t="s">
        <v>12407</v>
      </c>
      <c r="N1516" t="s">
        <v>12408</v>
      </c>
      <c r="O1516" t="s">
        <v>61</v>
      </c>
      <c r="Q1516" t="s">
        <v>61</v>
      </c>
      <c r="R1516" t="s">
        <v>61</v>
      </c>
      <c r="S1516" t="s">
        <v>61</v>
      </c>
      <c r="T1516" t="s">
        <v>61</v>
      </c>
      <c r="X1516" t="s">
        <v>61</v>
      </c>
      <c r="Y1516" s="2">
        <v>2679665</v>
      </c>
      <c r="Z1516" t="s">
        <v>61</v>
      </c>
      <c r="AA1516" t="s">
        <v>61</v>
      </c>
      <c r="AB1516">
        <v>1269204</v>
      </c>
      <c r="AC1516" t="s">
        <v>67</v>
      </c>
      <c r="AD1516" t="s">
        <v>61</v>
      </c>
      <c r="AE1516" t="s">
        <v>61</v>
      </c>
      <c r="AF1516" t="s">
        <v>61</v>
      </c>
      <c r="AG1516" t="s">
        <v>12409</v>
      </c>
      <c r="AH1516" t="s">
        <v>61</v>
      </c>
      <c r="AI1516" t="s">
        <v>61</v>
      </c>
      <c r="AJ1516" t="s">
        <v>61</v>
      </c>
      <c r="AK1516" t="s">
        <v>61</v>
      </c>
      <c r="AL1516" t="s">
        <v>61</v>
      </c>
      <c r="AM1516" t="s">
        <v>12410</v>
      </c>
      <c r="AN1516" t="s">
        <v>61</v>
      </c>
      <c r="AO1516" t="s">
        <v>61</v>
      </c>
      <c r="AP1516" t="s">
        <v>61</v>
      </c>
      <c r="AQ1516" t="s">
        <v>61</v>
      </c>
      <c r="AR1516" t="s">
        <v>61</v>
      </c>
      <c r="AS1516" t="s">
        <v>61</v>
      </c>
      <c r="AT1516" t="s">
        <v>61</v>
      </c>
      <c r="AU1516" t="s">
        <v>61</v>
      </c>
      <c r="AV1516" t="s">
        <v>61</v>
      </c>
      <c r="AW1516" t="s">
        <v>61</v>
      </c>
      <c r="AX1516" t="s">
        <v>61</v>
      </c>
      <c r="AY1516" t="s">
        <v>61</v>
      </c>
      <c r="AZ1516" t="s">
        <v>61</v>
      </c>
      <c r="BA1516" t="s">
        <v>61</v>
      </c>
      <c r="BB1516" t="s">
        <v>61</v>
      </c>
      <c r="BC1516" t="s">
        <v>61</v>
      </c>
      <c r="BD1516" t="s">
        <v>61</v>
      </c>
      <c r="BE1516" t="s">
        <v>61</v>
      </c>
      <c r="BF1516" t="s">
        <v>61</v>
      </c>
    </row>
    <row r="1517" spans="1:58">
      <c r="A1517" t="s">
        <v>58</v>
      </c>
      <c r="B1517" t="s">
        <v>12411</v>
      </c>
      <c r="C1517" t="s">
        <v>12412</v>
      </c>
      <c r="D1517" t="s">
        <v>12413</v>
      </c>
      <c r="E1517" t="s">
        <v>61</v>
      </c>
      <c r="F1517">
        <v>2012</v>
      </c>
      <c r="G1517" t="s">
        <v>61</v>
      </c>
      <c r="H1517">
        <v>19</v>
      </c>
      <c r="I1517">
        <v>1</v>
      </c>
      <c r="J1517">
        <v>17</v>
      </c>
      <c r="K1517">
        <v>20</v>
      </c>
      <c r="L1517" t="s">
        <v>12414</v>
      </c>
      <c r="M1517" t="s">
        <v>12415</v>
      </c>
      <c r="N1517" t="s">
        <v>12416</v>
      </c>
      <c r="O1517" t="s">
        <v>61</v>
      </c>
      <c r="Q1517" t="s">
        <v>61</v>
      </c>
      <c r="R1517" t="s">
        <v>61</v>
      </c>
      <c r="S1517" t="s">
        <v>61</v>
      </c>
      <c r="T1517" t="s">
        <v>61</v>
      </c>
      <c r="X1517" t="s">
        <v>61</v>
      </c>
      <c r="Y1517" t="s">
        <v>12417</v>
      </c>
      <c r="Z1517" t="s">
        <v>61</v>
      </c>
      <c r="AA1517" t="s">
        <v>12418</v>
      </c>
      <c r="AB1517" t="s">
        <v>12419</v>
      </c>
      <c r="AC1517" t="s">
        <v>67</v>
      </c>
      <c r="AD1517" t="s">
        <v>61</v>
      </c>
      <c r="AE1517" t="s">
        <v>61</v>
      </c>
      <c r="AF1517" t="s">
        <v>61</v>
      </c>
      <c r="AG1517" t="s">
        <v>61</v>
      </c>
      <c r="AH1517" t="s">
        <v>61</v>
      </c>
      <c r="AI1517" t="s">
        <v>61</v>
      </c>
      <c r="AJ1517" t="s">
        <v>61</v>
      </c>
      <c r="AK1517" t="s">
        <v>61</v>
      </c>
      <c r="AL1517" t="s">
        <v>61</v>
      </c>
      <c r="AM1517" t="s">
        <v>12420</v>
      </c>
      <c r="AN1517" t="s">
        <v>61</v>
      </c>
      <c r="AO1517" t="s">
        <v>61</v>
      </c>
      <c r="AP1517" t="s">
        <v>61</v>
      </c>
      <c r="AQ1517" t="s">
        <v>61</v>
      </c>
      <c r="AR1517" t="s">
        <v>61</v>
      </c>
      <c r="AS1517" t="s">
        <v>61</v>
      </c>
      <c r="AT1517" t="s">
        <v>61</v>
      </c>
      <c r="AU1517" t="s">
        <v>61</v>
      </c>
      <c r="AV1517" t="s">
        <v>61</v>
      </c>
      <c r="AW1517" t="s">
        <v>61</v>
      </c>
      <c r="AX1517" t="s">
        <v>61</v>
      </c>
      <c r="AY1517" t="s">
        <v>61</v>
      </c>
      <c r="AZ1517" t="s">
        <v>61</v>
      </c>
      <c r="BA1517" t="s">
        <v>61</v>
      </c>
      <c r="BB1517" t="s">
        <v>61</v>
      </c>
      <c r="BC1517" t="s">
        <v>61</v>
      </c>
      <c r="BD1517" t="s">
        <v>61</v>
      </c>
      <c r="BE1517" t="s">
        <v>61</v>
      </c>
      <c r="BF1517" t="s">
        <v>61</v>
      </c>
    </row>
    <row r="1518" spans="1:58">
      <c r="A1518" t="s">
        <v>58</v>
      </c>
      <c r="B1518" t="s">
        <v>12421</v>
      </c>
      <c r="C1518" t="s">
        <v>12422</v>
      </c>
      <c r="D1518" t="s">
        <v>1739</v>
      </c>
      <c r="E1518" t="s">
        <v>1740</v>
      </c>
      <c r="F1518">
        <v>1987</v>
      </c>
      <c r="G1518" t="s">
        <v>273</v>
      </c>
      <c r="H1518">
        <v>44</v>
      </c>
      <c r="I1518">
        <v>2</v>
      </c>
      <c r="J1518">
        <v>305</v>
      </c>
      <c r="K1518">
        <v>310</v>
      </c>
      <c r="L1518" t="s">
        <v>12423</v>
      </c>
      <c r="M1518" t="s">
        <v>12424</v>
      </c>
      <c r="N1518" t="s">
        <v>12425</v>
      </c>
      <c r="O1518" t="s">
        <v>61</v>
      </c>
      <c r="Q1518" t="s">
        <v>61</v>
      </c>
      <c r="R1518" t="s">
        <v>61</v>
      </c>
      <c r="S1518" t="s">
        <v>61</v>
      </c>
      <c r="T1518" t="s">
        <v>61</v>
      </c>
      <c r="X1518" t="s">
        <v>61</v>
      </c>
      <c r="Y1518" s="2">
        <v>2698811</v>
      </c>
      <c r="Z1518" t="s">
        <v>61</v>
      </c>
      <c r="AA1518" t="s">
        <v>61</v>
      </c>
      <c r="AB1518">
        <v>3565389</v>
      </c>
      <c r="AC1518" t="s">
        <v>67</v>
      </c>
      <c r="AD1518" t="s">
        <v>61</v>
      </c>
      <c r="AE1518" t="s">
        <v>61</v>
      </c>
      <c r="AF1518" t="s">
        <v>61</v>
      </c>
      <c r="AG1518" t="s">
        <v>12426</v>
      </c>
      <c r="AH1518" t="s">
        <v>61</v>
      </c>
      <c r="AI1518" t="s">
        <v>61</v>
      </c>
      <c r="AJ1518" t="s">
        <v>61</v>
      </c>
      <c r="AK1518" t="s">
        <v>61</v>
      </c>
      <c r="AL1518" t="s">
        <v>61</v>
      </c>
      <c r="AM1518" t="s">
        <v>12427</v>
      </c>
      <c r="AN1518" t="s">
        <v>61</v>
      </c>
      <c r="AO1518" t="s">
        <v>61</v>
      </c>
      <c r="AP1518" t="s">
        <v>61</v>
      </c>
      <c r="AQ1518" t="s">
        <v>61</v>
      </c>
      <c r="AR1518" t="s">
        <v>61</v>
      </c>
      <c r="AS1518" t="s">
        <v>61</v>
      </c>
      <c r="AT1518" t="s">
        <v>61</v>
      </c>
      <c r="AU1518" t="s">
        <v>61</v>
      </c>
      <c r="AV1518" t="s">
        <v>61</v>
      </c>
      <c r="AW1518" t="s">
        <v>61</v>
      </c>
      <c r="AX1518" t="s">
        <v>61</v>
      </c>
      <c r="AY1518" t="s">
        <v>61</v>
      </c>
      <c r="AZ1518" t="s">
        <v>61</v>
      </c>
      <c r="BA1518" t="s">
        <v>61</v>
      </c>
      <c r="BB1518" t="s">
        <v>61</v>
      </c>
      <c r="BC1518" t="s">
        <v>61</v>
      </c>
      <c r="BD1518" t="s">
        <v>61</v>
      </c>
      <c r="BE1518" t="s">
        <v>61</v>
      </c>
      <c r="BF1518" t="s">
        <v>61</v>
      </c>
    </row>
    <row r="1519" spans="1:58">
      <c r="A1519" t="s">
        <v>58</v>
      </c>
      <c r="B1519" t="s">
        <v>12428</v>
      </c>
      <c r="C1519" t="s">
        <v>12429</v>
      </c>
      <c r="D1519" t="s">
        <v>12430</v>
      </c>
      <c r="E1519" t="s">
        <v>61</v>
      </c>
      <c r="F1519">
        <v>2013</v>
      </c>
      <c r="G1519" t="s">
        <v>129</v>
      </c>
      <c r="H1519">
        <v>40</v>
      </c>
      <c r="I1519">
        <v>1</v>
      </c>
      <c r="J1519" t="s">
        <v>12431</v>
      </c>
      <c r="K1519" t="s">
        <v>12432</v>
      </c>
      <c r="L1519" t="s">
        <v>12433</v>
      </c>
      <c r="M1519" t="s">
        <v>12434</v>
      </c>
      <c r="N1519" t="s">
        <v>12435</v>
      </c>
      <c r="O1519" t="s">
        <v>61</v>
      </c>
      <c r="Q1519" t="s">
        <v>61</v>
      </c>
      <c r="R1519" t="s">
        <v>61</v>
      </c>
      <c r="S1519" t="s">
        <v>61</v>
      </c>
      <c r="T1519" t="s">
        <v>61</v>
      </c>
      <c r="X1519" t="s">
        <v>61</v>
      </c>
      <c r="Y1519" t="s">
        <v>12436</v>
      </c>
      <c r="Z1519" t="s">
        <v>61</v>
      </c>
      <c r="AA1519" t="s">
        <v>12437</v>
      </c>
      <c r="AB1519">
        <v>24084403</v>
      </c>
      <c r="AC1519" t="s">
        <v>67</v>
      </c>
      <c r="AD1519" t="s">
        <v>61</v>
      </c>
      <c r="AE1519" t="s">
        <v>61</v>
      </c>
      <c r="AF1519" t="s">
        <v>61</v>
      </c>
      <c r="AG1519" t="s">
        <v>12438</v>
      </c>
      <c r="AH1519" t="s">
        <v>61</v>
      </c>
      <c r="AI1519" t="s">
        <v>12439</v>
      </c>
      <c r="AJ1519" t="s">
        <v>61</v>
      </c>
      <c r="AK1519" t="s">
        <v>61</v>
      </c>
      <c r="AL1519" t="s">
        <v>61</v>
      </c>
      <c r="AM1519" t="s">
        <v>12440</v>
      </c>
      <c r="AN1519" t="s">
        <v>61</v>
      </c>
      <c r="AO1519" t="s">
        <v>61</v>
      </c>
      <c r="AP1519" t="s">
        <v>61</v>
      </c>
      <c r="AQ1519" t="s">
        <v>61</v>
      </c>
      <c r="AR1519" t="s">
        <v>61</v>
      </c>
      <c r="AS1519" t="s">
        <v>61</v>
      </c>
      <c r="AT1519" t="s">
        <v>61</v>
      </c>
      <c r="AU1519" t="s">
        <v>61</v>
      </c>
      <c r="AV1519" t="s">
        <v>61</v>
      </c>
      <c r="AW1519" t="s">
        <v>61</v>
      </c>
      <c r="AX1519" t="s">
        <v>61</v>
      </c>
      <c r="AY1519" t="s">
        <v>61</v>
      </c>
      <c r="AZ1519" t="s">
        <v>61</v>
      </c>
      <c r="BA1519" t="s">
        <v>61</v>
      </c>
      <c r="BB1519" t="s">
        <v>61</v>
      </c>
      <c r="BC1519" t="s">
        <v>61</v>
      </c>
      <c r="BD1519" t="s">
        <v>61</v>
      </c>
      <c r="BE1519" t="s">
        <v>61</v>
      </c>
      <c r="BF1519" t="s">
        <v>61</v>
      </c>
    </row>
    <row r="1520" spans="1:58">
      <c r="A1520" t="s">
        <v>58</v>
      </c>
      <c r="B1520" t="s">
        <v>12441</v>
      </c>
      <c r="C1520" t="s">
        <v>12442</v>
      </c>
      <c r="D1520" t="s">
        <v>4285</v>
      </c>
      <c r="E1520" t="s">
        <v>61</v>
      </c>
      <c r="F1520">
        <v>2011</v>
      </c>
      <c r="G1520" t="s">
        <v>119</v>
      </c>
      <c r="H1520" t="s">
        <v>12443</v>
      </c>
      <c r="I1520" t="s">
        <v>61</v>
      </c>
      <c r="J1520" t="s">
        <v>12444</v>
      </c>
      <c r="K1520">
        <v>58</v>
      </c>
      <c r="L1520" t="s">
        <v>12445</v>
      </c>
      <c r="M1520" t="s">
        <v>12446</v>
      </c>
      <c r="N1520" t="s">
        <v>12447</v>
      </c>
      <c r="O1520" t="s">
        <v>61</v>
      </c>
      <c r="Q1520" t="s">
        <v>61</v>
      </c>
      <c r="R1520" t="s">
        <v>61</v>
      </c>
      <c r="S1520" t="s">
        <v>61</v>
      </c>
      <c r="T1520" t="s">
        <v>61</v>
      </c>
      <c r="X1520" t="s">
        <v>61</v>
      </c>
      <c r="Y1520" t="s">
        <v>8596</v>
      </c>
      <c r="Z1520" t="s">
        <v>61</v>
      </c>
      <c r="AA1520" t="s">
        <v>12448</v>
      </c>
      <c r="AB1520">
        <v>21668757</v>
      </c>
      <c r="AC1520" t="s">
        <v>67</v>
      </c>
      <c r="AD1520" t="s">
        <v>61</v>
      </c>
      <c r="AE1520" t="s">
        <v>61</v>
      </c>
      <c r="AF1520" t="s">
        <v>61</v>
      </c>
      <c r="AG1520" t="s">
        <v>12449</v>
      </c>
      <c r="AH1520" t="s">
        <v>61</v>
      </c>
      <c r="AI1520" t="s">
        <v>12450</v>
      </c>
      <c r="AJ1520" t="s">
        <v>61</v>
      </c>
      <c r="AK1520" t="s">
        <v>61</v>
      </c>
      <c r="AL1520" t="s">
        <v>61</v>
      </c>
      <c r="AM1520" t="s">
        <v>12451</v>
      </c>
      <c r="AN1520" t="s">
        <v>61</v>
      </c>
      <c r="AO1520" t="s">
        <v>61</v>
      </c>
      <c r="AP1520" t="s">
        <v>61</v>
      </c>
      <c r="AQ1520" t="s">
        <v>61</v>
      </c>
      <c r="AR1520" t="s">
        <v>61</v>
      </c>
      <c r="AS1520" t="s">
        <v>61</v>
      </c>
      <c r="AT1520" t="s">
        <v>61</v>
      </c>
      <c r="AU1520" t="s">
        <v>61</v>
      </c>
      <c r="AV1520" t="s">
        <v>61</v>
      </c>
      <c r="AW1520" t="s">
        <v>61</v>
      </c>
      <c r="AX1520" t="s">
        <v>61</v>
      </c>
      <c r="AY1520" t="s">
        <v>61</v>
      </c>
      <c r="AZ1520" t="s">
        <v>61</v>
      </c>
      <c r="BA1520" t="s">
        <v>61</v>
      </c>
      <c r="BB1520" t="s">
        <v>61</v>
      </c>
      <c r="BC1520" t="s">
        <v>61</v>
      </c>
      <c r="BD1520" t="s">
        <v>61</v>
      </c>
      <c r="BE1520" t="s">
        <v>61</v>
      </c>
      <c r="BF1520" t="s">
        <v>61</v>
      </c>
    </row>
    <row r="1521" spans="1:58">
      <c r="A1521" t="s">
        <v>58</v>
      </c>
      <c r="B1521" t="s">
        <v>12452</v>
      </c>
      <c r="C1521" t="s">
        <v>12453</v>
      </c>
      <c r="D1521" t="s">
        <v>4199</v>
      </c>
      <c r="E1521" t="s">
        <v>61</v>
      </c>
      <c r="F1521">
        <v>2014</v>
      </c>
      <c r="G1521" t="s">
        <v>429</v>
      </c>
      <c r="H1521" t="s">
        <v>12454</v>
      </c>
      <c r="I1521" t="s">
        <v>61</v>
      </c>
      <c r="J1521" t="s">
        <v>8187</v>
      </c>
      <c r="K1521" t="s">
        <v>61</v>
      </c>
      <c r="L1521" t="s">
        <v>12455</v>
      </c>
      <c r="M1521" t="s">
        <v>12456</v>
      </c>
      <c r="N1521" t="s">
        <v>12457</v>
      </c>
      <c r="O1521" t="s">
        <v>61</v>
      </c>
      <c r="Q1521" t="s">
        <v>61</v>
      </c>
      <c r="R1521" t="s">
        <v>61</v>
      </c>
      <c r="S1521" t="s">
        <v>61</v>
      </c>
      <c r="T1521" t="s">
        <v>61</v>
      </c>
      <c r="X1521" t="s">
        <v>61</v>
      </c>
      <c r="Y1521" t="s">
        <v>7118</v>
      </c>
      <c r="Z1521" t="s">
        <v>61</v>
      </c>
      <c r="AA1521" t="s">
        <v>61</v>
      </c>
      <c r="AB1521" t="s">
        <v>61</v>
      </c>
      <c r="AC1521" t="s">
        <v>67</v>
      </c>
      <c r="AD1521" t="s">
        <v>61</v>
      </c>
      <c r="AE1521" t="s">
        <v>61</v>
      </c>
      <c r="AF1521" t="s">
        <v>61</v>
      </c>
      <c r="AG1521" t="s">
        <v>61</v>
      </c>
      <c r="AH1521" t="s">
        <v>61</v>
      </c>
      <c r="AI1521" t="s">
        <v>61</v>
      </c>
      <c r="AJ1521" t="s">
        <v>61</v>
      </c>
      <c r="AK1521" t="s">
        <v>61</v>
      </c>
      <c r="AL1521" t="s">
        <v>61</v>
      </c>
      <c r="AM1521" t="s">
        <v>12453</v>
      </c>
      <c r="AN1521" t="s">
        <v>61</v>
      </c>
      <c r="AO1521" t="s">
        <v>61</v>
      </c>
      <c r="AP1521" t="s">
        <v>61</v>
      </c>
      <c r="AQ1521" t="s">
        <v>61</v>
      </c>
      <c r="AR1521" t="s">
        <v>61</v>
      </c>
      <c r="AS1521" t="s">
        <v>61</v>
      </c>
      <c r="AT1521" t="s">
        <v>61</v>
      </c>
      <c r="AU1521" t="s">
        <v>61</v>
      </c>
      <c r="AV1521" t="s">
        <v>61</v>
      </c>
      <c r="AW1521" t="s">
        <v>61</v>
      </c>
      <c r="AX1521" t="s">
        <v>61</v>
      </c>
      <c r="AY1521" t="s">
        <v>61</v>
      </c>
      <c r="AZ1521" t="s">
        <v>61</v>
      </c>
      <c r="BA1521" t="s">
        <v>61</v>
      </c>
      <c r="BB1521" t="s">
        <v>61</v>
      </c>
      <c r="BC1521" t="s">
        <v>61</v>
      </c>
      <c r="BD1521" t="s">
        <v>61</v>
      </c>
      <c r="BE1521" t="s">
        <v>61</v>
      </c>
      <c r="BF1521" t="s">
        <v>61</v>
      </c>
    </row>
    <row r="1522" spans="1:58">
      <c r="A1522" t="s">
        <v>58</v>
      </c>
      <c r="B1522" t="s">
        <v>12458</v>
      </c>
      <c r="C1522" t="s">
        <v>12459</v>
      </c>
      <c r="D1522" t="s">
        <v>12460</v>
      </c>
      <c r="E1522" t="s">
        <v>12461</v>
      </c>
      <c r="F1522">
        <v>2009</v>
      </c>
      <c r="G1522">
        <v>13</v>
      </c>
      <c r="H1522" t="s">
        <v>12462</v>
      </c>
      <c r="I1522" t="s">
        <v>61</v>
      </c>
      <c r="J1522" t="s">
        <v>12463</v>
      </c>
      <c r="K1522" t="s">
        <v>61</v>
      </c>
      <c r="L1522" t="s">
        <v>12464</v>
      </c>
      <c r="M1522" t="s">
        <v>12465</v>
      </c>
      <c r="N1522" t="s">
        <v>12466</v>
      </c>
      <c r="O1522" t="s">
        <v>61</v>
      </c>
      <c r="Q1522" t="s">
        <v>61</v>
      </c>
      <c r="R1522" t="s">
        <v>61</v>
      </c>
      <c r="S1522" t="s">
        <v>61</v>
      </c>
      <c r="T1522" t="s">
        <v>61</v>
      </c>
      <c r="X1522" t="s">
        <v>61</v>
      </c>
      <c r="Y1522" t="s">
        <v>12467</v>
      </c>
      <c r="Z1522" t="s">
        <v>61</v>
      </c>
      <c r="AA1522" t="s">
        <v>61</v>
      </c>
      <c r="AB1522" t="s">
        <v>61</v>
      </c>
      <c r="AC1522" t="s">
        <v>67</v>
      </c>
      <c r="AD1522" t="s">
        <v>61</v>
      </c>
      <c r="AE1522" t="s">
        <v>61</v>
      </c>
      <c r="AF1522" t="s">
        <v>61</v>
      </c>
      <c r="AG1522" t="s">
        <v>61</v>
      </c>
      <c r="AH1522" t="s">
        <v>61</v>
      </c>
      <c r="AI1522" t="s">
        <v>61</v>
      </c>
      <c r="AJ1522" t="s">
        <v>61</v>
      </c>
      <c r="AK1522" t="s">
        <v>61</v>
      </c>
      <c r="AL1522" t="s">
        <v>61</v>
      </c>
      <c r="AM1522" t="s">
        <v>12459</v>
      </c>
      <c r="AN1522" t="s">
        <v>61</v>
      </c>
      <c r="AO1522" t="s">
        <v>61</v>
      </c>
      <c r="AP1522" t="s">
        <v>61</v>
      </c>
      <c r="AQ1522" t="s">
        <v>61</v>
      </c>
      <c r="AR1522" t="s">
        <v>61</v>
      </c>
      <c r="AS1522" t="s">
        <v>61</v>
      </c>
      <c r="AT1522" t="s">
        <v>61</v>
      </c>
      <c r="AU1522" t="s">
        <v>61</v>
      </c>
      <c r="AV1522" t="s">
        <v>61</v>
      </c>
      <c r="AW1522" t="s">
        <v>61</v>
      </c>
      <c r="AX1522" t="s">
        <v>61</v>
      </c>
      <c r="AY1522" t="s">
        <v>61</v>
      </c>
      <c r="AZ1522" t="s">
        <v>61</v>
      </c>
      <c r="BA1522" t="s">
        <v>61</v>
      </c>
      <c r="BB1522" t="s">
        <v>61</v>
      </c>
      <c r="BC1522" t="s">
        <v>61</v>
      </c>
      <c r="BD1522" t="s">
        <v>61</v>
      </c>
      <c r="BE1522" t="s">
        <v>61</v>
      </c>
      <c r="BF1522" t="s">
        <v>61</v>
      </c>
    </row>
    <row r="1523" spans="1:58">
      <c r="A1523" t="s">
        <v>58</v>
      </c>
      <c r="B1523" t="s">
        <v>12468</v>
      </c>
      <c r="C1523" t="s">
        <v>12469</v>
      </c>
      <c r="D1523" t="s">
        <v>876</v>
      </c>
      <c r="E1523" t="s">
        <v>877</v>
      </c>
      <c r="F1523">
        <v>1988</v>
      </c>
      <c r="G1523" t="s">
        <v>1172</v>
      </c>
      <c r="H1523">
        <v>52</v>
      </c>
      <c r="I1523">
        <v>4</v>
      </c>
      <c r="J1523">
        <v>385</v>
      </c>
      <c r="K1523">
        <v>388</v>
      </c>
      <c r="L1523" t="s">
        <v>12470</v>
      </c>
      <c r="M1523" t="s">
        <v>12471</v>
      </c>
      <c r="N1523" t="s">
        <v>12472</v>
      </c>
      <c r="O1523" t="s">
        <v>61</v>
      </c>
      <c r="Q1523" t="s">
        <v>61</v>
      </c>
      <c r="R1523" t="s">
        <v>61</v>
      </c>
      <c r="S1523" t="s">
        <v>61</v>
      </c>
      <c r="T1523" t="s">
        <v>61</v>
      </c>
      <c r="X1523" t="s">
        <v>61</v>
      </c>
      <c r="Y1523" t="s">
        <v>61</v>
      </c>
      <c r="Z1523" t="s">
        <v>61</v>
      </c>
      <c r="AA1523" t="s">
        <v>61</v>
      </c>
      <c r="AB1523" t="s">
        <v>12473</v>
      </c>
      <c r="AC1523" t="s">
        <v>67</v>
      </c>
      <c r="AD1523" t="s">
        <v>61</v>
      </c>
      <c r="AE1523" t="s">
        <v>61</v>
      </c>
      <c r="AF1523" t="s">
        <v>61</v>
      </c>
      <c r="AG1523" t="s">
        <v>61</v>
      </c>
      <c r="AH1523" t="s">
        <v>61</v>
      </c>
      <c r="AI1523" t="s">
        <v>61</v>
      </c>
      <c r="AJ1523" t="s">
        <v>61</v>
      </c>
      <c r="AK1523" t="s">
        <v>61</v>
      </c>
      <c r="AL1523" t="s">
        <v>61</v>
      </c>
      <c r="AM1523" t="s">
        <v>12474</v>
      </c>
      <c r="AN1523" t="s">
        <v>61</v>
      </c>
      <c r="AO1523" t="s">
        <v>61</v>
      </c>
      <c r="AP1523" t="s">
        <v>61</v>
      </c>
      <c r="AQ1523" t="s">
        <v>61</v>
      </c>
      <c r="AR1523" t="s">
        <v>61</v>
      </c>
      <c r="AS1523" t="s">
        <v>61</v>
      </c>
      <c r="AT1523" t="s">
        <v>61</v>
      </c>
      <c r="AU1523" t="s">
        <v>61</v>
      </c>
      <c r="AV1523" t="s">
        <v>61</v>
      </c>
      <c r="AW1523" t="s">
        <v>61</v>
      </c>
      <c r="AX1523" t="s">
        <v>61</v>
      </c>
      <c r="AY1523" t="s">
        <v>61</v>
      </c>
      <c r="AZ1523" t="s">
        <v>61</v>
      </c>
      <c r="BA1523" t="s">
        <v>61</v>
      </c>
      <c r="BB1523" t="s">
        <v>61</v>
      </c>
      <c r="BC1523" t="s">
        <v>61</v>
      </c>
      <c r="BD1523" t="s">
        <v>61</v>
      </c>
      <c r="BE1523" t="s">
        <v>61</v>
      </c>
      <c r="BF1523" t="s">
        <v>61</v>
      </c>
    </row>
    <row r="1524" spans="1:58">
      <c r="A1524" t="s">
        <v>58</v>
      </c>
      <c r="B1524" t="s">
        <v>12475</v>
      </c>
      <c r="C1524" t="s">
        <v>12476</v>
      </c>
      <c r="D1524" t="s">
        <v>627</v>
      </c>
      <c r="E1524" t="s">
        <v>61</v>
      </c>
      <c r="F1524">
        <v>2010</v>
      </c>
      <c r="G1524" t="s">
        <v>628</v>
      </c>
      <c r="H1524">
        <v>50</v>
      </c>
      <c r="I1524">
        <v>2</v>
      </c>
      <c r="J1524">
        <v>278</v>
      </c>
      <c r="K1524">
        <v>279</v>
      </c>
      <c r="L1524" t="s">
        <v>12477</v>
      </c>
      <c r="M1524" t="s">
        <v>12478</v>
      </c>
      <c r="N1524" t="s">
        <v>12479</v>
      </c>
      <c r="O1524" t="s">
        <v>61</v>
      </c>
      <c r="Q1524" t="s">
        <v>61</v>
      </c>
      <c r="R1524" t="s">
        <v>61</v>
      </c>
      <c r="S1524" t="s">
        <v>61</v>
      </c>
      <c r="T1524" t="s">
        <v>61</v>
      </c>
      <c r="X1524" t="s">
        <v>61</v>
      </c>
      <c r="Y1524" t="s">
        <v>632</v>
      </c>
      <c r="Z1524" t="s">
        <v>61</v>
      </c>
      <c r="AA1524" t="s">
        <v>61</v>
      </c>
      <c r="AB1524" t="s">
        <v>61</v>
      </c>
      <c r="AC1524" t="s">
        <v>67</v>
      </c>
      <c r="AD1524" t="s">
        <v>61</v>
      </c>
      <c r="AE1524" t="s">
        <v>61</v>
      </c>
      <c r="AF1524" t="s">
        <v>61</v>
      </c>
      <c r="AG1524" t="s">
        <v>61</v>
      </c>
      <c r="AH1524" t="s">
        <v>61</v>
      </c>
      <c r="AI1524" t="s">
        <v>61</v>
      </c>
      <c r="AJ1524" t="s">
        <v>61</v>
      </c>
      <c r="AK1524" t="s">
        <v>61</v>
      </c>
      <c r="AL1524" t="s">
        <v>61</v>
      </c>
      <c r="AM1524" t="s">
        <v>12476</v>
      </c>
      <c r="AN1524" t="s">
        <v>61</v>
      </c>
      <c r="AO1524" t="s">
        <v>61</v>
      </c>
      <c r="AP1524" t="s">
        <v>61</v>
      </c>
      <c r="AQ1524" t="s">
        <v>61</v>
      </c>
      <c r="AR1524" t="s">
        <v>61</v>
      </c>
      <c r="AS1524" t="s">
        <v>61</v>
      </c>
      <c r="AT1524" t="s">
        <v>61</v>
      </c>
      <c r="AU1524" t="s">
        <v>61</v>
      </c>
      <c r="AV1524" t="s">
        <v>61</v>
      </c>
      <c r="AW1524" t="s">
        <v>61</v>
      </c>
      <c r="AX1524" t="s">
        <v>61</v>
      </c>
      <c r="AY1524" t="s">
        <v>61</v>
      </c>
      <c r="AZ1524" t="s">
        <v>61</v>
      </c>
      <c r="BA1524" t="s">
        <v>61</v>
      </c>
      <c r="BB1524" t="s">
        <v>61</v>
      </c>
      <c r="BC1524" t="s">
        <v>61</v>
      </c>
      <c r="BD1524" t="s">
        <v>61</v>
      </c>
      <c r="BE1524" t="s">
        <v>61</v>
      </c>
      <c r="BF1524" t="s">
        <v>61</v>
      </c>
    </row>
    <row r="1525" spans="1:58">
      <c r="A1525" t="s">
        <v>58</v>
      </c>
      <c r="B1525" t="s">
        <v>12480</v>
      </c>
      <c r="C1525" t="s">
        <v>12481</v>
      </c>
      <c r="D1525" t="s">
        <v>12482</v>
      </c>
      <c r="E1525" t="s">
        <v>61</v>
      </c>
      <c r="F1525">
        <v>2010</v>
      </c>
      <c r="G1525">
        <v>1</v>
      </c>
      <c r="H1525">
        <v>18</v>
      </c>
      <c r="I1525">
        <v>3</v>
      </c>
      <c r="J1525">
        <v>132</v>
      </c>
      <c r="K1525">
        <v>139</v>
      </c>
      <c r="L1525" t="s">
        <v>12483</v>
      </c>
      <c r="M1525" t="s">
        <v>12484</v>
      </c>
      <c r="N1525" t="s">
        <v>12485</v>
      </c>
      <c r="O1525" t="s">
        <v>61</v>
      </c>
      <c r="Q1525" t="s">
        <v>61</v>
      </c>
      <c r="R1525" t="s">
        <v>61</v>
      </c>
      <c r="S1525" t="s">
        <v>61</v>
      </c>
      <c r="T1525" t="s">
        <v>61</v>
      </c>
      <c r="X1525" t="s">
        <v>61</v>
      </c>
      <c r="Y1525" t="s">
        <v>12486</v>
      </c>
      <c r="Z1525" t="s">
        <v>61</v>
      </c>
      <c r="AA1525" t="s">
        <v>61</v>
      </c>
      <c r="AB1525" t="s">
        <v>12487</v>
      </c>
      <c r="AC1525" t="s">
        <v>67</v>
      </c>
      <c r="AD1525" t="s">
        <v>61</v>
      </c>
      <c r="AE1525" t="s">
        <v>61</v>
      </c>
      <c r="AF1525" t="s">
        <v>61</v>
      </c>
      <c r="AG1525" t="s">
        <v>61</v>
      </c>
      <c r="AH1525" t="s">
        <v>61</v>
      </c>
      <c r="AI1525" t="s">
        <v>61</v>
      </c>
      <c r="AJ1525" t="s">
        <v>61</v>
      </c>
      <c r="AK1525" t="s">
        <v>61</v>
      </c>
      <c r="AL1525" t="s">
        <v>61</v>
      </c>
      <c r="AM1525" t="s">
        <v>12481</v>
      </c>
      <c r="AN1525" t="s">
        <v>61</v>
      </c>
      <c r="AO1525" t="s">
        <v>61</v>
      </c>
      <c r="AP1525" t="s">
        <v>61</v>
      </c>
      <c r="AQ1525" t="s">
        <v>61</v>
      </c>
      <c r="AR1525" t="s">
        <v>61</v>
      </c>
      <c r="AS1525" t="s">
        <v>61</v>
      </c>
      <c r="AT1525" t="s">
        <v>61</v>
      </c>
      <c r="AU1525" t="s">
        <v>61</v>
      </c>
      <c r="AV1525" t="s">
        <v>61</v>
      </c>
      <c r="AW1525" t="s">
        <v>61</v>
      </c>
      <c r="AX1525" t="s">
        <v>61</v>
      </c>
      <c r="AY1525" t="s">
        <v>61</v>
      </c>
      <c r="AZ1525" t="s">
        <v>61</v>
      </c>
      <c r="BA1525" t="s">
        <v>61</v>
      </c>
      <c r="BB1525" t="s">
        <v>61</v>
      </c>
      <c r="BC1525" t="s">
        <v>61</v>
      </c>
      <c r="BD1525" t="s">
        <v>61</v>
      </c>
      <c r="BE1525" t="s">
        <v>61</v>
      </c>
      <c r="BF1525" t="s">
        <v>61</v>
      </c>
    </row>
    <row r="1526" spans="1:58">
      <c r="A1526" t="s">
        <v>58</v>
      </c>
      <c r="B1526" t="s">
        <v>12488</v>
      </c>
      <c r="C1526" t="s">
        <v>12489</v>
      </c>
      <c r="D1526" t="s">
        <v>876</v>
      </c>
      <c r="E1526" t="s">
        <v>877</v>
      </c>
      <c r="F1526">
        <v>1996</v>
      </c>
      <c r="G1526" t="s">
        <v>1644</v>
      </c>
      <c r="H1526">
        <v>60</v>
      </c>
      <c r="I1526">
        <v>1</v>
      </c>
      <c r="J1526">
        <v>87</v>
      </c>
      <c r="K1526">
        <v>93</v>
      </c>
      <c r="L1526" t="s">
        <v>12490</v>
      </c>
      <c r="M1526" t="s">
        <v>12491</v>
      </c>
      <c r="N1526" t="s">
        <v>12492</v>
      </c>
      <c r="O1526" t="s">
        <v>61</v>
      </c>
      <c r="Q1526" t="s">
        <v>61</v>
      </c>
      <c r="R1526" t="s">
        <v>61</v>
      </c>
      <c r="S1526" t="s">
        <v>61</v>
      </c>
      <c r="T1526" t="s">
        <v>61</v>
      </c>
      <c r="X1526" t="s">
        <v>61</v>
      </c>
      <c r="Y1526" s="2">
        <v>2760901</v>
      </c>
      <c r="Z1526" t="s">
        <v>61</v>
      </c>
      <c r="AA1526" t="s">
        <v>61</v>
      </c>
      <c r="AB1526" t="s">
        <v>12493</v>
      </c>
      <c r="AC1526" t="s">
        <v>67</v>
      </c>
      <c r="AD1526" t="s">
        <v>61</v>
      </c>
      <c r="AE1526" t="s">
        <v>61</v>
      </c>
      <c r="AF1526" t="s">
        <v>61</v>
      </c>
      <c r="AG1526" t="s">
        <v>61</v>
      </c>
      <c r="AH1526" t="s">
        <v>61</v>
      </c>
      <c r="AI1526" t="s">
        <v>61</v>
      </c>
      <c r="AJ1526" t="s">
        <v>61</v>
      </c>
      <c r="AK1526" t="s">
        <v>61</v>
      </c>
      <c r="AL1526" t="s">
        <v>61</v>
      </c>
      <c r="AM1526" t="s">
        <v>12494</v>
      </c>
      <c r="AN1526" t="s">
        <v>61</v>
      </c>
      <c r="AO1526" t="s">
        <v>61</v>
      </c>
      <c r="AP1526" t="s">
        <v>61</v>
      </c>
      <c r="AQ1526" t="s">
        <v>61</v>
      </c>
      <c r="AR1526" t="s">
        <v>61</v>
      </c>
      <c r="AS1526" t="s">
        <v>61</v>
      </c>
      <c r="AT1526" t="s">
        <v>61</v>
      </c>
      <c r="AU1526" t="s">
        <v>61</v>
      </c>
      <c r="AV1526" t="s">
        <v>61</v>
      </c>
      <c r="AW1526" t="s">
        <v>61</v>
      </c>
      <c r="AX1526" t="s">
        <v>61</v>
      </c>
      <c r="AY1526" t="s">
        <v>61</v>
      </c>
      <c r="AZ1526" t="s">
        <v>61</v>
      </c>
      <c r="BA1526" t="s">
        <v>61</v>
      </c>
      <c r="BB1526" t="s">
        <v>61</v>
      </c>
      <c r="BC1526" t="s">
        <v>61</v>
      </c>
      <c r="BD1526" t="s">
        <v>61</v>
      </c>
      <c r="BE1526" t="s">
        <v>61</v>
      </c>
      <c r="BF1526" t="s">
        <v>61</v>
      </c>
    </row>
    <row r="1527" spans="1:58">
      <c r="A1527" t="s">
        <v>58</v>
      </c>
      <c r="B1527" t="s">
        <v>12495</v>
      </c>
      <c r="C1527" t="s">
        <v>12496</v>
      </c>
      <c r="D1527" t="s">
        <v>2166</v>
      </c>
      <c r="E1527" t="s">
        <v>61</v>
      </c>
      <c r="F1527">
        <v>2012</v>
      </c>
      <c r="G1527" t="s">
        <v>851</v>
      </c>
      <c r="H1527">
        <v>31</v>
      </c>
      <c r="I1527">
        <v>7</v>
      </c>
      <c r="J1527">
        <v>903</v>
      </c>
      <c r="K1527">
        <v>910</v>
      </c>
      <c r="L1527" t="s">
        <v>12497</v>
      </c>
      <c r="M1527" t="s">
        <v>12498</v>
      </c>
      <c r="N1527" t="s">
        <v>12499</v>
      </c>
      <c r="O1527" t="s">
        <v>61</v>
      </c>
      <c r="Q1527" t="s">
        <v>61</v>
      </c>
      <c r="R1527" t="s">
        <v>61</v>
      </c>
      <c r="S1527" t="s">
        <v>61</v>
      </c>
      <c r="T1527" t="s">
        <v>61</v>
      </c>
      <c r="X1527" t="s">
        <v>61</v>
      </c>
      <c r="Y1527" t="s">
        <v>2170</v>
      </c>
      <c r="Z1527" t="s">
        <v>61</v>
      </c>
      <c r="AA1527" t="s">
        <v>12500</v>
      </c>
      <c r="AB1527">
        <v>22519647</v>
      </c>
      <c r="AC1527" t="s">
        <v>67</v>
      </c>
      <c r="AD1527" t="s">
        <v>61</v>
      </c>
      <c r="AE1527" t="s">
        <v>61</v>
      </c>
      <c r="AF1527" t="s">
        <v>61</v>
      </c>
      <c r="AG1527" t="s">
        <v>12501</v>
      </c>
      <c r="AH1527" t="s">
        <v>61</v>
      </c>
      <c r="AI1527" t="s">
        <v>12502</v>
      </c>
      <c r="AJ1527" t="s">
        <v>61</v>
      </c>
      <c r="AK1527" t="s">
        <v>61</v>
      </c>
      <c r="AL1527" t="s">
        <v>61</v>
      </c>
      <c r="AM1527" t="s">
        <v>12503</v>
      </c>
      <c r="AN1527" t="s">
        <v>61</v>
      </c>
      <c r="AO1527" t="s">
        <v>61</v>
      </c>
      <c r="AP1527" t="s">
        <v>61</v>
      </c>
      <c r="AQ1527" t="s">
        <v>61</v>
      </c>
      <c r="AR1527" t="s">
        <v>61</v>
      </c>
      <c r="AS1527" t="s">
        <v>61</v>
      </c>
      <c r="AT1527" t="s">
        <v>61</v>
      </c>
      <c r="AU1527" t="s">
        <v>61</v>
      </c>
      <c r="AV1527" t="s">
        <v>61</v>
      </c>
      <c r="AW1527" t="s">
        <v>61</v>
      </c>
      <c r="AX1527" t="s">
        <v>61</v>
      </c>
      <c r="AY1527" t="s">
        <v>61</v>
      </c>
      <c r="AZ1527" t="s">
        <v>61</v>
      </c>
      <c r="BA1527" t="s">
        <v>61</v>
      </c>
      <c r="BB1527" t="s">
        <v>61</v>
      </c>
      <c r="BC1527" t="s">
        <v>61</v>
      </c>
      <c r="BD1527" t="s">
        <v>61</v>
      </c>
      <c r="BE1527" t="s">
        <v>61</v>
      </c>
      <c r="BF1527" t="s">
        <v>61</v>
      </c>
    </row>
    <row r="1528" spans="1:58">
      <c r="A1528" t="s">
        <v>58</v>
      </c>
      <c r="B1528" t="s">
        <v>12504</v>
      </c>
      <c r="C1528" t="s">
        <v>12505</v>
      </c>
      <c r="D1528" t="s">
        <v>428</v>
      </c>
      <c r="E1528" t="s">
        <v>61</v>
      </c>
      <c r="F1528">
        <v>2010</v>
      </c>
      <c r="G1528" t="s">
        <v>429</v>
      </c>
      <c r="H1528">
        <v>23</v>
      </c>
      <c r="I1528">
        <v>2</v>
      </c>
      <c r="J1528">
        <v>180</v>
      </c>
      <c r="K1528">
        <v>181</v>
      </c>
      <c r="L1528" t="s">
        <v>12506</v>
      </c>
      <c r="M1528" t="s">
        <v>12507</v>
      </c>
      <c r="N1528" t="s">
        <v>12508</v>
      </c>
      <c r="O1528" t="s">
        <v>61</v>
      </c>
      <c r="Q1528" t="s">
        <v>61</v>
      </c>
      <c r="R1528" t="s">
        <v>61</v>
      </c>
      <c r="S1528" t="s">
        <v>61</v>
      </c>
      <c r="T1528" t="s">
        <v>61</v>
      </c>
      <c r="X1528" t="s">
        <v>61</v>
      </c>
      <c r="Y1528" t="s">
        <v>433</v>
      </c>
      <c r="Z1528" t="s">
        <v>61</v>
      </c>
      <c r="AA1528" t="s">
        <v>61</v>
      </c>
      <c r="AB1528" t="s">
        <v>61</v>
      </c>
      <c r="AC1528" t="s">
        <v>67</v>
      </c>
      <c r="AD1528" t="s">
        <v>61</v>
      </c>
      <c r="AE1528" t="s">
        <v>61</v>
      </c>
      <c r="AF1528" t="s">
        <v>61</v>
      </c>
      <c r="AG1528" t="s">
        <v>61</v>
      </c>
      <c r="AH1528" t="s">
        <v>61</v>
      </c>
      <c r="AI1528" t="s">
        <v>61</v>
      </c>
      <c r="AJ1528" t="s">
        <v>61</v>
      </c>
      <c r="AK1528" t="s">
        <v>61</v>
      </c>
      <c r="AL1528" t="s">
        <v>61</v>
      </c>
      <c r="AM1528" t="s">
        <v>12505</v>
      </c>
      <c r="AN1528" t="s">
        <v>61</v>
      </c>
      <c r="AO1528" t="s">
        <v>61</v>
      </c>
      <c r="AP1528" t="s">
        <v>61</v>
      </c>
      <c r="AQ1528" t="s">
        <v>61</v>
      </c>
      <c r="AR1528" t="s">
        <v>61</v>
      </c>
      <c r="AS1528" t="s">
        <v>61</v>
      </c>
      <c r="AT1528" t="s">
        <v>61</v>
      </c>
      <c r="AU1528" t="s">
        <v>61</v>
      </c>
      <c r="AV1528" t="s">
        <v>61</v>
      </c>
      <c r="AW1528" t="s">
        <v>61</v>
      </c>
      <c r="AX1528" t="s">
        <v>61</v>
      </c>
      <c r="AY1528" t="s">
        <v>61</v>
      </c>
      <c r="AZ1528" t="s">
        <v>61</v>
      </c>
      <c r="BA1528" t="s">
        <v>61</v>
      </c>
      <c r="BB1528" t="s">
        <v>61</v>
      </c>
      <c r="BC1528" t="s">
        <v>61</v>
      </c>
      <c r="BD1528" t="s">
        <v>61</v>
      </c>
      <c r="BE1528" t="s">
        <v>61</v>
      </c>
      <c r="BF1528" t="s">
        <v>61</v>
      </c>
    </row>
    <row r="1529" spans="1:58">
      <c r="A1529" t="s">
        <v>58</v>
      </c>
      <c r="B1529" t="s">
        <v>12509</v>
      </c>
      <c r="C1529" t="s">
        <v>12510</v>
      </c>
      <c r="D1529" t="s">
        <v>1465</v>
      </c>
      <c r="E1529" t="s">
        <v>61</v>
      </c>
      <c r="F1529">
        <v>2011</v>
      </c>
      <c r="G1529" t="s">
        <v>418</v>
      </c>
      <c r="H1529">
        <v>88</v>
      </c>
      <c r="I1529">
        <v>4</v>
      </c>
      <c r="J1529">
        <v>718</v>
      </c>
      <c r="K1529">
        <v>723</v>
      </c>
      <c r="L1529" t="s">
        <v>12511</v>
      </c>
      <c r="M1529" t="s">
        <v>12512</v>
      </c>
      <c r="N1529" t="s">
        <v>12513</v>
      </c>
      <c r="O1529" t="s">
        <v>61</v>
      </c>
      <c r="Q1529" t="s">
        <v>61</v>
      </c>
      <c r="R1529" t="s">
        <v>61</v>
      </c>
      <c r="S1529" t="s">
        <v>61</v>
      </c>
      <c r="T1529" t="s">
        <v>61</v>
      </c>
      <c r="X1529" t="s">
        <v>61</v>
      </c>
      <c r="Y1529" t="s">
        <v>1469</v>
      </c>
      <c r="Z1529" t="s">
        <v>61</v>
      </c>
      <c r="AA1529" t="s">
        <v>12514</v>
      </c>
      <c r="AB1529">
        <v>21512832</v>
      </c>
      <c r="AC1529" t="s">
        <v>67</v>
      </c>
      <c r="AD1529" t="s">
        <v>61</v>
      </c>
      <c r="AE1529" t="s">
        <v>61</v>
      </c>
      <c r="AF1529" t="s">
        <v>61</v>
      </c>
      <c r="AG1529" t="s">
        <v>12515</v>
      </c>
      <c r="AH1529" t="s">
        <v>61</v>
      </c>
      <c r="AI1529" t="s">
        <v>12516</v>
      </c>
      <c r="AJ1529" t="s">
        <v>61</v>
      </c>
      <c r="AK1529" t="s">
        <v>61</v>
      </c>
      <c r="AL1529" t="s">
        <v>61</v>
      </c>
      <c r="AM1529" t="s">
        <v>12517</v>
      </c>
      <c r="AN1529" t="s">
        <v>61</v>
      </c>
      <c r="AO1529" t="s">
        <v>61</v>
      </c>
      <c r="AP1529" t="s">
        <v>61</v>
      </c>
      <c r="AQ1529" t="s">
        <v>61</v>
      </c>
      <c r="AR1529" t="s">
        <v>61</v>
      </c>
      <c r="AS1529" t="s">
        <v>61</v>
      </c>
      <c r="AT1529" t="s">
        <v>61</v>
      </c>
      <c r="AU1529" t="s">
        <v>61</v>
      </c>
      <c r="AV1529" t="s">
        <v>61</v>
      </c>
      <c r="AW1529" t="s">
        <v>61</v>
      </c>
      <c r="AX1529" t="s">
        <v>61</v>
      </c>
      <c r="AY1529" t="s">
        <v>61</v>
      </c>
      <c r="AZ1529" t="s">
        <v>61</v>
      </c>
      <c r="BA1529" t="s">
        <v>61</v>
      </c>
      <c r="BB1529" t="s">
        <v>61</v>
      </c>
      <c r="BC1529" t="s">
        <v>61</v>
      </c>
      <c r="BD1529" t="s">
        <v>61</v>
      </c>
      <c r="BE1529" t="s">
        <v>61</v>
      </c>
      <c r="BF1529" t="s">
        <v>61</v>
      </c>
    </row>
    <row r="1530" spans="1:58">
      <c r="A1530" t="s">
        <v>58</v>
      </c>
      <c r="B1530" t="s">
        <v>12518</v>
      </c>
      <c r="C1530" t="s">
        <v>12519</v>
      </c>
      <c r="D1530" t="s">
        <v>5520</v>
      </c>
      <c r="E1530" t="s">
        <v>61</v>
      </c>
      <c r="F1530">
        <v>2006</v>
      </c>
      <c r="G1530">
        <v>15</v>
      </c>
      <c r="H1530">
        <v>10</v>
      </c>
      <c r="I1530">
        <v>15</v>
      </c>
      <c r="J1530">
        <v>180</v>
      </c>
      <c r="K1530">
        <v>182</v>
      </c>
      <c r="L1530" t="s">
        <v>12520</v>
      </c>
      <c r="M1530" t="s">
        <v>12521</v>
      </c>
      <c r="N1530" t="s">
        <v>12522</v>
      </c>
      <c r="O1530" t="s">
        <v>61</v>
      </c>
      <c r="Q1530" t="s">
        <v>61</v>
      </c>
      <c r="R1530" t="s">
        <v>61</v>
      </c>
      <c r="S1530" t="s">
        <v>61</v>
      </c>
      <c r="T1530" t="s">
        <v>61</v>
      </c>
      <c r="X1530" t="s">
        <v>61</v>
      </c>
      <c r="Y1530" t="s">
        <v>5524</v>
      </c>
      <c r="Z1530" t="s">
        <v>61</v>
      </c>
      <c r="AA1530" t="s">
        <v>61</v>
      </c>
      <c r="AB1530">
        <v>2006397780</v>
      </c>
      <c r="AC1530" t="s">
        <v>67</v>
      </c>
      <c r="AD1530" t="s">
        <v>61</v>
      </c>
      <c r="AE1530" t="s">
        <v>61</v>
      </c>
      <c r="AF1530" t="s">
        <v>61</v>
      </c>
      <c r="AG1530" t="s">
        <v>61</v>
      </c>
      <c r="AH1530" t="s">
        <v>61</v>
      </c>
      <c r="AI1530" t="s">
        <v>61</v>
      </c>
      <c r="AJ1530" t="s">
        <v>61</v>
      </c>
      <c r="AK1530" t="s">
        <v>61</v>
      </c>
      <c r="AL1530" t="s">
        <v>61</v>
      </c>
      <c r="AM1530" t="s">
        <v>12519</v>
      </c>
      <c r="AN1530" t="s">
        <v>61</v>
      </c>
      <c r="AO1530" t="s">
        <v>61</v>
      </c>
      <c r="AP1530" t="s">
        <v>61</v>
      </c>
      <c r="AQ1530" t="s">
        <v>61</v>
      </c>
      <c r="AR1530" t="s">
        <v>61</v>
      </c>
      <c r="AS1530" t="s">
        <v>61</v>
      </c>
      <c r="AT1530" t="s">
        <v>61</v>
      </c>
      <c r="AU1530" t="s">
        <v>61</v>
      </c>
      <c r="AV1530" t="s">
        <v>61</v>
      </c>
      <c r="AW1530" t="s">
        <v>61</v>
      </c>
      <c r="AX1530" t="s">
        <v>61</v>
      </c>
      <c r="AY1530" t="s">
        <v>61</v>
      </c>
      <c r="AZ1530" t="s">
        <v>61</v>
      </c>
      <c r="BA1530" t="s">
        <v>61</v>
      </c>
      <c r="BB1530" t="s">
        <v>61</v>
      </c>
      <c r="BC1530" t="s">
        <v>61</v>
      </c>
      <c r="BD1530" t="s">
        <v>61</v>
      </c>
      <c r="BE1530" t="s">
        <v>61</v>
      </c>
      <c r="BF1530" t="s">
        <v>61</v>
      </c>
    </row>
    <row r="1531" spans="1:58">
      <c r="A1531" t="s">
        <v>58</v>
      </c>
      <c r="B1531" t="s">
        <v>12523</v>
      </c>
      <c r="C1531" t="s">
        <v>12524</v>
      </c>
      <c r="D1531" t="s">
        <v>9707</v>
      </c>
      <c r="E1531" t="s">
        <v>61</v>
      </c>
      <c r="F1531">
        <v>2007</v>
      </c>
      <c r="G1531" t="s">
        <v>12525</v>
      </c>
      <c r="H1531">
        <v>140</v>
      </c>
      <c r="I1531">
        <v>6</v>
      </c>
      <c r="J1531">
        <v>366</v>
      </c>
      <c r="K1531">
        <v>375</v>
      </c>
      <c r="L1531" t="s">
        <v>12526</v>
      </c>
      <c r="M1531" t="s">
        <v>12527</v>
      </c>
      <c r="N1531" t="s">
        <v>12528</v>
      </c>
      <c r="O1531" t="s">
        <v>61</v>
      </c>
      <c r="Q1531" t="s">
        <v>61</v>
      </c>
      <c r="R1531" t="s">
        <v>61</v>
      </c>
      <c r="S1531" t="s">
        <v>61</v>
      </c>
      <c r="T1531" t="s">
        <v>61</v>
      </c>
      <c r="X1531" t="s">
        <v>61</v>
      </c>
      <c r="Y1531" t="s">
        <v>111</v>
      </c>
      <c r="Z1531" t="s">
        <v>61</v>
      </c>
      <c r="AA1531" t="s">
        <v>61</v>
      </c>
      <c r="AB1531" t="s">
        <v>12529</v>
      </c>
      <c r="AC1531" t="s">
        <v>67</v>
      </c>
      <c r="AD1531" t="s">
        <v>61</v>
      </c>
      <c r="AE1531" t="s">
        <v>61</v>
      </c>
      <c r="AF1531" t="s">
        <v>61</v>
      </c>
      <c r="AG1531" t="s">
        <v>61</v>
      </c>
      <c r="AH1531" t="s">
        <v>61</v>
      </c>
      <c r="AI1531" t="s">
        <v>61</v>
      </c>
      <c r="AJ1531" t="s">
        <v>61</v>
      </c>
      <c r="AK1531" t="s">
        <v>61</v>
      </c>
      <c r="AL1531" t="s">
        <v>61</v>
      </c>
      <c r="AM1531" t="s">
        <v>12524</v>
      </c>
      <c r="AN1531" t="s">
        <v>61</v>
      </c>
      <c r="AO1531" t="s">
        <v>61</v>
      </c>
      <c r="AP1531" t="s">
        <v>61</v>
      </c>
      <c r="AQ1531" t="s">
        <v>61</v>
      </c>
      <c r="AR1531" t="s">
        <v>61</v>
      </c>
      <c r="AS1531" t="s">
        <v>61</v>
      </c>
      <c r="AT1531" t="s">
        <v>61</v>
      </c>
      <c r="AU1531" t="s">
        <v>61</v>
      </c>
      <c r="AV1531" t="s">
        <v>61</v>
      </c>
      <c r="AW1531" t="s">
        <v>61</v>
      </c>
      <c r="AX1531" t="s">
        <v>61</v>
      </c>
      <c r="AY1531" t="s">
        <v>61</v>
      </c>
      <c r="AZ1531" t="s">
        <v>61</v>
      </c>
      <c r="BA1531" t="s">
        <v>61</v>
      </c>
      <c r="BB1531" t="s">
        <v>61</v>
      </c>
      <c r="BC1531" t="s">
        <v>61</v>
      </c>
      <c r="BD1531" t="s">
        <v>61</v>
      </c>
      <c r="BE1531" t="s">
        <v>61</v>
      </c>
      <c r="BF1531" t="s">
        <v>61</v>
      </c>
    </row>
    <row r="1532" spans="1:58">
      <c r="A1532" t="s">
        <v>58</v>
      </c>
      <c r="B1532" t="s">
        <v>12530</v>
      </c>
      <c r="C1532" t="s">
        <v>12531</v>
      </c>
      <c r="D1532" t="s">
        <v>12532</v>
      </c>
      <c r="E1532" t="s">
        <v>12533</v>
      </c>
      <c r="F1532">
        <v>1999</v>
      </c>
      <c r="G1532" t="s">
        <v>2798</v>
      </c>
      <c r="H1532">
        <v>44</v>
      </c>
      <c r="I1532">
        <v>1</v>
      </c>
      <c r="J1532">
        <v>3</v>
      </c>
      <c r="K1532">
        <v>18</v>
      </c>
      <c r="L1532" t="s">
        <v>12534</v>
      </c>
      <c r="M1532" t="s">
        <v>12535</v>
      </c>
      <c r="N1532" t="s">
        <v>12536</v>
      </c>
      <c r="O1532" t="s">
        <v>61</v>
      </c>
      <c r="Q1532" t="s">
        <v>61</v>
      </c>
      <c r="R1532" t="s">
        <v>61</v>
      </c>
      <c r="S1532" t="s">
        <v>61</v>
      </c>
      <c r="T1532" t="s">
        <v>61</v>
      </c>
      <c r="X1532" t="s">
        <v>61</v>
      </c>
      <c r="Y1532" t="s">
        <v>12537</v>
      </c>
      <c r="Z1532" t="s">
        <v>61</v>
      </c>
      <c r="AA1532" t="s">
        <v>12538</v>
      </c>
      <c r="AB1532">
        <v>10063220</v>
      </c>
      <c r="AC1532" t="s">
        <v>67</v>
      </c>
      <c r="AD1532" t="s">
        <v>61</v>
      </c>
      <c r="AE1532" t="s">
        <v>61</v>
      </c>
      <c r="AF1532" t="s">
        <v>61</v>
      </c>
      <c r="AG1532" t="s">
        <v>12539</v>
      </c>
      <c r="AH1532" t="s">
        <v>61</v>
      </c>
      <c r="AI1532" t="s">
        <v>61</v>
      </c>
      <c r="AJ1532" t="s">
        <v>61</v>
      </c>
      <c r="AK1532" t="s">
        <v>61</v>
      </c>
      <c r="AL1532" t="s">
        <v>61</v>
      </c>
      <c r="AM1532" t="s">
        <v>12540</v>
      </c>
      <c r="AN1532" t="s">
        <v>61</v>
      </c>
      <c r="AO1532" t="s">
        <v>61</v>
      </c>
      <c r="AP1532" t="s">
        <v>61</v>
      </c>
      <c r="AQ1532" t="s">
        <v>61</v>
      </c>
      <c r="AR1532" t="s">
        <v>61</v>
      </c>
      <c r="AS1532" t="s">
        <v>61</v>
      </c>
      <c r="AT1532" t="s">
        <v>61</v>
      </c>
      <c r="AU1532" t="s">
        <v>61</v>
      </c>
      <c r="AV1532" t="s">
        <v>61</v>
      </c>
      <c r="AW1532" t="s">
        <v>61</v>
      </c>
      <c r="AX1532" t="s">
        <v>61</v>
      </c>
      <c r="AY1532" t="s">
        <v>61</v>
      </c>
      <c r="AZ1532" t="s">
        <v>61</v>
      </c>
      <c r="BA1532" t="s">
        <v>61</v>
      </c>
      <c r="BB1532" t="s">
        <v>61</v>
      </c>
      <c r="BC1532" t="s">
        <v>61</v>
      </c>
      <c r="BD1532" t="s">
        <v>61</v>
      </c>
      <c r="BE1532" t="s">
        <v>61</v>
      </c>
      <c r="BF1532" t="s">
        <v>61</v>
      </c>
    </row>
    <row r="1533" spans="1:58">
      <c r="A1533" t="s">
        <v>58</v>
      </c>
      <c r="B1533" t="s">
        <v>12541</v>
      </c>
      <c r="C1533" t="s">
        <v>12542</v>
      </c>
      <c r="D1533" t="s">
        <v>428</v>
      </c>
      <c r="E1533" t="s">
        <v>61</v>
      </c>
      <c r="F1533">
        <v>2013</v>
      </c>
      <c r="G1533" t="s">
        <v>457</v>
      </c>
      <c r="H1533">
        <v>26</v>
      </c>
      <c r="I1533">
        <v>3</v>
      </c>
      <c r="J1533">
        <v>342</v>
      </c>
      <c r="K1533">
        <v>343</v>
      </c>
      <c r="L1533" t="s">
        <v>12543</v>
      </c>
      <c r="M1533" t="s">
        <v>12544</v>
      </c>
      <c r="N1533" t="s">
        <v>12545</v>
      </c>
      <c r="O1533" t="s">
        <v>61</v>
      </c>
      <c r="Q1533" t="s">
        <v>61</v>
      </c>
      <c r="R1533" t="s">
        <v>61</v>
      </c>
      <c r="S1533" t="s">
        <v>61</v>
      </c>
      <c r="T1533" t="s">
        <v>61</v>
      </c>
      <c r="X1533" t="s">
        <v>61</v>
      </c>
      <c r="Y1533" t="s">
        <v>433</v>
      </c>
      <c r="Z1533" t="s">
        <v>61</v>
      </c>
      <c r="AA1533" t="s">
        <v>61</v>
      </c>
      <c r="AB1533" t="s">
        <v>61</v>
      </c>
      <c r="AC1533" t="s">
        <v>67</v>
      </c>
      <c r="AD1533" t="s">
        <v>61</v>
      </c>
      <c r="AE1533" t="s">
        <v>61</v>
      </c>
      <c r="AF1533" t="s">
        <v>61</v>
      </c>
      <c r="AG1533" t="s">
        <v>61</v>
      </c>
      <c r="AH1533" t="s">
        <v>61</v>
      </c>
      <c r="AI1533" t="s">
        <v>61</v>
      </c>
      <c r="AJ1533" t="s">
        <v>61</v>
      </c>
      <c r="AK1533" t="s">
        <v>61</v>
      </c>
      <c r="AL1533" t="s">
        <v>61</v>
      </c>
      <c r="AM1533" t="s">
        <v>12542</v>
      </c>
      <c r="AN1533" t="s">
        <v>61</v>
      </c>
      <c r="AO1533" t="s">
        <v>61</v>
      </c>
      <c r="AP1533" t="s">
        <v>61</v>
      </c>
      <c r="AQ1533" t="s">
        <v>61</v>
      </c>
      <c r="AR1533" t="s">
        <v>61</v>
      </c>
      <c r="AS1533" t="s">
        <v>61</v>
      </c>
      <c r="AT1533" t="s">
        <v>61</v>
      </c>
      <c r="AU1533" t="s">
        <v>61</v>
      </c>
      <c r="AV1533" t="s">
        <v>61</v>
      </c>
      <c r="AW1533" t="s">
        <v>61</v>
      </c>
      <c r="AX1533" t="s">
        <v>61</v>
      </c>
      <c r="AY1533" t="s">
        <v>61</v>
      </c>
      <c r="AZ1533" t="s">
        <v>61</v>
      </c>
      <c r="BA1533" t="s">
        <v>61</v>
      </c>
      <c r="BB1533" t="s">
        <v>61</v>
      </c>
      <c r="BC1533" t="s">
        <v>61</v>
      </c>
      <c r="BD1533" t="s">
        <v>61</v>
      </c>
      <c r="BE1533" t="s">
        <v>61</v>
      </c>
      <c r="BF1533" t="s">
        <v>61</v>
      </c>
    </row>
    <row r="1534" spans="1:58">
      <c r="A1534" t="s">
        <v>58</v>
      </c>
      <c r="B1534" t="s">
        <v>12546</v>
      </c>
      <c r="C1534" t="s">
        <v>12547</v>
      </c>
      <c r="D1534" t="s">
        <v>4966</v>
      </c>
      <c r="E1534" t="s">
        <v>4967</v>
      </c>
      <c r="F1534">
        <v>1994</v>
      </c>
      <c r="G1534" t="s">
        <v>273</v>
      </c>
      <c r="H1534">
        <v>29</v>
      </c>
      <c r="I1534">
        <v>2</v>
      </c>
      <c r="J1534">
        <v>114</v>
      </c>
      <c r="K1534" t="s">
        <v>12548</v>
      </c>
      <c r="L1534" t="s">
        <v>12549</v>
      </c>
      <c r="M1534" t="s">
        <v>12550</v>
      </c>
      <c r="N1534" t="s">
        <v>12551</v>
      </c>
      <c r="O1534" t="s">
        <v>61</v>
      </c>
      <c r="Q1534" t="s">
        <v>61</v>
      </c>
      <c r="R1534" t="s">
        <v>61</v>
      </c>
      <c r="S1534" t="s">
        <v>61</v>
      </c>
      <c r="T1534" t="s">
        <v>61</v>
      </c>
      <c r="X1534" t="s">
        <v>61</v>
      </c>
      <c r="Y1534" t="s">
        <v>5134</v>
      </c>
      <c r="Z1534" t="s">
        <v>61</v>
      </c>
      <c r="AA1534" t="s">
        <v>12552</v>
      </c>
      <c r="AB1534">
        <v>10132150</v>
      </c>
      <c r="AC1534" t="s">
        <v>67</v>
      </c>
      <c r="AD1534" t="s">
        <v>61</v>
      </c>
      <c r="AE1534" t="s">
        <v>61</v>
      </c>
      <c r="AF1534" t="s">
        <v>61</v>
      </c>
      <c r="AG1534" t="s">
        <v>12553</v>
      </c>
      <c r="AH1534" t="s">
        <v>61</v>
      </c>
      <c r="AI1534" t="s">
        <v>61</v>
      </c>
      <c r="AJ1534" t="s">
        <v>61</v>
      </c>
      <c r="AK1534" t="s">
        <v>61</v>
      </c>
      <c r="AL1534" t="s">
        <v>61</v>
      </c>
      <c r="AM1534" t="s">
        <v>12554</v>
      </c>
      <c r="AN1534" t="s">
        <v>61</v>
      </c>
      <c r="AO1534" t="s">
        <v>61</v>
      </c>
      <c r="AP1534" t="s">
        <v>61</v>
      </c>
      <c r="AQ1534" t="s">
        <v>61</v>
      </c>
      <c r="AR1534" t="s">
        <v>61</v>
      </c>
      <c r="AS1534" t="s">
        <v>61</v>
      </c>
      <c r="AT1534" t="s">
        <v>61</v>
      </c>
      <c r="AU1534" t="s">
        <v>61</v>
      </c>
      <c r="AV1534" t="s">
        <v>61</v>
      </c>
      <c r="AW1534" t="s">
        <v>61</v>
      </c>
      <c r="AX1534" t="s">
        <v>61</v>
      </c>
      <c r="AY1534" t="s">
        <v>61</v>
      </c>
      <c r="AZ1534" t="s">
        <v>61</v>
      </c>
      <c r="BA1534" t="s">
        <v>61</v>
      </c>
      <c r="BB1534" t="s">
        <v>61</v>
      </c>
      <c r="BC1534" t="s">
        <v>61</v>
      </c>
      <c r="BD1534" t="s">
        <v>61</v>
      </c>
      <c r="BE1534" t="s">
        <v>61</v>
      </c>
      <c r="BF1534" t="s">
        <v>61</v>
      </c>
    </row>
    <row r="1535" spans="1:58">
      <c r="A1535" t="s">
        <v>58</v>
      </c>
      <c r="B1535" t="s">
        <v>12555</v>
      </c>
      <c r="C1535" t="s">
        <v>12556</v>
      </c>
      <c r="D1535" t="s">
        <v>5569</v>
      </c>
      <c r="E1535" t="s">
        <v>5570</v>
      </c>
      <c r="F1535">
        <v>2008</v>
      </c>
      <c r="G1535" t="s">
        <v>61</v>
      </c>
      <c r="H1535">
        <v>17</v>
      </c>
      <c r="I1535">
        <v>4</v>
      </c>
      <c r="J1535">
        <v>238</v>
      </c>
      <c r="K1535" t="s">
        <v>12557</v>
      </c>
      <c r="L1535" t="s">
        <v>12558</v>
      </c>
      <c r="M1535" t="s">
        <v>12559</v>
      </c>
      <c r="N1535" t="s">
        <v>12560</v>
      </c>
      <c r="O1535" t="s">
        <v>61</v>
      </c>
      <c r="Q1535" t="s">
        <v>61</v>
      </c>
      <c r="R1535" t="s">
        <v>61</v>
      </c>
      <c r="S1535" t="s">
        <v>61</v>
      </c>
      <c r="T1535" t="s">
        <v>61</v>
      </c>
      <c r="X1535" t="s">
        <v>61</v>
      </c>
      <c r="Y1535" t="s">
        <v>5575</v>
      </c>
      <c r="Z1535" t="s">
        <v>61</v>
      </c>
      <c r="AA1535" t="s">
        <v>12561</v>
      </c>
      <c r="AB1535" t="s">
        <v>12562</v>
      </c>
      <c r="AC1535" t="s">
        <v>67</v>
      </c>
      <c r="AD1535" t="s">
        <v>61</v>
      </c>
      <c r="AE1535" t="s">
        <v>61</v>
      </c>
      <c r="AF1535" t="s">
        <v>61</v>
      </c>
      <c r="AG1535" t="s">
        <v>12563</v>
      </c>
      <c r="AH1535" t="s">
        <v>61</v>
      </c>
      <c r="AI1535" t="s">
        <v>61</v>
      </c>
      <c r="AJ1535" t="s">
        <v>61</v>
      </c>
      <c r="AK1535" t="s">
        <v>61</v>
      </c>
      <c r="AL1535" t="s">
        <v>61</v>
      </c>
      <c r="AM1535" t="s">
        <v>12564</v>
      </c>
      <c r="AN1535" t="s">
        <v>61</v>
      </c>
      <c r="AO1535" t="s">
        <v>61</v>
      </c>
      <c r="AP1535" t="s">
        <v>61</v>
      </c>
      <c r="AQ1535" t="s">
        <v>61</v>
      </c>
      <c r="AR1535" t="s">
        <v>61</v>
      </c>
      <c r="AS1535" t="s">
        <v>61</v>
      </c>
      <c r="AT1535" t="s">
        <v>61</v>
      </c>
      <c r="AU1535" t="s">
        <v>61</v>
      </c>
      <c r="AV1535" t="s">
        <v>61</v>
      </c>
      <c r="AW1535" t="s">
        <v>61</v>
      </c>
      <c r="AX1535" t="s">
        <v>61</v>
      </c>
      <c r="AY1535" t="s">
        <v>61</v>
      </c>
      <c r="AZ1535" t="s">
        <v>61</v>
      </c>
      <c r="BA1535" t="s">
        <v>61</v>
      </c>
      <c r="BB1535" t="s">
        <v>61</v>
      </c>
      <c r="BC1535" t="s">
        <v>61</v>
      </c>
      <c r="BD1535" t="s">
        <v>61</v>
      </c>
      <c r="BE1535" t="s">
        <v>61</v>
      </c>
      <c r="BF1535" t="s">
        <v>61</v>
      </c>
    </row>
    <row r="1536" spans="1:58">
      <c r="A1536" t="s">
        <v>12147</v>
      </c>
      <c r="B1536" t="s">
        <v>12565</v>
      </c>
      <c r="C1536" t="s">
        <v>12566</v>
      </c>
      <c r="D1536" t="s">
        <v>61</v>
      </c>
      <c r="E1536" t="s">
        <v>61</v>
      </c>
      <c r="F1536">
        <v>2001</v>
      </c>
      <c r="G1536" t="s">
        <v>61</v>
      </c>
      <c r="H1536" t="s">
        <v>12567</v>
      </c>
      <c r="I1536" t="s">
        <v>61</v>
      </c>
      <c r="J1536" t="s">
        <v>12568</v>
      </c>
      <c r="K1536" t="s">
        <v>12569</v>
      </c>
      <c r="L1536" t="s">
        <v>12570</v>
      </c>
      <c r="M1536" t="s">
        <v>12571</v>
      </c>
      <c r="N1536" t="s">
        <v>12572</v>
      </c>
      <c r="O1536" t="s">
        <v>61</v>
      </c>
      <c r="Q1536" t="s">
        <v>61</v>
      </c>
      <c r="R1536" t="s">
        <v>61</v>
      </c>
      <c r="S1536" t="s">
        <v>12573</v>
      </c>
      <c r="T1536" t="s">
        <v>61</v>
      </c>
      <c r="X1536" t="s">
        <v>61</v>
      </c>
      <c r="Y1536">
        <v>9780493456522</v>
      </c>
      <c r="Z1536" t="s">
        <v>61</v>
      </c>
      <c r="AA1536" t="s">
        <v>61</v>
      </c>
      <c r="AB1536">
        <v>109876273</v>
      </c>
      <c r="AC1536" t="s">
        <v>67</v>
      </c>
      <c r="AD1536" t="s">
        <v>61</v>
      </c>
      <c r="AE1536" t="s">
        <v>61</v>
      </c>
      <c r="AF1536" t="s">
        <v>61</v>
      </c>
      <c r="AG1536" t="s">
        <v>12574</v>
      </c>
      <c r="AH1536" t="s">
        <v>61</v>
      </c>
      <c r="AI1536" t="s">
        <v>61</v>
      </c>
      <c r="AJ1536" t="s">
        <v>61</v>
      </c>
      <c r="AK1536" t="s">
        <v>61</v>
      </c>
      <c r="AL1536" t="s">
        <v>61</v>
      </c>
      <c r="AM1536" t="s">
        <v>12575</v>
      </c>
      <c r="AN1536" t="s">
        <v>61</v>
      </c>
      <c r="AO1536" t="s">
        <v>61</v>
      </c>
      <c r="AP1536" t="s">
        <v>61</v>
      </c>
      <c r="AQ1536" t="s">
        <v>61</v>
      </c>
      <c r="AR1536" t="s">
        <v>61</v>
      </c>
      <c r="AS1536" t="s">
        <v>61</v>
      </c>
      <c r="AT1536" t="s">
        <v>61</v>
      </c>
      <c r="AU1536" t="s">
        <v>61</v>
      </c>
      <c r="AV1536" t="s">
        <v>61</v>
      </c>
      <c r="AW1536" t="s">
        <v>61</v>
      </c>
      <c r="AX1536" t="s">
        <v>61</v>
      </c>
      <c r="AY1536" t="s">
        <v>61</v>
      </c>
      <c r="AZ1536" t="s">
        <v>61</v>
      </c>
      <c r="BA1536" t="s">
        <v>61</v>
      </c>
      <c r="BB1536" t="s">
        <v>61</v>
      </c>
      <c r="BC1536" t="s">
        <v>61</v>
      </c>
      <c r="BD1536" t="s">
        <v>61</v>
      </c>
      <c r="BE1536" t="s">
        <v>61</v>
      </c>
      <c r="BF1536" t="s">
        <v>61</v>
      </c>
    </row>
    <row r="1537" spans="1:58">
      <c r="A1537" t="s">
        <v>58</v>
      </c>
      <c r="B1537" t="s">
        <v>12576</v>
      </c>
      <c r="C1537" t="s">
        <v>12577</v>
      </c>
      <c r="D1537" t="s">
        <v>84</v>
      </c>
      <c r="E1537" t="s">
        <v>61</v>
      </c>
      <c r="F1537">
        <v>2014</v>
      </c>
      <c r="G1537" t="s">
        <v>429</v>
      </c>
      <c r="H1537" t="s">
        <v>12578</v>
      </c>
      <c r="I1537" t="s">
        <v>61</v>
      </c>
      <c r="J1537">
        <v>1</v>
      </c>
      <c r="K1537" t="s">
        <v>61</v>
      </c>
      <c r="L1537" t="s">
        <v>12579</v>
      </c>
      <c r="M1537" t="s">
        <v>12580</v>
      </c>
      <c r="N1537" t="s">
        <v>12581</v>
      </c>
      <c r="O1537" t="s">
        <v>61</v>
      </c>
      <c r="Q1537" t="s">
        <v>61</v>
      </c>
      <c r="R1537" t="s">
        <v>61</v>
      </c>
      <c r="S1537" t="s">
        <v>61</v>
      </c>
      <c r="T1537" t="s">
        <v>61</v>
      </c>
      <c r="X1537" t="s">
        <v>61</v>
      </c>
      <c r="Y1537" t="s">
        <v>303</v>
      </c>
      <c r="Z1537" t="s">
        <v>61</v>
      </c>
      <c r="AA1537" t="s">
        <v>61</v>
      </c>
      <c r="AB1537" t="s">
        <v>61</v>
      </c>
      <c r="AC1537" t="s">
        <v>67</v>
      </c>
      <c r="AD1537" t="s">
        <v>61</v>
      </c>
      <c r="AE1537" t="s">
        <v>61</v>
      </c>
      <c r="AF1537" t="s">
        <v>61</v>
      </c>
      <c r="AG1537" t="s">
        <v>61</v>
      </c>
      <c r="AH1537" t="s">
        <v>61</v>
      </c>
      <c r="AI1537" t="s">
        <v>61</v>
      </c>
      <c r="AJ1537" t="s">
        <v>61</v>
      </c>
      <c r="AK1537" t="s">
        <v>61</v>
      </c>
      <c r="AL1537" t="s">
        <v>61</v>
      </c>
      <c r="AM1537" t="s">
        <v>12577</v>
      </c>
      <c r="AN1537" t="s">
        <v>61</v>
      </c>
      <c r="AO1537" t="s">
        <v>61</v>
      </c>
      <c r="AP1537" t="s">
        <v>61</v>
      </c>
      <c r="AQ1537" t="s">
        <v>61</v>
      </c>
      <c r="AR1537" t="s">
        <v>61</v>
      </c>
      <c r="AS1537" t="s">
        <v>61</v>
      </c>
      <c r="AT1537" t="s">
        <v>61</v>
      </c>
      <c r="AU1537" t="s">
        <v>61</v>
      </c>
      <c r="AV1537" t="s">
        <v>61</v>
      </c>
      <c r="AW1537" t="s">
        <v>61</v>
      </c>
      <c r="AX1537" t="s">
        <v>61</v>
      </c>
      <c r="AY1537" t="s">
        <v>61</v>
      </c>
      <c r="AZ1537" t="s">
        <v>61</v>
      </c>
      <c r="BA1537" t="s">
        <v>61</v>
      </c>
      <c r="BB1537" t="s">
        <v>61</v>
      </c>
      <c r="BC1537" t="s">
        <v>61</v>
      </c>
      <c r="BD1537" t="s">
        <v>61</v>
      </c>
      <c r="BE1537" t="s">
        <v>61</v>
      </c>
      <c r="BF1537" t="s">
        <v>61</v>
      </c>
    </row>
    <row r="1538" spans="1:58">
      <c r="A1538" t="s">
        <v>58</v>
      </c>
      <c r="B1538" t="s">
        <v>12582</v>
      </c>
      <c r="C1538" t="s">
        <v>12583</v>
      </c>
      <c r="D1538" t="s">
        <v>3469</v>
      </c>
      <c r="E1538" t="s">
        <v>61</v>
      </c>
      <c r="F1538">
        <v>2006</v>
      </c>
      <c r="G1538" t="s">
        <v>280</v>
      </c>
      <c r="H1538">
        <v>64</v>
      </c>
      <c r="I1538" s="1">
        <v>42372</v>
      </c>
      <c r="J1538">
        <v>136</v>
      </c>
      <c r="K1538">
        <v>141</v>
      </c>
      <c r="L1538" t="s">
        <v>12584</v>
      </c>
      <c r="M1538" t="s">
        <v>12585</v>
      </c>
      <c r="N1538" t="s">
        <v>12586</v>
      </c>
      <c r="O1538" t="s">
        <v>61</v>
      </c>
      <c r="Q1538" t="s">
        <v>61</v>
      </c>
      <c r="R1538" t="s">
        <v>61</v>
      </c>
      <c r="S1538" t="s">
        <v>61</v>
      </c>
      <c r="T1538" t="s">
        <v>61</v>
      </c>
      <c r="X1538" t="s">
        <v>61</v>
      </c>
      <c r="Y1538" t="s">
        <v>9206</v>
      </c>
      <c r="Z1538" t="s">
        <v>61</v>
      </c>
      <c r="AA1538" t="s">
        <v>12587</v>
      </c>
      <c r="AB1538">
        <v>16431072</v>
      </c>
      <c r="AC1538" t="s">
        <v>67</v>
      </c>
      <c r="AD1538" t="s">
        <v>61</v>
      </c>
      <c r="AE1538" t="s">
        <v>61</v>
      </c>
      <c r="AF1538" t="s">
        <v>61</v>
      </c>
      <c r="AG1538" t="s">
        <v>12588</v>
      </c>
      <c r="AH1538" t="s">
        <v>61</v>
      </c>
      <c r="AI1538" t="s">
        <v>61</v>
      </c>
      <c r="AJ1538" t="s">
        <v>61</v>
      </c>
      <c r="AK1538" t="s">
        <v>61</v>
      </c>
      <c r="AL1538" t="s">
        <v>61</v>
      </c>
      <c r="AM1538" t="s">
        <v>12589</v>
      </c>
      <c r="AN1538" t="s">
        <v>61</v>
      </c>
      <c r="AO1538" t="s">
        <v>61</v>
      </c>
      <c r="AP1538" t="s">
        <v>61</v>
      </c>
      <c r="AQ1538" t="s">
        <v>61</v>
      </c>
      <c r="AR1538" t="s">
        <v>61</v>
      </c>
      <c r="AS1538" t="s">
        <v>61</v>
      </c>
      <c r="AT1538" t="s">
        <v>61</v>
      </c>
      <c r="AU1538" t="s">
        <v>61</v>
      </c>
      <c r="AV1538" t="s">
        <v>61</v>
      </c>
      <c r="AW1538" t="s">
        <v>61</v>
      </c>
      <c r="AX1538" t="s">
        <v>61</v>
      </c>
      <c r="AY1538" t="s">
        <v>61</v>
      </c>
      <c r="AZ1538" t="s">
        <v>61</v>
      </c>
      <c r="BA1538" t="s">
        <v>61</v>
      </c>
      <c r="BB1538" t="s">
        <v>61</v>
      </c>
      <c r="BC1538" t="s">
        <v>61</v>
      </c>
      <c r="BD1538" t="s">
        <v>61</v>
      </c>
      <c r="BE1538" t="s">
        <v>61</v>
      </c>
      <c r="BF1538" t="s">
        <v>61</v>
      </c>
    </row>
    <row r="1539" spans="1:58">
      <c r="A1539" t="s">
        <v>58</v>
      </c>
      <c r="B1539" t="s">
        <v>12590</v>
      </c>
      <c r="C1539" t="s">
        <v>12591</v>
      </c>
      <c r="D1539" t="s">
        <v>627</v>
      </c>
      <c r="E1539" t="s">
        <v>61</v>
      </c>
      <c r="F1539">
        <v>2016</v>
      </c>
      <c r="G1539">
        <v>1</v>
      </c>
      <c r="H1539">
        <v>56</v>
      </c>
      <c r="I1539">
        <v>2</v>
      </c>
      <c r="J1539">
        <v>111</v>
      </c>
      <c r="K1539">
        <v>116</v>
      </c>
      <c r="L1539" t="s">
        <v>12592</v>
      </c>
      <c r="M1539" t="s">
        <v>12593</v>
      </c>
      <c r="N1539" t="s">
        <v>12594</v>
      </c>
      <c r="O1539" t="s">
        <v>61</v>
      </c>
      <c r="Q1539" t="s">
        <v>61</v>
      </c>
      <c r="R1539" t="s">
        <v>61</v>
      </c>
      <c r="S1539" t="s">
        <v>61</v>
      </c>
      <c r="T1539" t="s">
        <v>61</v>
      </c>
      <c r="X1539" t="s">
        <v>61</v>
      </c>
      <c r="Y1539" t="s">
        <v>12595</v>
      </c>
      <c r="Z1539" t="s">
        <v>61</v>
      </c>
      <c r="AA1539" t="s">
        <v>61</v>
      </c>
      <c r="AB1539" t="s">
        <v>12596</v>
      </c>
      <c r="AC1539" t="s">
        <v>67</v>
      </c>
      <c r="AD1539" t="s">
        <v>61</v>
      </c>
      <c r="AE1539" t="s">
        <v>61</v>
      </c>
      <c r="AF1539" t="s">
        <v>61</v>
      </c>
      <c r="AG1539" t="s">
        <v>61</v>
      </c>
      <c r="AH1539" t="s">
        <v>61</v>
      </c>
      <c r="AI1539" t="s">
        <v>61</v>
      </c>
      <c r="AJ1539" t="s">
        <v>61</v>
      </c>
      <c r="AK1539" t="s">
        <v>61</v>
      </c>
      <c r="AL1539" t="s">
        <v>61</v>
      </c>
      <c r="AM1539" t="s">
        <v>12591</v>
      </c>
      <c r="AN1539" t="s">
        <v>61</v>
      </c>
      <c r="AO1539" t="s">
        <v>61</v>
      </c>
      <c r="AP1539" t="s">
        <v>61</v>
      </c>
      <c r="AQ1539" t="s">
        <v>61</v>
      </c>
      <c r="AR1539" t="s">
        <v>61</v>
      </c>
      <c r="AS1539" t="s">
        <v>61</v>
      </c>
      <c r="AT1539" t="s">
        <v>61</v>
      </c>
      <c r="AU1539" t="s">
        <v>61</v>
      </c>
      <c r="AV1539" t="s">
        <v>61</v>
      </c>
      <c r="AW1539" t="s">
        <v>61</v>
      </c>
      <c r="AX1539" t="s">
        <v>61</v>
      </c>
      <c r="AY1539" t="s">
        <v>61</v>
      </c>
      <c r="AZ1539" t="s">
        <v>61</v>
      </c>
      <c r="BA1539" t="s">
        <v>61</v>
      </c>
      <c r="BB1539" t="s">
        <v>61</v>
      </c>
      <c r="BC1539" t="s">
        <v>61</v>
      </c>
      <c r="BD1539" t="s">
        <v>61</v>
      </c>
      <c r="BE1539" t="s">
        <v>61</v>
      </c>
      <c r="BF1539" t="s">
        <v>61</v>
      </c>
    </row>
    <row r="1540" spans="1:58">
      <c r="A1540" t="s">
        <v>58</v>
      </c>
      <c r="B1540" t="s">
        <v>12597</v>
      </c>
      <c r="C1540" t="s">
        <v>12598</v>
      </c>
      <c r="D1540" t="s">
        <v>12599</v>
      </c>
      <c r="E1540" t="s">
        <v>12600</v>
      </c>
      <c r="F1540">
        <v>1993</v>
      </c>
      <c r="G1540" t="s">
        <v>391</v>
      </c>
      <c r="H1540">
        <v>16</v>
      </c>
      <c r="I1540">
        <v>1</v>
      </c>
      <c r="J1540">
        <v>87</v>
      </c>
      <c r="K1540">
        <v>95</v>
      </c>
      <c r="L1540" t="s">
        <v>12601</v>
      </c>
      <c r="M1540" t="s">
        <v>12602</v>
      </c>
      <c r="N1540" t="s">
        <v>12603</v>
      </c>
      <c r="O1540" t="s">
        <v>61</v>
      </c>
      <c r="Q1540" t="s">
        <v>61</v>
      </c>
      <c r="R1540" t="s">
        <v>61</v>
      </c>
      <c r="S1540" t="s">
        <v>61</v>
      </c>
      <c r="T1540" t="s">
        <v>61</v>
      </c>
      <c r="X1540" t="s">
        <v>61</v>
      </c>
      <c r="Y1540" t="s">
        <v>12604</v>
      </c>
      <c r="Z1540" t="s">
        <v>61</v>
      </c>
      <c r="AA1540" t="s">
        <v>12605</v>
      </c>
      <c r="AB1540">
        <v>8456049</v>
      </c>
      <c r="AC1540" t="s">
        <v>67</v>
      </c>
      <c r="AD1540" t="s">
        <v>61</v>
      </c>
      <c r="AE1540" t="s">
        <v>61</v>
      </c>
      <c r="AF1540" t="s">
        <v>61</v>
      </c>
      <c r="AG1540" t="s">
        <v>12606</v>
      </c>
      <c r="AH1540" t="s">
        <v>61</v>
      </c>
      <c r="AI1540" t="s">
        <v>61</v>
      </c>
      <c r="AJ1540" t="s">
        <v>61</v>
      </c>
      <c r="AK1540" t="s">
        <v>61</v>
      </c>
      <c r="AL1540" t="s">
        <v>61</v>
      </c>
      <c r="AM1540" t="s">
        <v>12607</v>
      </c>
      <c r="AN1540" t="s">
        <v>61</v>
      </c>
      <c r="AO1540" t="s">
        <v>61</v>
      </c>
      <c r="AP1540" t="s">
        <v>61</v>
      </c>
      <c r="AQ1540" t="s">
        <v>61</v>
      </c>
      <c r="AR1540" t="s">
        <v>61</v>
      </c>
      <c r="AS1540" t="s">
        <v>61</v>
      </c>
      <c r="AT1540" t="s">
        <v>61</v>
      </c>
      <c r="AU1540" t="s">
        <v>61</v>
      </c>
      <c r="AV1540" t="s">
        <v>61</v>
      </c>
      <c r="AW1540" t="s">
        <v>61</v>
      </c>
      <c r="AX1540" t="s">
        <v>61</v>
      </c>
      <c r="AY1540" t="s">
        <v>61</v>
      </c>
      <c r="AZ1540" t="s">
        <v>61</v>
      </c>
      <c r="BA1540" t="s">
        <v>61</v>
      </c>
      <c r="BB1540" t="s">
        <v>61</v>
      </c>
      <c r="BC1540" t="s">
        <v>61</v>
      </c>
      <c r="BD1540" t="s">
        <v>61</v>
      </c>
      <c r="BE1540" t="s">
        <v>61</v>
      </c>
      <c r="BF1540" t="s">
        <v>61</v>
      </c>
    </row>
    <row r="1541" spans="1:58">
      <c r="A1541" t="s">
        <v>58</v>
      </c>
      <c r="B1541" t="s">
        <v>12608</v>
      </c>
      <c r="C1541" t="s">
        <v>12609</v>
      </c>
      <c r="D1541" t="s">
        <v>9707</v>
      </c>
      <c r="E1541" t="s">
        <v>61</v>
      </c>
      <c r="F1541">
        <v>2015</v>
      </c>
      <c r="G1541">
        <v>5</v>
      </c>
      <c r="H1541">
        <v>148</v>
      </c>
      <c r="I1541">
        <v>3</v>
      </c>
      <c r="J1541">
        <v>156</v>
      </c>
      <c r="K1541">
        <v>159</v>
      </c>
      <c r="L1541" t="s">
        <v>12610</v>
      </c>
      <c r="M1541" t="s">
        <v>61</v>
      </c>
      <c r="N1541" t="s">
        <v>12611</v>
      </c>
      <c r="O1541" t="s">
        <v>61</v>
      </c>
      <c r="Q1541" t="s">
        <v>61</v>
      </c>
      <c r="R1541" t="s">
        <v>61</v>
      </c>
      <c r="S1541" t="s">
        <v>61</v>
      </c>
      <c r="T1541" t="s">
        <v>61</v>
      </c>
      <c r="X1541" t="s">
        <v>61</v>
      </c>
      <c r="Y1541" t="s">
        <v>12612</v>
      </c>
      <c r="Z1541" t="s">
        <v>61</v>
      </c>
      <c r="AA1541" t="s">
        <v>61</v>
      </c>
      <c r="AB1541" t="s">
        <v>12613</v>
      </c>
      <c r="AC1541" t="s">
        <v>67</v>
      </c>
      <c r="AD1541" t="s">
        <v>61</v>
      </c>
      <c r="AE1541" t="s">
        <v>61</v>
      </c>
      <c r="AF1541" t="s">
        <v>61</v>
      </c>
      <c r="AG1541" t="s">
        <v>61</v>
      </c>
      <c r="AH1541" t="s">
        <v>61</v>
      </c>
      <c r="AI1541" t="s">
        <v>61</v>
      </c>
      <c r="AJ1541" t="s">
        <v>61</v>
      </c>
      <c r="AK1541" t="s">
        <v>61</v>
      </c>
      <c r="AL1541" t="s">
        <v>61</v>
      </c>
      <c r="AM1541" t="s">
        <v>12609</v>
      </c>
      <c r="AN1541" t="s">
        <v>61</v>
      </c>
      <c r="AO1541" t="s">
        <v>61</v>
      </c>
      <c r="AP1541" t="s">
        <v>61</v>
      </c>
      <c r="AQ1541" t="s">
        <v>61</v>
      </c>
      <c r="AR1541" t="s">
        <v>61</v>
      </c>
      <c r="AS1541" t="s">
        <v>61</v>
      </c>
      <c r="AT1541" t="s">
        <v>61</v>
      </c>
      <c r="AU1541" t="s">
        <v>61</v>
      </c>
      <c r="AV1541" t="s">
        <v>61</v>
      </c>
      <c r="AW1541" t="s">
        <v>61</v>
      </c>
      <c r="AX1541" t="s">
        <v>61</v>
      </c>
      <c r="AY1541" t="s">
        <v>61</v>
      </c>
      <c r="AZ1541" t="s">
        <v>61</v>
      </c>
      <c r="BA1541" t="s">
        <v>61</v>
      </c>
      <c r="BB1541" t="s">
        <v>61</v>
      </c>
      <c r="BC1541" t="s">
        <v>61</v>
      </c>
      <c r="BD1541" t="s">
        <v>61</v>
      </c>
      <c r="BE1541" t="s">
        <v>61</v>
      </c>
      <c r="BF1541" t="s">
        <v>61</v>
      </c>
    </row>
    <row r="1542" spans="1:58">
      <c r="A1542" t="s">
        <v>58</v>
      </c>
      <c r="B1542" t="s">
        <v>12614</v>
      </c>
      <c r="C1542" t="s">
        <v>12615</v>
      </c>
      <c r="D1542" t="s">
        <v>627</v>
      </c>
      <c r="E1542" t="s">
        <v>61</v>
      </c>
      <c r="F1542">
        <v>2013</v>
      </c>
      <c r="G1542" t="s">
        <v>628</v>
      </c>
      <c r="H1542">
        <v>53</v>
      </c>
      <c r="I1542">
        <v>2</v>
      </c>
      <c r="J1542" t="s">
        <v>12616</v>
      </c>
      <c r="K1542" t="s">
        <v>61</v>
      </c>
      <c r="L1542" t="s">
        <v>12617</v>
      </c>
      <c r="M1542" t="s">
        <v>12618</v>
      </c>
      <c r="N1542" t="s">
        <v>12619</v>
      </c>
      <c r="O1542" t="s">
        <v>61</v>
      </c>
      <c r="Q1542" t="s">
        <v>61</v>
      </c>
      <c r="R1542" t="s">
        <v>61</v>
      </c>
      <c r="S1542" t="s">
        <v>61</v>
      </c>
      <c r="T1542" t="s">
        <v>61</v>
      </c>
      <c r="X1542" t="s">
        <v>61</v>
      </c>
      <c r="Y1542" t="s">
        <v>632</v>
      </c>
      <c r="Z1542" t="s">
        <v>61</v>
      </c>
      <c r="AA1542" t="s">
        <v>61</v>
      </c>
      <c r="AB1542" t="s">
        <v>61</v>
      </c>
      <c r="AC1542" t="s">
        <v>67</v>
      </c>
      <c r="AD1542" t="s">
        <v>61</v>
      </c>
      <c r="AE1542" t="s">
        <v>61</v>
      </c>
      <c r="AF1542" t="s">
        <v>61</v>
      </c>
      <c r="AG1542" t="s">
        <v>61</v>
      </c>
      <c r="AH1542" t="s">
        <v>61</v>
      </c>
      <c r="AI1542" t="s">
        <v>61</v>
      </c>
      <c r="AJ1542" t="s">
        <v>61</v>
      </c>
      <c r="AK1542" t="s">
        <v>61</v>
      </c>
      <c r="AL1542" t="s">
        <v>61</v>
      </c>
      <c r="AM1542" t="s">
        <v>12615</v>
      </c>
      <c r="AN1542" t="s">
        <v>61</v>
      </c>
      <c r="AO1542" t="s">
        <v>61</v>
      </c>
      <c r="AP1542" t="s">
        <v>61</v>
      </c>
      <c r="AQ1542" t="s">
        <v>61</v>
      </c>
      <c r="AR1542" t="s">
        <v>61</v>
      </c>
      <c r="AS1542" t="s">
        <v>61</v>
      </c>
      <c r="AT1542" t="s">
        <v>61</v>
      </c>
      <c r="AU1542" t="s">
        <v>61</v>
      </c>
      <c r="AV1542" t="s">
        <v>61</v>
      </c>
      <c r="AW1542" t="s">
        <v>61</v>
      </c>
      <c r="AX1542" t="s">
        <v>61</v>
      </c>
      <c r="AY1542" t="s">
        <v>61</v>
      </c>
      <c r="AZ1542" t="s">
        <v>61</v>
      </c>
      <c r="BA1542" t="s">
        <v>61</v>
      </c>
      <c r="BB1542" t="s">
        <v>61</v>
      </c>
      <c r="BC1542" t="s">
        <v>61</v>
      </c>
      <c r="BD1542" t="s">
        <v>61</v>
      </c>
      <c r="BE1542" t="s">
        <v>61</v>
      </c>
      <c r="BF1542" t="s">
        <v>61</v>
      </c>
    </row>
    <row r="1543" spans="1:58">
      <c r="A1543" t="s">
        <v>58</v>
      </c>
      <c r="B1543" t="s">
        <v>12620</v>
      </c>
      <c r="C1543" t="s">
        <v>12621</v>
      </c>
      <c r="D1543" t="s">
        <v>2334</v>
      </c>
      <c r="E1543" t="s">
        <v>61</v>
      </c>
      <c r="F1543">
        <v>1998</v>
      </c>
      <c r="G1543" t="s">
        <v>61</v>
      </c>
      <c r="H1543" t="s">
        <v>2335</v>
      </c>
      <c r="I1543" t="s">
        <v>61</v>
      </c>
      <c r="J1543" t="s">
        <v>12622</v>
      </c>
      <c r="K1543">
        <v>7</v>
      </c>
      <c r="L1543" t="s">
        <v>12623</v>
      </c>
      <c r="M1543" t="s">
        <v>61</v>
      </c>
      <c r="N1543" t="s">
        <v>12624</v>
      </c>
      <c r="O1543" t="s">
        <v>61</v>
      </c>
      <c r="Q1543" t="s">
        <v>61</v>
      </c>
      <c r="R1543" t="s">
        <v>61</v>
      </c>
      <c r="S1543" t="s">
        <v>61</v>
      </c>
      <c r="T1543" t="s">
        <v>61</v>
      </c>
      <c r="X1543" t="s">
        <v>61</v>
      </c>
      <c r="Y1543" t="s">
        <v>2340</v>
      </c>
      <c r="Z1543" t="s">
        <v>61</v>
      </c>
      <c r="AA1543" t="s">
        <v>61</v>
      </c>
      <c r="AB1543">
        <v>9663643</v>
      </c>
      <c r="AC1543" t="s">
        <v>67</v>
      </c>
      <c r="AD1543" t="s">
        <v>61</v>
      </c>
      <c r="AE1543" t="s">
        <v>61</v>
      </c>
      <c r="AF1543" t="s">
        <v>61</v>
      </c>
      <c r="AG1543" t="s">
        <v>12625</v>
      </c>
      <c r="AH1543" t="s">
        <v>61</v>
      </c>
      <c r="AI1543" t="s">
        <v>61</v>
      </c>
      <c r="AJ1543" t="s">
        <v>61</v>
      </c>
      <c r="AK1543" t="s">
        <v>61</v>
      </c>
      <c r="AL1543" t="s">
        <v>61</v>
      </c>
      <c r="AM1543" t="s">
        <v>12626</v>
      </c>
      <c r="AN1543" t="s">
        <v>61</v>
      </c>
      <c r="AO1543" t="s">
        <v>61</v>
      </c>
      <c r="AP1543" t="s">
        <v>61</v>
      </c>
      <c r="AQ1543" t="s">
        <v>61</v>
      </c>
      <c r="AR1543" t="s">
        <v>61</v>
      </c>
      <c r="AS1543" t="s">
        <v>61</v>
      </c>
      <c r="AT1543" t="s">
        <v>61</v>
      </c>
      <c r="AU1543" t="s">
        <v>61</v>
      </c>
      <c r="AV1543" t="s">
        <v>61</v>
      </c>
      <c r="AW1543" t="s">
        <v>61</v>
      </c>
      <c r="AX1543" t="s">
        <v>61</v>
      </c>
      <c r="AY1543" t="s">
        <v>61</v>
      </c>
      <c r="AZ1543" t="s">
        <v>61</v>
      </c>
      <c r="BA1543" t="s">
        <v>61</v>
      </c>
      <c r="BB1543" t="s">
        <v>61</v>
      </c>
      <c r="BC1543" t="s">
        <v>61</v>
      </c>
      <c r="BD1543" t="s">
        <v>61</v>
      </c>
      <c r="BE1543" t="s">
        <v>61</v>
      </c>
      <c r="BF1543" t="s">
        <v>61</v>
      </c>
    </row>
    <row r="1544" spans="1:58">
      <c r="A1544" t="s">
        <v>58</v>
      </c>
      <c r="B1544" t="s">
        <v>12627</v>
      </c>
      <c r="C1544" t="s">
        <v>12628</v>
      </c>
      <c r="D1544" t="s">
        <v>4773</v>
      </c>
      <c r="E1544" t="s">
        <v>4774</v>
      </c>
      <c r="F1544">
        <v>1971</v>
      </c>
      <c r="G1544" t="s">
        <v>129</v>
      </c>
      <c r="H1544">
        <v>46</v>
      </c>
      <c r="I1544">
        <v>10</v>
      </c>
      <c r="J1544">
        <v>896</v>
      </c>
      <c r="K1544">
        <v>900</v>
      </c>
      <c r="L1544" t="s">
        <v>12629</v>
      </c>
      <c r="M1544" t="s">
        <v>61</v>
      </c>
      <c r="N1544" t="s">
        <v>12630</v>
      </c>
      <c r="O1544" t="s">
        <v>61</v>
      </c>
      <c r="Q1544" t="s">
        <v>61</v>
      </c>
      <c r="R1544" t="s">
        <v>61</v>
      </c>
      <c r="S1544" t="s">
        <v>61</v>
      </c>
      <c r="T1544" t="s">
        <v>61</v>
      </c>
      <c r="X1544" t="s">
        <v>61</v>
      </c>
      <c r="Y1544" t="s">
        <v>4778</v>
      </c>
      <c r="Z1544" t="s">
        <v>61</v>
      </c>
      <c r="AA1544" t="s">
        <v>61</v>
      </c>
      <c r="AB1544">
        <v>5166967</v>
      </c>
      <c r="AC1544" t="s">
        <v>67</v>
      </c>
      <c r="AD1544" t="s">
        <v>61</v>
      </c>
      <c r="AE1544" t="s">
        <v>61</v>
      </c>
      <c r="AF1544" t="s">
        <v>61</v>
      </c>
      <c r="AG1544" t="s">
        <v>12631</v>
      </c>
      <c r="AH1544" t="s">
        <v>61</v>
      </c>
      <c r="AI1544" t="s">
        <v>61</v>
      </c>
      <c r="AJ1544" t="s">
        <v>61</v>
      </c>
      <c r="AK1544" t="s">
        <v>61</v>
      </c>
      <c r="AL1544" t="s">
        <v>61</v>
      </c>
      <c r="AM1544" t="s">
        <v>12632</v>
      </c>
      <c r="AN1544" t="s">
        <v>61</v>
      </c>
      <c r="AO1544" t="s">
        <v>61</v>
      </c>
      <c r="AP1544" t="s">
        <v>61</v>
      </c>
      <c r="AQ1544" t="s">
        <v>61</v>
      </c>
      <c r="AR1544" t="s">
        <v>61</v>
      </c>
      <c r="AS1544" t="s">
        <v>61</v>
      </c>
      <c r="AT1544" t="s">
        <v>61</v>
      </c>
      <c r="AU1544" t="s">
        <v>61</v>
      </c>
      <c r="AV1544" t="s">
        <v>61</v>
      </c>
      <c r="AW1544" t="s">
        <v>61</v>
      </c>
      <c r="AX1544" t="s">
        <v>61</v>
      </c>
      <c r="AY1544" t="s">
        <v>61</v>
      </c>
      <c r="AZ1544" t="s">
        <v>61</v>
      </c>
      <c r="BA1544" t="s">
        <v>61</v>
      </c>
      <c r="BB1544" t="s">
        <v>61</v>
      </c>
      <c r="BC1544" t="s">
        <v>61</v>
      </c>
      <c r="BD1544" t="s">
        <v>61</v>
      </c>
      <c r="BE1544" t="s">
        <v>61</v>
      </c>
      <c r="BF1544" t="s">
        <v>61</v>
      </c>
    </row>
    <row r="1545" spans="1:58">
      <c r="A1545" t="s">
        <v>58</v>
      </c>
      <c r="B1545" t="s">
        <v>12633</v>
      </c>
      <c r="C1545" t="s">
        <v>12634</v>
      </c>
      <c r="D1545" t="s">
        <v>8814</v>
      </c>
      <c r="E1545" t="s">
        <v>8815</v>
      </c>
      <c r="F1545">
        <v>1993</v>
      </c>
      <c r="G1545" t="s">
        <v>85</v>
      </c>
      <c r="H1545">
        <v>93</v>
      </c>
      <c r="I1545">
        <v>5</v>
      </c>
      <c r="J1545">
        <v>225</v>
      </c>
      <c r="K1545">
        <v>230</v>
      </c>
      <c r="L1545" t="s">
        <v>12635</v>
      </c>
      <c r="M1545" t="s">
        <v>12636</v>
      </c>
      <c r="N1545" t="s">
        <v>12637</v>
      </c>
      <c r="O1545" t="s">
        <v>61</v>
      </c>
      <c r="Q1545" t="s">
        <v>61</v>
      </c>
      <c r="R1545" t="s">
        <v>61</v>
      </c>
      <c r="S1545" t="s">
        <v>61</v>
      </c>
      <c r="T1545" t="s">
        <v>61</v>
      </c>
      <c r="X1545" t="s">
        <v>61</v>
      </c>
      <c r="Y1545" t="s">
        <v>8819</v>
      </c>
      <c r="Z1545" t="s">
        <v>61</v>
      </c>
      <c r="AA1545" t="s">
        <v>61</v>
      </c>
      <c r="AB1545">
        <v>8460079</v>
      </c>
      <c r="AC1545" t="s">
        <v>67</v>
      </c>
      <c r="AD1545" t="s">
        <v>61</v>
      </c>
      <c r="AE1545" t="s">
        <v>61</v>
      </c>
      <c r="AF1545" t="s">
        <v>61</v>
      </c>
      <c r="AG1545" t="s">
        <v>12638</v>
      </c>
      <c r="AH1545" t="s">
        <v>61</v>
      </c>
      <c r="AI1545" t="s">
        <v>61</v>
      </c>
      <c r="AJ1545" t="s">
        <v>61</v>
      </c>
      <c r="AK1545" t="s">
        <v>61</v>
      </c>
      <c r="AL1545" t="s">
        <v>61</v>
      </c>
      <c r="AM1545" t="s">
        <v>12639</v>
      </c>
      <c r="AN1545" t="s">
        <v>61</v>
      </c>
      <c r="AO1545" t="s">
        <v>61</v>
      </c>
      <c r="AP1545" t="s">
        <v>61</v>
      </c>
      <c r="AQ1545" t="s">
        <v>61</v>
      </c>
      <c r="AR1545" t="s">
        <v>61</v>
      </c>
      <c r="AS1545" t="s">
        <v>61</v>
      </c>
      <c r="AT1545" t="s">
        <v>61</v>
      </c>
      <c r="AU1545" t="s">
        <v>61</v>
      </c>
      <c r="AV1545" t="s">
        <v>61</v>
      </c>
      <c r="AW1545" t="s">
        <v>61</v>
      </c>
      <c r="AX1545" t="s">
        <v>61</v>
      </c>
      <c r="AY1545" t="s">
        <v>61</v>
      </c>
      <c r="AZ1545" t="s">
        <v>61</v>
      </c>
      <c r="BA1545" t="s">
        <v>61</v>
      </c>
      <c r="BB1545" t="s">
        <v>61</v>
      </c>
      <c r="BC1545" t="s">
        <v>61</v>
      </c>
      <c r="BD1545" t="s">
        <v>61</v>
      </c>
      <c r="BE1545" t="s">
        <v>61</v>
      </c>
      <c r="BF1545" t="s">
        <v>61</v>
      </c>
    </row>
    <row r="1546" spans="1:58">
      <c r="A1546" t="s">
        <v>58</v>
      </c>
      <c r="B1546" t="s">
        <v>12640</v>
      </c>
      <c r="C1546" t="s">
        <v>12641</v>
      </c>
      <c r="D1546" t="s">
        <v>12642</v>
      </c>
      <c r="E1546" t="s">
        <v>61</v>
      </c>
      <c r="F1546">
        <v>2013</v>
      </c>
      <c r="G1546" t="s">
        <v>2798</v>
      </c>
      <c r="H1546">
        <v>9</v>
      </c>
      <c r="I1546">
        <v>1</v>
      </c>
      <c r="J1546">
        <v>90</v>
      </c>
      <c r="K1546">
        <v>100</v>
      </c>
      <c r="L1546" t="s">
        <v>12643</v>
      </c>
      <c r="M1546" t="s">
        <v>12644</v>
      </c>
      <c r="N1546" t="s">
        <v>12645</v>
      </c>
      <c r="O1546" t="s">
        <v>61</v>
      </c>
      <c r="Q1546" t="s">
        <v>61</v>
      </c>
      <c r="R1546" t="s">
        <v>61</v>
      </c>
      <c r="S1546" t="s">
        <v>61</v>
      </c>
      <c r="T1546" t="s">
        <v>61</v>
      </c>
      <c r="X1546" t="s">
        <v>61</v>
      </c>
      <c r="Y1546" t="s">
        <v>12646</v>
      </c>
      <c r="Z1546" t="s">
        <v>61</v>
      </c>
      <c r="AA1546" t="s">
        <v>12647</v>
      </c>
      <c r="AB1546">
        <v>22695219</v>
      </c>
      <c r="AC1546" t="s">
        <v>67</v>
      </c>
      <c r="AD1546" t="s">
        <v>61</v>
      </c>
      <c r="AE1546" t="s">
        <v>61</v>
      </c>
      <c r="AF1546" t="s">
        <v>61</v>
      </c>
      <c r="AG1546" t="s">
        <v>12648</v>
      </c>
      <c r="AH1546" t="s">
        <v>61</v>
      </c>
      <c r="AI1546" t="s">
        <v>12649</v>
      </c>
      <c r="AJ1546" t="s">
        <v>61</v>
      </c>
      <c r="AK1546" t="s">
        <v>61</v>
      </c>
      <c r="AL1546" t="s">
        <v>61</v>
      </c>
      <c r="AM1546" t="s">
        <v>12650</v>
      </c>
      <c r="AN1546" t="s">
        <v>61</v>
      </c>
      <c r="AO1546" t="s">
        <v>61</v>
      </c>
      <c r="AP1546" t="s">
        <v>61</v>
      </c>
      <c r="AQ1546" t="s">
        <v>61</v>
      </c>
      <c r="AR1546" t="s">
        <v>61</v>
      </c>
      <c r="AS1546" t="s">
        <v>61</v>
      </c>
      <c r="AT1546" t="s">
        <v>61</v>
      </c>
      <c r="AU1546" t="s">
        <v>61</v>
      </c>
      <c r="AV1546" t="s">
        <v>61</v>
      </c>
      <c r="AW1546" t="s">
        <v>61</v>
      </c>
      <c r="AX1546" t="s">
        <v>61</v>
      </c>
      <c r="AY1546" t="s">
        <v>61</v>
      </c>
      <c r="AZ1546" t="s">
        <v>61</v>
      </c>
      <c r="BA1546" t="s">
        <v>61</v>
      </c>
      <c r="BB1546" t="s">
        <v>61</v>
      </c>
      <c r="BC1546" t="s">
        <v>61</v>
      </c>
      <c r="BD1546" t="s">
        <v>61</v>
      </c>
      <c r="BE1546" t="s">
        <v>61</v>
      </c>
      <c r="BF1546" t="s">
        <v>61</v>
      </c>
    </row>
    <row r="1547" spans="1:58">
      <c r="A1547" t="s">
        <v>58</v>
      </c>
      <c r="B1547" t="s">
        <v>12651</v>
      </c>
      <c r="C1547" t="s">
        <v>12652</v>
      </c>
      <c r="D1547" t="s">
        <v>1085</v>
      </c>
      <c r="E1547" t="s">
        <v>1086</v>
      </c>
      <c r="F1547">
        <v>2006</v>
      </c>
      <c r="G1547" t="s">
        <v>119</v>
      </c>
      <c r="H1547">
        <v>40</v>
      </c>
      <c r="I1547">
        <v>6</v>
      </c>
      <c r="J1547">
        <v>1162</v>
      </c>
      <c r="K1547">
        <v>1169</v>
      </c>
      <c r="L1547" t="s">
        <v>12653</v>
      </c>
      <c r="M1547" t="s">
        <v>12654</v>
      </c>
      <c r="N1547" t="s">
        <v>12655</v>
      </c>
      <c r="O1547" t="s">
        <v>61</v>
      </c>
      <c r="Q1547" t="s">
        <v>61</v>
      </c>
      <c r="R1547" t="s">
        <v>61</v>
      </c>
      <c r="S1547" t="s">
        <v>61</v>
      </c>
      <c r="T1547" t="s">
        <v>61</v>
      </c>
      <c r="X1547" t="s">
        <v>61</v>
      </c>
      <c r="Y1547" t="s">
        <v>3286</v>
      </c>
      <c r="Z1547" t="s">
        <v>61</v>
      </c>
      <c r="AA1547" t="s">
        <v>12656</v>
      </c>
      <c r="AB1547">
        <v>16735653</v>
      </c>
      <c r="AC1547" t="s">
        <v>67</v>
      </c>
      <c r="AD1547" t="s">
        <v>61</v>
      </c>
      <c r="AE1547" t="s">
        <v>61</v>
      </c>
      <c r="AF1547" t="s">
        <v>61</v>
      </c>
      <c r="AG1547" t="s">
        <v>12657</v>
      </c>
      <c r="AH1547" t="s">
        <v>61</v>
      </c>
      <c r="AI1547" t="s">
        <v>61</v>
      </c>
      <c r="AJ1547" t="s">
        <v>61</v>
      </c>
      <c r="AK1547" t="s">
        <v>61</v>
      </c>
      <c r="AL1547" t="s">
        <v>61</v>
      </c>
      <c r="AM1547" t="s">
        <v>12658</v>
      </c>
      <c r="AN1547" t="s">
        <v>61</v>
      </c>
      <c r="AO1547" t="s">
        <v>61</v>
      </c>
      <c r="AP1547" t="s">
        <v>61</v>
      </c>
      <c r="AQ1547" t="s">
        <v>61</v>
      </c>
      <c r="AR1547" t="s">
        <v>61</v>
      </c>
      <c r="AS1547" t="s">
        <v>61</v>
      </c>
      <c r="AT1547" t="s">
        <v>61</v>
      </c>
      <c r="AU1547" t="s">
        <v>61</v>
      </c>
      <c r="AV1547" t="s">
        <v>61</v>
      </c>
      <c r="AW1547" t="s">
        <v>61</v>
      </c>
      <c r="AX1547" t="s">
        <v>61</v>
      </c>
      <c r="AY1547" t="s">
        <v>61</v>
      </c>
      <c r="AZ1547" t="s">
        <v>61</v>
      </c>
      <c r="BA1547" t="s">
        <v>61</v>
      </c>
      <c r="BB1547" t="s">
        <v>61</v>
      </c>
      <c r="BC1547" t="s">
        <v>61</v>
      </c>
      <c r="BD1547" t="s">
        <v>61</v>
      </c>
      <c r="BE1547" t="s">
        <v>61</v>
      </c>
      <c r="BF1547" t="s">
        <v>61</v>
      </c>
    </row>
    <row r="1548" spans="1:58">
      <c r="A1548" t="s">
        <v>58</v>
      </c>
      <c r="B1548" t="s">
        <v>12659</v>
      </c>
      <c r="C1548" t="s">
        <v>12660</v>
      </c>
      <c r="D1548" t="s">
        <v>417</v>
      </c>
      <c r="E1548" t="s">
        <v>61</v>
      </c>
      <c r="F1548">
        <v>1999</v>
      </c>
      <c r="G1548" t="s">
        <v>280</v>
      </c>
      <c r="H1548">
        <v>21</v>
      </c>
      <c r="I1548">
        <v>6</v>
      </c>
      <c r="J1548">
        <v>245</v>
      </c>
      <c r="K1548">
        <v>250</v>
      </c>
      <c r="L1548" t="s">
        <v>12661</v>
      </c>
      <c r="M1548" t="s">
        <v>12662</v>
      </c>
      <c r="N1548" t="s">
        <v>12663</v>
      </c>
      <c r="O1548" t="s">
        <v>61</v>
      </c>
      <c r="Q1548" t="s">
        <v>61</v>
      </c>
      <c r="R1548" t="s">
        <v>61</v>
      </c>
      <c r="S1548" t="s">
        <v>61</v>
      </c>
      <c r="T1548" t="s">
        <v>61</v>
      </c>
      <c r="X1548" t="s">
        <v>61</v>
      </c>
      <c r="Y1548" t="s">
        <v>422</v>
      </c>
      <c r="Z1548" t="s">
        <v>61</v>
      </c>
      <c r="AA1548" t="s">
        <v>12664</v>
      </c>
      <c r="AB1548">
        <v>10658231</v>
      </c>
      <c r="AC1548" t="s">
        <v>67</v>
      </c>
      <c r="AD1548" t="s">
        <v>61</v>
      </c>
      <c r="AE1548" t="s">
        <v>61</v>
      </c>
      <c r="AF1548" t="s">
        <v>61</v>
      </c>
      <c r="AG1548" t="s">
        <v>12665</v>
      </c>
      <c r="AH1548" t="s">
        <v>61</v>
      </c>
      <c r="AI1548" t="s">
        <v>61</v>
      </c>
      <c r="AJ1548" t="s">
        <v>61</v>
      </c>
      <c r="AK1548" t="s">
        <v>61</v>
      </c>
      <c r="AL1548" t="s">
        <v>61</v>
      </c>
      <c r="AM1548" t="s">
        <v>12666</v>
      </c>
      <c r="AN1548" t="s">
        <v>61</v>
      </c>
      <c r="AO1548" t="s">
        <v>61</v>
      </c>
      <c r="AP1548" t="s">
        <v>61</v>
      </c>
      <c r="AQ1548" t="s">
        <v>61</v>
      </c>
      <c r="AR1548" t="s">
        <v>61</v>
      </c>
      <c r="AS1548" t="s">
        <v>61</v>
      </c>
      <c r="AT1548" t="s">
        <v>61</v>
      </c>
      <c r="AU1548" t="s">
        <v>61</v>
      </c>
      <c r="AV1548" t="s">
        <v>61</v>
      </c>
      <c r="AW1548" t="s">
        <v>61</v>
      </c>
      <c r="AX1548" t="s">
        <v>61</v>
      </c>
      <c r="AY1548" t="s">
        <v>61</v>
      </c>
      <c r="AZ1548" t="s">
        <v>61</v>
      </c>
      <c r="BA1548" t="s">
        <v>61</v>
      </c>
      <c r="BB1548" t="s">
        <v>61</v>
      </c>
      <c r="BC1548" t="s">
        <v>61</v>
      </c>
      <c r="BD1548" t="s">
        <v>61</v>
      </c>
      <c r="BE1548" t="s">
        <v>61</v>
      </c>
      <c r="BF1548" t="s">
        <v>61</v>
      </c>
    </row>
    <row r="1549" spans="1:58">
      <c r="A1549" t="s">
        <v>58</v>
      </c>
      <c r="B1549" t="s">
        <v>12667</v>
      </c>
      <c r="C1549" t="s">
        <v>12668</v>
      </c>
      <c r="D1549" t="s">
        <v>12669</v>
      </c>
      <c r="E1549" t="s">
        <v>12670</v>
      </c>
      <c r="F1549">
        <v>2004</v>
      </c>
      <c r="G1549" t="s">
        <v>237</v>
      </c>
      <c r="H1549">
        <v>10</v>
      </c>
      <c r="I1549">
        <v>4</v>
      </c>
      <c r="J1549">
        <v>284</v>
      </c>
      <c r="K1549">
        <v>288</v>
      </c>
      <c r="L1549" t="s">
        <v>12671</v>
      </c>
      <c r="M1549" t="s">
        <v>12672</v>
      </c>
      <c r="N1549" t="s">
        <v>12673</v>
      </c>
      <c r="O1549" t="s">
        <v>61</v>
      </c>
      <c r="Q1549" t="s">
        <v>61</v>
      </c>
      <c r="R1549" t="s">
        <v>61</v>
      </c>
      <c r="S1549" t="s">
        <v>61</v>
      </c>
      <c r="T1549" t="s">
        <v>61</v>
      </c>
      <c r="X1549" t="s">
        <v>61</v>
      </c>
      <c r="Y1549" t="s">
        <v>12674</v>
      </c>
      <c r="Z1549" t="s">
        <v>61</v>
      </c>
      <c r="AA1549" t="s">
        <v>12675</v>
      </c>
      <c r="AB1549">
        <v>15220753</v>
      </c>
      <c r="AC1549" t="s">
        <v>67</v>
      </c>
      <c r="AD1549" t="s">
        <v>61</v>
      </c>
      <c r="AE1549" t="s">
        <v>61</v>
      </c>
      <c r="AF1549" t="s">
        <v>61</v>
      </c>
      <c r="AG1549" t="s">
        <v>12676</v>
      </c>
      <c r="AH1549" t="s">
        <v>61</v>
      </c>
      <c r="AI1549" t="s">
        <v>61</v>
      </c>
      <c r="AJ1549" t="s">
        <v>61</v>
      </c>
      <c r="AK1549" t="s">
        <v>61</v>
      </c>
      <c r="AL1549" t="s">
        <v>61</v>
      </c>
      <c r="AM1549" t="s">
        <v>12677</v>
      </c>
      <c r="AN1549" t="s">
        <v>61</v>
      </c>
      <c r="AO1549" t="s">
        <v>61</v>
      </c>
      <c r="AP1549" t="s">
        <v>61</v>
      </c>
      <c r="AQ1549" t="s">
        <v>61</v>
      </c>
      <c r="AR1549" t="s">
        <v>61</v>
      </c>
      <c r="AS1549" t="s">
        <v>61</v>
      </c>
      <c r="AT1549" t="s">
        <v>61</v>
      </c>
      <c r="AU1549" t="s">
        <v>61</v>
      </c>
      <c r="AV1549" t="s">
        <v>61</v>
      </c>
      <c r="AW1549" t="s">
        <v>61</v>
      </c>
      <c r="AX1549" t="s">
        <v>61</v>
      </c>
      <c r="AY1549" t="s">
        <v>61</v>
      </c>
      <c r="AZ1549" t="s">
        <v>61</v>
      </c>
      <c r="BA1549" t="s">
        <v>61</v>
      </c>
      <c r="BB1549" t="s">
        <v>61</v>
      </c>
      <c r="BC1549" t="s">
        <v>61</v>
      </c>
      <c r="BD1549" t="s">
        <v>61</v>
      </c>
      <c r="BE1549" t="s">
        <v>61</v>
      </c>
      <c r="BF1549" t="s">
        <v>61</v>
      </c>
    </row>
    <row r="1550" spans="1:58">
      <c r="A1550" t="s">
        <v>58</v>
      </c>
      <c r="B1550" t="s">
        <v>12678</v>
      </c>
      <c r="C1550" t="s">
        <v>12679</v>
      </c>
      <c r="D1550" t="s">
        <v>12680</v>
      </c>
      <c r="E1550" t="s">
        <v>61</v>
      </c>
      <c r="F1550">
        <v>2004</v>
      </c>
      <c r="G1550" t="s">
        <v>429</v>
      </c>
      <c r="H1550">
        <v>11</v>
      </c>
      <c r="I1550">
        <v>4</v>
      </c>
      <c r="J1550">
        <v>241</v>
      </c>
      <c r="K1550">
        <v>251</v>
      </c>
      <c r="L1550" t="s">
        <v>12681</v>
      </c>
      <c r="M1550" t="s">
        <v>12682</v>
      </c>
      <c r="N1550" t="s">
        <v>12683</v>
      </c>
      <c r="O1550" t="s">
        <v>61</v>
      </c>
      <c r="Q1550" t="s">
        <v>61</v>
      </c>
      <c r="R1550" t="s">
        <v>61</v>
      </c>
      <c r="S1550" t="s">
        <v>61</v>
      </c>
      <c r="T1550" t="s">
        <v>61</v>
      </c>
      <c r="X1550" t="s">
        <v>61</v>
      </c>
      <c r="Y1550" t="s">
        <v>12684</v>
      </c>
      <c r="Z1550" t="s">
        <v>61</v>
      </c>
      <c r="AA1550" t="s">
        <v>61</v>
      </c>
      <c r="AB1550">
        <v>2004245224</v>
      </c>
      <c r="AC1550" t="s">
        <v>67</v>
      </c>
      <c r="AD1550" t="s">
        <v>61</v>
      </c>
      <c r="AE1550" t="s">
        <v>61</v>
      </c>
      <c r="AF1550" t="s">
        <v>61</v>
      </c>
      <c r="AG1550" t="s">
        <v>61</v>
      </c>
      <c r="AH1550" t="s">
        <v>61</v>
      </c>
      <c r="AI1550" t="s">
        <v>61</v>
      </c>
      <c r="AJ1550" t="s">
        <v>61</v>
      </c>
      <c r="AK1550" t="s">
        <v>61</v>
      </c>
      <c r="AL1550" t="s">
        <v>61</v>
      </c>
      <c r="AM1550" t="s">
        <v>12679</v>
      </c>
      <c r="AN1550" t="s">
        <v>61</v>
      </c>
      <c r="AO1550" t="s">
        <v>61</v>
      </c>
      <c r="AP1550" t="s">
        <v>61</v>
      </c>
      <c r="AQ1550" t="s">
        <v>61</v>
      </c>
      <c r="AR1550" t="s">
        <v>61</v>
      </c>
      <c r="AS1550" t="s">
        <v>61</v>
      </c>
      <c r="AT1550" t="s">
        <v>61</v>
      </c>
      <c r="AU1550" t="s">
        <v>61</v>
      </c>
      <c r="AV1550" t="s">
        <v>61</v>
      </c>
      <c r="AW1550" t="s">
        <v>61</v>
      </c>
      <c r="AX1550" t="s">
        <v>61</v>
      </c>
      <c r="AY1550" t="s">
        <v>61</v>
      </c>
      <c r="AZ1550" t="s">
        <v>61</v>
      </c>
      <c r="BA1550" t="s">
        <v>61</v>
      </c>
      <c r="BB1550" t="s">
        <v>61</v>
      </c>
      <c r="BC1550" t="s">
        <v>61</v>
      </c>
      <c r="BD1550" t="s">
        <v>61</v>
      </c>
      <c r="BE1550" t="s">
        <v>61</v>
      </c>
      <c r="BF1550" t="s">
        <v>61</v>
      </c>
    </row>
    <row r="1551" spans="1:58">
      <c r="A1551" t="s">
        <v>58</v>
      </c>
      <c r="B1551" t="s">
        <v>12685</v>
      </c>
      <c r="C1551" t="s">
        <v>12686</v>
      </c>
      <c r="D1551" t="s">
        <v>12687</v>
      </c>
      <c r="E1551" t="s">
        <v>61</v>
      </c>
      <c r="F1551">
        <v>2014</v>
      </c>
      <c r="G1551" t="s">
        <v>61</v>
      </c>
      <c r="H1551">
        <v>7</v>
      </c>
      <c r="I1551" t="s">
        <v>61</v>
      </c>
      <c r="J1551">
        <v>223</v>
      </c>
      <c r="K1551">
        <v>249</v>
      </c>
      <c r="L1551" t="s">
        <v>61</v>
      </c>
      <c r="M1551" t="s">
        <v>12688</v>
      </c>
      <c r="N1551" t="s">
        <v>12689</v>
      </c>
      <c r="O1551" t="s">
        <v>61</v>
      </c>
      <c r="Q1551" t="s">
        <v>61</v>
      </c>
      <c r="R1551" t="s">
        <v>61</v>
      </c>
      <c r="S1551" t="s">
        <v>61</v>
      </c>
      <c r="T1551" t="s">
        <v>61</v>
      </c>
      <c r="X1551" t="s">
        <v>61</v>
      </c>
      <c r="Y1551" t="s">
        <v>12690</v>
      </c>
      <c r="Z1551" t="s">
        <v>61</v>
      </c>
      <c r="AA1551" t="s">
        <v>12691</v>
      </c>
      <c r="AB1551">
        <v>25228824</v>
      </c>
      <c r="AC1551" t="s">
        <v>67</v>
      </c>
      <c r="AD1551" t="s">
        <v>61</v>
      </c>
      <c r="AE1551" t="s">
        <v>61</v>
      </c>
      <c r="AF1551" t="s">
        <v>61</v>
      </c>
      <c r="AG1551" t="s">
        <v>12692</v>
      </c>
      <c r="AH1551" t="s">
        <v>61</v>
      </c>
      <c r="AI1551" t="s">
        <v>12693</v>
      </c>
      <c r="AJ1551" t="s">
        <v>61</v>
      </c>
      <c r="AK1551" t="s">
        <v>61</v>
      </c>
      <c r="AL1551" t="s">
        <v>61</v>
      </c>
      <c r="AM1551" t="s">
        <v>12694</v>
      </c>
      <c r="AN1551" t="s">
        <v>61</v>
      </c>
      <c r="AO1551" t="s">
        <v>61</v>
      </c>
      <c r="AP1551" t="s">
        <v>61</v>
      </c>
      <c r="AQ1551" t="s">
        <v>61</v>
      </c>
      <c r="AR1551" t="s">
        <v>61</v>
      </c>
      <c r="AS1551" t="s">
        <v>61</v>
      </c>
      <c r="AT1551" t="s">
        <v>61</v>
      </c>
      <c r="AU1551" t="s">
        <v>61</v>
      </c>
      <c r="AV1551" t="s">
        <v>61</v>
      </c>
      <c r="AW1551" t="s">
        <v>61</v>
      </c>
      <c r="AX1551" t="s">
        <v>61</v>
      </c>
      <c r="AY1551" t="s">
        <v>61</v>
      </c>
      <c r="AZ1551" t="s">
        <v>61</v>
      </c>
      <c r="BA1551" t="s">
        <v>61</v>
      </c>
      <c r="BB1551" t="s">
        <v>61</v>
      </c>
      <c r="BC1551" t="s">
        <v>61</v>
      </c>
      <c r="BD1551" t="s">
        <v>61</v>
      </c>
      <c r="BE1551" t="s">
        <v>61</v>
      </c>
      <c r="BF1551" t="s">
        <v>61</v>
      </c>
    </row>
    <row r="1552" spans="1:58">
      <c r="A1552" t="s">
        <v>58</v>
      </c>
      <c r="B1552" t="s">
        <v>12695</v>
      </c>
      <c r="C1552" t="s">
        <v>12696</v>
      </c>
      <c r="D1552" t="s">
        <v>12697</v>
      </c>
      <c r="E1552" t="s">
        <v>61</v>
      </c>
      <c r="F1552">
        <v>2003</v>
      </c>
      <c r="G1552" t="s">
        <v>280</v>
      </c>
      <c r="H1552">
        <v>17</v>
      </c>
      <c r="I1552">
        <v>4</v>
      </c>
      <c r="J1552">
        <v>332</v>
      </c>
      <c r="K1552">
        <v>335</v>
      </c>
      <c r="L1552" t="s">
        <v>12698</v>
      </c>
      <c r="M1552" t="s">
        <v>12699</v>
      </c>
      <c r="N1552" t="s">
        <v>12700</v>
      </c>
      <c r="O1552" t="s">
        <v>61</v>
      </c>
      <c r="Q1552" t="s">
        <v>61</v>
      </c>
      <c r="R1552" t="s">
        <v>61</v>
      </c>
      <c r="S1552" t="s">
        <v>61</v>
      </c>
      <c r="T1552" t="s">
        <v>61</v>
      </c>
      <c r="X1552" t="s">
        <v>61</v>
      </c>
      <c r="Y1552" t="s">
        <v>12701</v>
      </c>
      <c r="Z1552" t="s">
        <v>61</v>
      </c>
      <c r="AA1552" t="s">
        <v>12702</v>
      </c>
      <c r="AB1552">
        <v>14640830</v>
      </c>
      <c r="AC1552" t="s">
        <v>67</v>
      </c>
      <c r="AD1552" t="s">
        <v>61</v>
      </c>
      <c r="AE1552" t="s">
        <v>61</v>
      </c>
      <c r="AF1552" t="s">
        <v>61</v>
      </c>
      <c r="AG1552" t="s">
        <v>12703</v>
      </c>
      <c r="AH1552" t="s">
        <v>61</v>
      </c>
      <c r="AI1552" t="s">
        <v>61</v>
      </c>
      <c r="AJ1552" t="s">
        <v>61</v>
      </c>
      <c r="AK1552" t="s">
        <v>61</v>
      </c>
      <c r="AL1552" t="s">
        <v>61</v>
      </c>
      <c r="AM1552" t="s">
        <v>12704</v>
      </c>
      <c r="AN1552" t="s">
        <v>61</v>
      </c>
      <c r="AO1552" t="s">
        <v>61</v>
      </c>
      <c r="AP1552" t="s">
        <v>61</v>
      </c>
      <c r="AQ1552" t="s">
        <v>61</v>
      </c>
      <c r="AR1552" t="s">
        <v>61</v>
      </c>
      <c r="AS1552" t="s">
        <v>61</v>
      </c>
      <c r="AT1552" t="s">
        <v>61</v>
      </c>
      <c r="AU1552" t="s">
        <v>61</v>
      </c>
      <c r="AV1552" t="s">
        <v>61</v>
      </c>
      <c r="AW1552" t="s">
        <v>61</v>
      </c>
      <c r="AX1552" t="s">
        <v>61</v>
      </c>
      <c r="AY1552" t="s">
        <v>61</v>
      </c>
      <c r="AZ1552" t="s">
        <v>61</v>
      </c>
      <c r="BA1552" t="s">
        <v>61</v>
      </c>
      <c r="BB1552" t="s">
        <v>61</v>
      </c>
      <c r="BC1552" t="s">
        <v>61</v>
      </c>
      <c r="BD1552" t="s">
        <v>61</v>
      </c>
      <c r="BE1552" t="s">
        <v>61</v>
      </c>
      <c r="BF1552" t="s">
        <v>61</v>
      </c>
    </row>
    <row r="1553" spans="1:58">
      <c r="A1553" t="s">
        <v>58</v>
      </c>
      <c r="B1553" t="s">
        <v>12705</v>
      </c>
      <c r="C1553" t="s">
        <v>12706</v>
      </c>
      <c r="D1553" t="s">
        <v>627</v>
      </c>
      <c r="E1553" t="s">
        <v>61</v>
      </c>
      <c r="F1553">
        <v>2011</v>
      </c>
      <c r="G1553" t="s">
        <v>628</v>
      </c>
      <c r="H1553">
        <v>51</v>
      </c>
      <c r="I1553">
        <v>2</v>
      </c>
      <c r="J1553">
        <v>263</v>
      </c>
      <c r="K1553" t="s">
        <v>61</v>
      </c>
      <c r="L1553" t="s">
        <v>12707</v>
      </c>
      <c r="M1553" t="s">
        <v>12708</v>
      </c>
      <c r="N1553" t="s">
        <v>12709</v>
      </c>
      <c r="O1553" t="s">
        <v>61</v>
      </c>
      <c r="Q1553" t="s">
        <v>61</v>
      </c>
      <c r="R1553" t="s">
        <v>61</v>
      </c>
      <c r="S1553" t="s">
        <v>61</v>
      </c>
      <c r="T1553" t="s">
        <v>61</v>
      </c>
      <c r="X1553" t="s">
        <v>61</v>
      </c>
      <c r="Y1553" t="s">
        <v>632</v>
      </c>
      <c r="Z1553" t="s">
        <v>61</v>
      </c>
      <c r="AA1553" t="s">
        <v>61</v>
      </c>
      <c r="AB1553" t="s">
        <v>61</v>
      </c>
      <c r="AC1553" t="s">
        <v>67</v>
      </c>
      <c r="AD1553" t="s">
        <v>61</v>
      </c>
      <c r="AE1553" t="s">
        <v>61</v>
      </c>
      <c r="AF1553" t="s">
        <v>61</v>
      </c>
      <c r="AG1553" t="s">
        <v>61</v>
      </c>
      <c r="AH1553" t="s">
        <v>61</v>
      </c>
      <c r="AI1553" t="s">
        <v>61</v>
      </c>
      <c r="AJ1553" t="s">
        <v>61</v>
      </c>
      <c r="AK1553" t="s">
        <v>61</v>
      </c>
      <c r="AL1553" t="s">
        <v>61</v>
      </c>
      <c r="AM1553" t="s">
        <v>12706</v>
      </c>
      <c r="AN1553" t="s">
        <v>61</v>
      </c>
      <c r="AO1553" t="s">
        <v>61</v>
      </c>
      <c r="AP1553" t="s">
        <v>61</v>
      </c>
      <c r="AQ1553" t="s">
        <v>61</v>
      </c>
      <c r="AR1553" t="s">
        <v>61</v>
      </c>
      <c r="AS1553" t="s">
        <v>61</v>
      </c>
      <c r="AT1553" t="s">
        <v>61</v>
      </c>
      <c r="AU1553" t="s">
        <v>61</v>
      </c>
      <c r="AV1553" t="s">
        <v>61</v>
      </c>
      <c r="AW1553" t="s">
        <v>61</v>
      </c>
      <c r="AX1553" t="s">
        <v>61</v>
      </c>
      <c r="AY1553" t="s">
        <v>61</v>
      </c>
      <c r="AZ1553" t="s">
        <v>61</v>
      </c>
      <c r="BA1553" t="s">
        <v>61</v>
      </c>
      <c r="BB1553" t="s">
        <v>61</v>
      </c>
      <c r="BC1553" t="s">
        <v>61</v>
      </c>
      <c r="BD1553" t="s">
        <v>61</v>
      </c>
      <c r="BE1553" t="s">
        <v>61</v>
      </c>
      <c r="BF1553" t="s">
        <v>61</v>
      </c>
    </row>
    <row r="1554" spans="1:58">
      <c r="A1554" t="s">
        <v>58</v>
      </c>
      <c r="B1554" t="s">
        <v>12710</v>
      </c>
      <c r="C1554" t="s">
        <v>12711</v>
      </c>
      <c r="D1554" t="s">
        <v>235</v>
      </c>
      <c r="E1554" t="s">
        <v>236</v>
      </c>
      <c r="F1554">
        <v>1985</v>
      </c>
      <c r="G1554" t="s">
        <v>119</v>
      </c>
      <c r="H1554" t="s">
        <v>8960</v>
      </c>
      <c r="I1554">
        <v>6</v>
      </c>
      <c r="J1554">
        <v>57</v>
      </c>
      <c r="K1554">
        <v>59</v>
      </c>
      <c r="L1554" t="s">
        <v>12712</v>
      </c>
      <c r="M1554" t="s">
        <v>61</v>
      </c>
      <c r="N1554" t="s">
        <v>12713</v>
      </c>
      <c r="O1554" t="s">
        <v>61</v>
      </c>
      <c r="Q1554" t="s">
        <v>61</v>
      </c>
      <c r="R1554" t="s">
        <v>61</v>
      </c>
      <c r="S1554" t="s">
        <v>61</v>
      </c>
      <c r="T1554" t="s">
        <v>61</v>
      </c>
      <c r="X1554" t="s">
        <v>61</v>
      </c>
      <c r="Y1554" t="s">
        <v>241</v>
      </c>
      <c r="Z1554" t="s">
        <v>61</v>
      </c>
      <c r="AA1554" t="s">
        <v>61</v>
      </c>
      <c r="AB1554">
        <v>4025141</v>
      </c>
      <c r="AC1554" t="s">
        <v>67</v>
      </c>
      <c r="AD1554" t="s">
        <v>61</v>
      </c>
      <c r="AE1554" t="s">
        <v>61</v>
      </c>
      <c r="AF1554" t="s">
        <v>61</v>
      </c>
      <c r="AG1554" t="s">
        <v>12714</v>
      </c>
      <c r="AH1554" t="s">
        <v>61</v>
      </c>
      <c r="AI1554" t="s">
        <v>61</v>
      </c>
      <c r="AJ1554" t="s">
        <v>61</v>
      </c>
      <c r="AK1554" t="s">
        <v>61</v>
      </c>
      <c r="AL1554" t="s">
        <v>61</v>
      </c>
      <c r="AM1554" t="s">
        <v>12715</v>
      </c>
      <c r="AN1554" t="s">
        <v>61</v>
      </c>
      <c r="AO1554" t="s">
        <v>61</v>
      </c>
      <c r="AP1554" t="s">
        <v>61</v>
      </c>
      <c r="AQ1554" t="s">
        <v>61</v>
      </c>
      <c r="AR1554" t="s">
        <v>61</v>
      </c>
      <c r="AS1554" t="s">
        <v>61</v>
      </c>
      <c r="AT1554" t="s">
        <v>61</v>
      </c>
      <c r="AU1554" t="s">
        <v>61</v>
      </c>
      <c r="AV1554" t="s">
        <v>61</v>
      </c>
      <c r="AW1554" t="s">
        <v>61</v>
      </c>
      <c r="AX1554" t="s">
        <v>61</v>
      </c>
      <c r="AY1554" t="s">
        <v>61</v>
      </c>
      <c r="AZ1554" t="s">
        <v>61</v>
      </c>
      <c r="BA1554" t="s">
        <v>61</v>
      </c>
      <c r="BB1554" t="s">
        <v>61</v>
      </c>
      <c r="BC1554" t="s">
        <v>61</v>
      </c>
      <c r="BD1554" t="s">
        <v>61</v>
      </c>
      <c r="BE1554" t="s">
        <v>61</v>
      </c>
      <c r="BF1554" t="s">
        <v>61</v>
      </c>
    </row>
    <row r="1555" spans="1:58">
      <c r="A1555" t="s">
        <v>58</v>
      </c>
      <c r="B1555" t="s">
        <v>12716</v>
      </c>
      <c r="C1555" t="s">
        <v>12717</v>
      </c>
      <c r="D1555" t="s">
        <v>627</v>
      </c>
      <c r="E1555" t="s">
        <v>61</v>
      </c>
      <c r="F1555">
        <v>2011</v>
      </c>
      <c r="G1555" t="s">
        <v>8384</v>
      </c>
      <c r="H1555">
        <v>51</v>
      </c>
      <c r="I1555">
        <v>5</v>
      </c>
      <c r="J1555">
        <v>658</v>
      </c>
      <c r="K1555">
        <v>659</v>
      </c>
      <c r="L1555" t="s">
        <v>12718</v>
      </c>
      <c r="M1555" t="s">
        <v>12719</v>
      </c>
      <c r="N1555" t="s">
        <v>12720</v>
      </c>
      <c r="O1555" t="s">
        <v>61</v>
      </c>
      <c r="Q1555" t="s">
        <v>61</v>
      </c>
      <c r="R1555" t="s">
        <v>61</v>
      </c>
      <c r="S1555" t="s">
        <v>61</v>
      </c>
      <c r="T1555" t="s">
        <v>61</v>
      </c>
      <c r="X1555" t="s">
        <v>61</v>
      </c>
      <c r="Y1555" t="s">
        <v>632</v>
      </c>
      <c r="Z1555" t="s">
        <v>61</v>
      </c>
      <c r="AA1555" t="s">
        <v>61</v>
      </c>
      <c r="AB1555" t="s">
        <v>61</v>
      </c>
      <c r="AC1555" t="s">
        <v>67</v>
      </c>
      <c r="AD1555" t="s">
        <v>61</v>
      </c>
      <c r="AE1555" t="s">
        <v>61</v>
      </c>
      <c r="AF1555" t="s">
        <v>61</v>
      </c>
      <c r="AG1555" t="s">
        <v>61</v>
      </c>
      <c r="AH1555" t="s">
        <v>61</v>
      </c>
      <c r="AI1555" t="s">
        <v>61</v>
      </c>
      <c r="AJ1555" t="s">
        <v>61</v>
      </c>
      <c r="AK1555" t="s">
        <v>61</v>
      </c>
      <c r="AL1555" t="s">
        <v>61</v>
      </c>
      <c r="AM1555" t="s">
        <v>12717</v>
      </c>
      <c r="AN1555" t="s">
        <v>61</v>
      </c>
      <c r="AO1555" t="s">
        <v>61</v>
      </c>
      <c r="AP1555" t="s">
        <v>61</v>
      </c>
      <c r="AQ1555" t="s">
        <v>61</v>
      </c>
      <c r="AR1555" t="s">
        <v>61</v>
      </c>
      <c r="AS1555" t="s">
        <v>61</v>
      </c>
      <c r="AT1555" t="s">
        <v>61</v>
      </c>
      <c r="AU1555" t="s">
        <v>61</v>
      </c>
      <c r="AV1555" t="s">
        <v>61</v>
      </c>
      <c r="AW1555" t="s">
        <v>61</v>
      </c>
      <c r="AX1555" t="s">
        <v>61</v>
      </c>
      <c r="AY1555" t="s">
        <v>61</v>
      </c>
      <c r="AZ1555" t="s">
        <v>61</v>
      </c>
      <c r="BA1555" t="s">
        <v>61</v>
      </c>
      <c r="BB1555" t="s">
        <v>61</v>
      </c>
      <c r="BC1555" t="s">
        <v>61</v>
      </c>
      <c r="BD1555" t="s">
        <v>61</v>
      </c>
      <c r="BE1555" t="s">
        <v>61</v>
      </c>
      <c r="BF1555" t="s">
        <v>61</v>
      </c>
    </row>
    <row r="1556" spans="1:58">
      <c r="A1556" t="s">
        <v>58</v>
      </c>
      <c r="B1556" t="s">
        <v>12721</v>
      </c>
      <c r="C1556" t="s">
        <v>5569</v>
      </c>
      <c r="D1556" t="s">
        <v>1957</v>
      </c>
      <c r="E1556" t="s">
        <v>61</v>
      </c>
      <c r="F1556">
        <v>2010</v>
      </c>
      <c r="G1556" t="s">
        <v>559</v>
      </c>
      <c r="H1556">
        <v>77</v>
      </c>
      <c r="I1556">
        <v>4</v>
      </c>
      <c r="J1556">
        <v>34</v>
      </c>
      <c r="K1556" t="s">
        <v>12722</v>
      </c>
      <c r="L1556" t="s">
        <v>12723</v>
      </c>
      <c r="M1556" t="s">
        <v>12724</v>
      </c>
      <c r="N1556" t="s">
        <v>12725</v>
      </c>
      <c r="O1556" t="s">
        <v>61</v>
      </c>
      <c r="Q1556" t="s">
        <v>61</v>
      </c>
      <c r="R1556" t="s">
        <v>61</v>
      </c>
      <c r="S1556" t="s">
        <v>61</v>
      </c>
      <c r="T1556" t="s">
        <v>61</v>
      </c>
      <c r="X1556" t="s">
        <v>61</v>
      </c>
      <c r="Y1556" t="s">
        <v>1960</v>
      </c>
      <c r="Z1556" t="s">
        <v>61</v>
      </c>
      <c r="AA1556" t="s">
        <v>61</v>
      </c>
      <c r="AB1556">
        <v>2010297560</v>
      </c>
      <c r="AC1556" t="s">
        <v>67</v>
      </c>
      <c r="AD1556" t="s">
        <v>61</v>
      </c>
      <c r="AE1556" t="s">
        <v>61</v>
      </c>
      <c r="AF1556" t="s">
        <v>61</v>
      </c>
      <c r="AG1556" t="s">
        <v>61</v>
      </c>
      <c r="AH1556" t="s">
        <v>61</v>
      </c>
      <c r="AI1556" t="s">
        <v>61</v>
      </c>
      <c r="AJ1556" t="s">
        <v>61</v>
      </c>
      <c r="AK1556" t="s">
        <v>61</v>
      </c>
      <c r="AL1556" t="s">
        <v>61</v>
      </c>
      <c r="AM1556" t="s">
        <v>5569</v>
      </c>
      <c r="AN1556" t="s">
        <v>61</v>
      </c>
      <c r="AO1556" t="s">
        <v>61</v>
      </c>
      <c r="AP1556" t="s">
        <v>61</v>
      </c>
      <c r="AQ1556" t="s">
        <v>61</v>
      </c>
      <c r="AR1556" t="s">
        <v>61</v>
      </c>
      <c r="AS1556" t="s">
        <v>61</v>
      </c>
      <c r="AT1556" t="s">
        <v>61</v>
      </c>
      <c r="AU1556" t="s">
        <v>61</v>
      </c>
      <c r="AV1556" t="s">
        <v>61</v>
      </c>
      <c r="AW1556" t="s">
        <v>61</v>
      </c>
      <c r="AX1556" t="s">
        <v>61</v>
      </c>
      <c r="AY1556" t="s">
        <v>61</v>
      </c>
      <c r="AZ1556" t="s">
        <v>61</v>
      </c>
      <c r="BA1556" t="s">
        <v>61</v>
      </c>
      <c r="BB1556" t="s">
        <v>61</v>
      </c>
      <c r="BC1556" t="s">
        <v>61</v>
      </c>
      <c r="BD1556" t="s">
        <v>61</v>
      </c>
      <c r="BE1556" t="s">
        <v>61</v>
      </c>
      <c r="BF1556" t="s">
        <v>61</v>
      </c>
    </row>
    <row r="1557" spans="1:58">
      <c r="A1557" t="s">
        <v>58</v>
      </c>
      <c r="B1557" t="s">
        <v>12726</v>
      </c>
      <c r="C1557" t="s">
        <v>12727</v>
      </c>
      <c r="D1557" t="s">
        <v>428</v>
      </c>
      <c r="E1557" t="s">
        <v>61</v>
      </c>
      <c r="F1557">
        <v>2011</v>
      </c>
      <c r="G1557" t="s">
        <v>429</v>
      </c>
      <c r="H1557">
        <v>24</v>
      </c>
      <c r="I1557">
        <v>2</v>
      </c>
      <c r="J1557">
        <v>265</v>
      </c>
      <c r="K1557" t="s">
        <v>61</v>
      </c>
      <c r="L1557" t="s">
        <v>12728</v>
      </c>
      <c r="M1557" t="s">
        <v>12729</v>
      </c>
      <c r="N1557" t="s">
        <v>12730</v>
      </c>
      <c r="O1557" t="s">
        <v>61</v>
      </c>
      <c r="Q1557" t="s">
        <v>61</v>
      </c>
      <c r="R1557" t="s">
        <v>61</v>
      </c>
      <c r="S1557" t="s">
        <v>61</v>
      </c>
      <c r="T1557" t="s">
        <v>61</v>
      </c>
      <c r="X1557" t="s">
        <v>61</v>
      </c>
      <c r="Y1557" t="s">
        <v>433</v>
      </c>
      <c r="Z1557" t="s">
        <v>61</v>
      </c>
      <c r="AA1557" t="s">
        <v>61</v>
      </c>
      <c r="AB1557" t="s">
        <v>61</v>
      </c>
      <c r="AC1557" t="s">
        <v>67</v>
      </c>
      <c r="AD1557" t="s">
        <v>61</v>
      </c>
      <c r="AE1557" t="s">
        <v>61</v>
      </c>
      <c r="AF1557" t="s">
        <v>61</v>
      </c>
      <c r="AG1557" t="s">
        <v>61</v>
      </c>
      <c r="AH1557" t="s">
        <v>61</v>
      </c>
      <c r="AI1557" t="s">
        <v>61</v>
      </c>
      <c r="AJ1557" t="s">
        <v>61</v>
      </c>
      <c r="AK1557" t="s">
        <v>61</v>
      </c>
      <c r="AL1557" t="s">
        <v>61</v>
      </c>
      <c r="AM1557" t="s">
        <v>12727</v>
      </c>
      <c r="AN1557" t="s">
        <v>61</v>
      </c>
      <c r="AO1557" t="s">
        <v>61</v>
      </c>
      <c r="AP1557" t="s">
        <v>61</v>
      </c>
      <c r="AQ1557" t="s">
        <v>61</v>
      </c>
      <c r="AR1557" t="s">
        <v>61</v>
      </c>
      <c r="AS1557" t="s">
        <v>61</v>
      </c>
      <c r="AT1557" t="s">
        <v>61</v>
      </c>
      <c r="AU1557" t="s">
        <v>61</v>
      </c>
      <c r="AV1557" t="s">
        <v>61</v>
      </c>
      <c r="AW1557" t="s">
        <v>61</v>
      </c>
      <c r="AX1557" t="s">
        <v>61</v>
      </c>
      <c r="AY1557" t="s">
        <v>61</v>
      </c>
      <c r="AZ1557" t="s">
        <v>61</v>
      </c>
      <c r="BA1557" t="s">
        <v>61</v>
      </c>
      <c r="BB1557" t="s">
        <v>61</v>
      </c>
      <c r="BC1557" t="s">
        <v>61</v>
      </c>
      <c r="BD1557" t="s">
        <v>61</v>
      </c>
      <c r="BE1557" t="s">
        <v>61</v>
      </c>
      <c r="BF1557" t="s">
        <v>61</v>
      </c>
    </row>
    <row r="1558" spans="1:58">
      <c r="A1558" t="s">
        <v>58</v>
      </c>
      <c r="B1558" t="s">
        <v>12731</v>
      </c>
      <c r="C1558" t="s">
        <v>12732</v>
      </c>
      <c r="D1558" t="s">
        <v>84</v>
      </c>
      <c r="E1558" t="s">
        <v>61</v>
      </c>
      <c r="F1558">
        <v>2011</v>
      </c>
      <c r="G1558" t="s">
        <v>61</v>
      </c>
      <c r="H1558">
        <v>19</v>
      </c>
      <c r="I1558">
        <v>3</v>
      </c>
      <c r="J1558">
        <v>179</v>
      </c>
      <c r="K1558" t="s">
        <v>7466</v>
      </c>
      <c r="L1558" t="s">
        <v>12733</v>
      </c>
      <c r="M1558" t="s">
        <v>61</v>
      </c>
      <c r="N1558" t="s">
        <v>12734</v>
      </c>
      <c r="O1558" t="s">
        <v>61</v>
      </c>
      <c r="Q1558" t="s">
        <v>61</v>
      </c>
      <c r="R1558" t="s">
        <v>61</v>
      </c>
      <c r="S1558" t="s">
        <v>61</v>
      </c>
      <c r="T1558" t="s">
        <v>61</v>
      </c>
      <c r="X1558" t="s">
        <v>61</v>
      </c>
      <c r="Y1558" t="s">
        <v>303</v>
      </c>
      <c r="Z1558" t="s">
        <v>61</v>
      </c>
      <c r="AA1558" t="s">
        <v>12735</v>
      </c>
      <c r="AB1558">
        <v>104702876</v>
      </c>
      <c r="AC1558" t="s">
        <v>67</v>
      </c>
      <c r="AD1558" t="s">
        <v>61</v>
      </c>
      <c r="AE1558" t="s">
        <v>61</v>
      </c>
      <c r="AF1558" t="s">
        <v>61</v>
      </c>
      <c r="AG1558" t="s">
        <v>12736</v>
      </c>
      <c r="AH1558" t="s">
        <v>61</v>
      </c>
      <c r="AI1558" t="s">
        <v>12737</v>
      </c>
      <c r="AJ1558" t="s">
        <v>61</v>
      </c>
      <c r="AK1558" t="s">
        <v>61</v>
      </c>
      <c r="AL1558" t="s">
        <v>61</v>
      </c>
      <c r="AM1558" t="s">
        <v>12738</v>
      </c>
      <c r="AN1558" t="s">
        <v>61</v>
      </c>
      <c r="AO1558" t="s">
        <v>61</v>
      </c>
      <c r="AP1558" t="s">
        <v>61</v>
      </c>
      <c r="AQ1558" t="s">
        <v>61</v>
      </c>
      <c r="AR1558" t="s">
        <v>61</v>
      </c>
      <c r="AS1558" t="s">
        <v>61</v>
      </c>
      <c r="AT1558" t="s">
        <v>61</v>
      </c>
      <c r="AU1558" t="s">
        <v>61</v>
      </c>
      <c r="AV1558" t="s">
        <v>61</v>
      </c>
      <c r="AW1558" t="s">
        <v>61</v>
      </c>
      <c r="AX1558" t="s">
        <v>61</v>
      </c>
      <c r="AY1558" t="s">
        <v>61</v>
      </c>
      <c r="AZ1558" t="s">
        <v>61</v>
      </c>
      <c r="BA1558" t="s">
        <v>61</v>
      </c>
      <c r="BB1558" t="s">
        <v>61</v>
      </c>
      <c r="BC1558" t="s">
        <v>61</v>
      </c>
      <c r="BD1558" t="s">
        <v>61</v>
      </c>
      <c r="BE1558" t="s">
        <v>61</v>
      </c>
      <c r="BF1558" t="s">
        <v>61</v>
      </c>
    </row>
    <row r="1559" spans="1:58">
      <c r="A1559" t="s">
        <v>58</v>
      </c>
      <c r="B1559" t="s">
        <v>12739</v>
      </c>
      <c r="C1559" t="s">
        <v>12740</v>
      </c>
      <c r="D1559" t="s">
        <v>1610</v>
      </c>
      <c r="E1559" t="s">
        <v>61</v>
      </c>
      <c r="F1559">
        <v>2004</v>
      </c>
      <c r="G1559" t="s">
        <v>1775</v>
      </c>
      <c r="H1559">
        <v>11</v>
      </c>
      <c r="I1559">
        <v>7</v>
      </c>
      <c r="J1559">
        <v>63</v>
      </c>
      <c r="K1559">
        <v>70</v>
      </c>
      <c r="L1559" t="s">
        <v>12741</v>
      </c>
      <c r="M1559" t="s">
        <v>12742</v>
      </c>
      <c r="N1559" t="s">
        <v>12743</v>
      </c>
      <c r="O1559" t="s">
        <v>61</v>
      </c>
      <c r="Q1559" t="s">
        <v>61</v>
      </c>
      <c r="R1559" t="s">
        <v>61</v>
      </c>
      <c r="S1559" t="s">
        <v>61</v>
      </c>
      <c r="T1559" t="s">
        <v>61</v>
      </c>
      <c r="X1559" t="s">
        <v>61</v>
      </c>
      <c r="Y1559" t="s">
        <v>1615</v>
      </c>
      <c r="Z1559" t="s">
        <v>61</v>
      </c>
      <c r="AA1559" t="s">
        <v>61</v>
      </c>
      <c r="AB1559">
        <v>2004330553</v>
      </c>
      <c r="AC1559" t="s">
        <v>67</v>
      </c>
      <c r="AD1559" t="s">
        <v>61</v>
      </c>
      <c r="AE1559" t="s">
        <v>61</v>
      </c>
      <c r="AF1559" t="s">
        <v>61</v>
      </c>
      <c r="AG1559" t="s">
        <v>61</v>
      </c>
      <c r="AH1559" t="s">
        <v>61</v>
      </c>
      <c r="AI1559" t="s">
        <v>61</v>
      </c>
      <c r="AJ1559" t="s">
        <v>61</v>
      </c>
      <c r="AK1559" t="s">
        <v>61</v>
      </c>
      <c r="AL1559" t="s">
        <v>61</v>
      </c>
      <c r="AM1559" t="s">
        <v>12740</v>
      </c>
      <c r="AN1559" t="s">
        <v>61</v>
      </c>
      <c r="AO1559" t="s">
        <v>61</v>
      </c>
      <c r="AP1559" t="s">
        <v>61</v>
      </c>
      <c r="AQ1559" t="s">
        <v>61</v>
      </c>
      <c r="AR1559" t="s">
        <v>61</v>
      </c>
      <c r="AS1559" t="s">
        <v>61</v>
      </c>
      <c r="AT1559" t="s">
        <v>61</v>
      </c>
      <c r="AU1559" t="s">
        <v>61</v>
      </c>
      <c r="AV1559" t="s">
        <v>61</v>
      </c>
      <c r="AW1559" t="s">
        <v>61</v>
      </c>
      <c r="AX1559" t="s">
        <v>61</v>
      </c>
      <c r="AY1559" t="s">
        <v>61</v>
      </c>
      <c r="AZ1559" t="s">
        <v>61</v>
      </c>
      <c r="BA1559" t="s">
        <v>61</v>
      </c>
      <c r="BB1559" t="s">
        <v>61</v>
      </c>
      <c r="BC1559" t="s">
        <v>61</v>
      </c>
      <c r="BD1559" t="s">
        <v>61</v>
      </c>
      <c r="BE1559" t="s">
        <v>61</v>
      </c>
      <c r="BF1559" t="s">
        <v>61</v>
      </c>
    </row>
    <row r="1560" spans="1:58">
      <c r="A1560" t="s">
        <v>58</v>
      </c>
      <c r="B1560" t="s">
        <v>12744</v>
      </c>
      <c r="C1560" t="s">
        <v>12745</v>
      </c>
      <c r="D1560" t="s">
        <v>12746</v>
      </c>
      <c r="E1560" t="s">
        <v>61</v>
      </c>
      <c r="F1560">
        <v>1990</v>
      </c>
      <c r="G1560" t="s">
        <v>1152</v>
      </c>
      <c r="H1560">
        <v>8</v>
      </c>
      <c r="I1560">
        <v>5</v>
      </c>
      <c r="J1560" t="s">
        <v>12747</v>
      </c>
      <c r="K1560">
        <v>8</v>
      </c>
      <c r="L1560" t="s">
        <v>12748</v>
      </c>
      <c r="M1560" t="s">
        <v>12749</v>
      </c>
      <c r="N1560" t="s">
        <v>12750</v>
      </c>
      <c r="O1560" t="s">
        <v>61</v>
      </c>
      <c r="Q1560" t="s">
        <v>61</v>
      </c>
      <c r="R1560" t="s">
        <v>61</v>
      </c>
      <c r="S1560" t="s">
        <v>61</v>
      </c>
      <c r="T1560" t="s">
        <v>61</v>
      </c>
      <c r="X1560" t="s">
        <v>61</v>
      </c>
      <c r="Y1560" t="s">
        <v>12751</v>
      </c>
      <c r="Z1560" t="s">
        <v>61</v>
      </c>
      <c r="AA1560" t="s">
        <v>12752</v>
      </c>
      <c r="AB1560">
        <v>2286854</v>
      </c>
      <c r="AC1560" t="s">
        <v>67</v>
      </c>
      <c r="AD1560" t="s">
        <v>61</v>
      </c>
      <c r="AE1560" t="s">
        <v>61</v>
      </c>
      <c r="AF1560" t="s">
        <v>61</v>
      </c>
      <c r="AG1560" t="s">
        <v>12753</v>
      </c>
      <c r="AH1560" t="s">
        <v>61</v>
      </c>
      <c r="AI1560" t="s">
        <v>61</v>
      </c>
      <c r="AJ1560" t="s">
        <v>61</v>
      </c>
      <c r="AK1560" t="s">
        <v>61</v>
      </c>
      <c r="AL1560" t="s">
        <v>61</v>
      </c>
      <c r="AM1560" t="s">
        <v>12754</v>
      </c>
      <c r="AN1560" t="s">
        <v>61</v>
      </c>
      <c r="AO1560" t="s">
        <v>61</v>
      </c>
      <c r="AP1560" t="s">
        <v>61</v>
      </c>
      <c r="AQ1560" t="s">
        <v>61</v>
      </c>
      <c r="AR1560" t="s">
        <v>61</v>
      </c>
      <c r="AS1560" t="s">
        <v>61</v>
      </c>
      <c r="AT1560" t="s">
        <v>61</v>
      </c>
      <c r="AU1560" t="s">
        <v>61</v>
      </c>
      <c r="AV1560" t="s">
        <v>61</v>
      </c>
      <c r="AW1560" t="s">
        <v>61</v>
      </c>
      <c r="AX1560" t="s">
        <v>61</v>
      </c>
      <c r="AY1560" t="s">
        <v>61</v>
      </c>
      <c r="AZ1560" t="s">
        <v>61</v>
      </c>
      <c r="BA1560" t="s">
        <v>61</v>
      </c>
      <c r="BB1560" t="s">
        <v>61</v>
      </c>
      <c r="BC1560" t="s">
        <v>61</v>
      </c>
      <c r="BD1560" t="s">
        <v>61</v>
      </c>
      <c r="BE1560" t="s">
        <v>61</v>
      </c>
      <c r="BF1560" t="s">
        <v>61</v>
      </c>
    </row>
    <row r="1561" spans="1:58">
      <c r="A1561" t="s">
        <v>58</v>
      </c>
      <c r="B1561" t="s">
        <v>12755</v>
      </c>
      <c r="C1561" t="s">
        <v>12756</v>
      </c>
      <c r="D1561" t="s">
        <v>482</v>
      </c>
      <c r="E1561" t="s">
        <v>61</v>
      </c>
      <c r="F1561">
        <v>2016</v>
      </c>
      <c r="G1561" s="1">
        <v>42461</v>
      </c>
      <c r="H1561">
        <v>161</v>
      </c>
      <c r="I1561" t="s">
        <v>61</v>
      </c>
      <c r="J1561">
        <v>67</v>
      </c>
      <c r="K1561">
        <v>76</v>
      </c>
      <c r="L1561" t="s">
        <v>61</v>
      </c>
      <c r="M1561" t="s">
        <v>12757</v>
      </c>
      <c r="N1561" t="s">
        <v>12758</v>
      </c>
      <c r="O1561" t="s">
        <v>61</v>
      </c>
      <c r="Q1561" t="s">
        <v>61</v>
      </c>
      <c r="R1561" t="s">
        <v>61</v>
      </c>
      <c r="S1561" t="s">
        <v>61</v>
      </c>
      <c r="T1561" t="s">
        <v>61</v>
      </c>
      <c r="X1561" t="s">
        <v>61</v>
      </c>
      <c r="Y1561" t="s">
        <v>2327</v>
      </c>
      <c r="Z1561" t="s">
        <v>61</v>
      </c>
      <c r="AA1561" t="s">
        <v>12759</v>
      </c>
      <c r="AB1561">
        <v>26861884</v>
      </c>
      <c r="AC1561" t="s">
        <v>67</v>
      </c>
      <c r="AD1561" t="s">
        <v>61</v>
      </c>
      <c r="AE1561" t="s">
        <v>61</v>
      </c>
      <c r="AF1561" t="s">
        <v>61</v>
      </c>
      <c r="AG1561" t="s">
        <v>12760</v>
      </c>
      <c r="AH1561" t="s">
        <v>61</v>
      </c>
      <c r="AI1561" t="s">
        <v>12761</v>
      </c>
      <c r="AJ1561" t="s">
        <v>61</v>
      </c>
      <c r="AK1561" t="s">
        <v>61</v>
      </c>
      <c r="AL1561" t="s">
        <v>61</v>
      </c>
      <c r="AM1561" t="s">
        <v>12762</v>
      </c>
      <c r="AN1561" t="s">
        <v>61</v>
      </c>
      <c r="AO1561" t="s">
        <v>61</v>
      </c>
      <c r="AP1561" t="s">
        <v>61</v>
      </c>
      <c r="AQ1561" t="s">
        <v>61</v>
      </c>
      <c r="AR1561" t="s">
        <v>61</v>
      </c>
      <c r="AS1561" t="s">
        <v>61</v>
      </c>
      <c r="AT1561" t="s">
        <v>61</v>
      </c>
      <c r="AU1561" t="s">
        <v>61</v>
      </c>
      <c r="AV1561" t="s">
        <v>61</v>
      </c>
      <c r="AW1561" t="s">
        <v>61</v>
      </c>
      <c r="AX1561" t="s">
        <v>61</v>
      </c>
      <c r="AY1561" t="s">
        <v>61</v>
      </c>
      <c r="AZ1561" t="s">
        <v>61</v>
      </c>
      <c r="BA1561" t="s">
        <v>61</v>
      </c>
      <c r="BB1561" t="s">
        <v>61</v>
      </c>
      <c r="BC1561" t="s">
        <v>61</v>
      </c>
      <c r="BD1561" t="s">
        <v>61</v>
      </c>
      <c r="BE1561" t="s">
        <v>61</v>
      </c>
      <c r="BF1561" t="s">
        <v>61</v>
      </c>
    </row>
    <row r="1562" spans="1:58">
      <c r="A1562" t="s">
        <v>58</v>
      </c>
      <c r="B1562" t="s">
        <v>12763</v>
      </c>
      <c r="C1562" t="s">
        <v>12764</v>
      </c>
      <c r="D1562" t="s">
        <v>12765</v>
      </c>
      <c r="E1562" t="s">
        <v>61</v>
      </c>
      <c r="F1562">
        <v>1997</v>
      </c>
      <c r="G1562" t="s">
        <v>61</v>
      </c>
      <c r="H1562">
        <v>25</v>
      </c>
      <c r="I1562">
        <v>10</v>
      </c>
      <c r="J1562">
        <v>103</v>
      </c>
      <c r="K1562" t="s">
        <v>12766</v>
      </c>
      <c r="L1562" t="s">
        <v>12767</v>
      </c>
      <c r="M1562" t="s">
        <v>12768</v>
      </c>
      <c r="N1562" t="s">
        <v>12769</v>
      </c>
      <c r="O1562" t="s">
        <v>61</v>
      </c>
      <c r="Q1562" t="s">
        <v>61</v>
      </c>
      <c r="R1562" t="s">
        <v>61</v>
      </c>
      <c r="S1562" t="s">
        <v>61</v>
      </c>
      <c r="T1562" t="s">
        <v>61</v>
      </c>
      <c r="X1562" t="s">
        <v>61</v>
      </c>
      <c r="Y1562" t="s">
        <v>12770</v>
      </c>
      <c r="Z1562" t="s">
        <v>61</v>
      </c>
      <c r="AA1562" t="s">
        <v>12771</v>
      </c>
      <c r="AB1562">
        <v>107296347</v>
      </c>
      <c r="AC1562" t="s">
        <v>67</v>
      </c>
      <c r="AD1562" t="s">
        <v>61</v>
      </c>
      <c r="AE1562" t="s">
        <v>61</v>
      </c>
      <c r="AF1562" t="s">
        <v>61</v>
      </c>
      <c r="AG1562" t="s">
        <v>12772</v>
      </c>
      <c r="AH1562" t="s">
        <v>61</v>
      </c>
      <c r="AI1562" t="s">
        <v>61</v>
      </c>
      <c r="AJ1562" t="s">
        <v>61</v>
      </c>
      <c r="AK1562" t="s">
        <v>61</v>
      </c>
      <c r="AL1562" t="s">
        <v>61</v>
      </c>
      <c r="AM1562" t="s">
        <v>12773</v>
      </c>
      <c r="AN1562" t="s">
        <v>61</v>
      </c>
      <c r="AO1562" t="s">
        <v>61</v>
      </c>
      <c r="AP1562" t="s">
        <v>61</v>
      </c>
      <c r="AQ1562" t="s">
        <v>61</v>
      </c>
      <c r="AR1562" t="s">
        <v>61</v>
      </c>
      <c r="AS1562" t="s">
        <v>61</v>
      </c>
      <c r="AT1562" t="s">
        <v>61</v>
      </c>
      <c r="AU1562" t="s">
        <v>61</v>
      </c>
      <c r="AV1562" t="s">
        <v>61</v>
      </c>
      <c r="AW1562" t="s">
        <v>61</v>
      </c>
      <c r="AX1562" t="s">
        <v>61</v>
      </c>
      <c r="AY1562" t="s">
        <v>61</v>
      </c>
      <c r="AZ1562" t="s">
        <v>61</v>
      </c>
      <c r="BA1562" t="s">
        <v>61</v>
      </c>
      <c r="BB1562" t="s">
        <v>61</v>
      </c>
      <c r="BC1562" t="s">
        <v>61</v>
      </c>
      <c r="BD1562" t="s">
        <v>61</v>
      </c>
      <c r="BE1562" t="s">
        <v>61</v>
      </c>
      <c r="BF1562" t="s">
        <v>61</v>
      </c>
    </row>
    <row r="1563" spans="1:58">
      <c r="A1563" t="s">
        <v>58</v>
      </c>
      <c r="B1563" t="s">
        <v>12774</v>
      </c>
      <c r="C1563" t="s">
        <v>12775</v>
      </c>
      <c r="D1563" t="s">
        <v>12776</v>
      </c>
      <c r="E1563" t="s">
        <v>61</v>
      </c>
      <c r="F1563">
        <v>2014</v>
      </c>
      <c r="G1563" t="s">
        <v>61</v>
      </c>
      <c r="H1563">
        <v>16</v>
      </c>
      <c r="I1563">
        <v>6</v>
      </c>
      <c r="J1563" t="s">
        <v>61</v>
      </c>
      <c r="K1563" t="s">
        <v>61</v>
      </c>
      <c r="L1563" t="s">
        <v>61</v>
      </c>
      <c r="M1563" t="s">
        <v>12777</v>
      </c>
      <c r="N1563" t="s">
        <v>12778</v>
      </c>
      <c r="O1563" t="s">
        <v>61</v>
      </c>
      <c r="Q1563" t="s">
        <v>61</v>
      </c>
      <c r="R1563" t="s">
        <v>61</v>
      </c>
      <c r="S1563" t="s">
        <v>61</v>
      </c>
      <c r="T1563" t="s">
        <v>61</v>
      </c>
      <c r="X1563" t="s">
        <v>61</v>
      </c>
      <c r="Y1563" t="s">
        <v>12779</v>
      </c>
      <c r="Z1563" t="s">
        <v>61</v>
      </c>
      <c r="AA1563" t="s">
        <v>12780</v>
      </c>
      <c r="AB1563">
        <v>25834765</v>
      </c>
      <c r="AC1563" t="s">
        <v>67</v>
      </c>
      <c r="AD1563" t="s">
        <v>61</v>
      </c>
      <c r="AE1563" t="s">
        <v>61</v>
      </c>
      <c r="AF1563" t="s">
        <v>61</v>
      </c>
      <c r="AG1563" t="s">
        <v>12781</v>
      </c>
      <c r="AH1563" t="s">
        <v>61</v>
      </c>
      <c r="AI1563" t="s">
        <v>12782</v>
      </c>
      <c r="AJ1563" t="s">
        <v>61</v>
      </c>
      <c r="AK1563" t="s">
        <v>61</v>
      </c>
      <c r="AL1563" t="s">
        <v>61</v>
      </c>
      <c r="AM1563" t="s">
        <v>12783</v>
      </c>
      <c r="AN1563" t="s">
        <v>61</v>
      </c>
      <c r="AO1563" t="s">
        <v>61</v>
      </c>
      <c r="AP1563" t="s">
        <v>61</v>
      </c>
      <c r="AQ1563" t="s">
        <v>61</v>
      </c>
      <c r="AR1563" t="s">
        <v>61</v>
      </c>
      <c r="AS1563" t="s">
        <v>61</v>
      </c>
      <c r="AT1563" t="s">
        <v>61</v>
      </c>
      <c r="AU1563" t="s">
        <v>61</v>
      </c>
      <c r="AV1563" t="s">
        <v>61</v>
      </c>
      <c r="AW1563" t="s">
        <v>61</v>
      </c>
      <c r="AX1563" t="s">
        <v>61</v>
      </c>
      <c r="AY1563" t="s">
        <v>61</v>
      </c>
      <c r="AZ1563" t="s">
        <v>61</v>
      </c>
      <c r="BA1563" t="s">
        <v>61</v>
      </c>
      <c r="BB1563" t="s">
        <v>61</v>
      </c>
      <c r="BC1563" t="s">
        <v>61</v>
      </c>
      <c r="BD1563" t="s">
        <v>61</v>
      </c>
      <c r="BE1563" t="s">
        <v>61</v>
      </c>
      <c r="BF1563" t="s">
        <v>61</v>
      </c>
    </row>
    <row r="1564" spans="1:58">
      <c r="A1564" t="s">
        <v>58</v>
      </c>
      <c r="B1564" t="s">
        <v>12784</v>
      </c>
      <c r="C1564" t="s">
        <v>12785</v>
      </c>
      <c r="D1564" t="s">
        <v>7403</v>
      </c>
      <c r="E1564" t="s">
        <v>7404</v>
      </c>
      <c r="F1564">
        <v>1995</v>
      </c>
      <c r="G1564" t="s">
        <v>61</v>
      </c>
      <c r="H1564">
        <v>43</v>
      </c>
      <c r="I1564">
        <v>5</v>
      </c>
      <c r="J1564">
        <v>513</v>
      </c>
      <c r="K1564">
        <v>519</v>
      </c>
      <c r="L1564" t="s">
        <v>12786</v>
      </c>
      <c r="M1564" t="s">
        <v>12787</v>
      </c>
      <c r="N1564" t="s">
        <v>12788</v>
      </c>
      <c r="O1564" t="s">
        <v>61</v>
      </c>
      <c r="Q1564" t="s">
        <v>61</v>
      </c>
      <c r="R1564" t="s">
        <v>61</v>
      </c>
      <c r="S1564" t="s">
        <v>61</v>
      </c>
      <c r="T1564" t="s">
        <v>61</v>
      </c>
      <c r="X1564" t="s">
        <v>61</v>
      </c>
      <c r="Y1564" s="2">
        <v>2452271</v>
      </c>
      <c r="Z1564" t="s">
        <v>61</v>
      </c>
      <c r="AA1564" t="s">
        <v>61</v>
      </c>
      <c r="AB1564">
        <v>1995147294</v>
      </c>
      <c r="AC1564" t="s">
        <v>67</v>
      </c>
      <c r="AD1564" t="s">
        <v>61</v>
      </c>
      <c r="AE1564" t="s">
        <v>61</v>
      </c>
      <c r="AF1564" t="s">
        <v>61</v>
      </c>
      <c r="AG1564" t="s">
        <v>12789</v>
      </c>
      <c r="AH1564" t="s">
        <v>61</v>
      </c>
      <c r="AI1564" t="s">
        <v>61</v>
      </c>
      <c r="AJ1564" t="s">
        <v>61</v>
      </c>
      <c r="AK1564" t="s">
        <v>61</v>
      </c>
      <c r="AL1564" t="s">
        <v>61</v>
      </c>
      <c r="AM1564" t="s">
        <v>12790</v>
      </c>
      <c r="AN1564" t="s">
        <v>61</v>
      </c>
      <c r="AO1564" t="s">
        <v>61</v>
      </c>
      <c r="AP1564" t="s">
        <v>61</v>
      </c>
      <c r="AQ1564" t="s">
        <v>61</v>
      </c>
      <c r="AR1564" t="s">
        <v>61</v>
      </c>
      <c r="AS1564" t="s">
        <v>61</v>
      </c>
      <c r="AT1564" t="s">
        <v>61</v>
      </c>
      <c r="AU1564" t="s">
        <v>61</v>
      </c>
      <c r="AV1564" t="s">
        <v>61</v>
      </c>
      <c r="AW1564" t="s">
        <v>61</v>
      </c>
      <c r="AX1564" t="s">
        <v>61</v>
      </c>
      <c r="AY1564" t="s">
        <v>61</v>
      </c>
      <c r="AZ1564" t="s">
        <v>61</v>
      </c>
      <c r="BA1564" t="s">
        <v>61</v>
      </c>
      <c r="BB1564" t="s">
        <v>61</v>
      </c>
      <c r="BC1564" t="s">
        <v>61</v>
      </c>
      <c r="BD1564" t="s">
        <v>61</v>
      </c>
      <c r="BE1564" t="s">
        <v>61</v>
      </c>
      <c r="BF1564" t="s">
        <v>61</v>
      </c>
    </row>
    <row r="1565" spans="1:58">
      <c r="A1565" t="s">
        <v>58</v>
      </c>
      <c r="B1565" t="s">
        <v>12791</v>
      </c>
      <c r="C1565" t="s">
        <v>12792</v>
      </c>
      <c r="D1565" t="s">
        <v>2166</v>
      </c>
      <c r="E1565" t="s">
        <v>61</v>
      </c>
      <c r="F1565">
        <v>2009</v>
      </c>
      <c r="G1565" t="s">
        <v>1152</v>
      </c>
      <c r="H1565">
        <v>28</v>
      </c>
      <c r="I1565">
        <v>5</v>
      </c>
      <c r="J1565">
        <v>533</v>
      </c>
      <c r="K1565">
        <v>540</v>
      </c>
      <c r="L1565" t="s">
        <v>12793</v>
      </c>
      <c r="M1565" t="s">
        <v>12794</v>
      </c>
      <c r="N1565" t="s">
        <v>12795</v>
      </c>
      <c r="O1565" t="s">
        <v>61</v>
      </c>
      <c r="Q1565" t="s">
        <v>61</v>
      </c>
      <c r="R1565" t="s">
        <v>61</v>
      </c>
      <c r="S1565" t="s">
        <v>61</v>
      </c>
      <c r="T1565" t="s">
        <v>61</v>
      </c>
      <c r="X1565" t="s">
        <v>61</v>
      </c>
      <c r="Y1565" t="s">
        <v>2170</v>
      </c>
      <c r="Z1565" t="s">
        <v>61</v>
      </c>
      <c r="AA1565" t="s">
        <v>12796</v>
      </c>
      <c r="AB1565">
        <v>19737211</v>
      </c>
      <c r="AC1565" t="s">
        <v>67</v>
      </c>
      <c r="AD1565" t="s">
        <v>61</v>
      </c>
      <c r="AE1565" t="s">
        <v>61</v>
      </c>
      <c r="AF1565" t="s">
        <v>61</v>
      </c>
      <c r="AG1565" t="s">
        <v>12797</v>
      </c>
      <c r="AH1565" t="s">
        <v>61</v>
      </c>
      <c r="AI1565" t="s">
        <v>12798</v>
      </c>
      <c r="AJ1565" t="s">
        <v>61</v>
      </c>
      <c r="AK1565" t="s">
        <v>61</v>
      </c>
      <c r="AL1565" t="s">
        <v>61</v>
      </c>
      <c r="AM1565" t="s">
        <v>12799</v>
      </c>
      <c r="AN1565" t="s">
        <v>61</v>
      </c>
      <c r="AO1565" t="s">
        <v>61</v>
      </c>
      <c r="AP1565" t="s">
        <v>61</v>
      </c>
      <c r="AQ1565" t="s">
        <v>61</v>
      </c>
      <c r="AR1565" t="s">
        <v>61</v>
      </c>
      <c r="AS1565" t="s">
        <v>61</v>
      </c>
      <c r="AT1565" t="s">
        <v>61</v>
      </c>
      <c r="AU1565" t="s">
        <v>61</v>
      </c>
      <c r="AV1565" t="s">
        <v>61</v>
      </c>
      <c r="AW1565" t="s">
        <v>61</v>
      </c>
      <c r="AX1565" t="s">
        <v>61</v>
      </c>
      <c r="AY1565" t="s">
        <v>61</v>
      </c>
      <c r="AZ1565" t="s">
        <v>61</v>
      </c>
      <c r="BA1565" t="s">
        <v>61</v>
      </c>
      <c r="BB1565" t="s">
        <v>61</v>
      </c>
      <c r="BC1565" t="s">
        <v>61</v>
      </c>
      <c r="BD1565" t="s">
        <v>61</v>
      </c>
      <c r="BE1565" t="s">
        <v>61</v>
      </c>
      <c r="BF1565" t="s">
        <v>61</v>
      </c>
    </row>
    <row r="1566" spans="1:58">
      <c r="A1566" t="s">
        <v>58</v>
      </c>
      <c r="B1566" t="s">
        <v>12800</v>
      </c>
      <c r="C1566" t="s">
        <v>12801</v>
      </c>
      <c r="D1566" t="s">
        <v>84</v>
      </c>
      <c r="E1566" t="s">
        <v>61</v>
      </c>
      <c r="F1566">
        <v>2012</v>
      </c>
      <c r="G1566" t="s">
        <v>418</v>
      </c>
      <c r="H1566">
        <v>20</v>
      </c>
      <c r="I1566">
        <v>4</v>
      </c>
      <c r="J1566">
        <v>238</v>
      </c>
      <c r="K1566">
        <v>248</v>
      </c>
      <c r="L1566" t="s">
        <v>12802</v>
      </c>
      <c r="M1566" t="s">
        <v>12803</v>
      </c>
      <c r="N1566" t="s">
        <v>12804</v>
      </c>
      <c r="O1566" t="s">
        <v>61</v>
      </c>
      <c r="Q1566" t="s">
        <v>61</v>
      </c>
      <c r="R1566" t="s">
        <v>61</v>
      </c>
      <c r="S1566" t="s">
        <v>61</v>
      </c>
      <c r="T1566" t="s">
        <v>61</v>
      </c>
      <c r="X1566" t="s">
        <v>61</v>
      </c>
      <c r="Y1566" t="s">
        <v>89</v>
      </c>
      <c r="Z1566" t="s">
        <v>61</v>
      </c>
      <c r="AA1566" t="s">
        <v>12805</v>
      </c>
      <c r="AB1566">
        <v>22775520</v>
      </c>
      <c r="AC1566" t="s">
        <v>67</v>
      </c>
      <c r="AD1566" t="s">
        <v>61</v>
      </c>
      <c r="AE1566" t="s">
        <v>61</v>
      </c>
      <c r="AF1566" t="s">
        <v>61</v>
      </c>
      <c r="AG1566" t="s">
        <v>12806</v>
      </c>
      <c r="AH1566" t="s">
        <v>61</v>
      </c>
      <c r="AI1566" t="s">
        <v>12807</v>
      </c>
      <c r="AJ1566" t="s">
        <v>61</v>
      </c>
      <c r="AK1566" t="s">
        <v>61</v>
      </c>
      <c r="AL1566" t="s">
        <v>61</v>
      </c>
      <c r="AM1566" t="s">
        <v>12808</v>
      </c>
      <c r="AN1566" t="s">
        <v>61</v>
      </c>
      <c r="AO1566" t="s">
        <v>61</v>
      </c>
      <c r="AP1566" t="s">
        <v>61</v>
      </c>
      <c r="AQ1566" t="s">
        <v>61</v>
      </c>
      <c r="AR1566" t="s">
        <v>61</v>
      </c>
      <c r="AS1566" t="s">
        <v>61</v>
      </c>
      <c r="AT1566" t="s">
        <v>61</v>
      </c>
      <c r="AU1566" t="s">
        <v>61</v>
      </c>
      <c r="AV1566" t="s">
        <v>61</v>
      </c>
      <c r="AW1566" t="s">
        <v>61</v>
      </c>
      <c r="AX1566" t="s">
        <v>61</v>
      </c>
      <c r="AY1566" t="s">
        <v>61</v>
      </c>
      <c r="AZ1566" t="s">
        <v>61</v>
      </c>
      <c r="BA1566" t="s">
        <v>61</v>
      </c>
      <c r="BB1566" t="s">
        <v>61</v>
      </c>
      <c r="BC1566" t="s">
        <v>61</v>
      </c>
      <c r="BD1566" t="s">
        <v>61</v>
      </c>
      <c r="BE1566" t="s">
        <v>61</v>
      </c>
      <c r="BF1566" t="s">
        <v>61</v>
      </c>
    </row>
    <row r="1567" spans="1:58">
      <c r="A1567" t="s">
        <v>58</v>
      </c>
      <c r="B1567" t="s">
        <v>12809</v>
      </c>
      <c r="C1567" t="s">
        <v>12810</v>
      </c>
      <c r="D1567" t="s">
        <v>475</v>
      </c>
      <c r="E1567" t="s">
        <v>61</v>
      </c>
      <c r="F1567">
        <v>2012</v>
      </c>
      <c r="G1567" t="s">
        <v>273</v>
      </c>
      <c r="H1567">
        <v>34</v>
      </c>
      <c r="I1567">
        <v>1</v>
      </c>
      <c r="J1567">
        <v>43</v>
      </c>
      <c r="K1567">
        <v>52</v>
      </c>
      <c r="L1567" t="s">
        <v>12811</v>
      </c>
      <c r="M1567" t="s">
        <v>12812</v>
      </c>
      <c r="N1567" t="s">
        <v>12813</v>
      </c>
      <c r="O1567" t="s">
        <v>61</v>
      </c>
      <c r="Q1567" t="s">
        <v>61</v>
      </c>
      <c r="R1567" t="s">
        <v>61</v>
      </c>
      <c r="S1567" t="s">
        <v>61</v>
      </c>
      <c r="T1567" t="s">
        <v>61</v>
      </c>
      <c r="X1567" t="s">
        <v>61</v>
      </c>
      <c r="Y1567" t="s">
        <v>3663</v>
      </c>
      <c r="Z1567" t="s">
        <v>61</v>
      </c>
      <c r="AA1567" t="s">
        <v>12814</v>
      </c>
      <c r="AB1567">
        <v>22101425</v>
      </c>
      <c r="AC1567" t="s">
        <v>67</v>
      </c>
      <c r="AD1567" t="s">
        <v>61</v>
      </c>
      <c r="AE1567" t="s">
        <v>61</v>
      </c>
      <c r="AF1567" t="s">
        <v>61</v>
      </c>
      <c r="AG1567" t="s">
        <v>12815</v>
      </c>
      <c r="AH1567" t="s">
        <v>61</v>
      </c>
      <c r="AI1567" t="s">
        <v>12816</v>
      </c>
      <c r="AJ1567" t="s">
        <v>61</v>
      </c>
      <c r="AK1567" t="s">
        <v>61</v>
      </c>
      <c r="AL1567" t="s">
        <v>61</v>
      </c>
      <c r="AM1567" t="s">
        <v>12817</v>
      </c>
      <c r="AN1567" t="s">
        <v>61</v>
      </c>
      <c r="AO1567" t="s">
        <v>61</v>
      </c>
      <c r="AP1567" t="s">
        <v>61</v>
      </c>
      <c r="AQ1567" t="s">
        <v>61</v>
      </c>
      <c r="AR1567" t="s">
        <v>61</v>
      </c>
      <c r="AS1567" t="s">
        <v>61</v>
      </c>
      <c r="AT1567" t="s">
        <v>61</v>
      </c>
      <c r="AU1567" t="s">
        <v>61</v>
      </c>
      <c r="AV1567" t="s">
        <v>61</v>
      </c>
      <c r="AW1567" t="s">
        <v>61</v>
      </c>
      <c r="AX1567" t="s">
        <v>61</v>
      </c>
      <c r="AY1567" t="s">
        <v>61</v>
      </c>
      <c r="AZ1567" t="s">
        <v>61</v>
      </c>
      <c r="BA1567" t="s">
        <v>61</v>
      </c>
      <c r="BB1567" t="s">
        <v>61</v>
      </c>
      <c r="BC1567" t="s">
        <v>61</v>
      </c>
      <c r="BD1567" t="s">
        <v>61</v>
      </c>
      <c r="BE1567" t="s">
        <v>61</v>
      </c>
      <c r="BF1567" t="s">
        <v>61</v>
      </c>
    </row>
    <row r="1568" spans="1:58">
      <c r="A1568" t="s">
        <v>58</v>
      </c>
      <c r="B1568" t="s">
        <v>12818</v>
      </c>
      <c r="C1568" t="s">
        <v>12819</v>
      </c>
      <c r="D1568" t="s">
        <v>428</v>
      </c>
      <c r="E1568" t="s">
        <v>61</v>
      </c>
      <c r="F1568">
        <v>2013</v>
      </c>
      <c r="G1568" t="s">
        <v>457</v>
      </c>
      <c r="H1568">
        <v>26</v>
      </c>
      <c r="I1568">
        <v>3</v>
      </c>
      <c r="J1568">
        <v>301</v>
      </c>
      <c r="K1568" t="s">
        <v>61</v>
      </c>
      <c r="L1568" t="s">
        <v>12820</v>
      </c>
      <c r="M1568" t="s">
        <v>12821</v>
      </c>
      <c r="N1568" t="s">
        <v>12822</v>
      </c>
      <c r="O1568" t="s">
        <v>61</v>
      </c>
      <c r="Q1568" t="s">
        <v>61</v>
      </c>
      <c r="R1568" t="s">
        <v>61</v>
      </c>
      <c r="S1568" t="s">
        <v>61</v>
      </c>
      <c r="T1568" t="s">
        <v>61</v>
      </c>
      <c r="X1568" t="s">
        <v>61</v>
      </c>
      <c r="Y1568" t="s">
        <v>433</v>
      </c>
      <c r="Z1568" t="s">
        <v>61</v>
      </c>
      <c r="AA1568" t="s">
        <v>61</v>
      </c>
      <c r="AB1568" t="s">
        <v>61</v>
      </c>
      <c r="AC1568" t="s">
        <v>67</v>
      </c>
      <c r="AD1568" t="s">
        <v>61</v>
      </c>
      <c r="AE1568" t="s">
        <v>61</v>
      </c>
      <c r="AF1568" t="s">
        <v>61</v>
      </c>
      <c r="AG1568" t="s">
        <v>61</v>
      </c>
      <c r="AH1568" t="s">
        <v>61</v>
      </c>
      <c r="AI1568" t="s">
        <v>61</v>
      </c>
      <c r="AJ1568" t="s">
        <v>61</v>
      </c>
      <c r="AK1568" t="s">
        <v>61</v>
      </c>
      <c r="AL1568" t="s">
        <v>61</v>
      </c>
      <c r="AM1568" t="s">
        <v>12819</v>
      </c>
      <c r="AN1568" t="s">
        <v>61</v>
      </c>
      <c r="AO1568" t="s">
        <v>61</v>
      </c>
      <c r="AP1568" t="s">
        <v>61</v>
      </c>
      <c r="AQ1568" t="s">
        <v>61</v>
      </c>
      <c r="AR1568" t="s">
        <v>61</v>
      </c>
      <c r="AS1568" t="s">
        <v>61</v>
      </c>
      <c r="AT1568" t="s">
        <v>61</v>
      </c>
      <c r="AU1568" t="s">
        <v>61</v>
      </c>
      <c r="AV1568" t="s">
        <v>61</v>
      </c>
      <c r="AW1568" t="s">
        <v>61</v>
      </c>
      <c r="AX1568" t="s">
        <v>61</v>
      </c>
      <c r="AY1568" t="s">
        <v>61</v>
      </c>
      <c r="AZ1568" t="s">
        <v>61</v>
      </c>
      <c r="BA1568" t="s">
        <v>61</v>
      </c>
      <c r="BB1568" t="s">
        <v>61</v>
      </c>
      <c r="BC1568" t="s">
        <v>61</v>
      </c>
      <c r="BD1568" t="s">
        <v>61</v>
      </c>
      <c r="BE1568" t="s">
        <v>61</v>
      </c>
      <c r="BF1568" t="s">
        <v>61</v>
      </c>
    </row>
    <row r="1569" spans="1:58">
      <c r="A1569" t="s">
        <v>58</v>
      </c>
      <c r="B1569" t="s">
        <v>12823</v>
      </c>
      <c r="C1569" t="s">
        <v>12824</v>
      </c>
      <c r="D1569" t="s">
        <v>6673</v>
      </c>
      <c r="E1569" t="s">
        <v>61</v>
      </c>
      <c r="F1569">
        <v>2010</v>
      </c>
      <c r="G1569" t="s">
        <v>391</v>
      </c>
      <c r="H1569">
        <v>48</v>
      </c>
      <c r="I1569">
        <v>3</v>
      </c>
      <c r="J1569">
        <v>165</v>
      </c>
      <c r="K1569">
        <v>170</v>
      </c>
      <c r="L1569" t="s">
        <v>12825</v>
      </c>
      <c r="M1569" t="s">
        <v>12826</v>
      </c>
      <c r="N1569" t="s">
        <v>12827</v>
      </c>
      <c r="O1569" t="s">
        <v>61</v>
      </c>
      <c r="Q1569" t="s">
        <v>61</v>
      </c>
      <c r="R1569" t="s">
        <v>61</v>
      </c>
      <c r="S1569" t="s">
        <v>61</v>
      </c>
      <c r="T1569" t="s">
        <v>61</v>
      </c>
      <c r="X1569" t="s">
        <v>61</v>
      </c>
      <c r="Y1569" t="s">
        <v>6677</v>
      </c>
      <c r="Z1569" t="s">
        <v>61</v>
      </c>
      <c r="AA1569" t="s">
        <v>12828</v>
      </c>
      <c r="AB1569">
        <v>20397799</v>
      </c>
      <c r="AC1569" t="s">
        <v>67</v>
      </c>
      <c r="AD1569" t="s">
        <v>61</v>
      </c>
      <c r="AE1569" t="s">
        <v>61</v>
      </c>
      <c r="AF1569" t="s">
        <v>61</v>
      </c>
      <c r="AG1569" t="s">
        <v>12829</v>
      </c>
      <c r="AH1569" t="s">
        <v>61</v>
      </c>
      <c r="AI1569" t="s">
        <v>12830</v>
      </c>
      <c r="AJ1569" t="s">
        <v>61</v>
      </c>
      <c r="AK1569" t="s">
        <v>61</v>
      </c>
      <c r="AL1569" t="s">
        <v>61</v>
      </c>
      <c r="AM1569" t="s">
        <v>12831</v>
      </c>
      <c r="AN1569" t="s">
        <v>61</v>
      </c>
      <c r="AO1569" t="s">
        <v>61</v>
      </c>
      <c r="AP1569" t="s">
        <v>61</v>
      </c>
      <c r="AQ1569" t="s">
        <v>61</v>
      </c>
      <c r="AR1569" t="s">
        <v>61</v>
      </c>
      <c r="AS1569" t="s">
        <v>61</v>
      </c>
      <c r="AT1569" t="s">
        <v>61</v>
      </c>
      <c r="AU1569" t="s">
        <v>61</v>
      </c>
      <c r="AV1569" t="s">
        <v>61</v>
      </c>
      <c r="AW1569" t="s">
        <v>61</v>
      </c>
      <c r="AX1569" t="s">
        <v>61</v>
      </c>
      <c r="AY1569" t="s">
        <v>61</v>
      </c>
      <c r="AZ1569" t="s">
        <v>61</v>
      </c>
      <c r="BA1569" t="s">
        <v>61</v>
      </c>
      <c r="BB1569" t="s">
        <v>61</v>
      </c>
      <c r="BC1569" t="s">
        <v>61</v>
      </c>
      <c r="BD1569" t="s">
        <v>61</v>
      </c>
      <c r="BE1569" t="s">
        <v>61</v>
      </c>
      <c r="BF1569" t="s">
        <v>61</v>
      </c>
    </row>
    <row r="1570" spans="1:58">
      <c r="A1570" t="s">
        <v>58</v>
      </c>
      <c r="B1570" t="s">
        <v>12832</v>
      </c>
      <c r="C1570" t="s">
        <v>12833</v>
      </c>
      <c r="D1570" t="s">
        <v>428</v>
      </c>
      <c r="E1570" t="s">
        <v>61</v>
      </c>
      <c r="F1570">
        <v>2012</v>
      </c>
      <c r="G1570" t="s">
        <v>429</v>
      </c>
      <c r="H1570">
        <v>25</v>
      </c>
      <c r="I1570">
        <v>2</v>
      </c>
      <c r="J1570">
        <v>296</v>
      </c>
      <c r="K1570" t="s">
        <v>61</v>
      </c>
      <c r="L1570" t="s">
        <v>12834</v>
      </c>
      <c r="M1570" t="s">
        <v>12835</v>
      </c>
      <c r="N1570" t="s">
        <v>12836</v>
      </c>
      <c r="O1570" t="s">
        <v>61</v>
      </c>
      <c r="Q1570" t="s">
        <v>61</v>
      </c>
      <c r="R1570" t="s">
        <v>61</v>
      </c>
      <c r="S1570" t="s">
        <v>61</v>
      </c>
      <c r="T1570" t="s">
        <v>61</v>
      </c>
      <c r="X1570" t="s">
        <v>61</v>
      </c>
      <c r="Y1570" t="s">
        <v>433</v>
      </c>
      <c r="Z1570" t="s">
        <v>61</v>
      </c>
      <c r="AA1570" t="s">
        <v>61</v>
      </c>
      <c r="AB1570" t="s">
        <v>61</v>
      </c>
      <c r="AC1570" t="s">
        <v>67</v>
      </c>
      <c r="AD1570" t="s">
        <v>61</v>
      </c>
      <c r="AE1570" t="s">
        <v>61</v>
      </c>
      <c r="AF1570" t="s">
        <v>61</v>
      </c>
      <c r="AG1570" t="s">
        <v>61</v>
      </c>
      <c r="AH1570" t="s">
        <v>61</v>
      </c>
      <c r="AI1570" t="s">
        <v>61</v>
      </c>
      <c r="AJ1570" t="s">
        <v>61</v>
      </c>
      <c r="AK1570" t="s">
        <v>61</v>
      </c>
      <c r="AL1570" t="s">
        <v>61</v>
      </c>
      <c r="AM1570" t="s">
        <v>12833</v>
      </c>
      <c r="AN1570" t="s">
        <v>61</v>
      </c>
      <c r="AO1570" t="s">
        <v>61</v>
      </c>
      <c r="AP1570" t="s">
        <v>61</v>
      </c>
      <c r="AQ1570" t="s">
        <v>61</v>
      </c>
      <c r="AR1570" t="s">
        <v>61</v>
      </c>
      <c r="AS1570" t="s">
        <v>61</v>
      </c>
      <c r="AT1570" t="s">
        <v>61</v>
      </c>
      <c r="AU1570" t="s">
        <v>61</v>
      </c>
      <c r="AV1570" t="s">
        <v>61</v>
      </c>
      <c r="AW1570" t="s">
        <v>61</v>
      </c>
      <c r="AX1570" t="s">
        <v>61</v>
      </c>
      <c r="AY1570" t="s">
        <v>61</v>
      </c>
      <c r="AZ1570" t="s">
        <v>61</v>
      </c>
      <c r="BA1570" t="s">
        <v>61</v>
      </c>
      <c r="BB1570" t="s">
        <v>61</v>
      </c>
      <c r="BC1570" t="s">
        <v>61</v>
      </c>
      <c r="BD1570" t="s">
        <v>61</v>
      </c>
      <c r="BE1570" t="s">
        <v>61</v>
      </c>
      <c r="BF1570" t="s">
        <v>61</v>
      </c>
    </row>
    <row r="1571" spans="1:58">
      <c r="A1571" t="s">
        <v>58</v>
      </c>
      <c r="B1571" t="s">
        <v>12837</v>
      </c>
      <c r="C1571" t="s">
        <v>12838</v>
      </c>
      <c r="D1571" t="s">
        <v>627</v>
      </c>
      <c r="E1571" t="s">
        <v>61</v>
      </c>
      <c r="F1571">
        <v>2015</v>
      </c>
      <c r="G1571" t="s">
        <v>628</v>
      </c>
      <c r="H1571">
        <v>55</v>
      </c>
      <c r="I1571">
        <v>2</v>
      </c>
      <c r="J1571" t="s">
        <v>2430</v>
      </c>
      <c r="K1571" t="s">
        <v>61</v>
      </c>
      <c r="L1571" t="s">
        <v>12839</v>
      </c>
      <c r="M1571" t="s">
        <v>12840</v>
      </c>
      <c r="N1571" t="s">
        <v>12841</v>
      </c>
      <c r="O1571" t="s">
        <v>61</v>
      </c>
      <c r="Q1571" t="s">
        <v>61</v>
      </c>
      <c r="R1571" t="s">
        <v>61</v>
      </c>
      <c r="S1571" t="s">
        <v>61</v>
      </c>
      <c r="T1571" t="s">
        <v>61</v>
      </c>
      <c r="X1571" t="s">
        <v>61</v>
      </c>
      <c r="Y1571" t="s">
        <v>632</v>
      </c>
      <c r="Z1571" t="s">
        <v>61</v>
      </c>
      <c r="AA1571" t="s">
        <v>61</v>
      </c>
      <c r="AB1571" t="s">
        <v>61</v>
      </c>
      <c r="AC1571" t="s">
        <v>67</v>
      </c>
      <c r="AD1571" t="s">
        <v>61</v>
      </c>
      <c r="AE1571" t="s">
        <v>61</v>
      </c>
      <c r="AF1571" t="s">
        <v>61</v>
      </c>
      <c r="AG1571" t="s">
        <v>61</v>
      </c>
      <c r="AH1571" t="s">
        <v>61</v>
      </c>
      <c r="AI1571" t="s">
        <v>61</v>
      </c>
      <c r="AJ1571" t="s">
        <v>61</v>
      </c>
      <c r="AK1571" t="s">
        <v>61</v>
      </c>
      <c r="AL1571" t="s">
        <v>61</v>
      </c>
      <c r="AM1571" t="s">
        <v>12838</v>
      </c>
      <c r="AN1571" t="s">
        <v>61</v>
      </c>
      <c r="AO1571" t="s">
        <v>61</v>
      </c>
      <c r="AP1571" t="s">
        <v>61</v>
      </c>
      <c r="AQ1571" t="s">
        <v>61</v>
      </c>
      <c r="AR1571" t="s">
        <v>61</v>
      </c>
      <c r="AS1571" t="s">
        <v>61</v>
      </c>
      <c r="AT1571" t="s">
        <v>61</v>
      </c>
      <c r="AU1571" t="s">
        <v>61</v>
      </c>
      <c r="AV1571" t="s">
        <v>61</v>
      </c>
      <c r="AW1571" t="s">
        <v>61</v>
      </c>
      <c r="AX1571" t="s">
        <v>61</v>
      </c>
      <c r="AY1571" t="s">
        <v>61</v>
      </c>
      <c r="AZ1571" t="s">
        <v>61</v>
      </c>
      <c r="BA1571" t="s">
        <v>61</v>
      </c>
      <c r="BB1571" t="s">
        <v>61</v>
      </c>
      <c r="BC1571" t="s">
        <v>61</v>
      </c>
      <c r="BD1571" t="s">
        <v>61</v>
      </c>
      <c r="BE1571" t="s">
        <v>61</v>
      </c>
      <c r="BF1571" t="s">
        <v>61</v>
      </c>
    </row>
    <row r="1572" spans="1:58">
      <c r="A1572" t="s">
        <v>58</v>
      </c>
      <c r="B1572" t="s">
        <v>12842</v>
      </c>
      <c r="C1572" t="s">
        <v>12843</v>
      </c>
      <c r="D1572" t="s">
        <v>428</v>
      </c>
      <c r="E1572" t="s">
        <v>61</v>
      </c>
      <c r="F1572">
        <v>2011</v>
      </c>
      <c r="G1572" t="s">
        <v>429</v>
      </c>
      <c r="H1572">
        <v>24</v>
      </c>
      <c r="I1572">
        <v>2</v>
      </c>
      <c r="J1572">
        <v>280</v>
      </c>
      <c r="K1572" t="s">
        <v>61</v>
      </c>
      <c r="L1572" t="s">
        <v>12844</v>
      </c>
      <c r="M1572" t="s">
        <v>12845</v>
      </c>
      <c r="N1572" t="s">
        <v>12846</v>
      </c>
      <c r="O1572" t="s">
        <v>61</v>
      </c>
      <c r="Q1572" t="s">
        <v>61</v>
      </c>
      <c r="R1572" t="s">
        <v>61</v>
      </c>
      <c r="S1572" t="s">
        <v>61</v>
      </c>
      <c r="T1572" t="s">
        <v>61</v>
      </c>
      <c r="X1572" t="s">
        <v>61</v>
      </c>
      <c r="Y1572" t="s">
        <v>433</v>
      </c>
      <c r="Z1572" t="s">
        <v>61</v>
      </c>
      <c r="AA1572" t="s">
        <v>61</v>
      </c>
      <c r="AB1572" t="s">
        <v>61</v>
      </c>
      <c r="AC1572" t="s">
        <v>67</v>
      </c>
      <c r="AD1572" t="s">
        <v>61</v>
      </c>
      <c r="AE1572" t="s">
        <v>61</v>
      </c>
      <c r="AF1572" t="s">
        <v>61</v>
      </c>
      <c r="AG1572" t="s">
        <v>61</v>
      </c>
      <c r="AH1572" t="s">
        <v>61</v>
      </c>
      <c r="AI1572" t="s">
        <v>61</v>
      </c>
      <c r="AJ1572" t="s">
        <v>61</v>
      </c>
      <c r="AK1572" t="s">
        <v>61</v>
      </c>
      <c r="AL1572" t="s">
        <v>61</v>
      </c>
      <c r="AM1572" t="s">
        <v>12843</v>
      </c>
      <c r="AN1572" t="s">
        <v>61</v>
      </c>
      <c r="AO1572" t="s">
        <v>61</v>
      </c>
      <c r="AP1572" t="s">
        <v>61</v>
      </c>
      <c r="AQ1572" t="s">
        <v>61</v>
      </c>
      <c r="AR1572" t="s">
        <v>61</v>
      </c>
      <c r="AS1572" t="s">
        <v>61</v>
      </c>
      <c r="AT1572" t="s">
        <v>61</v>
      </c>
      <c r="AU1572" t="s">
        <v>61</v>
      </c>
      <c r="AV1572" t="s">
        <v>61</v>
      </c>
      <c r="AW1572" t="s">
        <v>61</v>
      </c>
      <c r="AX1572" t="s">
        <v>61</v>
      </c>
      <c r="AY1572" t="s">
        <v>61</v>
      </c>
      <c r="AZ1572" t="s">
        <v>61</v>
      </c>
      <c r="BA1572" t="s">
        <v>61</v>
      </c>
      <c r="BB1572" t="s">
        <v>61</v>
      </c>
      <c r="BC1572" t="s">
        <v>61</v>
      </c>
      <c r="BD1572" t="s">
        <v>61</v>
      </c>
      <c r="BE1572" t="s">
        <v>61</v>
      </c>
      <c r="BF1572" t="s">
        <v>61</v>
      </c>
    </row>
    <row r="1573" spans="1:58">
      <c r="A1573" t="s">
        <v>58</v>
      </c>
      <c r="B1573" t="s">
        <v>12847</v>
      </c>
      <c r="C1573" t="s">
        <v>12848</v>
      </c>
      <c r="D1573" t="s">
        <v>84</v>
      </c>
      <c r="E1573" t="s">
        <v>61</v>
      </c>
      <c r="F1573">
        <v>1997</v>
      </c>
      <c r="G1573" t="s">
        <v>1152</v>
      </c>
      <c r="H1573">
        <v>5</v>
      </c>
      <c r="I1573">
        <v>3</v>
      </c>
      <c r="J1573">
        <v>133</v>
      </c>
      <c r="K1573">
        <v>140</v>
      </c>
      <c r="L1573" t="s">
        <v>12849</v>
      </c>
      <c r="M1573" t="s">
        <v>12850</v>
      </c>
      <c r="N1573" t="s">
        <v>12851</v>
      </c>
      <c r="O1573" t="s">
        <v>61</v>
      </c>
      <c r="Q1573" t="s">
        <v>61</v>
      </c>
      <c r="R1573" t="s">
        <v>61</v>
      </c>
      <c r="S1573" t="s">
        <v>61</v>
      </c>
      <c r="T1573" t="s">
        <v>61</v>
      </c>
      <c r="X1573" t="s">
        <v>61</v>
      </c>
      <c r="Y1573" t="s">
        <v>303</v>
      </c>
      <c r="Z1573" t="s">
        <v>61</v>
      </c>
      <c r="AA1573" t="s">
        <v>61</v>
      </c>
      <c r="AB1573">
        <v>1997362783</v>
      </c>
      <c r="AC1573" t="s">
        <v>67</v>
      </c>
      <c r="AD1573" t="s">
        <v>61</v>
      </c>
      <c r="AE1573" t="s">
        <v>61</v>
      </c>
      <c r="AF1573" t="s">
        <v>61</v>
      </c>
      <c r="AG1573" t="s">
        <v>61</v>
      </c>
      <c r="AH1573" t="s">
        <v>61</v>
      </c>
      <c r="AI1573" t="s">
        <v>61</v>
      </c>
      <c r="AJ1573" t="s">
        <v>61</v>
      </c>
      <c r="AK1573" t="s">
        <v>61</v>
      </c>
      <c r="AL1573" t="s">
        <v>61</v>
      </c>
      <c r="AM1573" t="s">
        <v>12848</v>
      </c>
      <c r="AN1573" t="s">
        <v>61</v>
      </c>
      <c r="AO1573" t="s">
        <v>61</v>
      </c>
      <c r="AP1573" t="s">
        <v>61</v>
      </c>
      <c r="AQ1573" t="s">
        <v>61</v>
      </c>
      <c r="AR1573" t="s">
        <v>61</v>
      </c>
      <c r="AS1573" t="s">
        <v>61</v>
      </c>
      <c r="AT1573" t="s">
        <v>61</v>
      </c>
      <c r="AU1573" t="s">
        <v>61</v>
      </c>
      <c r="AV1573" t="s">
        <v>61</v>
      </c>
      <c r="AW1573" t="s">
        <v>61</v>
      </c>
      <c r="AX1573" t="s">
        <v>61</v>
      </c>
      <c r="AY1573" t="s">
        <v>61</v>
      </c>
      <c r="AZ1573" t="s">
        <v>61</v>
      </c>
      <c r="BA1573" t="s">
        <v>61</v>
      </c>
      <c r="BB1573" t="s">
        <v>61</v>
      </c>
      <c r="BC1573" t="s">
        <v>61</v>
      </c>
      <c r="BD1573" t="s">
        <v>61</v>
      </c>
      <c r="BE1573" t="s">
        <v>61</v>
      </c>
      <c r="BF1573" t="s">
        <v>61</v>
      </c>
    </row>
    <row r="1574" spans="1:58">
      <c r="A1574" t="s">
        <v>58</v>
      </c>
      <c r="B1574" t="s">
        <v>12852</v>
      </c>
      <c r="C1574" t="s">
        <v>12853</v>
      </c>
      <c r="D1574" t="s">
        <v>937</v>
      </c>
      <c r="E1574" t="s">
        <v>61</v>
      </c>
      <c r="F1574">
        <v>2009</v>
      </c>
      <c r="G1574" t="s">
        <v>457</v>
      </c>
      <c r="H1574" t="s">
        <v>938</v>
      </c>
      <c r="I1574" t="s">
        <v>61</v>
      </c>
      <c r="J1574" t="s">
        <v>12854</v>
      </c>
      <c r="K1574" t="s">
        <v>61</v>
      </c>
      <c r="L1574" t="s">
        <v>12855</v>
      </c>
      <c r="M1574" t="s">
        <v>12856</v>
      </c>
      <c r="N1574" t="s">
        <v>12857</v>
      </c>
      <c r="O1574" t="s">
        <v>61</v>
      </c>
      <c r="Q1574" t="s">
        <v>61</v>
      </c>
      <c r="R1574" t="s">
        <v>61</v>
      </c>
      <c r="S1574" t="s">
        <v>61</v>
      </c>
      <c r="T1574" t="s">
        <v>61</v>
      </c>
      <c r="X1574" t="s">
        <v>61</v>
      </c>
      <c r="Y1574" t="s">
        <v>367</v>
      </c>
      <c r="Z1574" t="s">
        <v>61</v>
      </c>
      <c r="AA1574" t="s">
        <v>61</v>
      </c>
      <c r="AB1574" t="s">
        <v>61</v>
      </c>
      <c r="AC1574" t="s">
        <v>67</v>
      </c>
      <c r="AD1574" t="s">
        <v>61</v>
      </c>
      <c r="AE1574" t="s">
        <v>61</v>
      </c>
      <c r="AF1574" t="s">
        <v>61</v>
      </c>
      <c r="AG1574" t="s">
        <v>61</v>
      </c>
      <c r="AH1574" t="s">
        <v>61</v>
      </c>
      <c r="AI1574" t="s">
        <v>61</v>
      </c>
      <c r="AJ1574" t="s">
        <v>61</v>
      </c>
      <c r="AK1574" t="s">
        <v>61</v>
      </c>
      <c r="AL1574" t="s">
        <v>61</v>
      </c>
      <c r="AM1574" t="s">
        <v>12853</v>
      </c>
      <c r="AN1574" t="s">
        <v>61</v>
      </c>
      <c r="AO1574" t="s">
        <v>61</v>
      </c>
      <c r="AP1574" t="s">
        <v>61</v>
      </c>
      <c r="AQ1574" t="s">
        <v>61</v>
      </c>
      <c r="AR1574" t="s">
        <v>61</v>
      </c>
      <c r="AS1574" t="s">
        <v>61</v>
      </c>
      <c r="AT1574" t="s">
        <v>61</v>
      </c>
      <c r="AU1574" t="s">
        <v>61</v>
      </c>
      <c r="AV1574" t="s">
        <v>61</v>
      </c>
      <c r="AW1574" t="s">
        <v>61</v>
      </c>
      <c r="AX1574" t="s">
        <v>61</v>
      </c>
      <c r="AY1574" t="s">
        <v>61</v>
      </c>
      <c r="AZ1574" t="s">
        <v>61</v>
      </c>
      <c r="BA1574" t="s">
        <v>61</v>
      </c>
      <c r="BB1574" t="s">
        <v>61</v>
      </c>
      <c r="BC1574" t="s">
        <v>61</v>
      </c>
      <c r="BD1574" t="s">
        <v>61</v>
      </c>
      <c r="BE1574" t="s">
        <v>61</v>
      </c>
      <c r="BF1574" t="s">
        <v>61</v>
      </c>
    </row>
    <row r="1575" spans="1:58">
      <c r="A1575" t="s">
        <v>58</v>
      </c>
      <c r="B1575" t="s">
        <v>12858</v>
      </c>
      <c r="C1575" t="s">
        <v>12859</v>
      </c>
      <c r="D1575" t="s">
        <v>5278</v>
      </c>
      <c r="E1575" t="s">
        <v>61</v>
      </c>
      <c r="F1575">
        <v>1997</v>
      </c>
      <c r="G1575" t="s">
        <v>154</v>
      </c>
      <c r="H1575">
        <v>17</v>
      </c>
      <c r="I1575">
        <v>4</v>
      </c>
      <c r="J1575">
        <v>801</v>
      </c>
      <c r="K1575">
        <v>809</v>
      </c>
      <c r="L1575" t="s">
        <v>12860</v>
      </c>
      <c r="M1575" t="s">
        <v>12861</v>
      </c>
      <c r="N1575" t="s">
        <v>12862</v>
      </c>
      <c r="O1575" t="s">
        <v>61</v>
      </c>
      <c r="Q1575" t="s">
        <v>61</v>
      </c>
      <c r="R1575" t="s">
        <v>61</v>
      </c>
      <c r="S1575" t="s">
        <v>61</v>
      </c>
      <c r="T1575" t="s">
        <v>61</v>
      </c>
      <c r="X1575" t="s">
        <v>61</v>
      </c>
      <c r="Y1575" t="s">
        <v>414</v>
      </c>
      <c r="Z1575" t="s">
        <v>61</v>
      </c>
      <c r="AA1575" t="s">
        <v>12863</v>
      </c>
      <c r="AB1575">
        <v>9250561</v>
      </c>
      <c r="AC1575" t="s">
        <v>67</v>
      </c>
      <c r="AD1575" t="s">
        <v>61</v>
      </c>
      <c r="AE1575" t="s">
        <v>61</v>
      </c>
      <c r="AF1575" t="s">
        <v>61</v>
      </c>
      <c r="AG1575" t="s">
        <v>12864</v>
      </c>
      <c r="AH1575" t="s">
        <v>61</v>
      </c>
      <c r="AI1575" t="s">
        <v>61</v>
      </c>
      <c r="AJ1575" t="s">
        <v>61</v>
      </c>
      <c r="AK1575" t="s">
        <v>61</v>
      </c>
      <c r="AL1575" t="s">
        <v>61</v>
      </c>
      <c r="AM1575" t="s">
        <v>12865</v>
      </c>
      <c r="AN1575" t="s">
        <v>61</v>
      </c>
      <c r="AO1575" t="s">
        <v>61</v>
      </c>
      <c r="AP1575" t="s">
        <v>61</v>
      </c>
      <c r="AQ1575" t="s">
        <v>61</v>
      </c>
      <c r="AR1575" t="s">
        <v>61</v>
      </c>
      <c r="AS1575" t="s">
        <v>61</v>
      </c>
      <c r="AT1575" t="s">
        <v>61</v>
      </c>
      <c r="AU1575" t="s">
        <v>61</v>
      </c>
      <c r="AV1575" t="s">
        <v>61</v>
      </c>
      <c r="AW1575" t="s">
        <v>61</v>
      </c>
      <c r="AX1575" t="s">
        <v>61</v>
      </c>
      <c r="AY1575" t="s">
        <v>61</v>
      </c>
      <c r="AZ1575" t="s">
        <v>61</v>
      </c>
      <c r="BA1575" t="s">
        <v>61</v>
      </c>
      <c r="BB1575" t="s">
        <v>61</v>
      </c>
      <c r="BC1575" t="s">
        <v>61</v>
      </c>
      <c r="BD1575" t="s">
        <v>61</v>
      </c>
      <c r="BE1575" t="s">
        <v>61</v>
      </c>
      <c r="BF1575" t="s">
        <v>61</v>
      </c>
    </row>
    <row r="1576" spans="1:58">
      <c r="A1576" t="s">
        <v>58</v>
      </c>
      <c r="B1576" t="s">
        <v>12866</v>
      </c>
      <c r="C1576" t="s">
        <v>12867</v>
      </c>
      <c r="D1576" t="s">
        <v>12868</v>
      </c>
      <c r="E1576" t="s">
        <v>61</v>
      </c>
      <c r="F1576">
        <v>2007</v>
      </c>
      <c r="G1576" t="s">
        <v>129</v>
      </c>
      <c r="H1576">
        <v>105</v>
      </c>
      <c r="I1576">
        <v>4</v>
      </c>
      <c r="J1576">
        <v>1066</v>
      </c>
      <c r="K1576" t="s">
        <v>12869</v>
      </c>
      <c r="L1576" t="s">
        <v>12870</v>
      </c>
      <c r="M1576" t="s">
        <v>12871</v>
      </c>
      <c r="N1576" t="s">
        <v>12872</v>
      </c>
      <c r="O1576" t="s">
        <v>61</v>
      </c>
      <c r="Q1576" t="s">
        <v>61</v>
      </c>
      <c r="R1576" t="s">
        <v>61</v>
      </c>
      <c r="S1576" t="s">
        <v>61</v>
      </c>
      <c r="T1576" t="s">
        <v>61</v>
      </c>
      <c r="X1576" t="s">
        <v>61</v>
      </c>
      <c r="Y1576" t="s">
        <v>12873</v>
      </c>
      <c r="Z1576" t="s">
        <v>61</v>
      </c>
      <c r="AA1576" t="s">
        <v>12874</v>
      </c>
      <c r="AB1576">
        <v>17898389</v>
      </c>
      <c r="AC1576" t="s">
        <v>67</v>
      </c>
      <c r="AD1576" t="s">
        <v>61</v>
      </c>
      <c r="AE1576" t="s">
        <v>61</v>
      </c>
      <c r="AF1576" t="s">
        <v>61</v>
      </c>
      <c r="AG1576" t="s">
        <v>12875</v>
      </c>
      <c r="AH1576" t="s">
        <v>61</v>
      </c>
      <c r="AI1576" t="s">
        <v>61</v>
      </c>
      <c r="AJ1576" t="s">
        <v>61</v>
      </c>
      <c r="AK1576" t="s">
        <v>61</v>
      </c>
      <c r="AL1576" t="s">
        <v>61</v>
      </c>
      <c r="AM1576" t="s">
        <v>12876</v>
      </c>
      <c r="AN1576" t="s">
        <v>61</v>
      </c>
      <c r="AO1576" t="s">
        <v>61</v>
      </c>
      <c r="AP1576" t="s">
        <v>61</v>
      </c>
      <c r="AQ1576" t="s">
        <v>61</v>
      </c>
      <c r="AR1576" t="s">
        <v>61</v>
      </c>
      <c r="AS1576" t="s">
        <v>61</v>
      </c>
      <c r="AT1576" t="s">
        <v>61</v>
      </c>
      <c r="AU1576" t="s">
        <v>61</v>
      </c>
      <c r="AV1576" t="s">
        <v>61</v>
      </c>
      <c r="AW1576" t="s">
        <v>61</v>
      </c>
      <c r="AX1576" t="s">
        <v>61</v>
      </c>
      <c r="AY1576" t="s">
        <v>61</v>
      </c>
      <c r="AZ1576" t="s">
        <v>61</v>
      </c>
      <c r="BA1576" t="s">
        <v>61</v>
      </c>
      <c r="BB1576" t="s">
        <v>61</v>
      </c>
      <c r="BC1576" t="s">
        <v>61</v>
      </c>
      <c r="BD1576" t="s">
        <v>61</v>
      </c>
      <c r="BE1576" t="s">
        <v>61</v>
      </c>
      <c r="BF1576" t="s">
        <v>61</v>
      </c>
    </row>
    <row r="1577" spans="1:58">
      <c r="A1577" t="s">
        <v>58</v>
      </c>
      <c r="B1577" t="s">
        <v>12877</v>
      </c>
      <c r="C1577" t="s">
        <v>12878</v>
      </c>
      <c r="D1577" t="s">
        <v>12879</v>
      </c>
      <c r="E1577" t="s">
        <v>61</v>
      </c>
      <c r="F1577">
        <v>2004</v>
      </c>
      <c r="G1577" t="s">
        <v>559</v>
      </c>
      <c r="H1577">
        <v>16</v>
      </c>
      <c r="I1577" t="s">
        <v>61</v>
      </c>
      <c r="J1577">
        <v>20</v>
      </c>
      <c r="K1577">
        <v>26</v>
      </c>
      <c r="L1577" t="s">
        <v>12880</v>
      </c>
      <c r="M1577" t="s">
        <v>12881</v>
      </c>
      <c r="N1577" t="s">
        <v>12882</v>
      </c>
      <c r="O1577" t="s">
        <v>61</v>
      </c>
      <c r="Q1577" t="s">
        <v>61</v>
      </c>
      <c r="R1577" t="s">
        <v>61</v>
      </c>
      <c r="S1577" t="s">
        <v>61</v>
      </c>
      <c r="T1577" t="s">
        <v>61</v>
      </c>
      <c r="X1577" t="s">
        <v>61</v>
      </c>
      <c r="Y1577" t="s">
        <v>12883</v>
      </c>
      <c r="Z1577" t="s">
        <v>61</v>
      </c>
      <c r="AA1577" t="s">
        <v>61</v>
      </c>
      <c r="AB1577">
        <v>2004235289</v>
      </c>
      <c r="AC1577" t="s">
        <v>67</v>
      </c>
      <c r="AD1577" t="s">
        <v>61</v>
      </c>
      <c r="AE1577" t="s">
        <v>61</v>
      </c>
      <c r="AF1577" t="s">
        <v>61</v>
      </c>
      <c r="AG1577" t="s">
        <v>61</v>
      </c>
      <c r="AH1577" t="s">
        <v>61</v>
      </c>
      <c r="AI1577" t="s">
        <v>61</v>
      </c>
      <c r="AJ1577" t="s">
        <v>61</v>
      </c>
      <c r="AK1577" t="s">
        <v>61</v>
      </c>
      <c r="AL1577" t="s">
        <v>61</v>
      </c>
      <c r="AM1577" t="s">
        <v>12878</v>
      </c>
      <c r="AN1577" t="s">
        <v>61</v>
      </c>
      <c r="AO1577" t="s">
        <v>61</v>
      </c>
      <c r="AP1577" t="s">
        <v>61</v>
      </c>
      <c r="AQ1577" t="s">
        <v>61</v>
      </c>
      <c r="AR1577" t="s">
        <v>61</v>
      </c>
      <c r="AS1577" t="s">
        <v>61</v>
      </c>
      <c r="AT1577" t="s">
        <v>61</v>
      </c>
      <c r="AU1577" t="s">
        <v>61</v>
      </c>
      <c r="AV1577" t="s">
        <v>61</v>
      </c>
      <c r="AW1577" t="s">
        <v>61</v>
      </c>
      <c r="AX1577" t="s">
        <v>61</v>
      </c>
      <c r="AY1577" t="s">
        <v>61</v>
      </c>
      <c r="AZ1577" t="s">
        <v>61</v>
      </c>
      <c r="BA1577" t="s">
        <v>61</v>
      </c>
      <c r="BB1577" t="s">
        <v>61</v>
      </c>
      <c r="BC1577" t="s">
        <v>61</v>
      </c>
      <c r="BD1577" t="s">
        <v>61</v>
      </c>
      <c r="BE1577" t="s">
        <v>61</v>
      </c>
      <c r="BF1577" t="s">
        <v>61</v>
      </c>
    </row>
    <row r="1578" spans="1:58">
      <c r="A1578" t="s">
        <v>58</v>
      </c>
      <c r="B1578" t="s">
        <v>12884</v>
      </c>
      <c r="C1578" t="s">
        <v>12878</v>
      </c>
      <c r="D1578" t="s">
        <v>12885</v>
      </c>
      <c r="E1578" t="s">
        <v>12885</v>
      </c>
      <c r="F1578">
        <v>2004</v>
      </c>
      <c r="G1578" t="s">
        <v>391</v>
      </c>
      <c r="H1578">
        <v>44</v>
      </c>
      <c r="I1578">
        <v>3</v>
      </c>
      <c r="J1578">
        <v>409</v>
      </c>
      <c r="K1578">
        <v>414</v>
      </c>
      <c r="L1578" t="s">
        <v>12886</v>
      </c>
      <c r="M1578" t="s">
        <v>12887</v>
      </c>
      <c r="N1578" t="s">
        <v>12888</v>
      </c>
      <c r="O1578" t="s">
        <v>61</v>
      </c>
      <c r="Q1578" t="s">
        <v>61</v>
      </c>
      <c r="R1578" t="s">
        <v>61</v>
      </c>
      <c r="S1578" t="s">
        <v>61</v>
      </c>
      <c r="T1578" t="s">
        <v>61</v>
      </c>
      <c r="X1578" t="s">
        <v>61</v>
      </c>
      <c r="Y1578" s="2">
        <v>1888214</v>
      </c>
      <c r="Z1578" t="s">
        <v>61</v>
      </c>
      <c r="AA1578" t="s">
        <v>61</v>
      </c>
      <c r="AB1578">
        <v>2004495970</v>
      </c>
      <c r="AC1578" t="s">
        <v>67</v>
      </c>
      <c r="AD1578" t="s">
        <v>61</v>
      </c>
      <c r="AE1578" t="s">
        <v>61</v>
      </c>
      <c r="AF1578" t="s">
        <v>61</v>
      </c>
      <c r="AG1578" t="s">
        <v>61</v>
      </c>
      <c r="AH1578" t="s">
        <v>61</v>
      </c>
      <c r="AI1578" t="s">
        <v>61</v>
      </c>
      <c r="AJ1578" t="s">
        <v>61</v>
      </c>
      <c r="AK1578" t="s">
        <v>61</v>
      </c>
      <c r="AL1578" t="s">
        <v>61</v>
      </c>
      <c r="AM1578" t="s">
        <v>12878</v>
      </c>
      <c r="AN1578" t="s">
        <v>61</v>
      </c>
      <c r="AO1578" t="s">
        <v>61</v>
      </c>
      <c r="AP1578" t="s">
        <v>61</v>
      </c>
      <c r="AQ1578" t="s">
        <v>61</v>
      </c>
      <c r="AR1578" t="s">
        <v>61</v>
      </c>
      <c r="AS1578" t="s">
        <v>61</v>
      </c>
      <c r="AT1578" t="s">
        <v>61</v>
      </c>
      <c r="AU1578" t="s">
        <v>61</v>
      </c>
      <c r="AV1578" t="s">
        <v>61</v>
      </c>
      <c r="AW1578" t="s">
        <v>61</v>
      </c>
      <c r="AX1578" t="s">
        <v>61</v>
      </c>
      <c r="AY1578" t="s">
        <v>61</v>
      </c>
      <c r="AZ1578" t="s">
        <v>61</v>
      </c>
      <c r="BA1578" t="s">
        <v>61</v>
      </c>
      <c r="BB1578" t="s">
        <v>61</v>
      </c>
      <c r="BC1578" t="s">
        <v>61</v>
      </c>
      <c r="BD1578" t="s">
        <v>61</v>
      </c>
      <c r="BE1578" t="s">
        <v>61</v>
      </c>
      <c r="BF1578" t="s">
        <v>61</v>
      </c>
    </row>
    <row r="1579" spans="1:58">
      <c r="A1579" t="s">
        <v>58</v>
      </c>
      <c r="B1579" t="s">
        <v>12889</v>
      </c>
      <c r="C1579" t="s">
        <v>12890</v>
      </c>
      <c r="D1579" t="s">
        <v>12891</v>
      </c>
      <c r="E1579" t="s">
        <v>12892</v>
      </c>
      <c r="F1579">
        <v>2014</v>
      </c>
      <c r="G1579" t="s">
        <v>457</v>
      </c>
      <c r="H1579">
        <v>89</v>
      </c>
      <c r="I1579">
        <v>6</v>
      </c>
      <c r="J1579" t="s">
        <v>12893</v>
      </c>
      <c r="K1579" t="s">
        <v>61</v>
      </c>
      <c r="L1579" t="s">
        <v>12894</v>
      </c>
      <c r="M1579" t="s">
        <v>12895</v>
      </c>
      <c r="N1579" t="s">
        <v>12896</v>
      </c>
      <c r="O1579" t="s">
        <v>61</v>
      </c>
      <c r="Q1579" t="s">
        <v>61</v>
      </c>
      <c r="R1579" t="s">
        <v>61</v>
      </c>
      <c r="S1579" t="s">
        <v>61</v>
      </c>
      <c r="T1579" t="s">
        <v>61</v>
      </c>
      <c r="X1579" t="s">
        <v>61</v>
      </c>
      <c r="Y1579" t="s">
        <v>12897</v>
      </c>
      <c r="Z1579" t="s">
        <v>61</v>
      </c>
      <c r="AA1579" t="s">
        <v>61</v>
      </c>
      <c r="AB1579" t="s">
        <v>61</v>
      </c>
      <c r="AC1579" t="s">
        <v>67</v>
      </c>
      <c r="AD1579" t="s">
        <v>61</v>
      </c>
      <c r="AE1579" t="s">
        <v>61</v>
      </c>
      <c r="AF1579" t="s">
        <v>61</v>
      </c>
      <c r="AG1579" t="s">
        <v>61</v>
      </c>
      <c r="AH1579" t="s">
        <v>61</v>
      </c>
      <c r="AI1579" t="s">
        <v>61</v>
      </c>
      <c r="AJ1579" t="s">
        <v>61</v>
      </c>
      <c r="AK1579" t="s">
        <v>61</v>
      </c>
      <c r="AL1579" t="s">
        <v>61</v>
      </c>
      <c r="AM1579" t="s">
        <v>12890</v>
      </c>
      <c r="AN1579" t="s">
        <v>61</v>
      </c>
      <c r="AO1579" t="s">
        <v>61</v>
      </c>
      <c r="AP1579" t="s">
        <v>61</v>
      </c>
      <c r="AQ1579" t="s">
        <v>61</v>
      </c>
      <c r="AR1579" t="s">
        <v>61</v>
      </c>
      <c r="AS1579" t="s">
        <v>61</v>
      </c>
      <c r="AT1579" t="s">
        <v>61</v>
      </c>
      <c r="AU1579" t="s">
        <v>61</v>
      </c>
      <c r="AV1579" t="s">
        <v>61</v>
      </c>
      <c r="AW1579" t="s">
        <v>61</v>
      </c>
      <c r="AX1579" t="s">
        <v>61</v>
      </c>
      <c r="AY1579" t="s">
        <v>61</v>
      </c>
      <c r="AZ1579" t="s">
        <v>61</v>
      </c>
      <c r="BA1579" t="s">
        <v>61</v>
      </c>
      <c r="BB1579" t="s">
        <v>61</v>
      </c>
      <c r="BC1579" t="s">
        <v>61</v>
      </c>
      <c r="BD1579" t="s">
        <v>61</v>
      </c>
      <c r="BE1579" t="s">
        <v>61</v>
      </c>
      <c r="BF1579" t="s">
        <v>61</v>
      </c>
    </row>
    <row r="1580" spans="1:58">
      <c r="A1580" t="s">
        <v>58</v>
      </c>
      <c r="B1580" t="s">
        <v>12898</v>
      </c>
      <c r="C1580" t="s">
        <v>12899</v>
      </c>
      <c r="D1580" t="s">
        <v>627</v>
      </c>
      <c r="E1580" t="s">
        <v>61</v>
      </c>
      <c r="F1580">
        <v>2012</v>
      </c>
      <c r="G1580" t="s">
        <v>628</v>
      </c>
      <c r="H1580">
        <v>52</v>
      </c>
      <c r="I1580">
        <v>2</v>
      </c>
      <c r="J1580">
        <v>240</v>
      </c>
      <c r="K1580" t="s">
        <v>61</v>
      </c>
      <c r="L1580" t="s">
        <v>12900</v>
      </c>
      <c r="M1580" t="s">
        <v>12901</v>
      </c>
      <c r="N1580" t="s">
        <v>12902</v>
      </c>
      <c r="O1580" t="s">
        <v>61</v>
      </c>
      <c r="Q1580" t="s">
        <v>61</v>
      </c>
      <c r="R1580" t="s">
        <v>61</v>
      </c>
      <c r="S1580" t="s">
        <v>61</v>
      </c>
      <c r="T1580" t="s">
        <v>61</v>
      </c>
      <c r="X1580" t="s">
        <v>61</v>
      </c>
      <c r="Y1580" t="s">
        <v>632</v>
      </c>
      <c r="Z1580" t="s">
        <v>61</v>
      </c>
      <c r="AA1580" t="s">
        <v>61</v>
      </c>
      <c r="AB1580" t="s">
        <v>61</v>
      </c>
      <c r="AC1580" t="s">
        <v>67</v>
      </c>
      <c r="AD1580" t="s">
        <v>61</v>
      </c>
      <c r="AE1580" t="s">
        <v>61</v>
      </c>
      <c r="AF1580" t="s">
        <v>61</v>
      </c>
      <c r="AG1580" t="s">
        <v>61</v>
      </c>
      <c r="AH1580" t="s">
        <v>61</v>
      </c>
      <c r="AI1580" t="s">
        <v>61</v>
      </c>
      <c r="AJ1580" t="s">
        <v>61</v>
      </c>
      <c r="AK1580" t="s">
        <v>61</v>
      </c>
      <c r="AL1580" t="s">
        <v>61</v>
      </c>
      <c r="AM1580" t="s">
        <v>12899</v>
      </c>
      <c r="AN1580" t="s">
        <v>61</v>
      </c>
      <c r="AO1580" t="s">
        <v>61</v>
      </c>
      <c r="AP1580" t="s">
        <v>61</v>
      </c>
      <c r="AQ1580" t="s">
        <v>61</v>
      </c>
      <c r="AR1580" t="s">
        <v>61</v>
      </c>
      <c r="AS1580" t="s">
        <v>61</v>
      </c>
      <c r="AT1580" t="s">
        <v>61</v>
      </c>
      <c r="AU1580" t="s">
        <v>61</v>
      </c>
      <c r="AV1580" t="s">
        <v>61</v>
      </c>
      <c r="AW1580" t="s">
        <v>61</v>
      </c>
      <c r="AX1580" t="s">
        <v>61</v>
      </c>
      <c r="AY1580" t="s">
        <v>61</v>
      </c>
      <c r="AZ1580" t="s">
        <v>61</v>
      </c>
      <c r="BA1580" t="s">
        <v>61</v>
      </c>
      <c r="BB1580" t="s">
        <v>61</v>
      </c>
      <c r="BC1580" t="s">
        <v>61</v>
      </c>
      <c r="BD1580" t="s">
        <v>61</v>
      </c>
      <c r="BE1580" t="s">
        <v>61</v>
      </c>
      <c r="BF1580" t="s">
        <v>61</v>
      </c>
    </row>
    <row r="1581" spans="1:58">
      <c r="A1581" t="s">
        <v>58</v>
      </c>
      <c r="B1581" t="s">
        <v>12903</v>
      </c>
      <c r="C1581" t="s">
        <v>12904</v>
      </c>
      <c r="D1581" t="s">
        <v>2797</v>
      </c>
      <c r="E1581" t="s">
        <v>61</v>
      </c>
      <c r="F1581">
        <v>2006</v>
      </c>
      <c r="G1581" t="s">
        <v>61</v>
      </c>
      <c r="H1581">
        <v>22</v>
      </c>
      <c r="I1581">
        <v>1</v>
      </c>
      <c r="J1581">
        <v>39</v>
      </c>
      <c r="K1581" t="s">
        <v>12905</v>
      </c>
      <c r="L1581" t="s">
        <v>12906</v>
      </c>
      <c r="M1581" t="s">
        <v>12907</v>
      </c>
      <c r="N1581" t="s">
        <v>12908</v>
      </c>
      <c r="O1581" t="s">
        <v>61</v>
      </c>
      <c r="Q1581" t="s">
        <v>61</v>
      </c>
      <c r="R1581" t="s">
        <v>61</v>
      </c>
      <c r="S1581" t="s">
        <v>61</v>
      </c>
      <c r="T1581" t="s">
        <v>61</v>
      </c>
      <c r="X1581" t="s">
        <v>61</v>
      </c>
      <c r="Y1581" t="s">
        <v>2802</v>
      </c>
      <c r="Z1581" t="s">
        <v>61</v>
      </c>
      <c r="AA1581" t="s">
        <v>12909</v>
      </c>
      <c r="AB1581">
        <v>106437709</v>
      </c>
      <c r="AC1581" t="s">
        <v>67</v>
      </c>
      <c r="AD1581" t="s">
        <v>61</v>
      </c>
      <c r="AE1581" t="s">
        <v>61</v>
      </c>
      <c r="AF1581" t="s">
        <v>61</v>
      </c>
      <c r="AG1581" t="s">
        <v>12910</v>
      </c>
      <c r="AH1581" t="s">
        <v>61</v>
      </c>
      <c r="AI1581" t="s">
        <v>61</v>
      </c>
      <c r="AJ1581" t="s">
        <v>61</v>
      </c>
      <c r="AK1581" t="s">
        <v>61</v>
      </c>
      <c r="AL1581" t="s">
        <v>61</v>
      </c>
      <c r="AM1581" t="s">
        <v>12911</v>
      </c>
      <c r="AN1581" t="s">
        <v>61</v>
      </c>
      <c r="AO1581" t="s">
        <v>61</v>
      </c>
      <c r="AP1581" t="s">
        <v>61</v>
      </c>
      <c r="AQ1581" t="s">
        <v>61</v>
      </c>
      <c r="AR1581" t="s">
        <v>61</v>
      </c>
      <c r="AS1581" t="s">
        <v>61</v>
      </c>
      <c r="AT1581" t="s">
        <v>61</v>
      </c>
      <c r="AU1581" t="s">
        <v>61</v>
      </c>
      <c r="AV1581" t="s">
        <v>61</v>
      </c>
      <c r="AW1581" t="s">
        <v>61</v>
      </c>
      <c r="AX1581" t="s">
        <v>61</v>
      </c>
      <c r="AY1581" t="s">
        <v>61</v>
      </c>
      <c r="AZ1581" t="s">
        <v>61</v>
      </c>
      <c r="BA1581" t="s">
        <v>61</v>
      </c>
      <c r="BB1581" t="s">
        <v>61</v>
      </c>
      <c r="BC1581" t="s">
        <v>61</v>
      </c>
      <c r="BD1581" t="s">
        <v>61</v>
      </c>
      <c r="BE1581" t="s">
        <v>61</v>
      </c>
      <c r="BF1581" t="s">
        <v>61</v>
      </c>
    </row>
    <row r="1582" spans="1:58">
      <c r="A1582" t="s">
        <v>58</v>
      </c>
      <c r="B1582" t="s">
        <v>12912</v>
      </c>
      <c r="C1582" t="s">
        <v>12913</v>
      </c>
      <c r="D1582" t="s">
        <v>1637</v>
      </c>
      <c r="E1582" t="s">
        <v>1638</v>
      </c>
      <c r="F1582">
        <v>1993</v>
      </c>
      <c r="G1582" t="s">
        <v>273</v>
      </c>
      <c r="H1582">
        <v>46</v>
      </c>
      <c r="I1582">
        <v>1</v>
      </c>
      <c r="J1582">
        <v>5</v>
      </c>
      <c r="K1582">
        <v>11</v>
      </c>
      <c r="L1582" t="s">
        <v>12914</v>
      </c>
      <c r="M1582" t="s">
        <v>12915</v>
      </c>
      <c r="N1582" t="s">
        <v>12916</v>
      </c>
      <c r="O1582" t="s">
        <v>61</v>
      </c>
      <c r="Q1582" t="s">
        <v>61</v>
      </c>
      <c r="R1582" t="s">
        <v>61</v>
      </c>
      <c r="S1582" t="s">
        <v>61</v>
      </c>
      <c r="T1582" t="s">
        <v>61</v>
      </c>
      <c r="X1582" t="s">
        <v>61</v>
      </c>
      <c r="Y1582" s="2">
        <v>812148</v>
      </c>
      <c r="Z1582" t="s">
        <v>61</v>
      </c>
      <c r="AA1582" t="s">
        <v>12917</v>
      </c>
      <c r="AB1582">
        <v>10124614</v>
      </c>
      <c r="AC1582" t="s">
        <v>67</v>
      </c>
      <c r="AD1582" t="s">
        <v>61</v>
      </c>
      <c r="AE1582" t="s">
        <v>61</v>
      </c>
      <c r="AF1582" t="s">
        <v>61</v>
      </c>
      <c r="AG1582" t="s">
        <v>12918</v>
      </c>
      <c r="AH1582" t="s">
        <v>61</v>
      </c>
      <c r="AI1582" t="s">
        <v>61</v>
      </c>
      <c r="AJ1582" t="s">
        <v>61</v>
      </c>
      <c r="AK1582" t="s">
        <v>61</v>
      </c>
      <c r="AL1582" t="s">
        <v>61</v>
      </c>
      <c r="AM1582" t="s">
        <v>12919</v>
      </c>
      <c r="AN1582" t="s">
        <v>61</v>
      </c>
      <c r="AO1582" t="s">
        <v>61</v>
      </c>
      <c r="AP1582" t="s">
        <v>61</v>
      </c>
      <c r="AQ1582" t="s">
        <v>61</v>
      </c>
      <c r="AR1582" t="s">
        <v>61</v>
      </c>
      <c r="AS1582" t="s">
        <v>61</v>
      </c>
      <c r="AT1582" t="s">
        <v>61</v>
      </c>
      <c r="AU1582" t="s">
        <v>61</v>
      </c>
      <c r="AV1582" t="s">
        <v>61</v>
      </c>
      <c r="AW1582" t="s">
        <v>61</v>
      </c>
      <c r="AX1582" t="s">
        <v>61</v>
      </c>
      <c r="AY1582" t="s">
        <v>61</v>
      </c>
      <c r="AZ1582" t="s">
        <v>61</v>
      </c>
      <c r="BA1582" t="s">
        <v>61</v>
      </c>
      <c r="BB1582" t="s">
        <v>61</v>
      </c>
      <c r="BC1582" t="s">
        <v>61</v>
      </c>
      <c r="BD1582" t="s">
        <v>61</v>
      </c>
      <c r="BE1582" t="s">
        <v>61</v>
      </c>
      <c r="BF1582" t="s">
        <v>61</v>
      </c>
    </row>
    <row r="1583" spans="1:58">
      <c r="A1583" t="s">
        <v>58</v>
      </c>
      <c r="B1583" t="s">
        <v>12920</v>
      </c>
      <c r="C1583" t="s">
        <v>12921</v>
      </c>
      <c r="D1583" t="s">
        <v>1894</v>
      </c>
      <c r="E1583" t="s">
        <v>1895</v>
      </c>
      <c r="F1583">
        <v>1997</v>
      </c>
      <c r="G1583" t="s">
        <v>273</v>
      </c>
      <c r="H1583">
        <v>130</v>
      </c>
      <c r="I1583">
        <v>1</v>
      </c>
      <c r="J1583">
        <v>35</v>
      </c>
      <c r="K1583">
        <v>43</v>
      </c>
      <c r="L1583" t="s">
        <v>12922</v>
      </c>
      <c r="M1583" t="s">
        <v>12923</v>
      </c>
      <c r="N1583" t="s">
        <v>12924</v>
      </c>
      <c r="O1583" t="s">
        <v>61</v>
      </c>
      <c r="Q1583" t="s">
        <v>61</v>
      </c>
      <c r="R1583" t="s">
        <v>61</v>
      </c>
      <c r="S1583" t="s">
        <v>61</v>
      </c>
      <c r="T1583" t="s">
        <v>61</v>
      </c>
      <c r="X1583" t="s">
        <v>61</v>
      </c>
      <c r="Y1583" t="s">
        <v>1899</v>
      </c>
      <c r="Z1583" t="s">
        <v>61</v>
      </c>
      <c r="AA1583" t="s">
        <v>61</v>
      </c>
      <c r="AB1583">
        <v>1997117643</v>
      </c>
      <c r="AC1583" t="s">
        <v>67</v>
      </c>
      <c r="AD1583" t="s">
        <v>61</v>
      </c>
      <c r="AE1583" t="s">
        <v>61</v>
      </c>
      <c r="AF1583" t="s">
        <v>61</v>
      </c>
      <c r="AG1583" t="s">
        <v>61</v>
      </c>
      <c r="AH1583" t="s">
        <v>61</v>
      </c>
      <c r="AI1583" t="s">
        <v>61</v>
      </c>
      <c r="AJ1583" t="s">
        <v>61</v>
      </c>
      <c r="AK1583" t="s">
        <v>61</v>
      </c>
      <c r="AL1583" t="s">
        <v>61</v>
      </c>
      <c r="AM1583" t="s">
        <v>12921</v>
      </c>
      <c r="AN1583" t="s">
        <v>61</v>
      </c>
      <c r="AO1583" t="s">
        <v>61</v>
      </c>
      <c r="AP1583" t="s">
        <v>61</v>
      </c>
      <c r="AQ1583" t="s">
        <v>61</v>
      </c>
      <c r="AR1583" t="s">
        <v>61</v>
      </c>
      <c r="AS1583" t="s">
        <v>61</v>
      </c>
      <c r="AT1583" t="s">
        <v>61</v>
      </c>
      <c r="AU1583" t="s">
        <v>61</v>
      </c>
      <c r="AV1583" t="s">
        <v>61</v>
      </c>
      <c r="AW1583" t="s">
        <v>61</v>
      </c>
      <c r="AX1583" t="s">
        <v>61</v>
      </c>
      <c r="AY1583" t="s">
        <v>61</v>
      </c>
      <c r="AZ1583" t="s">
        <v>61</v>
      </c>
      <c r="BA1583" t="s">
        <v>61</v>
      </c>
      <c r="BB1583" t="s">
        <v>61</v>
      </c>
      <c r="BC1583" t="s">
        <v>61</v>
      </c>
      <c r="BD1583" t="s">
        <v>61</v>
      </c>
      <c r="BE1583" t="s">
        <v>61</v>
      </c>
      <c r="BF1583" t="s">
        <v>61</v>
      </c>
    </row>
    <row r="1584" spans="1:58">
      <c r="A1584" t="s">
        <v>58</v>
      </c>
      <c r="B1584" t="s">
        <v>12925</v>
      </c>
      <c r="C1584" t="s">
        <v>12926</v>
      </c>
      <c r="D1584" t="s">
        <v>12927</v>
      </c>
      <c r="E1584" t="s">
        <v>61</v>
      </c>
      <c r="F1584">
        <v>2004</v>
      </c>
      <c r="G1584" t="s">
        <v>61</v>
      </c>
      <c r="H1584">
        <v>23</v>
      </c>
      <c r="I1584">
        <v>1</v>
      </c>
      <c r="J1584">
        <v>3</v>
      </c>
      <c r="K1584">
        <v>20</v>
      </c>
      <c r="L1584" t="s">
        <v>12928</v>
      </c>
      <c r="M1584" t="s">
        <v>12929</v>
      </c>
      <c r="N1584" t="s">
        <v>12930</v>
      </c>
      <c r="O1584" t="s">
        <v>61</v>
      </c>
      <c r="Q1584" t="s">
        <v>61</v>
      </c>
      <c r="R1584" t="s">
        <v>61</v>
      </c>
      <c r="S1584" t="s">
        <v>61</v>
      </c>
      <c r="T1584" t="s">
        <v>61</v>
      </c>
      <c r="X1584" t="s">
        <v>61</v>
      </c>
      <c r="Y1584" t="s">
        <v>12931</v>
      </c>
      <c r="Z1584" t="s">
        <v>61</v>
      </c>
      <c r="AA1584" t="s">
        <v>12932</v>
      </c>
      <c r="AB1584">
        <v>15298489</v>
      </c>
      <c r="AC1584" t="s">
        <v>67</v>
      </c>
      <c r="AD1584" t="s">
        <v>61</v>
      </c>
      <c r="AE1584" t="s">
        <v>61</v>
      </c>
      <c r="AF1584" t="s">
        <v>61</v>
      </c>
      <c r="AG1584" t="s">
        <v>12933</v>
      </c>
      <c r="AH1584" t="s">
        <v>61</v>
      </c>
      <c r="AI1584" t="s">
        <v>61</v>
      </c>
      <c r="AJ1584" t="s">
        <v>61</v>
      </c>
      <c r="AK1584" t="s">
        <v>61</v>
      </c>
      <c r="AL1584" t="s">
        <v>61</v>
      </c>
      <c r="AM1584" t="s">
        <v>12934</v>
      </c>
      <c r="AN1584" t="s">
        <v>61</v>
      </c>
      <c r="AO1584" t="s">
        <v>61</v>
      </c>
      <c r="AP1584" t="s">
        <v>61</v>
      </c>
      <c r="AQ1584" t="s">
        <v>61</v>
      </c>
      <c r="AR1584" t="s">
        <v>61</v>
      </c>
      <c r="AS1584" t="s">
        <v>61</v>
      </c>
      <c r="AT1584" t="s">
        <v>61</v>
      </c>
      <c r="AU1584" t="s">
        <v>61</v>
      </c>
      <c r="AV1584" t="s">
        <v>61</v>
      </c>
      <c r="AW1584" t="s">
        <v>61</v>
      </c>
      <c r="AX1584" t="s">
        <v>61</v>
      </c>
      <c r="AY1584" t="s">
        <v>61</v>
      </c>
      <c r="AZ1584" t="s">
        <v>61</v>
      </c>
      <c r="BA1584" t="s">
        <v>61</v>
      </c>
      <c r="BB1584" t="s">
        <v>61</v>
      </c>
      <c r="BC1584" t="s">
        <v>61</v>
      </c>
      <c r="BD1584" t="s">
        <v>61</v>
      </c>
      <c r="BE1584" t="s">
        <v>61</v>
      </c>
      <c r="BF1584" t="s">
        <v>61</v>
      </c>
    </row>
    <row r="1585" spans="1:58">
      <c r="A1585" t="s">
        <v>58</v>
      </c>
      <c r="B1585" t="s">
        <v>12935</v>
      </c>
      <c r="C1585" t="s">
        <v>12936</v>
      </c>
      <c r="D1585" t="s">
        <v>12937</v>
      </c>
      <c r="E1585" t="s">
        <v>61</v>
      </c>
      <c r="F1585">
        <v>2013</v>
      </c>
      <c r="G1585" t="s">
        <v>61</v>
      </c>
      <c r="H1585" t="s">
        <v>61</v>
      </c>
      <c r="I1585" t="s">
        <v>61</v>
      </c>
      <c r="J1585">
        <v>117</v>
      </c>
      <c r="K1585" t="s">
        <v>12938</v>
      </c>
      <c r="L1585" t="s">
        <v>12939</v>
      </c>
      <c r="M1585" t="s">
        <v>61</v>
      </c>
      <c r="N1585" t="s">
        <v>12940</v>
      </c>
      <c r="O1585" t="s">
        <v>61</v>
      </c>
      <c r="Q1585" t="s">
        <v>61</v>
      </c>
      <c r="R1585" t="s">
        <v>61</v>
      </c>
      <c r="S1585" t="s">
        <v>61</v>
      </c>
      <c r="T1585" t="s">
        <v>61</v>
      </c>
      <c r="X1585" t="s">
        <v>61</v>
      </c>
      <c r="Y1585" t="s">
        <v>12941</v>
      </c>
      <c r="Z1585" t="s">
        <v>61</v>
      </c>
      <c r="AA1585" t="s">
        <v>12942</v>
      </c>
      <c r="AB1585">
        <v>109866135</v>
      </c>
      <c r="AC1585" t="s">
        <v>67</v>
      </c>
      <c r="AD1585" t="s">
        <v>61</v>
      </c>
      <c r="AE1585" t="s">
        <v>61</v>
      </c>
      <c r="AF1585" t="s">
        <v>61</v>
      </c>
      <c r="AG1585" t="s">
        <v>12943</v>
      </c>
      <c r="AH1585" t="s">
        <v>61</v>
      </c>
      <c r="AI1585" t="s">
        <v>12944</v>
      </c>
      <c r="AJ1585" t="s">
        <v>61</v>
      </c>
      <c r="AK1585" t="s">
        <v>61</v>
      </c>
      <c r="AL1585" t="s">
        <v>61</v>
      </c>
      <c r="AM1585" t="s">
        <v>12945</v>
      </c>
      <c r="AN1585" t="s">
        <v>61</v>
      </c>
      <c r="AO1585" t="s">
        <v>61</v>
      </c>
      <c r="AP1585" t="s">
        <v>61</v>
      </c>
      <c r="AQ1585" t="s">
        <v>61</v>
      </c>
      <c r="AR1585" t="s">
        <v>61</v>
      </c>
      <c r="AS1585" t="s">
        <v>61</v>
      </c>
      <c r="AT1585" t="s">
        <v>61</v>
      </c>
      <c r="AU1585" t="s">
        <v>61</v>
      </c>
      <c r="AV1585" t="s">
        <v>61</v>
      </c>
      <c r="AW1585" t="s">
        <v>61</v>
      </c>
      <c r="AX1585" t="s">
        <v>61</v>
      </c>
      <c r="AY1585" t="s">
        <v>61</v>
      </c>
      <c r="AZ1585" t="s">
        <v>61</v>
      </c>
      <c r="BA1585" t="s">
        <v>61</v>
      </c>
      <c r="BB1585" t="s">
        <v>61</v>
      </c>
      <c r="BC1585" t="s">
        <v>61</v>
      </c>
      <c r="BD1585" t="s">
        <v>61</v>
      </c>
      <c r="BE1585" t="s">
        <v>61</v>
      </c>
      <c r="BF1585" t="s">
        <v>61</v>
      </c>
    </row>
    <row r="1586" spans="1:58">
      <c r="A1586" t="s">
        <v>58</v>
      </c>
      <c r="B1586" t="s">
        <v>12946</v>
      </c>
      <c r="C1586" t="s">
        <v>12947</v>
      </c>
      <c r="D1586" t="s">
        <v>428</v>
      </c>
      <c r="E1586" t="s">
        <v>61</v>
      </c>
      <c r="F1586">
        <v>2013</v>
      </c>
      <c r="G1586" t="s">
        <v>457</v>
      </c>
      <c r="H1586">
        <v>26</v>
      </c>
      <c r="I1586">
        <v>3</v>
      </c>
      <c r="J1586">
        <v>341</v>
      </c>
      <c r="K1586" t="s">
        <v>61</v>
      </c>
      <c r="L1586" t="s">
        <v>12948</v>
      </c>
      <c r="M1586" t="s">
        <v>12949</v>
      </c>
      <c r="N1586" t="s">
        <v>12950</v>
      </c>
      <c r="O1586" t="s">
        <v>61</v>
      </c>
      <c r="Q1586" t="s">
        <v>61</v>
      </c>
      <c r="R1586" t="s">
        <v>61</v>
      </c>
      <c r="S1586" t="s">
        <v>61</v>
      </c>
      <c r="T1586" t="s">
        <v>61</v>
      </c>
      <c r="X1586" t="s">
        <v>61</v>
      </c>
      <c r="Y1586" t="s">
        <v>433</v>
      </c>
      <c r="Z1586" t="s">
        <v>61</v>
      </c>
      <c r="AA1586" t="s">
        <v>61</v>
      </c>
      <c r="AB1586" t="s">
        <v>61</v>
      </c>
      <c r="AC1586" t="s">
        <v>67</v>
      </c>
      <c r="AD1586" t="s">
        <v>61</v>
      </c>
      <c r="AE1586" t="s">
        <v>61</v>
      </c>
      <c r="AF1586" t="s">
        <v>61</v>
      </c>
      <c r="AG1586" t="s">
        <v>61</v>
      </c>
      <c r="AH1586" t="s">
        <v>61</v>
      </c>
      <c r="AI1586" t="s">
        <v>61</v>
      </c>
      <c r="AJ1586" t="s">
        <v>61</v>
      </c>
      <c r="AK1586" t="s">
        <v>61</v>
      </c>
      <c r="AL1586" t="s">
        <v>61</v>
      </c>
      <c r="AM1586" t="s">
        <v>12947</v>
      </c>
      <c r="AN1586" t="s">
        <v>61</v>
      </c>
      <c r="AO1586" t="s">
        <v>61</v>
      </c>
      <c r="AP1586" t="s">
        <v>61</v>
      </c>
      <c r="AQ1586" t="s">
        <v>61</v>
      </c>
      <c r="AR1586" t="s">
        <v>61</v>
      </c>
      <c r="AS1586" t="s">
        <v>61</v>
      </c>
      <c r="AT1586" t="s">
        <v>61</v>
      </c>
      <c r="AU1586" t="s">
        <v>61</v>
      </c>
      <c r="AV1586" t="s">
        <v>61</v>
      </c>
      <c r="AW1586" t="s">
        <v>61</v>
      </c>
      <c r="AX1586" t="s">
        <v>61</v>
      </c>
      <c r="AY1586" t="s">
        <v>61</v>
      </c>
      <c r="AZ1586" t="s">
        <v>61</v>
      </c>
      <c r="BA1586" t="s">
        <v>61</v>
      </c>
      <c r="BB1586" t="s">
        <v>61</v>
      </c>
      <c r="BC1586" t="s">
        <v>61</v>
      </c>
      <c r="BD1586" t="s">
        <v>61</v>
      </c>
      <c r="BE1586" t="s">
        <v>61</v>
      </c>
      <c r="BF1586" t="s">
        <v>61</v>
      </c>
    </row>
    <row r="1587" spans="1:58">
      <c r="A1587" t="s">
        <v>58</v>
      </c>
      <c r="B1587" t="s">
        <v>12951</v>
      </c>
      <c r="C1587" t="s">
        <v>12952</v>
      </c>
      <c r="D1587" t="s">
        <v>627</v>
      </c>
      <c r="E1587" t="s">
        <v>61</v>
      </c>
      <c r="F1587">
        <v>2013</v>
      </c>
      <c r="G1587" t="s">
        <v>628</v>
      </c>
      <c r="H1587">
        <v>53</v>
      </c>
      <c r="I1587">
        <v>2</v>
      </c>
      <c r="J1587" t="s">
        <v>62</v>
      </c>
      <c r="K1587" t="s">
        <v>9856</v>
      </c>
      <c r="L1587" t="s">
        <v>12953</v>
      </c>
      <c r="M1587" t="s">
        <v>12954</v>
      </c>
      <c r="N1587" t="s">
        <v>12955</v>
      </c>
      <c r="O1587" t="s">
        <v>61</v>
      </c>
      <c r="Q1587" t="s">
        <v>61</v>
      </c>
      <c r="R1587" t="s">
        <v>61</v>
      </c>
      <c r="S1587" t="s">
        <v>61</v>
      </c>
      <c r="T1587" t="s">
        <v>61</v>
      </c>
      <c r="X1587" t="s">
        <v>61</v>
      </c>
      <c r="Y1587" t="s">
        <v>632</v>
      </c>
      <c r="Z1587" t="s">
        <v>61</v>
      </c>
      <c r="AA1587" t="s">
        <v>61</v>
      </c>
      <c r="AB1587" t="s">
        <v>61</v>
      </c>
      <c r="AC1587" t="s">
        <v>67</v>
      </c>
      <c r="AD1587" t="s">
        <v>61</v>
      </c>
      <c r="AE1587" t="s">
        <v>61</v>
      </c>
      <c r="AF1587" t="s">
        <v>61</v>
      </c>
      <c r="AG1587" t="s">
        <v>61</v>
      </c>
      <c r="AH1587" t="s">
        <v>61</v>
      </c>
      <c r="AI1587" t="s">
        <v>61</v>
      </c>
      <c r="AJ1587" t="s">
        <v>61</v>
      </c>
      <c r="AK1587" t="s">
        <v>61</v>
      </c>
      <c r="AL1587" t="s">
        <v>61</v>
      </c>
      <c r="AM1587" t="s">
        <v>12952</v>
      </c>
      <c r="AN1587" t="s">
        <v>61</v>
      </c>
      <c r="AO1587" t="s">
        <v>61</v>
      </c>
      <c r="AP1587" t="s">
        <v>61</v>
      </c>
      <c r="AQ1587" t="s">
        <v>61</v>
      </c>
      <c r="AR1587" t="s">
        <v>61</v>
      </c>
      <c r="AS1587" t="s">
        <v>61</v>
      </c>
      <c r="AT1587" t="s">
        <v>61</v>
      </c>
      <c r="AU1587" t="s">
        <v>61</v>
      </c>
      <c r="AV1587" t="s">
        <v>61</v>
      </c>
      <c r="AW1587" t="s">
        <v>61</v>
      </c>
      <c r="AX1587" t="s">
        <v>61</v>
      </c>
      <c r="AY1587" t="s">
        <v>61</v>
      </c>
      <c r="AZ1587" t="s">
        <v>61</v>
      </c>
      <c r="BA1587" t="s">
        <v>61</v>
      </c>
      <c r="BB1587" t="s">
        <v>61</v>
      </c>
      <c r="BC1587" t="s">
        <v>61</v>
      </c>
      <c r="BD1587" t="s">
        <v>61</v>
      </c>
      <c r="BE1587" t="s">
        <v>61</v>
      </c>
      <c r="BF1587" t="s">
        <v>61</v>
      </c>
    </row>
    <row r="1588" spans="1:58">
      <c r="A1588" t="s">
        <v>58</v>
      </c>
      <c r="B1588" t="s">
        <v>12956</v>
      </c>
      <c r="C1588" t="s">
        <v>12957</v>
      </c>
      <c r="D1588" t="s">
        <v>12285</v>
      </c>
      <c r="E1588" t="s">
        <v>61</v>
      </c>
      <c r="F1588">
        <v>2013</v>
      </c>
      <c r="G1588" t="s">
        <v>61</v>
      </c>
      <c r="H1588">
        <v>27</v>
      </c>
      <c r="I1588">
        <v>2</v>
      </c>
      <c r="J1588">
        <v>145</v>
      </c>
      <c r="K1588" t="s">
        <v>12958</v>
      </c>
      <c r="L1588" t="s">
        <v>12959</v>
      </c>
      <c r="M1588" t="s">
        <v>61</v>
      </c>
      <c r="N1588" t="s">
        <v>12960</v>
      </c>
      <c r="O1588" t="s">
        <v>61</v>
      </c>
      <c r="Q1588" t="s">
        <v>61</v>
      </c>
      <c r="R1588" t="s">
        <v>61</v>
      </c>
      <c r="S1588" t="s">
        <v>61</v>
      </c>
      <c r="T1588" t="s">
        <v>61</v>
      </c>
      <c r="X1588" t="s">
        <v>61</v>
      </c>
      <c r="Y1588" t="s">
        <v>12291</v>
      </c>
      <c r="Z1588" t="s">
        <v>61</v>
      </c>
      <c r="AA1588" t="s">
        <v>61</v>
      </c>
      <c r="AB1588">
        <v>104317900</v>
      </c>
      <c r="AC1588" t="s">
        <v>67</v>
      </c>
      <c r="AD1588" t="s">
        <v>61</v>
      </c>
      <c r="AE1588" t="s">
        <v>61</v>
      </c>
      <c r="AF1588" t="s">
        <v>61</v>
      </c>
      <c r="AG1588" t="s">
        <v>12961</v>
      </c>
      <c r="AH1588" t="s">
        <v>61</v>
      </c>
      <c r="AI1588" t="s">
        <v>12962</v>
      </c>
      <c r="AJ1588" t="s">
        <v>61</v>
      </c>
      <c r="AK1588" t="s">
        <v>61</v>
      </c>
      <c r="AL1588" t="s">
        <v>61</v>
      </c>
      <c r="AM1588" t="s">
        <v>12963</v>
      </c>
      <c r="AN1588" t="s">
        <v>61</v>
      </c>
      <c r="AO1588" t="s">
        <v>61</v>
      </c>
      <c r="AP1588" t="s">
        <v>61</v>
      </c>
      <c r="AQ1588" t="s">
        <v>61</v>
      </c>
      <c r="AR1588" t="s">
        <v>61</v>
      </c>
      <c r="AS1588" t="s">
        <v>61</v>
      </c>
      <c r="AT1588" t="s">
        <v>61</v>
      </c>
      <c r="AU1588" t="s">
        <v>61</v>
      </c>
      <c r="AV1588" t="s">
        <v>61</v>
      </c>
      <c r="AW1588" t="s">
        <v>61</v>
      </c>
      <c r="AX1588" t="s">
        <v>61</v>
      </c>
      <c r="AY1588" t="s">
        <v>61</v>
      </c>
      <c r="AZ1588" t="s">
        <v>61</v>
      </c>
      <c r="BA1588" t="s">
        <v>61</v>
      </c>
      <c r="BB1588" t="s">
        <v>61</v>
      </c>
      <c r="BC1588" t="s">
        <v>61</v>
      </c>
      <c r="BD1588" t="s">
        <v>61</v>
      </c>
      <c r="BE1588" t="s">
        <v>61</v>
      </c>
      <c r="BF1588" t="s">
        <v>61</v>
      </c>
    </row>
    <row r="1589" spans="1:58">
      <c r="A1589" t="s">
        <v>58</v>
      </c>
      <c r="B1589" t="s">
        <v>12964</v>
      </c>
      <c r="C1589" t="s">
        <v>12965</v>
      </c>
      <c r="D1589" t="s">
        <v>11750</v>
      </c>
      <c r="E1589" t="s">
        <v>61</v>
      </c>
      <c r="F1589">
        <v>2012</v>
      </c>
      <c r="G1589" t="s">
        <v>559</v>
      </c>
      <c r="H1589">
        <v>22</v>
      </c>
      <c r="I1589">
        <v>2</v>
      </c>
      <c r="J1589">
        <v>130</v>
      </c>
      <c r="K1589">
        <v>149</v>
      </c>
      <c r="L1589" t="s">
        <v>12966</v>
      </c>
      <c r="M1589" t="s">
        <v>12967</v>
      </c>
      <c r="N1589" t="s">
        <v>12968</v>
      </c>
      <c r="O1589" t="s">
        <v>61</v>
      </c>
      <c r="Q1589" t="s">
        <v>61</v>
      </c>
      <c r="R1589" t="s">
        <v>61</v>
      </c>
      <c r="S1589" t="s">
        <v>61</v>
      </c>
      <c r="T1589" t="s">
        <v>61</v>
      </c>
      <c r="X1589" t="s">
        <v>61</v>
      </c>
      <c r="Y1589" t="s">
        <v>12969</v>
      </c>
      <c r="Z1589" t="s">
        <v>61</v>
      </c>
      <c r="AA1589" t="s">
        <v>61</v>
      </c>
      <c r="AB1589" t="s">
        <v>12970</v>
      </c>
      <c r="AC1589" t="s">
        <v>67</v>
      </c>
      <c r="AD1589" t="s">
        <v>61</v>
      </c>
      <c r="AE1589" t="s">
        <v>61</v>
      </c>
      <c r="AF1589" t="s">
        <v>61</v>
      </c>
      <c r="AG1589" t="s">
        <v>61</v>
      </c>
      <c r="AH1589" t="s">
        <v>61</v>
      </c>
      <c r="AI1589" t="s">
        <v>61</v>
      </c>
      <c r="AJ1589" t="s">
        <v>61</v>
      </c>
      <c r="AK1589" t="s">
        <v>61</v>
      </c>
      <c r="AL1589" t="s">
        <v>61</v>
      </c>
      <c r="AM1589" t="s">
        <v>12965</v>
      </c>
      <c r="AN1589" t="s">
        <v>61</v>
      </c>
      <c r="AO1589" t="s">
        <v>61</v>
      </c>
      <c r="AP1589" t="s">
        <v>61</v>
      </c>
      <c r="AQ1589" t="s">
        <v>61</v>
      </c>
      <c r="AR1589" t="s">
        <v>61</v>
      </c>
      <c r="AS1589" t="s">
        <v>61</v>
      </c>
      <c r="AT1589" t="s">
        <v>61</v>
      </c>
      <c r="AU1589" t="s">
        <v>61</v>
      </c>
      <c r="AV1589" t="s">
        <v>61</v>
      </c>
      <c r="AW1589" t="s">
        <v>61</v>
      </c>
      <c r="AX1589" t="s">
        <v>61</v>
      </c>
      <c r="AY1589" t="s">
        <v>61</v>
      </c>
      <c r="AZ1589" t="s">
        <v>61</v>
      </c>
      <c r="BA1589" t="s">
        <v>61</v>
      </c>
      <c r="BB1589" t="s">
        <v>61</v>
      </c>
      <c r="BC1589" t="s">
        <v>61</v>
      </c>
      <c r="BD1589" t="s">
        <v>61</v>
      </c>
      <c r="BE1589" t="s">
        <v>61</v>
      </c>
      <c r="BF1589" t="s">
        <v>61</v>
      </c>
    </row>
    <row r="1590" spans="1:58">
      <c r="A1590" t="s">
        <v>58</v>
      </c>
      <c r="B1590" t="s">
        <v>12971</v>
      </c>
      <c r="C1590" t="s">
        <v>12972</v>
      </c>
      <c r="D1590" t="s">
        <v>12973</v>
      </c>
      <c r="E1590" t="s">
        <v>61</v>
      </c>
      <c r="F1590">
        <v>2004</v>
      </c>
      <c r="G1590" t="s">
        <v>363</v>
      </c>
      <c r="H1590">
        <v>5</v>
      </c>
      <c r="I1590">
        <v>1</v>
      </c>
      <c r="J1590">
        <v>61</v>
      </c>
      <c r="K1590">
        <v>66</v>
      </c>
      <c r="L1590" t="s">
        <v>12974</v>
      </c>
      <c r="M1590" t="s">
        <v>12975</v>
      </c>
      <c r="N1590" t="s">
        <v>12976</v>
      </c>
      <c r="O1590" t="s">
        <v>61</v>
      </c>
      <c r="Q1590" t="s">
        <v>61</v>
      </c>
      <c r="R1590" t="s">
        <v>61</v>
      </c>
      <c r="S1590" t="s">
        <v>61</v>
      </c>
      <c r="T1590" t="s">
        <v>61</v>
      </c>
      <c r="X1590" t="s">
        <v>61</v>
      </c>
      <c r="Y1590" t="s">
        <v>12977</v>
      </c>
      <c r="Z1590" t="s">
        <v>61</v>
      </c>
      <c r="AA1590" t="s">
        <v>12978</v>
      </c>
      <c r="AB1590">
        <v>14983975</v>
      </c>
      <c r="AC1590" t="s">
        <v>67</v>
      </c>
      <c r="AD1590" t="s">
        <v>61</v>
      </c>
      <c r="AE1590" t="s">
        <v>61</v>
      </c>
      <c r="AF1590" t="s">
        <v>61</v>
      </c>
      <c r="AG1590" t="s">
        <v>12979</v>
      </c>
      <c r="AH1590" t="s">
        <v>61</v>
      </c>
      <c r="AI1590" t="s">
        <v>61</v>
      </c>
      <c r="AJ1590" t="s">
        <v>61</v>
      </c>
      <c r="AK1590" t="s">
        <v>61</v>
      </c>
      <c r="AL1590" t="s">
        <v>61</v>
      </c>
      <c r="AM1590" t="s">
        <v>12980</v>
      </c>
      <c r="AN1590" t="s">
        <v>61</v>
      </c>
      <c r="AO1590" t="s">
        <v>61</v>
      </c>
      <c r="AP1590" t="s">
        <v>61</v>
      </c>
      <c r="AQ1590" t="s">
        <v>61</v>
      </c>
      <c r="AR1590" t="s">
        <v>61</v>
      </c>
      <c r="AS1590" t="s">
        <v>61</v>
      </c>
      <c r="AT1590" t="s">
        <v>61</v>
      </c>
      <c r="AU1590" t="s">
        <v>61</v>
      </c>
      <c r="AV1590" t="s">
        <v>61</v>
      </c>
      <c r="AW1590" t="s">
        <v>61</v>
      </c>
      <c r="AX1590" t="s">
        <v>61</v>
      </c>
      <c r="AY1590" t="s">
        <v>61</v>
      </c>
      <c r="AZ1590" t="s">
        <v>61</v>
      </c>
      <c r="BA1590" t="s">
        <v>61</v>
      </c>
      <c r="BB1590" t="s">
        <v>61</v>
      </c>
      <c r="BC1590" t="s">
        <v>61</v>
      </c>
      <c r="BD1590" t="s">
        <v>61</v>
      </c>
      <c r="BE1590" t="s">
        <v>61</v>
      </c>
      <c r="BF1590" t="s">
        <v>61</v>
      </c>
    </row>
    <row r="1591" spans="1:58">
      <c r="A1591" t="s">
        <v>58</v>
      </c>
      <c r="B1591" t="s">
        <v>12981</v>
      </c>
      <c r="C1591" t="s">
        <v>12982</v>
      </c>
      <c r="D1591" t="s">
        <v>12983</v>
      </c>
      <c r="E1591" t="s">
        <v>61</v>
      </c>
      <c r="F1591">
        <v>2012</v>
      </c>
      <c r="G1591" t="s">
        <v>129</v>
      </c>
      <c r="H1591">
        <v>14</v>
      </c>
      <c r="I1591">
        <v>5</v>
      </c>
      <c r="J1591">
        <v>493</v>
      </c>
      <c r="K1591">
        <v>508</v>
      </c>
      <c r="L1591" t="s">
        <v>61</v>
      </c>
      <c r="M1591" t="s">
        <v>12984</v>
      </c>
      <c r="N1591" t="s">
        <v>12985</v>
      </c>
      <c r="O1591" t="s">
        <v>61</v>
      </c>
      <c r="Q1591" t="s">
        <v>61</v>
      </c>
      <c r="R1591" t="s">
        <v>61</v>
      </c>
      <c r="S1591" t="s">
        <v>61</v>
      </c>
      <c r="T1591" t="s">
        <v>61</v>
      </c>
      <c r="X1591" t="s">
        <v>61</v>
      </c>
      <c r="Y1591" t="s">
        <v>12986</v>
      </c>
      <c r="Z1591" t="s">
        <v>61</v>
      </c>
      <c r="AA1591" t="s">
        <v>12987</v>
      </c>
      <c r="AB1591">
        <v>22865461</v>
      </c>
      <c r="AC1591" t="s">
        <v>67</v>
      </c>
      <c r="AD1591" t="s">
        <v>61</v>
      </c>
      <c r="AE1591" t="s">
        <v>61</v>
      </c>
      <c r="AF1591" t="s">
        <v>61</v>
      </c>
      <c r="AG1591" t="s">
        <v>12988</v>
      </c>
      <c r="AH1591" t="s">
        <v>61</v>
      </c>
      <c r="AI1591" t="s">
        <v>12989</v>
      </c>
      <c r="AJ1591" t="s">
        <v>61</v>
      </c>
      <c r="AK1591" t="s">
        <v>61</v>
      </c>
      <c r="AL1591" t="s">
        <v>61</v>
      </c>
      <c r="AM1591" t="s">
        <v>12990</v>
      </c>
      <c r="AN1591" t="s">
        <v>61</v>
      </c>
      <c r="AO1591" t="s">
        <v>61</v>
      </c>
      <c r="AP1591" t="s">
        <v>61</v>
      </c>
      <c r="AQ1591" t="s">
        <v>61</v>
      </c>
      <c r="AR1591" t="s">
        <v>61</v>
      </c>
      <c r="AS1591" t="s">
        <v>61</v>
      </c>
      <c r="AT1591" t="s">
        <v>61</v>
      </c>
      <c r="AU1591" t="s">
        <v>61</v>
      </c>
      <c r="AV1591" t="s">
        <v>61</v>
      </c>
      <c r="AW1591" t="s">
        <v>61</v>
      </c>
      <c r="AX1591" t="s">
        <v>61</v>
      </c>
      <c r="AY1591" t="s">
        <v>61</v>
      </c>
      <c r="AZ1591" t="s">
        <v>61</v>
      </c>
      <c r="BA1591" t="s">
        <v>61</v>
      </c>
      <c r="BB1591" t="s">
        <v>61</v>
      </c>
      <c r="BC1591" t="s">
        <v>61</v>
      </c>
      <c r="BD1591" t="s">
        <v>61</v>
      </c>
      <c r="BE1591" t="s">
        <v>61</v>
      </c>
      <c r="BF1591" t="s">
        <v>61</v>
      </c>
    </row>
    <row r="1592" spans="1:58">
      <c r="A1592" t="s">
        <v>58</v>
      </c>
      <c r="B1592" t="s">
        <v>12991</v>
      </c>
      <c r="C1592" t="s">
        <v>12992</v>
      </c>
      <c r="D1592" t="s">
        <v>1000</v>
      </c>
      <c r="E1592" t="s">
        <v>1000</v>
      </c>
      <c r="F1592">
        <v>2007</v>
      </c>
      <c r="G1592" t="s">
        <v>61</v>
      </c>
      <c r="H1592">
        <v>102</v>
      </c>
      <c r="I1592">
        <v>10</v>
      </c>
      <c r="J1592">
        <v>1657</v>
      </c>
      <c r="K1592" t="s">
        <v>12993</v>
      </c>
      <c r="L1592" t="s">
        <v>12994</v>
      </c>
      <c r="M1592" t="s">
        <v>12995</v>
      </c>
      <c r="N1592" t="s">
        <v>12996</v>
      </c>
      <c r="O1592" t="s">
        <v>61</v>
      </c>
      <c r="Q1592" t="s">
        <v>61</v>
      </c>
      <c r="R1592" t="s">
        <v>61</v>
      </c>
      <c r="S1592" t="s">
        <v>61</v>
      </c>
      <c r="T1592" t="s">
        <v>61</v>
      </c>
      <c r="X1592" t="s">
        <v>61</v>
      </c>
      <c r="Y1592" t="s">
        <v>1004</v>
      </c>
      <c r="Z1592" t="s">
        <v>61</v>
      </c>
      <c r="AA1592" t="s">
        <v>61</v>
      </c>
      <c r="AB1592">
        <v>106011320</v>
      </c>
      <c r="AC1592" t="s">
        <v>67</v>
      </c>
      <c r="AD1592" t="s">
        <v>61</v>
      </c>
      <c r="AE1592" t="s">
        <v>61</v>
      </c>
      <c r="AF1592" t="s">
        <v>61</v>
      </c>
      <c r="AG1592" t="s">
        <v>12997</v>
      </c>
      <c r="AH1592" t="s">
        <v>61</v>
      </c>
      <c r="AI1592" t="s">
        <v>61</v>
      </c>
      <c r="AJ1592" t="s">
        <v>61</v>
      </c>
      <c r="AK1592" t="s">
        <v>61</v>
      </c>
      <c r="AL1592" t="s">
        <v>61</v>
      </c>
      <c r="AM1592" t="s">
        <v>12998</v>
      </c>
      <c r="AN1592" t="s">
        <v>61</v>
      </c>
      <c r="AO1592" t="s">
        <v>61</v>
      </c>
      <c r="AP1592" t="s">
        <v>61</v>
      </c>
      <c r="AQ1592" t="s">
        <v>61</v>
      </c>
      <c r="AR1592" t="s">
        <v>61</v>
      </c>
      <c r="AS1592" t="s">
        <v>61</v>
      </c>
      <c r="AT1592" t="s">
        <v>61</v>
      </c>
      <c r="AU1592" t="s">
        <v>61</v>
      </c>
      <c r="AV1592" t="s">
        <v>61</v>
      </c>
      <c r="AW1592" t="s">
        <v>61</v>
      </c>
      <c r="AX1592" t="s">
        <v>61</v>
      </c>
      <c r="AY1592" t="s">
        <v>61</v>
      </c>
      <c r="AZ1592" t="s">
        <v>61</v>
      </c>
      <c r="BA1592" t="s">
        <v>61</v>
      </c>
      <c r="BB1592" t="s">
        <v>61</v>
      </c>
      <c r="BC1592" t="s">
        <v>61</v>
      </c>
      <c r="BD1592" t="s">
        <v>61</v>
      </c>
      <c r="BE1592" t="s">
        <v>61</v>
      </c>
      <c r="BF1592" t="s">
        <v>61</v>
      </c>
    </row>
    <row r="1593" spans="1:58">
      <c r="A1593" t="s">
        <v>58</v>
      </c>
      <c r="B1593" t="s">
        <v>12999</v>
      </c>
      <c r="C1593" t="s">
        <v>13000</v>
      </c>
      <c r="D1593" t="s">
        <v>937</v>
      </c>
      <c r="E1593" t="s">
        <v>61</v>
      </c>
      <c r="F1593">
        <v>2009</v>
      </c>
      <c r="G1593" t="s">
        <v>457</v>
      </c>
      <c r="H1593" t="s">
        <v>938</v>
      </c>
      <c r="I1593" t="s">
        <v>61</v>
      </c>
      <c r="J1593" t="s">
        <v>13001</v>
      </c>
      <c r="K1593" t="s">
        <v>61</v>
      </c>
      <c r="L1593" t="s">
        <v>13002</v>
      </c>
      <c r="M1593" t="s">
        <v>13003</v>
      </c>
      <c r="N1593" t="s">
        <v>13004</v>
      </c>
      <c r="O1593" t="s">
        <v>61</v>
      </c>
      <c r="Q1593" t="s">
        <v>61</v>
      </c>
      <c r="R1593" t="s">
        <v>61</v>
      </c>
      <c r="S1593" t="s">
        <v>61</v>
      </c>
      <c r="T1593" t="s">
        <v>61</v>
      </c>
      <c r="X1593" t="s">
        <v>61</v>
      </c>
      <c r="Y1593" t="s">
        <v>367</v>
      </c>
      <c r="Z1593" t="s">
        <v>61</v>
      </c>
      <c r="AA1593" t="s">
        <v>61</v>
      </c>
      <c r="AB1593" t="s">
        <v>61</v>
      </c>
      <c r="AC1593" t="s">
        <v>67</v>
      </c>
      <c r="AD1593" t="s">
        <v>61</v>
      </c>
      <c r="AE1593" t="s">
        <v>61</v>
      </c>
      <c r="AF1593" t="s">
        <v>61</v>
      </c>
      <c r="AG1593" t="s">
        <v>61</v>
      </c>
      <c r="AH1593" t="s">
        <v>61</v>
      </c>
      <c r="AI1593" t="s">
        <v>61</v>
      </c>
      <c r="AJ1593" t="s">
        <v>61</v>
      </c>
      <c r="AK1593" t="s">
        <v>61</v>
      </c>
      <c r="AL1593" t="s">
        <v>61</v>
      </c>
      <c r="AM1593" t="s">
        <v>13000</v>
      </c>
      <c r="AN1593" t="s">
        <v>61</v>
      </c>
      <c r="AO1593" t="s">
        <v>61</v>
      </c>
      <c r="AP1593" t="s">
        <v>61</v>
      </c>
      <c r="AQ1593" t="s">
        <v>61</v>
      </c>
      <c r="AR1593" t="s">
        <v>61</v>
      </c>
      <c r="AS1593" t="s">
        <v>61</v>
      </c>
      <c r="AT1593" t="s">
        <v>61</v>
      </c>
      <c r="AU1593" t="s">
        <v>61</v>
      </c>
      <c r="AV1593" t="s">
        <v>61</v>
      </c>
      <c r="AW1593" t="s">
        <v>61</v>
      </c>
      <c r="AX1593" t="s">
        <v>61</v>
      </c>
      <c r="AY1593" t="s">
        <v>61</v>
      </c>
      <c r="AZ1593" t="s">
        <v>61</v>
      </c>
      <c r="BA1593" t="s">
        <v>61</v>
      </c>
      <c r="BB1593" t="s">
        <v>61</v>
      </c>
      <c r="BC1593" t="s">
        <v>61</v>
      </c>
      <c r="BD1593" t="s">
        <v>61</v>
      </c>
      <c r="BE1593" t="s">
        <v>61</v>
      </c>
      <c r="BF1593" t="s">
        <v>61</v>
      </c>
    </row>
    <row r="1594" spans="1:58">
      <c r="A1594" t="s">
        <v>58</v>
      </c>
      <c r="B1594" t="s">
        <v>13005</v>
      </c>
      <c r="C1594" t="s">
        <v>13006</v>
      </c>
      <c r="D1594" t="s">
        <v>13007</v>
      </c>
      <c r="E1594" t="s">
        <v>8431</v>
      </c>
      <c r="F1594">
        <v>2007</v>
      </c>
      <c r="G1594" t="s">
        <v>1152</v>
      </c>
      <c r="H1594">
        <v>107</v>
      </c>
      <c r="I1594">
        <v>9</v>
      </c>
      <c r="J1594" t="s">
        <v>13008</v>
      </c>
      <c r="K1594">
        <v>38</v>
      </c>
      <c r="L1594" t="s">
        <v>13009</v>
      </c>
      <c r="M1594" t="s">
        <v>13010</v>
      </c>
      <c r="N1594" t="s">
        <v>13011</v>
      </c>
      <c r="O1594" t="s">
        <v>61</v>
      </c>
      <c r="Q1594" t="s">
        <v>61</v>
      </c>
      <c r="R1594" t="s">
        <v>61</v>
      </c>
      <c r="S1594" t="s">
        <v>61</v>
      </c>
      <c r="T1594" t="s">
        <v>61</v>
      </c>
      <c r="X1594" t="s">
        <v>61</v>
      </c>
      <c r="Y1594" t="s">
        <v>8435</v>
      </c>
      <c r="Z1594" t="s">
        <v>61</v>
      </c>
      <c r="AA1594" t="s">
        <v>61</v>
      </c>
      <c r="AB1594" t="s">
        <v>61</v>
      </c>
      <c r="AC1594" t="s">
        <v>67</v>
      </c>
      <c r="AD1594" t="s">
        <v>61</v>
      </c>
      <c r="AE1594" t="s">
        <v>61</v>
      </c>
      <c r="AF1594" t="s">
        <v>61</v>
      </c>
      <c r="AG1594" t="s">
        <v>13012</v>
      </c>
      <c r="AH1594" t="s">
        <v>61</v>
      </c>
      <c r="AI1594" t="s">
        <v>61</v>
      </c>
      <c r="AJ1594" t="s">
        <v>61</v>
      </c>
      <c r="AK1594" t="s">
        <v>61</v>
      </c>
      <c r="AL1594" t="s">
        <v>61</v>
      </c>
      <c r="AM1594" t="s">
        <v>13013</v>
      </c>
      <c r="AN1594" t="s">
        <v>61</v>
      </c>
      <c r="AO1594" t="s">
        <v>61</v>
      </c>
      <c r="AP1594" t="s">
        <v>61</v>
      </c>
      <c r="AQ1594" t="s">
        <v>61</v>
      </c>
      <c r="AR1594" t="s">
        <v>61</v>
      </c>
      <c r="AS1594" t="s">
        <v>61</v>
      </c>
      <c r="AT1594" t="s">
        <v>61</v>
      </c>
      <c r="AU1594" t="s">
        <v>61</v>
      </c>
      <c r="AV1594" t="s">
        <v>61</v>
      </c>
      <c r="AW1594" t="s">
        <v>61</v>
      </c>
      <c r="AX1594" t="s">
        <v>61</v>
      </c>
      <c r="AY1594" t="s">
        <v>61</v>
      </c>
      <c r="AZ1594" t="s">
        <v>61</v>
      </c>
      <c r="BA1594" t="s">
        <v>61</v>
      </c>
      <c r="BB1594" t="s">
        <v>61</v>
      </c>
      <c r="BC1594" t="s">
        <v>61</v>
      </c>
      <c r="BD1594" t="s">
        <v>61</v>
      </c>
      <c r="BE1594" t="s">
        <v>61</v>
      </c>
      <c r="BF1594" t="s">
        <v>61</v>
      </c>
    </row>
    <row r="1595" spans="1:58">
      <c r="A1595" t="s">
        <v>58</v>
      </c>
      <c r="B1595" t="s">
        <v>13014</v>
      </c>
      <c r="C1595" t="s">
        <v>13015</v>
      </c>
      <c r="D1595" t="s">
        <v>6739</v>
      </c>
      <c r="E1595" t="s">
        <v>61</v>
      </c>
      <c r="F1595">
        <v>2014</v>
      </c>
      <c r="G1595" t="s">
        <v>61</v>
      </c>
      <c r="H1595">
        <v>15</v>
      </c>
      <c r="I1595">
        <v>14</v>
      </c>
      <c r="J1595">
        <v>5611</v>
      </c>
      <c r="K1595">
        <v>5615</v>
      </c>
      <c r="L1595" t="s">
        <v>13016</v>
      </c>
      <c r="M1595" t="s">
        <v>13017</v>
      </c>
      <c r="N1595" t="s">
        <v>13018</v>
      </c>
      <c r="O1595" t="s">
        <v>61</v>
      </c>
      <c r="Q1595" t="s">
        <v>61</v>
      </c>
      <c r="R1595" t="s">
        <v>61</v>
      </c>
      <c r="S1595" t="s">
        <v>61</v>
      </c>
      <c r="T1595" t="s">
        <v>61</v>
      </c>
      <c r="X1595" t="s">
        <v>61</v>
      </c>
      <c r="Y1595" t="s">
        <v>6743</v>
      </c>
      <c r="Z1595" t="s">
        <v>61</v>
      </c>
      <c r="AA1595" t="s">
        <v>13019</v>
      </c>
      <c r="AB1595">
        <v>25081674</v>
      </c>
      <c r="AC1595" t="s">
        <v>67</v>
      </c>
      <c r="AD1595" t="s">
        <v>61</v>
      </c>
      <c r="AE1595" t="s">
        <v>61</v>
      </c>
      <c r="AF1595" t="s">
        <v>61</v>
      </c>
      <c r="AG1595" t="s">
        <v>13020</v>
      </c>
      <c r="AH1595" t="s">
        <v>61</v>
      </c>
      <c r="AI1595" t="s">
        <v>61</v>
      </c>
      <c r="AJ1595" t="s">
        <v>61</v>
      </c>
      <c r="AK1595" t="s">
        <v>61</v>
      </c>
      <c r="AL1595" t="s">
        <v>61</v>
      </c>
      <c r="AM1595" t="s">
        <v>13021</v>
      </c>
      <c r="AN1595" t="s">
        <v>61</v>
      </c>
      <c r="AO1595" t="s">
        <v>61</v>
      </c>
      <c r="AP1595" t="s">
        <v>61</v>
      </c>
      <c r="AQ1595" t="s">
        <v>61</v>
      </c>
      <c r="AR1595" t="s">
        <v>61</v>
      </c>
      <c r="AS1595" t="s">
        <v>61</v>
      </c>
      <c r="AT1595" t="s">
        <v>61</v>
      </c>
      <c r="AU1595" t="s">
        <v>61</v>
      </c>
      <c r="AV1595" t="s">
        <v>61</v>
      </c>
      <c r="AW1595" t="s">
        <v>61</v>
      </c>
      <c r="AX1595" t="s">
        <v>61</v>
      </c>
      <c r="AY1595" t="s">
        <v>61</v>
      </c>
      <c r="AZ1595" t="s">
        <v>61</v>
      </c>
      <c r="BA1595" t="s">
        <v>61</v>
      </c>
      <c r="BB1595" t="s">
        <v>61</v>
      </c>
      <c r="BC1595" t="s">
        <v>61</v>
      </c>
      <c r="BD1595" t="s">
        <v>61</v>
      </c>
      <c r="BE1595" t="s">
        <v>61</v>
      </c>
      <c r="BF1595" t="s">
        <v>61</v>
      </c>
    </row>
    <row r="1596" spans="1:58">
      <c r="A1596" t="s">
        <v>58</v>
      </c>
      <c r="B1596" t="s">
        <v>13022</v>
      </c>
      <c r="C1596" t="s">
        <v>13023</v>
      </c>
      <c r="D1596" t="s">
        <v>11413</v>
      </c>
      <c r="E1596" t="s">
        <v>11414</v>
      </c>
      <c r="F1596">
        <v>2011</v>
      </c>
      <c r="G1596" t="s">
        <v>61</v>
      </c>
      <c r="H1596">
        <v>55</v>
      </c>
      <c r="I1596">
        <v>5</v>
      </c>
      <c r="J1596">
        <v>184</v>
      </c>
      <c r="K1596">
        <v>185</v>
      </c>
      <c r="L1596" t="s">
        <v>13024</v>
      </c>
      <c r="M1596" t="s">
        <v>13025</v>
      </c>
      <c r="N1596" t="s">
        <v>13026</v>
      </c>
      <c r="O1596" t="s">
        <v>61</v>
      </c>
      <c r="Q1596" t="s">
        <v>61</v>
      </c>
      <c r="R1596" t="s">
        <v>61</v>
      </c>
      <c r="S1596" t="s">
        <v>61</v>
      </c>
      <c r="T1596" t="s">
        <v>61</v>
      </c>
      <c r="X1596" t="s">
        <v>61</v>
      </c>
      <c r="Y1596" t="s">
        <v>11418</v>
      </c>
      <c r="Z1596" t="s">
        <v>61</v>
      </c>
      <c r="AA1596" t="s">
        <v>61</v>
      </c>
      <c r="AB1596" t="s">
        <v>61</v>
      </c>
      <c r="AC1596" t="s">
        <v>67</v>
      </c>
      <c r="AD1596" t="s">
        <v>61</v>
      </c>
      <c r="AE1596" t="s">
        <v>61</v>
      </c>
      <c r="AF1596" t="s">
        <v>61</v>
      </c>
      <c r="AG1596" t="s">
        <v>61</v>
      </c>
      <c r="AH1596" t="s">
        <v>61</v>
      </c>
      <c r="AI1596" t="s">
        <v>61</v>
      </c>
      <c r="AJ1596" t="s">
        <v>61</v>
      </c>
      <c r="AK1596" t="s">
        <v>61</v>
      </c>
      <c r="AL1596" t="s">
        <v>61</v>
      </c>
      <c r="AM1596" t="s">
        <v>13023</v>
      </c>
      <c r="AN1596" t="s">
        <v>61</v>
      </c>
      <c r="AO1596" t="s">
        <v>61</v>
      </c>
      <c r="AP1596" t="s">
        <v>61</v>
      </c>
      <c r="AQ1596" t="s">
        <v>61</v>
      </c>
      <c r="AR1596" t="s">
        <v>61</v>
      </c>
      <c r="AS1596" t="s">
        <v>61</v>
      </c>
      <c r="AT1596" t="s">
        <v>61</v>
      </c>
      <c r="AU1596" t="s">
        <v>61</v>
      </c>
      <c r="AV1596" t="s">
        <v>61</v>
      </c>
      <c r="AW1596" t="s">
        <v>61</v>
      </c>
      <c r="AX1596" t="s">
        <v>61</v>
      </c>
      <c r="AY1596" t="s">
        <v>61</v>
      </c>
      <c r="AZ1596" t="s">
        <v>61</v>
      </c>
      <c r="BA1596" t="s">
        <v>61</v>
      </c>
      <c r="BB1596" t="s">
        <v>61</v>
      </c>
      <c r="BC1596" t="s">
        <v>61</v>
      </c>
      <c r="BD1596" t="s">
        <v>61</v>
      </c>
      <c r="BE1596" t="s">
        <v>61</v>
      </c>
      <c r="BF1596" t="s">
        <v>61</v>
      </c>
    </row>
    <row r="1597" spans="1:58">
      <c r="A1597" t="s">
        <v>58</v>
      </c>
      <c r="B1597" t="s">
        <v>13027</v>
      </c>
      <c r="C1597" t="s">
        <v>13028</v>
      </c>
      <c r="D1597" t="s">
        <v>13029</v>
      </c>
      <c r="E1597" t="s">
        <v>61</v>
      </c>
      <c r="F1597">
        <v>2010</v>
      </c>
      <c r="G1597" t="s">
        <v>61</v>
      </c>
      <c r="H1597">
        <v>5</v>
      </c>
      <c r="I1597">
        <v>7</v>
      </c>
      <c r="J1597">
        <v>514</v>
      </c>
      <c r="K1597">
        <v>518</v>
      </c>
      <c r="L1597" t="s">
        <v>13030</v>
      </c>
      <c r="M1597" t="s">
        <v>13031</v>
      </c>
      <c r="N1597" t="s">
        <v>13032</v>
      </c>
      <c r="O1597" t="s">
        <v>61</v>
      </c>
      <c r="Q1597" t="s">
        <v>61</v>
      </c>
      <c r="R1597" t="s">
        <v>61</v>
      </c>
      <c r="S1597" t="s">
        <v>61</v>
      </c>
      <c r="T1597" t="s">
        <v>61</v>
      </c>
      <c r="X1597" t="s">
        <v>61</v>
      </c>
      <c r="Y1597" t="s">
        <v>13033</v>
      </c>
      <c r="Z1597" t="s">
        <v>61</v>
      </c>
      <c r="AA1597" t="s">
        <v>61</v>
      </c>
      <c r="AB1597" t="s">
        <v>13034</v>
      </c>
      <c r="AC1597" t="s">
        <v>67</v>
      </c>
      <c r="AD1597" t="s">
        <v>61</v>
      </c>
      <c r="AE1597" t="s">
        <v>61</v>
      </c>
      <c r="AF1597" t="s">
        <v>61</v>
      </c>
      <c r="AG1597" t="s">
        <v>61</v>
      </c>
      <c r="AH1597" t="s">
        <v>61</v>
      </c>
      <c r="AI1597" t="s">
        <v>61</v>
      </c>
      <c r="AJ1597" t="s">
        <v>61</v>
      </c>
      <c r="AK1597" t="s">
        <v>61</v>
      </c>
      <c r="AL1597" t="s">
        <v>61</v>
      </c>
      <c r="AM1597" t="s">
        <v>13028</v>
      </c>
      <c r="AN1597" t="s">
        <v>61</v>
      </c>
      <c r="AO1597" t="s">
        <v>61</v>
      </c>
      <c r="AP1597" t="s">
        <v>61</v>
      </c>
      <c r="AQ1597" t="s">
        <v>61</v>
      </c>
      <c r="AR1597" t="s">
        <v>61</v>
      </c>
      <c r="AS1597" t="s">
        <v>61</v>
      </c>
      <c r="AT1597" t="s">
        <v>61</v>
      </c>
      <c r="AU1597" t="s">
        <v>61</v>
      </c>
      <c r="AV1597" t="s">
        <v>61</v>
      </c>
      <c r="AW1597" t="s">
        <v>61</v>
      </c>
      <c r="AX1597" t="s">
        <v>61</v>
      </c>
      <c r="AY1597" t="s">
        <v>61</v>
      </c>
      <c r="AZ1597" t="s">
        <v>61</v>
      </c>
      <c r="BA1597" t="s">
        <v>61</v>
      </c>
      <c r="BB1597" t="s">
        <v>61</v>
      </c>
      <c r="BC1597" t="s">
        <v>61</v>
      </c>
      <c r="BD1597" t="s">
        <v>61</v>
      </c>
      <c r="BE1597" t="s">
        <v>61</v>
      </c>
      <c r="BF1597" t="s">
        <v>61</v>
      </c>
    </row>
    <row r="1598" spans="1:58">
      <c r="A1598" t="s">
        <v>58</v>
      </c>
      <c r="B1598" t="s">
        <v>13035</v>
      </c>
      <c r="C1598" t="s">
        <v>13036</v>
      </c>
      <c r="D1598" t="s">
        <v>1801</v>
      </c>
      <c r="E1598" t="s">
        <v>61</v>
      </c>
      <c r="F1598">
        <v>2010</v>
      </c>
      <c r="G1598" t="s">
        <v>429</v>
      </c>
      <c r="H1598">
        <v>30</v>
      </c>
      <c r="I1598">
        <v>2</v>
      </c>
      <c r="J1598">
        <v>158</v>
      </c>
      <c r="K1598">
        <v>161</v>
      </c>
      <c r="L1598" t="s">
        <v>13037</v>
      </c>
      <c r="M1598" t="s">
        <v>13038</v>
      </c>
      <c r="N1598" t="s">
        <v>13039</v>
      </c>
      <c r="O1598" t="s">
        <v>61</v>
      </c>
      <c r="Q1598" t="s">
        <v>61</v>
      </c>
      <c r="R1598" t="s">
        <v>61</v>
      </c>
      <c r="S1598" t="s">
        <v>61</v>
      </c>
      <c r="T1598" t="s">
        <v>61</v>
      </c>
      <c r="X1598" t="s">
        <v>61</v>
      </c>
      <c r="Y1598" t="s">
        <v>1805</v>
      </c>
      <c r="Z1598" t="s">
        <v>61</v>
      </c>
      <c r="AA1598" t="s">
        <v>61</v>
      </c>
      <c r="AB1598" t="s">
        <v>61</v>
      </c>
      <c r="AC1598" t="s">
        <v>67</v>
      </c>
      <c r="AD1598" t="s">
        <v>61</v>
      </c>
      <c r="AE1598" t="s">
        <v>61</v>
      </c>
      <c r="AF1598" t="s">
        <v>61</v>
      </c>
      <c r="AG1598" t="s">
        <v>61</v>
      </c>
      <c r="AH1598" t="s">
        <v>61</v>
      </c>
      <c r="AI1598" t="s">
        <v>61</v>
      </c>
      <c r="AJ1598" t="s">
        <v>61</v>
      </c>
      <c r="AK1598" t="s">
        <v>61</v>
      </c>
      <c r="AL1598" t="s">
        <v>61</v>
      </c>
      <c r="AM1598" t="s">
        <v>13036</v>
      </c>
      <c r="AN1598" t="s">
        <v>61</v>
      </c>
      <c r="AO1598" t="s">
        <v>61</v>
      </c>
      <c r="AP1598" t="s">
        <v>61</v>
      </c>
      <c r="AQ1598" t="s">
        <v>61</v>
      </c>
      <c r="AR1598" t="s">
        <v>61</v>
      </c>
      <c r="AS1598" t="s">
        <v>61</v>
      </c>
      <c r="AT1598" t="s">
        <v>61</v>
      </c>
      <c r="AU1598" t="s">
        <v>61</v>
      </c>
      <c r="AV1598" t="s">
        <v>61</v>
      </c>
      <c r="AW1598" t="s">
        <v>61</v>
      </c>
      <c r="AX1598" t="s">
        <v>61</v>
      </c>
      <c r="AY1598" t="s">
        <v>61</v>
      </c>
      <c r="AZ1598" t="s">
        <v>61</v>
      </c>
      <c r="BA1598" t="s">
        <v>61</v>
      </c>
      <c r="BB1598" t="s">
        <v>61</v>
      </c>
      <c r="BC1598" t="s">
        <v>61</v>
      </c>
      <c r="BD1598" t="s">
        <v>61</v>
      </c>
      <c r="BE1598" t="s">
        <v>61</v>
      </c>
      <c r="BF1598" t="s">
        <v>61</v>
      </c>
    </row>
    <row r="1599" spans="1:58">
      <c r="A1599" t="s">
        <v>58</v>
      </c>
      <c r="B1599" t="s">
        <v>13040</v>
      </c>
      <c r="C1599" t="s">
        <v>13041</v>
      </c>
      <c r="D1599" t="s">
        <v>704</v>
      </c>
      <c r="E1599" t="s">
        <v>61</v>
      </c>
      <c r="F1599">
        <v>2011</v>
      </c>
      <c r="G1599" t="s">
        <v>429</v>
      </c>
      <c r="H1599">
        <v>17</v>
      </c>
      <c r="I1599">
        <v>3</v>
      </c>
      <c r="J1599">
        <v>245</v>
      </c>
      <c r="K1599" t="s">
        <v>61</v>
      </c>
      <c r="L1599" t="s">
        <v>13042</v>
      </c>
      <c r="M1599" t="s">
        <v>13043</v>
      </c>
      <c r="N1599" t="s">
        <v>13044</v>
      </c>
      <c r="O1599" t="s">
        <v>61</v>
      </c>
      <c r="Q1599" t="s">
        <v>61</v>
      </c>
      <c r="R1599" t="s">
        <v>61</v>
      </c>
      <c r="S1599" t="s">
        <v>61</v>
      </c>
      <c r="T1599" t="s">
        <v>61</v>
      </c>
      <c r="X1599" t="s">
        <v>61</v>
      </c>
      <c r="Y1599" t="s">
        <v>6886</v>
      </c>
      <c r="Z1599" t="s">
        <v>61</v>
      </c>
      <c r="AA1599" t="s">
        <v>61</v>
      </c>
      <c r="AB1599" t="s">
        <v>61</v>
      </c>
      <c r="AC1599" t="s">
        <v>67</v>
      </c>
      <c r="AD1599" t="s">
        <v>61</v>
      </c>
      <c r="AE1599" t="s">
        <v>61</v>
      </c>
      <c r="AF1599" t="s">
        <v>61</v>
      </c>
      <c r="AG1599" t="s">
        <v>61</v>
      </c>
      <c r="AH1599" t="s">
        <v>61</v>
      </c>
      <c r="AI1599" t="s">
        <v>61</v>
      </c>
      <c r="AJ1599" t="s">
        <v>61</v>
      </c>
      <c r="AK1599" t="s">
        <v>61</v>
      </c>
      <c r="AL1599" t="s">
        <v>61</v>
      </c>
      <c r="AM1599" t="s">
        <v>13041</v>
      </c>
      <c r="AN1599" t="s">
        <v>61</v>
      </c>
      <c r="AO1599" t="s">
        <v>61</v>
      </c>
      <c r="AP1599" t="s">
        <v>61</v>
      </c>
      <c r="AQ1599" t="s">
        <v>61</v>
      </c>
      <c r="AR1599" t="s">
        <v>61</v>
      </c>
      <c r="AS1599" t="s">
        <v>61</v>
      </c>
      <c r="AT1599" t="s">
        <v>61</v>
      </c>
      <c r="AU1599" t="s">
        <v>61</v>
      </c>
      <c r="AV1599" t="s">
        <v>61</v>
      </c>
      <c r="AW1599" t="s">
        <v>61</v>
      </c>
      <c r="AX1599" t="s">
        <v>61</v>
      </c>
      <c r="AY1599" t="s">
        <v>61</v>
      </c>
      <c r="AZ1599" t="s">
        <v>61</v>
      </c>
      <c r="BA1599" t="s">
        <v>61</v>
      </c>
      <c r="BB1599" t="s">
        <v>61</v>
      </c>
      <c r="BC1599" t="s">
        <v>61</v>
      </c>
      <c r="BD1599" t="s">
        <v>61</v>
      </c>
      <c r="BE1599" t="s">
        <v>61</v>
      </c>
      <c r="BF1599" t="s">
        <v>61</v>
      </c>
    </row>
    <row r="1600" spans="1:58">
      <c r="A1600" t="s">
        <v>58</v>
      </c>
      <c r="B1600" t="s">
        <v>13045</v>
      </c>
      <c r="C1600" t="s">
        <v>13046</v>
      </c>
      <c r="D1600" t="s">
        <v>408</v>
      </c>
      <c r="E1600" t="s">
        <v>408</v>
      </c>
      <c r="F1600">
        <v>2015</v>
      </c>
      <c r="G1600" t="s">
        <v>409</v>
      </c>
      <c r="H1600">
        <v>35</v>
      </c>
      <c r="I1600">
        <v>11</v>
      </c>
      <c r="J1600" t="s">
        <v>13047</v>
      </c>
      <c r="K1600" t="s">
        <v>61</v>
      </c>
      <c r="L1600" t="s">
        <v>13048</v>
      </c>
      <c r="M1600" t="s">
        <v>13049</v>
      </c>
      <c r="N1600" t="s">
        <v>13050</v>
      </c>
      <c r="O1600" t="s">
        <v>61</v>
      </c>
      <c r="Q1600" t="s">
        <v>61</v>
      </c>
      <c r="R1600" t="s">
        <v>61</v>
      </c>
      <c r="S1600" t="s">
        <v>61</v>
      </c>
      <c r="T1600" t="s">
        <v>61</v>
      </c>
      <c r="X1600" t="s">
        <v>61</v>
      </c>
      <c r="Y1600" t="s">
        <v>414</v>
      </c>
      <c r="Z1600" t="s">
        <v>61</v>
      </c>
      <c r="AA1600" t="s">
        <v>61</v>
      </c>
      <c r="AB1600" t="s">
        <v>61</v>
      </c>
      <c r="AC1600" t="s">
        <v>67</v>
      </c>
      <c r="AD1600" t="s">
        <v>61</v>
      </c>
      <c r="AE1600" t="s">
        <v>61</v>
      </c>
      <c r="AF1600" t="s">
        <v>61</v>
      </c>
      <c r="AG1600" t="s">
        <v>61</v>
      </c>
      <c r="AH1600" t="s">
        <v>61</v>
      </c>
      <c r="AI1600" t="s">
        <v>61</v>
      </c>
      <c r="AJ1600" t="s">
        <v>61</v>
      </c>
      <c r="AK1600" t="s">
        <v>61</v>
      </c>
      <c r="AL1600" t="s">
        <v>61</v>
      </c>
      <c r="AM1600" t="s">
        <v>13046</v>
      </c>
      <c r="AN1600" t="s">
        <v>61</v>
      </c>
      <c r="AO1600" t="s">
        <v>61</v>
      </c>
      <c r="AP1600" t="s">
        <v>61</v>
      </c>
      <c r="AQ1600" t="s">
        <v>61</v>
      </c>
      <c r="AR1600" t="s">
        <v>61</v>
      </c>
      <c r="AS1600" t="s">
        <v>61</v>
      </c>
      <c r="AT1600" t="s">
        <v>61</v>
      </c>
      <c r="AU1600" t="s">
        <v>61</v>
      </c>
      <c r="AV1600" t="s">
        <v>61</v>
      </c>
      <c r="AW1600" t="s">
        <v>61</v>
      </c>
      <c r="AX1600" t="s">
        <v>61</v>
      </c>
      <c r="AY1600" t="s">
        <v>61</v>
      </c>
      <c r="AZ1600" t="s">
        <v>61</v>
      </c>
      <c r="BA1600" t="s">
        <v>61</v>
      </c>
      <c r="BB1600" t="s">
        <v>61</v>
      </c>
      <c r="BC1600" t="s">
        <v>61</v>
      </c>
      <c r="BD1600" t="s">
        <v>61</v>
      </c>
      <c r="BE1600" t="s">
        <v>61</v>
      </c>
      <c r="BF1600" t="s">
        <v>61</v>
      </c>
    </row>
    <row r="1601" spans="1:58">
      <c r="A1601" t="s">
        <v>58</v>
      </c>
      <c r="B1601" t="s">
        <v>13051</v>
      </c>
      <c r="C1601" t="s">
        <v>13052</v>
      </c>
      <c r="D1601" t="s">
        <v>13053</v>
      </c>
      <c r="E1601" t="s">
        <v>61</v>
      </c>
      <c r="F1601">
        <v>2013</v>
      </c>
      <c r="G1601" t="s">
        <v>61</v>
      </c>
      <c r="H1601" t="s">
        <v>61</v>
      </c>
      <c r="I1601">
        <v>442</v>
      </c>
      <c r="J1601">
        <v>3</v>
      </c>
      <c r="K1601">
        <v>10</v>
      </c>
      <c r="L1601" t="s">
        <v>13054</v>
      </c>
      <c r="M1601" t="s">
        <v>13055</v>
      </c>
      <c r="N1601" t="s">
        <v>13056</v>
      </c>
      <c r="O1601" t="s">
        <v>61</v>
      </c>
      <c r="Q1601" t="s">
        <v>61</v>
      </c>
      <c r="R1601" t="s">
        <v>61</v>
      </c>
      <c r="S1601" t="s">
        <v>61</v>
      </c>
      <c r="T1601" t="s">
        <v>61</v>
      </c>
      <c r="X1601" t="s">
        <v>61</v>
      </c>
      <c r="Y1601" t="s">
        <v>13057</v>
      </c>
      <c r="Z1601" t="s">
        <v>61</v>
      </c>
      <c r="AA1601" t="s">
        <v>13058</v>
      </c>
      <c r="AB1601">
        <v>23581787</v>
      </c>
      <c r="AC1601" t="s">
        <v>67</v>
      </c>
      <c r="AD1601" t="s">
        <v>61</v>
      </c>
      <c r="AE1601" t="s">
        <v>61</v>
      </c>
      <c r="AF1601" t="s">
        <v>61</v>
      </c>
      <c r="AG1601" t="s">
        <v>13059</v>
      </c>
      <c r="AH1601" t="s">
        <v>61</v>
      </c>
      <c r="AI1601" t="s">
        <v>13060</v>
      </c>
      <c r="AJ1601" t="s">
        <v>61</v>
      </c>
      <c r="AK1601" t="s">
        <v>61</v>
      </c>
      <c r="AL1601" t="s">
        <v>61</v>
      </c>
      <c r="AM1601" t="s">
        <v>13061</v>
      </c>
      <c r="AN1601" t="s">
        <v>61</v>
      </c>
      <c r="AO1601" t="s">
        <v>61</v>
      </c>
      <c r="AP1601" t="s">
        <v>61</v>
      </c>
      <c r="AQ1601" t="s">
        <v>61</v>
      </c>
      <c r="AR1601" t="s">
        <v>61</v>
      </c>
      <c r="AS1601" t="s">
        <v>61</v>
      </c>
      <c r="AT1601" t="s">
        <v>61</v>
      </c>
      <c r="AU1601" t="s">
        <v>61</v>
      </c>
      <c r="AV1601" t="s">
        <v>61</v>
      </c>
      <c r="AW1601" t="s">
        <v>61</v>
      </c>
      <c r="AX1601" t="s">
        <v>61</v>
      </c>
      <c r="AY1601" t="s">
        <v>61</v>
      </c>
      <c r="AZ1601" t="s">
        <v>61</v>
      </c>
      <c r="BA1601" t="s">
        <v>61</v>
      </c>
      <c r="BB1601" t="s">
        <v>61</v>
      </c>
      <c r="BC1601" t="s">
        <v>61</v>
      </c>
      <c r="BD1601" t="s">
        <v>61</v>
      </c>
      <c r="BE1601" t="s">
        <v>61</v>
      </c>
      <c r="BF1601" t="s">
        <v>61</v>
      </c>
    </row>
    <row r="1602" spans="1:58">
      <c r="A1602" t="s">
        <v>58</v>
      </c>
      <c r="B1602" t="s">
        <v>13062</v>
      </c>
      <c r="C1602" t="s">
        <v>13063</v>
      </c>
      <c r="D1602" t="s">
        <v>627</v>
      </c>
      <c r="E1602" t="s">
        <v>61</v>
      </c>
      <c r="F1602">
        <v>2011</v>
      </c>
      <c r="G1602" t="s">
        <v>628</v>
      </c>
      <c r="H1602">
        <v>51</v>
      </c>
      <c r="I1602">
        <v>2</v>
      </c>
      <c r="J1602">
        <v>230</v>
      </c>
      <c r="K1602" t="s">
        <v>61</v>
      </c>
      <c r="L1602" t="s">
        <v>13064</v>
      </c>
      <c r="M1602" t="s">
        <v>13065</v>
      </c>
      <c r="N1602" t="s">
        <v>13066</v>
      </c>
      <c r="O1602" t="s">
        <v>61</v>
      </c>
      <c r="Q1602" t="s">
        <v>61</v>
      </c>
      <c r="R1602" t="s">
        <v>61</v>
      </c>
      <c r="S1602" t="s">
        <v>61</v>
      </c>
      <c r="T1602" t="s">
        <v>61</v>
      </c>
      <c r="X1602" t="s">
        <v>61</v>
      </c>
      <c r="Y1602" t="s">
        <v>632</v>
      </c>
      <c r="Z1602" t="s">
        <v>61</v>
      </c>
      <c r="AA1602" t="s">
        <v>61</v>
      </c>
      <c r="AB1602" t="s">
        <v>61</v>
      </c>
      <c r="AC1602" t="s">
        <v>67</v>
      </c>
      <c r="AD1602" t="s">
        <v>61</v>
      </c>
      <c r="AE1602" t="s">
        <v>61</v>
      </c>
      <c r="AF1602" t="s">
        <v>61</v>
      </c>
      <c r="AG1602" t="s">
        <v>61</v>
      </c>
      <c r="AH1602" t="s">
        <v>61</v>
      </c>
      <c r="AI1602" t="s">
        <v>61</v>
      </c>
      <c r="AJ1602" t="s">
        <v>61</v>
      </c>
      <c r="AK1602" t="s">
        <v>61</v>
      </c>
      <c r="AL1602" t="s">
        <v>61</v>
      </c>
      <c r="AM1602" t="s">
        <v>13063</v>
      </c>
      <c r="AN1602" t="s">
        <v>61</v>
      </c>
      <c r="AO1602" t="s">
        <v>61</v>
      </c>
      <c r="AP1602" t="s">
        <v>61</v>
      </c>
      <c r="AQ1602" t="s">
        <v>61</v>
      </c>
      <c r="AR1602" t="s">
        <v>61</v>
      </c>
      <c r="AS1602" t="s">
        <v>61</v>
      </c>
      <c r="AT1602" t="s">
        <v>61</v>
      </c>
      <c r="AU1602" t="s">
        <v>61</v>
      </c>
      <c r="AV1602" t="s">
        <v>61</v>
      </c>
      <c r="AW1602" t="s">
        <v>61</v>
      </c>
      <c r="AX1602" t="s">
        <v>61</v>
      </c>
      <c r="AY1602" t="s">
        <v>61</v>
      </c>
      <c r="AZ1602" t="s">
        <v>61</v>
      </c>
      <c r="BA1602" t="s">
        <v>61</v>
      </c>
      <c r="BB1602" t="s">
        <v>61</v>
      </c>
      <c r="BC1602" t="s">
        <v>61</v>
      </c>
      <c r="BD1602" t="s">
        <v>61</v>
      </c>
      <c r="BE1602" t="s">
        <v>61</v>
      </c>
      <c r="BF1602" t="s">
        <v>61</v>
      </c>
    </row>
    <row r="1603" spans="1:58">
      <c r="A1603" t="s">
        <v>58</v>
      </c>
      <c r="B1603" t="s">
        <v>13067</v>
      </c>
      <c r="C1603" t="s">
        <v>13068</v>
      </c>
      <c r="D1603" t="s">
        <v>343</v>
      </c>
      <c r="E1603" t="s">
        <v>61</v>
      </c>
      <c r="F1603">
        <v>2014</v>
      </c>
      <c r="G1603" t="s">
        <v>61</v>
      </c>
      <c r="H1603">
        <v>12</v>
      </c>
      <c r="I1603">
        <v>4</v>
      </c>
      <c r="J1603">
        <v>309</v>
      </c>
      <c r="K1603">
        <v>313</v>
      </c>
      <c r="L1603" t="s">
        <v>13069</v>
      </c>
      <c r="M1603" t="s">
        <v>13070</v>
      </c>
      <c r="N1603" t="s">
        <v>13071</v>
      </c>
      <c r="O1603" t="s">
        <v>61</v>
      </c>
      <c r="Q1603" t="s">
        <v>61</v>
      </c>
      <c r="R1603" t="s">
        <v>61</v>
      </c>
      <c r="S1603" t="s">
        <v>61</v>
      </c>
      <c r="T1603" t="s">
        <v>61</v>
      </c>
      <c r="X1603" t="s">
        <v>61</v>
      </c>
      <c r="Y1603" t="s">
        <v>2596</v>
      </c>
      <c r="Z1603" t="s">
        <v>61</v>
      </c>
      <c r="AA1603" t="s">
        <v>61</v>
      </c>
      <c r="AB1603">
        <v>2014361153</v>
      </c>
      <c r="AC1603" t="s">
        <v>67</v>
      </c>
      <c r="AD1603" t="s">
        <v>61</v>
      </c>
      <c r="AE1603" t="s">
        <v>61</v>
      </c>
      <c r="AF1603" t="s">
        <v>61</v>
      </c>
      <c r="AG1603" t="s">
        <v>13072</v>
      </c>
      <c r="AH1603" t="s">
        <v>61</v>
      </c>
      <c r="AI1603" t="s">
        <v>61</v>
      </c>
      <c r="AJ1603" t="s">
        <v>61</v>
      </c>
      <c r="AK1603" t="s">
        <v>61</v>
      </c>
      <c r="AL1603" t="s">
        <v>61</v>
      </c>
      <c r="AM1603" t="s">
        <v>13073</v>
      </c>
      <c r="AN1603" t="s">
        <v>61</v>
      </c>
      <c r="AO1603" t="s">
        <v>61</v>
      </c>
      <c r="AP1603" t="s">
        <v>61</v>
      </c>
      <c r="AQ1603" t="s">
        <v>61</v>
      </c>
      <c r="AR1603" t="s">
        <v>61</v>
      </c>
      <c r="AS1603" t="s">
        <v>61</v>
      </c>
      <c r="AT1603" t="s">
        <v>61</v>
      </c>
      <c r="AU1603" t="s">
        <v>61</v>
      </c>
      <c r="AV1603" t="s">
        <v>61</v>
      </c>
      <c r="AW1603" t="s">
        <v>61</v>
      </c>
      <c r="AX1603" t="s">
        <v>61</v>
      </c>
      <c r="AY1603" t="s">
        <v>61</v>
      </c>
      <c r="AZ1603" t="s">
        <v>61</v>
      </c>
      <c r="BA1603" t="s">
        <v>61</v>
      </c>
      <c r="BB1603" t="s">
        <v>61</v>
      </c>
      <c r="BC1603" t="s">
        <v>61</v>
      </c>
      <c r="BD1603" t="s">
        <v>61</v>
      </c>
      <c r="BE1603" t="s">
        <v>61</v>
      </c>
      <c r="BF1603" t="s">
        <v>61</v>
      </c>
    </row>
    <row r="1604" spans="1:58">
      <c r="A1604" t="s">
        <v>58</v>
      </c>
      <c r="B1604" t="s">
        <v>13074</v>
      </c>
      <c r="C1604" t="s">
        <v>13075</v>
      </c>
      <c r="D1604" t="s">
        <v>635</v>
      </c>
      <c r="E1604" t="s">
        <v>636</v>
      </c>
      <c r="F1604">
        <v>2015</v>
      </c>
      <c r="G1604">
        <v>1</v>
      </c>
      <c r="H1604" t="s">
        <v>6578</v>
      </c>
      <c r="I1604" t="s">
        <v>61</v>
      </c>
      <c r="J1604">
        <v>100</v>
      </c>
      <c r="K1604">
        <v>101</v>
      </c>
      <c r="L1604" t="s">
        <v>13076</v>
      </c>
      <c r="M1604" t="s">
        <v>13077</v>
      </c>
      <c r="N1604" t="s">
        <v>13078</v>
      </c>
      <c r="O1604" t="s">
        <v>61</v>
      </c>
      <c r="Q1604" t="s">
        <v>61</v>
      </c>
      <c r="R1604" t="s">
        <v>61</v>
      </c>
      <c r="S1604" t="s">
        <v>61</v>
      </c>
      <c r="T1604" t="s">
        <v>61</v>
      </c>
      <c r="X1604" t="s">
        <v>61</v>
      </c>
      <c r="Y1604" t="s">
        <v>642</v>
      </c>
      <c r="Z1604" t="s">
        <v>61</v>
      </c>
      <c r="AA1604" t="s">
        <v>61</v>
      </c>
      <c r="AB1604" t="s">
        <v>61</v>
      </c>
      <c r="AC1604" t="s">
        <v>67</v>
      </c>
      <c r="AD1604" t="s">
        <v>61</v>
      </c>
      <c r="AE1604" t="s">
        <v>61</v>
      </c>
      <c r="AF1604" t="s">
        <v>61</v>
      </c>
      <c r="AG1604" t="s">
        <v>61</v>
      </c>
      <c r="AH1604" t="s">
        <v>61</v>
      </c>
      <c r="AI1604" t="s">
        <v>61</v>
      </c>
      <c r="AJ1604" t="s">
        <v>61</v>
      </c>
      <c r="AK1604" t="s">
        <v>61</v>
      </c>
      <c r="AL1604" t="s">
        <v>61</v>
      </c>
      <c r="AM1604" t="s">
        <v>13075</v>
      </c>
      <c r="AN1604" t="s">
        <v>61</v>
      </c>
      <c r="AO1604" t="s">
        <v>61</v>
      </c>
      <c r="AP1604" t="s">
        <v>61</v>
      </c>
      <c r="AQ1604" t="s">
        <v>61</v>
      </c>
      <c r="AR1604" t="s">
        <v>61</v>
      </c>
      <c r="AS1604" t="s">
        <v>61</v>
      </c>
      <c r="AT1604" t="s">
        <v>61</v>
      </c>
      <c r="AU1604" t="s">
        <v>61</v>
      </c>
      <c r="AV1604" t="s">
        <v>61</v>
      </c>
      <c r="AW1604" t="s">
        <v>61</v>
      </c>
      <c r="AX1604" t="s">
        <v>61</v>
      </c>
      <c r="AY1604" t="s">
        <v>61</v>
      </c>
      <c r="AZ1604" t="s">
        <v>61</v>
      </c>
      <c r="BA1604" t="s">
        <v>61</v>
      </c>
      <c r="BB1604" t="s">
        <v>61</v>
      </c>
      <c r="BC1604" t="s">
        <v>61</v>
      </c>
      <c r="BD1604" t="s">
        <v>61</v>
      </c>
      <c r="BE1604" t="s">
        <v>61</v>
      </c>
      <c r="BF1604" t="s">
        <v>61</v>
      </c>
    </row>
    <row r="1605" spans="1:58">
      <c r="A1605" t="s">
        <v>58</v>
      </c>
      <c r="B1605" t="s">
        <v>13079</v>
      </c>
      <c r="C1605" t="s">
        <v>13080</v>
      </c>
      <c r="D1605" t="s">
        <v>1250</v>
      </c>
      <c r="E1605" t="s">
        <v>61</v>
      </c>
      <c r="F1605">
        <v>2011</v>
      </c>
      <c r="G1605" t="s">
        <v>1152</v>
      </c>
      <c r="H1605">
        <v>1</v>
      </c>
      <c r="I1605">
        <v>5</v>
      </c>
      <c r="J1605">
        <v>395</v>
      </c>
      <c r="K1605">
        <v>398</v>
      </c>
      <c r="L1605" t="s">
        <v>61</v>
      </c>
      <c r="M1605" t="s">
        <v>13081</v>
      </c>
      <c r="N1605" t="s">
        <v>13082</v>
      </c>
      <c r="O1605" t="s">
        <v>61</v>
      </c>
      <c r="Q1605" t="s">
        <v>61</v>
      </c>
      <c r="R1605" t="s">
        <v>61</v>
      </c>
      <c r="S1605" t="s">
        <v>61</v>
      </c>
      <c r="T1605" t="s">
        <v>61</v>
      </c>
      <c r="X1605" t="s">
        <v>61</v>
      </c>
      <c r="Y1605" t="s">
        <v>13083</v>
      </c>
      <c r="Z1605" t="s">
        <v>61</v>
      </c>
      <c r="AA1605" t="s">
        <v>13084</v>
      </c>
      <c r="AB1605">
        <v>24645705</v>
      </c>
      <c r="AC1605" t="s">
        <v>67</v>
      </c>
      <c r="AD1605" t="s">
        <v>61</v>
      </c>
      <c r="AE1605" t="s">
        <v>61</v>
      </c>
      <c r="AF1605" t="s">
        <v>61</v>
      </c>
      <c r="AG1605" t="s">
        <v>13085</v>
      </c>
      <c r="AH1605" t="s">
        <v>61</v>
      </c>
      <c r="AI1605" t="s">
        <v>13086</v>
      </c>
      <c r="AJ1605" t="s">
        <v>61</v>
      </c>
      <c r="AK1605" t="s">
        <v>61</v>
      </c>
      <c r="AL1605" t="s">
        <v>61</v>
      </c>
      <c r="AM1605" t="s">
        <v>13087</v>
      </c>
      <c r="AN1605" t="s">
        <v>61</v>
      </c>
      <c r="AO1605" t="s">
        <v>61</v>
      </c>
      <c r="AP1605" t="s">
        <v>61</v>
      </c>
      <c r="AQ1605" t="s">
        <v>61</v>
      </c>
      <c r="AR1605" t="s">
        <v>61</v>
      </c>
      <c r="AS1605" t="s">
        <v>61</v>
      </c>
      <c r="AT1605" t="s">
        <v>61</v>
      </c>
      <c r="AU1605" t="s">
        <v>61</v>
      </c>
      <c r="AV1605" t="s">
        <v>61</v>
      </c>
      <c r="AW1605" t="s">
        <v>61</v>
      </c>
      <c r="AX1605" t="s">
        <v>61</v>
      </c>
      <c r="AY1605" t="s">
        <v>61</v>
      </c>
      <c r="AZ1605" t="s">
        <v>61</v>
      </c>
      <c r="BA1605" t="s">
        <v>61</v>
      </c>
      <c r="BB1605" t="s">
        <v>61</v>
      </c>
      <c r="BC1605" t="s">
        <v>61</v>
      </c>
      <c r="BD1605" t="s">
        <v>61</v>
      </c>
      <c r="BE1605" t="s">
        <v>61</v>
      </c>
      <c r="BF1605" t="s">
        <v>61</v>
      </c>
    </row>
    <row r="1606" spans="1:58">
      <c r="A1606" t="s">
        <v>58</v>
      </c>
      <c r="B1606" t="s">
        <v>13088</v>
      </c>
      <c r="C1606" t="s">
        <v>13089</v>
      </c>
      <c r="D1606" t="s">
        <v>876</v>
      </c>
      <c r="E1606" t="s">
        <v>877</v>
      </c>
      <c r="F1606">
        <v>2010</v>
      </c>
      <c r="G1606" s="1">
        <v>42654</v>
      </c>
      <c r="H1606">
        <v>74</v>
      </c>
      <c r="I1606">
        <v>8</v>
      </c>
      <c r="J1606">
        <v>146</v>
      </c>
      <c r="K1606" t="s">
        <v>61</v>
      </c>
      <c r="L1606" t="s">
        <v>13090</v>
      </c>
      <c r="M1606" t="s">
        <v>13091</v>
      </c>
      <c r="N1606" t="s">
        <v>13092</v>
      </c>
      <c r="O1606" t="s">
        <v>61</v>
      </c>
      <c r="Q1606" t="s">
        <v>61</v>
      </c>
      <c r="R1606" t="s">
        <v>61</v>
      </c>
      <c r="S1606" t="s">
        <v>61</v>
      </c>
      <c r="T1606" t="s">
        <v>61</v>
      </c>
      <c r="X1606" t="s">
        <v>61</v>
      </c>
      <c r="Y1606" t="s">
        <v>881</v>
      </c>
      <c r="Z1606" t="s">
        <v>61</v>
      </c>
      <c r="AA1606" t="s">
        <v>13093</v>
      </c>
      <c r="AB1606">
        <v>21179257</v>
      </c>
      <c r="AC1606" t="s">
        <v>67</v>
      </c>
      <c r="AD1606" t="s">
        <v>61</v>
      </c>
      <c r="AE1606" t="s">
        <v>61</v>
      </c>
      <c r="AF1606" t="s">
        <v>61</v>
      </c>
      <c r="AG1606" t="s">
        <v>13094</v>
      </c>
      <c r="AH1606" t="s">
        <v>61</v>
      </c>
      <c r="AI1606" t="s">
        <v>61</v>
      </c>
      <c r="AJ1606" t="s">
        <v>61</v>
      </c>
      <c r="AK1606" t="s">
        <v>61</v>
      </c>
      <c r="AL1606" t="s">
        <v>61</v>
      </c>
      <c r="AM1606" t="s">
        <v>13095</v>
      </c>
      <c r="AN1606" t="s">
        <v>61</v>
      </c>
      <c r="AO1606" t="s">
        <v>61</v>
      </c>
      <c r="AP1606" t="s">
        <v>61</v>
      </c>
      <c r="AQ1606" t="s">
        <v>61</v>
      </c>
      <c r="AR1606" t="s">
        <v>61</v>
      </c>
      <c r="AS1606" t="s">
        <v>61</v>
      </c>
      <c r="AT1606" t="s">
        <v>61</v>
      </c>
      <c r="AU1606" t="s">
        <v>61</v>
      </c>
      <c r="AV1606" t="s">
        <v>61</v>
      </c>
      <c r="AW1606" t="s">
        <v>61</v>
      </c>
      <c r="AX1606" t="s">
        <v>61</v>
      </c>
      <c r="AY1606" t="s">
        <v>61</v>
      </c>
      <c r="AZ1606" t="s">
        <v>61</v>
      </c>
      <c r="BA1606" t="s">
        <v>61</v>
      </c>
      <c r="BB1606" t="s">
        <v>61</v>
      </c>
      <c r="BC1606" t="s">
        <v>61</v>
      </c>
      <c r="BD1606" t="s">
        <v>61</v>
      </c>
      <c r="BE1606" t="s">
        <v>61</v>
      </c>
      <c r="BF1606" t="s">
        <v>61</v>
      </c>
    </row>
    <row r="1607" spans="1:58">
      <c r="A1607" t="s">
        <v>58</v>
      </c>
      <c r="B1607" t="s">
        <v>13096</v>
      </c>
      <c r="C1607" t="s">
        <v>13097</v>
      </c>
      <c r="D1607" t="s">
        <v>335</v>
      </c>
      <c r="E1607" t="s">
        <v>61</v>
      </c>
      <c r="F1607">
        <v>2011</v>
      </c>
      <c r="G1607" s="1">
        <v>42614</v>
      </c>
      <c r="H1607" t="s">
        <v>13098</v>
      </c>
      <c r="I1607" t="s">
        <v>61</v>
      </c>
      <c r="J1607" t="s">
        <v>61</v>
      </c>
      <c r="K1607" t="s">
        <v>61</v>
      </c>
      <c r="L1607" t="s">
        <v>13099</v>
      </c>
      <c r="M1607" t="s">
        <v>13100</v>
      </c>
      <c r="N1607" t="s">
        <v>13101</v>
      </c>
      <c r="O1607" t="s">
        <v>61</v>
      </c>
      <c r="Q1607" t="s">
        <v>61</v>
      </c>
      <c r="R1607" t="s">
        <v>61</v>
      </c>
      <c r="S1607" t="s">
        <v>61</v>
      </c>
      <c r="T1607" t="s">
        <v>61</v>
      </c>
      <c r="X1607" t="s">
        <v>61</v>
      </c>
      <c r="Y1607" t="s">
        <v>340</v>
      </c>
      <c r="Z1607" t="s">
        <v>61</v>
      </c>
      <c r="AA1607" t="s">
        <v>61</v>
      </c>
      <c r="AB1607" t="s">
        <v>61</v>
      </c>
      <c r="AC1607" t="s">
        <v>67</v>
      </c>
      <c r="AD1607" t="s">
        <v>61</v>
      </c>
      <c r="AE1607" t="s">
        <v>61</v>
      </c>
      <c r="AF1607" t="s">
        <v>61</v>
      </c>
      <c r="AG1607" t="s">
        <v>61</v>
      </c>
      <c r="AH1607" t="s">
        <v>61</v>
      </c>
      <c r="AI1607" t="s">
        <v>61</v>
      </c>
      <c r="AJ1607" t="s">
        <v>61</v>
      </c>
      <c r="AK1607" t="s">
        <v>61</v>
      </c>
      <c r="AL1607" t="s">
        <v>61</v>
      </c>
      <c r="AM1607" t="s">
        <v>13097</v>
      </c>
      <c r="AN1607" t="s">
        <v>61</v>
      </c>
      <c r="AO1607" t="s">
        <v>61</v>
      </c>
      <c r="AP1607" t="s">
        <v>61</v>
      </c>
      <c r="AQ1607" t="s">
        <v>61</v>
      </c>
      <c r="AR1607" t="s">
        <v>61</v>
      </c>
      <c r="AS1607" t="s">
        <v>61</v>
      </c>
      <c r="AT1607" t="s">
        <v>61</v>
      </c>
      <c r="AU1607" t="s">
        <v>61</v>
      </c>
      <c r="AV1607" t="s">
        <v>61</v>
      </c>
      <c r="AW1607" t="s">
        <v>61</v>
      </c>
      <c r="AX1607" t="s">
        <v>61</v>
      </c>
      <c r="AY1607" t="s">
        <v>61</v>
      </c>
      <c r="AZ1607" t="s">
        <v>61</v>
      </c>
      <c r="BA1607" t="s">
        <v>61</v>
      </c>
      <c r="BB1607" t="s">
        <v>61</v>
      </c>
      <c r="BC1607" t="s">
        <v>61</v>
      </c>
      <c r="BD1607" t="s">
        <v>61</v>
      </c>
      <c r="BE1607" t="s">
        <v>61</v>
      </c>
      <c r="BF1607" t="s">
        <v>61</v>
      </c>
    </row>
    <row r="1608" spans="1:58">
      <c r="A1608" t="s">
        <v>58</v>
      </c>
      <c r="B1608" t="s">
        <v>13102</v>
      </c>
      <c r="C1608" t="s">
        <v>13103</v>
      </c>
      <c r="D1608" t="s">
        <v>13104</v>
      </c>
      <c r="E1608" t="s">
        <v>61</v>
      </c>
      <c r="F1608">
        <v>2011</v>
      </c>
      <c r="G1608" t="s">
        <v>61</v>
      </c>
      <c r="H1608">
        <v>4</v>
      </c>
      <c r="I1608" t="s">
        <v>61</v>
      </c>
      <c r="J1608">
        <v>85</v>
      </c>
      <c r="K1608">
        <v>90</v>
      </c>
      <c r="L1608" t="s">
        <v>61</v>
      </c>
      <c r="M1608" t="s">
        <v>13105</v>
      </c>
      <c r="N1608" t="s">
        <v>13106</v>
      </c>
      <c r="O1608" t="s">
        <v>61</v>
      </c>
      <c r="Q1608" t="s">
        <v>61</v>
      </c>
      <c r="R1608" t="s">
        <v>61</v>
      </c>
      <c r="S1608" t="s">
        <v>61</v>
      </c>
      <c r="T1608" t="s">
        <v>61</v>
      </c>
      <c r="X1608" t="s">
        <v>61</v>
      </c>
      <c r="Y1608" t="s">
        <v>13107</v>
      </c>
      <c r="Z1608" t="s">
        <v>61</v>
      </c>
      <c r="AA1608" t="s">
        <v>13108</v>
      </c>
      <c r="AB1608">
        <v>21544250</v>
      </c>
      <c r="AC1608" t="s">
        <v>67</v>
      </c>
      <c r="AD1608" t="s">
        <v>61</v>
      </c>
      <c r="AE1608" t="s">
        <v>61</v>
      </c>
      <c r="AF1608" t="s">
        <v>61</v>
      </c>
      <c r="AG1608" t="s">
        <v>13109</v>
      </c>
      <c r="AH1608" t="s">
        <v>61</v>
      </c>
      <c r="AI1608" t="s">
        <v>13110</v>
      </c>
      <c r="AJ1608" t="s">
        <v>61</v>
      </c>
      <c r="AK1608" t="s">
        <v>61</v>
      </c>
      <c r="AL1608" t="s">
        <v>61</v>
      </c>
      <c r="AM1608" t="s">
        <v>13111</v>
      </c>
      <c r="AN1608" t="s">
        <v>61</v>
      </c>
      <c r="AO1608" t="s">
        <v>61</v>
      </c>
      <c r="AP1608" t="s">
        <v>61</v>
      </c>
      <c r="AQ1608" t="s">
        <v>61</v>
      </c>
      <c r="AR1608" t="s">
        <v>61</v>
      </c>
      <c r="AS1608" t="s">
        <v>61</v>
      </c>
      <c r="AT1608" t="s">
        <v>61</v>
      </c>
      <c r="AU1608" t="s">
        <v>61</v>
      </c>
      <c r="AV1608" t="s">
        <v>61</v>
      </c>
      <c r="AW1608" t="s">
        <v>61</v>
      </c>
      <c r="AX1608" t="s">
        <v>61</v>
      </c>
      <c r="AY1608" t="s">
        <v>61</v>
      </c>
      <c r="AZ1608" t="s">
        <v>61</v>
      </c>
      <c r="BA1608" t="s">
        <v>61</v>
      </c>
      <c r="BB1608" t="s">
        <v>61</v>
      </c>
      <c r="BC1608" t="s">
        <v>61</v>
      </c>
      <c r="BD1608" t="s">
        <v>61</v>
      </c>
      <c r="BE1608" t="s">
        <v>61</v>
      </c>
      <c r="BF1608" t="s">
        <v>61</v>
      </c>
    </row>
    <row r="1609" spans="1:58">
      <c r="A1609" t="s">
        <v>58</v>
      </c>
      <c r="B1609" t="s">
        <v>13112</v>
      </c>
      <c r="C1609" t="s">
        <v>13113</v>
      </c>
      <c r="D1609" t="s">
        <v>1476</v>
      </c>
      <c r="E1609" t="s">
        <v>61</v>
      </c>
      <c r="F1609">
        <v>2005</v>
      </c>
      <c r="G1609">
        <v>2</v>
      </c>
      <c r="H1609">
        <v>275</v>
      </c>
      <c r="I1609">
        <v>7356</v>
      </c>
      <c r="J1609">
        <v>19</v>
      </c>
      <c r="K1609" t="s">
        <v>61</v>
      </c>
      <c r="L1609" t="s">
        <v>13114</v>
      </c>
      <c r="M1609" t="s">
        <v>61</v>
      </c>
      <c r="N1609" t="s">
        <v>13115</v>
      </c>
      <c r="O1609" t="s">
        <v>61</v>
      </c>
      <c r="Q1609" t="s">
        <v>61</v>
      </c>
      <c r="R1609" t="s">
        <v>61</v>
      </c>
      <c r="S1609" t="s">
        <v>61</v>
      </c>
      <c r="T1609" t="s">
        <v>61</v>
      </c>
      <c r="X1609" t="s">
        <v>61</v>
      </c>
      <c r="Y1609" t="s">
        <v>293</v>
      </c>
      <c r="Z1609" t="s">
        <v>61</v>
      </c>
      <c r="AA1609" t="s">
        <v>61</v>
      </c>
      <c r="AB1609">
        <v>2005302923</v>
      </c>
      <c r="AC1609" t="s">
        <v>67</v>
      </c>
      <c r="AD1609" t="s">
        <v>61</v>
      </c>
      <c r="AE1609" t="s">
        <v>61</v>
      </c>
      <c r="AF1609" t="s">
        <v>61</v>
      </c>
      <c r="AG1609" t="s">
        <v>61</v>
      </c>
      <c r="AH1609" t="s">
        <v>61</v>
      </c>
      <c r="AI1609" t="s">
        <v>61</v>
      </c>
      <c r="AJ1609" t="s">
        <v>61</v>
      </c>
      <c r="AK1609" t="s">
        <v>61</v>
      </c>
      <c r="AL1609" t="s">
        <v>61</v>
      </c>
      <c r="AM1609" t="s">
        <v>13116</v>
      </c>
      <c r="AN1609" t="s">
        <v>61</v>
      </c>
      <c r="AO1609" t="s">
        <v>61</v>
      </c>
      <c r="AP1609" t="s">
        <v>61</v>
      </c>
      <c r="AQ1609" t="s">
        <v>61</v>
      </c>
      <c r="AR1609" t="s">
        <v>61</v>
      </c>
      <c r="AS1609" t="s">
        <v>61</v>
      </c>
      <c r="AT1609" t="s">
        <v>61</v>
      </c>
      <c r="AU1609" t="s">
        <v>61</v>
      </c>
      <c r="AV1609" t="s">
        <v>61</v>
      </c>
      <c r="AW1609" t="s">
        <v>61</v>
      </c>
      <c r="AX1609" t="s">
        <v>61</v>
      </c>
      <c r="AY1609" t="s">
        <v>61</v>
      </c>
      <c r="AZ1609" t="s">
        <v>61</v>
      </c>
      <c r="BA1609" t="s">
        <v>61</v>
      </c>
      <c r="BB1609" t="s">
        <v>61</v>
      </c>
      <c r="BC1609" t="s">
        <v>61</v>
      </c>
      <c r="BD1609" t="s">
        <v>61</v>
      </c>
      <c r="BE1609" t="s">
        <v>61</v>
      </c>
      <c r="BF1609" t="s">
        <v>61</v>
      </c>
    </row>
    <row r="1610" spans="1:58">
      <c r="A1610" t="s">
        <v>58</v>
      </c>
      <c r="B1610" t="s">
        <v>13117</v>
      </c>
      <c r="C1610" t="s">
        <v>13118</v>
      </c>
      <c r="D1610" t="s">
        <v>13119</v>
      </c>
      <c r="E1610" t="s">
        <v>61</v>
      </c>
      <c r="F1610">
        <v>2008</v>
      </c>
      <c r="G1610" t="s">
        <v>457</v>
      </c>
      <c r="H1610">
        <v>55</v>
      </c>
      <c r="I1610" t="s">
        <v>61</v>
      </c>
      <c r="J1610">
        <v>11</v>
      </c>
      <c r="K1610">
        <v>21</v>
      </c>
      <c r="L1610" t="s">
        <v>13120</v>
      </c>
      <c r="M1610" t="s">
        <v>13121</v>
      </c>
      <c r="N1610" t="s">
        <v>13122</v>
      </c>
      <c r="O1610" t="s">
        <v>61</v>
      </c>
      <c r="Q1610" t="s">
        <v>61</v>
      </c>
      <c r="R1610" t="s">
        <v>61</v>
      </c>
      <c r="S1610" t="s">
        <v>61</v>
      </c>
      <c r="T1610" t="s">
        <v>61</v>
      </c>
      <c r="X1610" t="s">
        <v>61</v>
      </c>
      <c r="Y1610" t="s">
        <v>13123</v>
      </c>
      <c r="Z1610" t="s">
        <v>61</v>
      </c>
      <c r="AA1610" t="s">
        <v>61</v>
      </c>
      <c r="AB1610" t="s">
        <v>13124</v>
      </c>
      <c r="AC1610" t="s">
        <v>67</v>
      </c>
      <c r="AD1610" t="s">
        <v>61</v>
      </c>
      <c r="AE1610" t="s">
        <v>61</v>
      </c>
      <c r="AF1610" t="s">
        <v>61</v>
      </c>
      <c r="AG1610" t="s">
        <v>61</v>
      </c>
      <c r="AH1610" t="s">
        <v>61</v>
      </c>
      <c r="AI1610" t="s">
        <v>61</v>
      </c>
      <c r="AJ1610" t="s">
        <v>61</v>
      </c>
      <c r="AK1610" t="s">
        <v>61</v>
      </c>
      <c r="AL1610" t="s">
        <v>61</v>
      </c>
      <c r="AM1610" t="s">
        <v>13118</v>
      </c>
      <c r="AN1610" t="s">
        <v>61</v>
      </c>
      <c r="AO1610" t="s">
        <v>61</v>
      </c>
      <c r="AP1610" t="s">
        <v>61</v>
      </c>
      <c r="AQ1610" t="s">
        <v>61</v>
      </c>
      <c r="AR1610" t="s">
        <v>61</v>
      </c>
      <c r="AS1610" t="s">
        <v>61</v>
      </c>
      <c r="AT1610" t="s">
        <v>61</v>
      </c>
      <c r="AU1610" t="s">
        <v>61</v>
      </c>
      <c r="AV1610" t="s">
        <v>61</v>
      </c>
      <c r="AW1610" t="s">
        <v>61</v>
      </c>
      <c r="AX1610" t="s">
        <v>61</v>
      </c>
      <c r="AY1610" t="s">
        <v>61</v>
      </c>
      <c r="AZ1610" t="s">
        <v>61</v>
      </c>
      <c r="BA1610" t="s">
        <v>61</v>
      </c>
      <c r="BB1610" t="s">
        <v>61</v>
      </c>
      <c r="BC1610" t="s">
        <v>61</v>
      </c>
      <c r="BD1610" t="s">
        <v>61</v>
      </c>
      <c r="BE1610" t="s">
        <v>61</v>
      </c>
      <c r="BF1610" t="s">
        <v>61</v>
      </c>
    </row>
    <row r="1611" spans="1:58">
      <c r="A1611" t="s">
        <v>58</v>
      </c>
      <c r="B1611" t="s">
        <v>13125</v>
      </c>
      <c r="C1611" t="s">
        <v>13126</v>
      </c>
      <c r="D1611" t="s">
        <v>3214</v>
      </c>
      <c r="E1611" t="s">
        <v>3215</v>
      </c>
      <c r="F1611">
        <v>2011</v>
      </c>
      <c r="G1611" t="s">
        <v>418</v>
      </c>
      <c r="H1611">
        <v>72</v>
      </c>
      <c r="I1611">
        <v>2</v>
      </c>
      <c r="J1611">
        <v>330</v>
      </c>
      <c r="K1611">
        <v>337</v>
      </c>
      <c r="L1611" t="s">
        <v>13127</v>
      </c>
      <c r="M1611" t="s">
        <v>13128</v>
      </c>
      <c r="N1611" t="s">
        <v>13129</v>
      </c>
      <c r="O1611" t="s">
        <v>61</v>
      </c>
      <c r="Q1611" t="s">
        <v>61</v>
      </c>
      <c r="R1611" t="s">
        <v>61</v>
      </c>
      <c r="S1611" t="s">
        <v>61</v>
      </c>
      <c r="T1611" t="s">
        <v>61</v>
      </c>
      <c r="X1611" t="s">
        <v>61</v>
      </c>
      <c r="Y1611" t="s">
        <v>10347</v>
      </c>
      <c r="Z1611" t="s">
        <v>61</v>
      </c>
      <c r="AA1611" t="s">
        <v>13130</v>
      </c>
      <c r="AB1611">
        <v>21235617</v>
      </c>
      <c r="AC1611" t="s">
        <v>67</v>
      </c>
      <c r="AD1611" t="s">
        <v>61</v>
      </c>
      <c r="AE1611" t="s">
        <v>61</v>
      </c>
      <c r="AF1611" t="s">
        <v>61</v>
      </c>
      <c r="AG1611" t="s">
        <v>13131</v>
      </c>
      <c r="AH1611" t="s">
        <v>61</v>
      </c>
      <c r="AI1611" t="s">
        <v>13132</v>
      </c>
      <c r="AJ1611" t="s">
        <v>61</v>
      </c>
      <c r="AK1611" t="s">
        <v>61</v>
      </c>
      <c r="AL1611" t="s">
        <v>61</v>
      </c>
      <c r="AM1611" t="s">
        <v>13133</v>
      </c>
      <c r="AN1611" t="s">
        <v>61</v>
      </c>
      <c r="AO1611" t="s">
        <v>61</v>
      </c>
      <c r="AP1611" t="s">
        <v>61</v>
      </c>
      <c r="AQ1611" t="s">
        <v>61</v>
      </c>
      <c r="AR1611" t="s">
        <v>61</v>
      </c>
      <c r="AS1611" t="s">
        <v>61</v>
      </c>
      <c r="AT1611" t="s">
        <v>61</v>
      </c>
      <c r="AU1611" t="s">
        <v>61</v>
      </c>
      <c r="AV1611" t="s">
        <v>61</v>
      </c>
      <c r="AW1611" t="s">
        <v>61</v>
      </c>
      <c r="AX1611" t="s">
        <v>61</v>
      </c>
      <c r="AY1611" t="s">
        <v>61</v>
      </c>
      <c r="AZ1611" t="s">
        <v>61</v>
      </c>
      <c r="BA1611" t="s">
        <v>61</v>
      </c>
      <c r="BB1611" t="s">
        <v>61</v>
      </c>
      <c r="BC1611" t="s">
        <v>61</v>
      </c>
      <c r="BD1611" t="s">
        <v>61</v>
      </c>
      <c r="BE1611" t="s">
        <v>61</v>
      </c>
      <c r="BF1611" t="s">
        <v>61</v>
      </c>
    </row>
    <row r="1612" spans="1:58">
      <c r="A1612" t="s">
        <v>58</v>
      </c>
      <c r="B1612" t="s">
        <v>13134</v>
      </c>
      <c r="C1612" t="s">
        <v>13135</v>
      </c>
      <c r="D1612" t="s">
        <v>271</v>
      </c>
      <c r="E1612" t="s">
        <v>272</v>
      </c>
      <c r="F1612">
        <v>1970</v>
      </c>
      <c r="G1612" t="s">
        <v>129</v>
      </c>
      <c r="H1612">
        <v>10</v>
      </c>
      <c r="I1612">
        <v>10</v>
      </c>
      <c r="J1612">
        <v>566</v>
      </c>
      <c r="K1612" t="s">
        <v>13136</v>
      </c>
      <c r="L1612" t="s">
        <v>13137</v>
      </c>
      <c r="M1612" t="s">
        <v>61</v>
      </c>
      <c r="N1612" t="s">
        <v>13138</v>
      </c>
      <c r="O1612" t="s">
        <v>61</v>
      </c>
      <c r="Q1612" t="s">
        <v>61</v>
      </c>
      <c r="R1612" t="s">
        <v>61</v>
      </c>
      <c r="S1612" t="s">
        <v>61</v>
      </c>
      <c r="T1612" t="s">
        <v>61</v>
      </c>
      <c r="X1612" t="s">
        <v>61</v>
      </c>
      <c r="Y1612" t="s">
        <v>276</v>
      </c>
      <c r="Z1612" t="s">
        <v>61</v>
      </c>
      <c r="AA1612" t="s">
        <v>61</v>
      </c>
      <c r="AB1612">
        <v>5528357</v>
      </c>
      <c r="AC1612" t="s">
        <v>67</v>
      </c>
      <c r="AD1612" t="s">
        <v>61</v>
      </c>
      <c r="AE1612" t="s">
        <v>61</v>
      </c>
      <c r="AF1612" t="s">
        <v>61</v>
      </c>
      <c r="AG1612" t="s">
        <v>13139</v>
      </c>
      <c r="AH1612" t="s">
        <v>61</v>
      </c>
      <c r="AI1612" t="s">
        <v>61</v>
      </c>
      <c r="AJ1612" t="s">
        <v>61</v>
      </c>
      <c r="AK1612" t="s">
        <v>61</v>
      </c>
      <c r="AL1612" t="s">
        <v>61</v>
      </c>
      <c r="AM1612" t="s">
        <v>13140</v>
      </c>
      <c r="AN1612" t="s">
        <v>61</v>
      </c>
      <c r="AO1612" t="s">
        <v>61</v>
      </c>
      <c r="AP1612" t="s">
        <v>61</v>
      </c>
      <c r="AQ1612" t="s">
        <v>61</v>
      </c>
      <c r="AR1612" t="s">
        <v>61</v>
      </c>
      <c r="AS1612" t="s">
        <v>61</v>
      </c>
      <c r="AT1612" t="s">
        <v>61</v>
      </c>
      <c r="AU1612" t="s">
        <v>61</v>
      </c>
      <c r="AV1612" t="s">
        <v>61</v>
      </c>
      <c r="AW1612" t="s">
        <v>61</v>
      </c>
      <c r="AX1612" t="s">
        <v>61</v>
      </c>
      <c r="AY1612" t="s">
        <v>61</v>
      </c>
      <c r="AZ1612" t="s">
        <v>61</v>
      </c>
      <c r="BA1612" t="s">
        <v>61</v>
      </c>
      <c r="BB1612" t="s">
        <v>61</v>
      </c>
      <c r="BC1612" t="s">
        <v>61</v>
      </c>
      <c r="BD1612" t="s">
        <v>61</v>
      </c>
      <c r="BE1612" t="s">
        <v>61</v>
      </c>
      <c r="BF1612" t="s">
        <v>61</v>
      </c>
    </row>
    <row r="1613" spans="1:58">
      <c r="A1613" t="s">
        <v>58</v>
      </c>
      <c r="B1613" t="s">
        <v>13141</v>
      </c>
      <c r="C1613" t="s">
        <v>13142</v>
      </c>
      <c r="D1613" t="s">
        <v>373</v>
      </c>
      <c r="E1613" t="s">
        <v>61</v>
      </c>
      <c r="F1613">
        <v>2007</v>
      </c>
      <c r="G1613" t="s">
        <v>13143</v>
      </c>
      <c r="H1613">
        <v>6</v>
      </c>
      <c r="I1613">
        <v>1</v>
      </c>
      <c r="J1613">
        <v>3</v>
      </c>
      <c r="K1613">
        <v>15</v>
      </c>
      <c r="L1613" t="s">
        <v>13144</v>
      </c>
      <c r="M1613" t="s">
        <v>13145</v>
      </c>
      <c r="N1613" t="s">
        <v>13146</v>
      </c>
      <c r="O1613" t="s">
        <v>61</v>
      </c>
      <c r="Q1613" t="s">
        <v>61</v>
      </c>
      <c r="R1613" t="s">
        <v>61</v>
      </c>
      <c r="S1613" t="s">
        <v>61</v>
      </c>
      <c r="T1613" t="s">
        <v>61</v>
      </c>
      <c r="X1613" t="s">
        <v>61</v>
      </c>
      <c r="Y1613" t="s">
        <v>377</v>
      </c>
      <c r="Z1613" t="s">
        <v>61</v>
      </c>
      <c r="AA1613" t="s">
        <v>61</v>
      </c>
      <c r="AB1613">
        <v>2008244243</v>
      </c>
      <c r="AC1613" t="s">
        <v>67</v>
      </c>
      <c r="AD1613" t="s">
        <v>61</v>
      </c>
      <c r="AE1613" t="s">
        <v>61</v>
      </c>
      <c r="AF1613" t="s">
        <v>61</v>
      </c>
      <c r="AG1613" t="s">
        <v>61</v>
      </c>
      <c r="AH1613" t="s">
        <v>61</v>
      </c>
      <c r="AI1613" t="s">
        <v>61</v>
      </c>
      <c r="AJ1613" t="s">
        <v>61</v>
      </c>
      <c r="AK1613" t="s">
        <v>61</v>
      </c>
      <c r="AL1613" t="s">
        <v>61</v>
      </c>
      <c r="AM1613" t="s">
        <v>13142</v>
      </c>
      <c r="AN1613" t="s">
        <v>61</v>
      </c>
      <c r="AO1613" t="s">
        <v>61</v>
      </c>
      <c r="AP1613" t="s">
        <v>61</v>
      </c>
      <c r="AQ1613" t="s">
        <v>61</v>
      </c>
      <c r="AR1613" t="s">
        <v>61</v>
      </c>
      <c r="AS1613" t="s">
        <v>61</v>
      </c>
      <c r="AT1613" t="s">
        <v>61</v>
      </c>
      <c r="AU1613" t="s">
        <v>61</v>
      </c>
      <c r="AV1613" t="s">
        <v>61</v>
      </c>
      <c r="AW1613" t="s">
        <v>61</v>
      </c>
      <c r="AX1613" t="s">
        <v>61</v>
      </c>
      <c r="AY1613" t="s">
        <v>61</v>
      </c>
      <c r="AZ1613" t="s">
        <v>61</v>
      </c>
      <c r="BA1613" t="s">
        <v>61</v>
      </c>
      <c r="BB1613" t="s">
        <v>61</v>
      </c>
      <c r="BC1613" t="s">
        <v>61</v>
      </c>
      <c r="BD1613" t="s">
        <v>61</v>
      </c>
      <c r="BE1613" t="s">
        <v>61</v>
      </c>
      <c r="BF1613" t="s">
        <v>61</v>
      </c>
    </row>
    <row r="1614" spans="1:58">
      <c r="A1614" t="s">
        <v>58</v>
      </c>
      <c r="B1614" t="s">
        <v>13147</v>
      </c>
      <c r="C1614" t="s">
        <v>13148</v>
      </c>
      <c r="D1614" t="s">
        <v>373</v>
      </c>
      <c r="E1614" t="s">
        <v>61</v>
      </c>
      <c r="F1614">
        <v>2013</v>
      </c>
      <c r="G1614" t="s">
        <v>61</v>
      </c>
      <c r="H1614">
        <v>12</v>
      </c>
      <c r="I1614">
        <v>3</v>
      </c>
      <c r="J1614">
        <v>363</v>
      </c>
      <c r="K1614">
        <v>369</v>
      </c>
      <c r="L1614" t="s">
        <v>13149</v>
      </c>
      <c r="M1614" t="s">
        <v>13150</v>
      </c>
      <c r="N1614" t="s">
        <v>13151</v>
      </c>
      <c r="O1614" t="s">
        <v>61</v>
      </c>
      <c r="Q1614" t="s">
        <v>61</v>
      </c>
      <c r="R1614" t="s">
        <v>61</v>
      </c>
      <c r="S1614" t="s">
        <v>61</v>
      </c>
      <c r="T1614" t="s">
        <v>61</v>
      </c>
      <c r="X1614" t="s">
        <v>61</v>
      </c>
      <c r="Y1614" t="s">
        <v>377</v>
      </c>
      <c r="Z1614" t="s">
        <v>61</v>
      </c>
      <c r="AA1614" t="s">
        <v>61</v>
      </c>
      <c r="AB1614">
        <v>2013571680</v>
      </c>
      <c r="AC1614" t="s">
        <v>67</v>
      </c>
      <c r="AD1614" t="s">
        <v>61</v>
      </c>
      <c r="AE1614" t="s">
        <v>61</v>
      </c>
      <c r="AF1614" t="s">
        <v>61</v>
      </c>
      <c r="AG1614" t="s">
        <v>61</v>
      </c>
      <c r="AH1614" t="s">
        <v>61</v>
      </c>
      <c r="AI1614" t="s">
        <v>61</v>
      </c>
      <c r="AJ1614" t="s">
        <v>61</v>
      </c>
      <c r="AK1614" t="s">
        <v>61</v>
      </c>
      <c r="AL1614" t="s">
        <v>61</v>
      </c>
      <c r="AM1614" t="s">
        <v>13148</v>
      </c>
      <c r="AN1614" t="s">
        <v>61</v>
      </c>
      <c r="AO1614" t="s">
        <v>61</v>
      </c>
      <c r="AP1614" t="s">
        <v>61</v>
      </c>
      <c r="AQ1614" t="s">
        <v>61</v>
      </c>
      <c r="AR1614" t="s">
        <v>61</v>
      </c>
      <c r="AS1614" t="s">
        <v>61</v>
      </c>
      <c r="AT1614" t="s">
        <v>61</v>
      </c>
      <c r="AU1614" t="s">
        <v>61</v>
      </c>
      <c r="AV1614" t="s">
        <v>61</v>
      </c>
      <c r="AW1614" t="s">
        <v>61</v>
      </c>
      <c r="AX1614" t="s">
        <v>61</v>
      </c>
      <c r="AY1614" t="s">
        <v>61</v>
      </c>
      <c r="AZ1614" t="s">
        <v>61</v>
      </c>
      <c r="BA1614" t="s">
        <v>61</v>
      </c>
      <c r="BB1614" t="s">
        <v>61</v>
      </c>
      <c r="BC1614" t="s">
        <v>61</v>
      </c>
      <c r="BD1614" t="s">
        <v>61</v>
      </c>
      <c r="BE1614" t="s">
        <v>61</v>
      </c>
      <c r="BF1614" t="s">
        <v>61</v>
      </c>
    </row>
    <row r="1615" spans="1:58">
      <c r="A1615" t="s">
        <v>58</v>
      </c>
      <c r="B1615" t="s">
        <v>13152</v>
      </c>
      <c r="C1615" t="s">
        <v>13153</v>
      </c>
      <c r="D1615" t="s">
        <v>5668</v>
      </c>
      <c r="E1615" t="s">
        <v>61</v>
      </c>
      <c r="F1615">
        <v>2013</v>
      </c>
      <c r="G1615" t="s">
        <v>637</v>
      </c>
      <c r="H1615">
        <v>8</v>
      </c>
      <c r="I1615">
        <v>3</v>
      </c>
      <c r="J1615">
        <v>144</v>
      </c>
      <c r="K1615">
        <v>148</v>
      </c>
      <c r="L1615" t="s">
        <v>13154</v>
      </c>
      <c r="M1615" t="s">
        <v>13155</v>
      </c>
      <c r="N1615" t="s">
        <v>13156</v>
      </c>
      <c r="O1615" t="s">
        <v>61</v>
      </c>
      <c r="Q1615" t="s">
        <v>61</v>
      </c>
      <c r="R1615" t="s">
        <v>61</v>
      </c>
      <c r="S1615" t="s">
        <v>61</v>
      </c>
      <c r="T1615" t="s">
        <v>61</v>
      </c>
      <c r="X1615" t="s">
        <v>61</v>
      </c>
      <c r="Y1615" t="s">
        <v>11720</v>
      </c>
      <c r="Z1615" t="s">
        <v>61</v>
      </c>
      <c r="AA1615" t="s">
        <v>61</v>
      </c>
      <c r="AB1615">
        <v>2014047159</v>
      </c>
      <c r="AC1615" t="s">
        <v>67</v>
      </c>
      <c r="AD1615" t="s">
        <v>61</v>
      </c>
      <c r="AE1615" t="s">
        <v>61</v>
      </c>
      <c r="AF1615" t="s">
        <v>61</v>
      </c>
      <c r="AG1615" t="s">
        <v>61</v>
      </c>
      <c r="AH1615" t="s">
        <v>61</v>
      </c>
      <c r="AI1615" t="s">
        <v>61</v>
      </c>
      <c r="AJ1615" t="s">
        <v>61</v>
      </c>
      <c r="AK1615" t="s">
        <v>61</v>
      </c>
      <c r="AL1615" t="s">
        <v>61</v>
      </c>
      <c r="AM1615" t="s">
        <v>13153</v>
      </c>
      <c r="AN1615" t="s">
        <v>61</v>
      </c>
      <c r="AO1615" t="s">
        <v>61</v>
      </c>
      <c r="AP1615" t="s">
        <v>61</v>
      </c>
      <c r="AQ1615" t="s">
        <v>61</v>
      </c>
      <c r="AR1615" t="s">
        <v>61</v>
      </c>
      <c r="AS1615" t="s">
        <v>61</v>
      </c>
      <c r="AT1615" t="s">
        <v>61</v>
      </c>
      <c r="AU1615" t="s">
        <v>61</v>
      </c>
      <c r="AV1615" t="s">
        <v>61</v>
      </c>
      <c r="AW1615" t="s">
        <v>61</v>
      </c>
      <c r="AX1615" t="s">
        <v>61</v>
      </c>
      <c r="AY1615" t="s">
        <v>61</v>
      </c>
      <c r="AZ1615" t="s">
        <v>61</v>
      </c>
      <c r="BA1615" t="s">
        <v>61</v>
      </c>
      <c r="BB1615" t="s">
        <v>61</v>
      </c>
      <c r="BC1615" t="s">
        <v>61</v>
      </c>
      <c r="BD1615" t="s">
        <v>61</v>
      </c>
      <c r="BE1615" t="s">
        <v>61</v>
      </c>
      <c r="BF1615" t="s">
        <v>61</v>
      </c>
    </row>
    <row r="1616" spans="1:58">
      <c r="A1616" t="s">
        <v>58</v>
      </c>
      <c r="B1616" t="s">
        <v>13157</v>
      </c>
      <c r="C1616" t="s">
        <v>13158</v>
      </c>
      <c r="D1616" t="s">
        <v>9585</v>
      </c>
      <c r="E1616" t="s">
        <v>61</v>
      </c>
      <c r="F1616">
        <v>2008</v>
      </c>
      <c r="G1616" t="s">
        <v>61</v>
      </c>
      <c r="H1616">
        <v>11</v>
      </c>
      <c r="I1616">
        <v>3</v>
      </c>
      <c r="J1616">
        <v>80</v>
      </c>
      <c r="K1616" t="s">
        <v>13159</v>
      </c>
      <c r="L1616" t="s">
        <v>13160</v>
      </c>
      <c r="M1616" t="s">
        <v>13161</v>
      </c>
      <c r="N1616" t="s">
        <v>13162</v>
      </c>
      <c r="O1616" t="s">
        <v>61</v>
      </c>
      <c r="Q1616" t="s">
        <v>61</v>
      </c>
      <c r="R1616" t="s">
        <v>61</v>
      </c>
      <c r="S1616" t="s">
        <v>61</v>
      </c>
      <c r="T1616" t="s">
        <v>61</v>
      </c>
      <c r="X1616" t="s">
        <v>61</v>
      </c>
      <c r="Y1616" t="s">
        <v>9590</v>
      </c>
      <c r="Z1616" t="s">
        <v>61</v>
      </c>
      <c r="AA1616" t="s">
        <v>13163</v>
      </c>
      <c r="AB1616">
        <v>105572706</v>
      </c>
      <c r="AC1616" t="s">
        <v>67</v>
      </c>
      <c r="AD1616" t="s">
        <v>61</v>
      </c>
      <c r="AE1616" t="s">
        <v>61</v>
      </c>
      <c r="AF1616" t="s">
        <v>61</v>
      </c>
      <c r="AG1616" t="s">
        <v>13164</v>
      </c>
      <c r="AH1616" t="s">
        <v>61</v>
      </c>
      <c r="AI1616" t="s">
        <v>61</v>
      </c>
      <c r="AJ1616" t="s">
        <v>61</v>
      </c>
      <c r="AK1616" t="s">
        <v>61</v>
      </c>
      <c r="AL1616" t="s">
        <v>61</v>
      </c>
      <c r="AM1616" t="s">
        <v>13165</v>
      </c>
      <c r="AN1616" t="s">
        <v>61</v>
      </c>
      <c r="AO1616" t="s">
        <v>61</v>
      </c>
      <c r="AP1616" t="s">
        <v>61</v>
      </c>
      <c r="AQ1616" t="s">
        <v>61</v>
      </c>
      <c r="AR1616" t="s">
        <v>61</v>
      </c>
      <c r="AS1616" t="s">
        <v>61</v>
      </c>
      <c r="AT1616" t="s">
        <v>61</v>
      </c>
      <c r="AU1616" t="s">
        <v>61</v>
      </c>
      <c r="AV1616" t="s">
        <v>61</v>
      </c>
      <c r="AW1616" t="s">
        <v>61</v>
      </c>
      <c r="AX1616" t="s">
        <v>61</v>
      </c>
      <c r="AY1616" t="s">
        <v>61</v>
      </c>
      <c r="AZ1616" t="s">
        <v>61</v>
      </c>
      <c r="BA1616" t="s">
        <v>61</v>
      </c>
      <c r="BB1616" t="s">
        <v>61</v>
      </c>
      <c r="BC1616" t="s">
        <v>61</v>
      </c>
      <c r="BD1616" t="s">
        <v>61</v>
      </c>
      <c r="BE1616" t="s">
        <v>61</v>
      </c>
      <c r="BF1616" t="s">
        <v>61</v>
      </c>
    </row>
    <row r="1617" spans="1:58">
      <c r="A1617" t="s">
        <v>58</v>
      </c>
      <c r="B1617" t="s">
        <v>13166</v>
      </c>
      <c r="C1617" t="s">
        <v>13167</v>
      </c>
      <c r="D1617" t="s">
        <v>417</v>
      </c>
      <c r="E1617" t="s">
        <v>61</v>
      </c>
      <c r="F1617">
        <v>2004</v>
      </c>
      <c r="G1617" t="s">
        <v>418</v>
      </c>
      <c r="H1617">
        <v>26</v>
      </c>
      <c r="I1617">
        <v>4</v>
      </c>
      <c r="J1617">
        <v>197</v>
      </c>
      <c r="K1617">
        <v>202</v>
      </c>
      <c r="L1617" t="s">
        <v>13168</v>
      </c>
      <c r="M1617" t="s">
        <v>13169</v>
      </c>
      <c r="N1617" t="s">
        <v>13170</v>
      </c>
      <c r="O1617" t="s">
        <v>61</v>
      </c>
      <c r="Q1617" t="s">
        <v>61</v>
      </c>
      <c r="R1617" t="s">
        <v>61</v>
      </c>
      <c r="S1617" t="s">
        <v>61</v>
      </c>
      <c r="T1617" t="s">
        <v>61</v>
      </c>
      <c r="X1617" t="s">
        <v>61</v>
      </c>
      <c r="Y1617" t="s">
        <v>422</v>
      </c>
      <c r="Z1617" t="s">
        <v>61</v>
      </c>
      <c r="AA1617" t="s">
        <v>13171</v>
      </c>
      <c r="AB1617">
        <v>15446775</v>
      </c>
      <c r="AC1617" t="s">
        <v>67</v>
      </c>
      <c r="AD1617" t="s">
        <v>61</v>
      </c>
      <c r="AE1617" t="s">
        <v>61</v>
      </c>
      <c r="AF1617" t="s">
        <v>61</v>
      </c>
      <c r="AG1617" t="s">
        <v>13172</v>
      </c>
      <c r="AH1617" t="s">
        <v>61</v>
      </c>
      <c r="AI1617" t="s">
        <v>61</v>
      </c>
      <c r="AJ1617" t="s">
        <v>61</v>
      </c>
      <c r="AK1617" t="s">
        <v>61</v>
      </c>
      <c r="AL1617" t="s">
        <v>61</v>
      </c>
      <c r="AM1617" t="s">
        <v>13173</v>
      </c>
      <c r="AN1617" t="s">
        <v>61</v>
      </c>
      <c r="AO1617" t="s">
        <v>61</v>
      </c>
      <c r="AP1617" t="s">
        <v>61</v>
      </c>
      <c r="AQ1617" t="s">
        <v>61</v>
      </c>
      <c r="AR1617" t="s">
        <v>61</v>
      </c>
      <c r="AS1617" t="s">
        <v>61</v>
      </c>
      <c r="AT1617" t="s">
        <v>61</v>
      </c>
      <c r="AU1617" t="s">
        <v>61</v>
      </c>
      <c r="AV1617" t="s">
        <v>61</v>
      </c>
      <c r="AW1617" t="s">
        <v>61</v>
      </c>
      <c r="AX1617" t="s">
        <v>61</v>
      </c>
      <c r="AY1617" t="s">
        <v>61</v>
      </c>
      <c r="AZ1617" t="s">
        <v>61</v>
      </c>
      <c r="BA1617" t="s">
        <v>61</v>
      </c>
      <c r="BB1617" t="s">
        <v>61</v>
      </c>
      <c r="BC1617" t="s">
        <v>61</v>
      </c>
      <c r="BD1617" t="s">
        <v>61</v>
      </c>
      <c r="BE1617" t="s">
        <v>61</v>
      </c>
      <c r="BF1617" t="s">
        <v>61</v>
      </c>
    </row>
    <row r="1618" spans="1:58">
      <c r="A1618" t="s">
        <v>58</v>
      </c>
      <c r="B1618" t="s">
        <v>13174</v>
      </c>
      <c r="C1618" t="s">
        <v>13175</v>
      </c>
      <c r="D1618" t="s">
        <v>60</v>
      </c>
      <c r="E1618" t="s">
        <v>61</v>
      </c>
      <c r="F1618">
        <v>2010</v>
      </c>
      <c r="G1618">
        <v>1</v>
      </c>
      <c r="H1618">
        <v>67</v>
      </c>
      <c r="I1618">
        <v>13</v>
      </c>
      <c r="J1618">
        <v>1080</v>
      </c>
      <c r="K1618">
        <v>1084</v>
      </c>
      <c r="L1618" t="s">
        <v>13176</v>
      </c>
      <c r="M1618" t="s">
        <v>61</v>
      </c>
      <c r="N1618" t="s">
        <v>13177</v>
      </c>
      <c r="O1618" t="s">
        <v>61</v>
      </c>
      <c r="Q1618" t="s">
        <v>61</v>
      </c>
      <c r="R1618" t="s">
        <v>61</v>
      </c>
      <c r="S1618" t="s">
        <v>61</v>
      </c>
      <c r="T1618" t="s">
        <v>61</v>
      </c>
      <c r="X1618" t="s">
        <v>61</v>
      </c>
      <c r="Y1618" t="s">
        <v>13178</v>
      </c>
      <c r="Z1618" t="s">
        <v>61</v>
      </c>
      <c r="AA1618" t="s">
        <v>61</v>
      </c>
      <c r="AB1618">
        <v>2011274395</v>
      </c>
      <c r="AC1618" t="s">
        <v>67</v>
      </c>
      <c r="AD1618" t="s">
        <v>61</v>
      </c>
      <c r="AE1618" t="s">
        <v>61</v>
      </c>
      <c r="AF1618" t="s">
        <v>61</v>
      </c>
      <c r="AG1618" t="s">
        <v>13179</v>
      </c>
      <c r="AH1618" t="s">
        <v>61</v>
      </c>
      <c r="AI1618" t="s">
        <v>61</v>
      </c>
      <c r="AJ1618" t="s">
        <v>61</v>
      </c>
      <c r="AK1618" t="s">
        <v>61</v>
      </c>
      <c r="AL1618" t="s">
        <v>61</v>
      </c>
      <c r="AM1618" t="s">
        <v>13180</v>
      </c>
      <c r="AN1618" t="s">
        <v>61</v>
      </c>
      <c r="AO1618" t="s">
        <v>61</v>
      </c>
      <c r="AP1618" t="s">
        <v>61</v>
      </c>
      <c r="AQ1618" t="s">
        <v>61</v>
      </c>
      <c r="AR1618" t="s">
        <v>61</v>
      </c>
      <c r="AS1618" t="s">
        <v>61</v>
      </c>
      <c r="AT1618" t="s">
        <v>61</v>
      </c>
      <c r="AU1618" t="s">
        <v>61</v>
      </c>
      <c r="AV1618" t="s">
        <v>61</v>
      </c>
      <c r="AW1618" t="s">
        <v>61</v>
      </c>
      <c r="AX1618" t="s">
        <v>61</v>
      </c>
      <c r="AY1618" t="s">
        <v>61</v>
      </c>
      <c r="AZ1618" t="s">
        <v>61</v>
      </c>
      <c r="BA1618" t="s">
        <v>61</v>
      </c>
      <c r="BB1618" t="s">
        <v>61</v>
      </c>
      <c r="BC1618" t="s">
        <v>61</v>
      </c>
      <c r="BD1618" t="s">
        <v>61</v>
      </c>
      <c r="BE1618" t="s">
        <v>61</v>
      </c>
      <c r="BF1618" t="s">
        <v>61</v>
      </c>
    </row>
    <row r="1619" spans="1:58">
      <c r="A1619" t="s">
        <v>58</v>
      </c>
      <c r="B1619" t="s">
        <v>13181</v>
      </c>
      <c r="C1619" t="s">
        <v>13182</v>
      </c>
      <c r="D1619" t="s">
        <v>8392</v>
      </c>
      <c r="E1619" t="s">
        <v>61</v>
      </c>
      <c r="F1619">
        <v>2016</v>
      </c>
      <c r="G1619" t="s">
        <v>61</v>
      </c>
      <c r="H1619">
        <v>12</v>
      </c>
      <c r="I1619" t="s">
        <v>61</v>
      </c>
      <c r="J1619">
        <v>241</v>
      </c>
      <c r="K1619">
        <v>250</v>
      </c>
      <c r="L1619" t="s">
        <v>61</v>
      </c>
      <c r="M1619" t="s">
        <v>13183</v>
      </c>
      <c r="N1619" t="s">
        <v>13184</v>
      </c>
      <c r="O1619" t="s">
        <v>61</v>
      </c>
      <c r="Q1619" t="s">
        <v>61</v>
      </c>
      <c r="R1619" t="s">
        <v>61</v>
      </c>
      <c r="S1619" t="s">
        <v>61</v>
      </c>
      <c r="T1619" t="s">
        <v>61</v>
      </c>
      <c r="X1619" t="s">
        <v>61</v>
      </c>
      <c r="Y1619" t="s">
        <v>8395</v>
      </c>
      <c r="Z1619" t="s">
        <v>61</v>
      </c>
      <c r="AA1619" t="s">
        <v>13185</v>
      </c>
      <c r="AB1619">
        <v>26937196</v>
      </c>
      <c r="AC1619" t="s">
        <v>67</v>
      </c>
      <c r="AD1619" t="s">
        <v>61</v>
      </c>
      <c r="AE1619" t="s">
        <v>61</v>
      </c>
      <c r="AF1619" t="s">
        <v>61</v>
      </c>
      <c r="AG1619" t="s">
        <v>13186</v>
      </c>
      <c r="AH1619" t="s">
        <v>61</v>
      </c>
      <c r="AI1619" t="s">
        <v>13187</v>
      </c>
      <c r="AJ1619" t="s">
        <v>61</v>
      </c>
      <c r="AK1619" t="s">
        <v>61</v>
      </c>
      <c r="AL1619" t="s">
        <v>61</v>
      </c>
      <c r="AM1619" t="s">
        <v>13188</v>
      </c>
      <c r="AN1619" t="s">
        <v>61</v>
      </c>
      <c r="AO1619" t="s">
        <v>61</v>
      </c>
      <c r="AP1619" t="s">
        <v>61</v>
      </c>
      <c r="AQ1619" t="s">
        <v>61</v>
      </c>
      <c r="AR1619" t="s">
        <v>61</v>
      </c>
      <c r="AS1619" t="s">
        <v>61</v>
      </c>
      <c r="AT1619" t="s">
        <v>61</v>
      </c>
      <c r="AU1619" t="s">
        <v>61</v>
      </c>
      <c r="AV1619" t="s">
        <v>61</v>
      </c>
      <c r="AW1619" t="s">
        <v>61</v>
      </c>
      <c r="AX1619" t="s">
        <v>61</v>
      </c>
      <c r="AY1619" t="s">
        <v>61</v>
      </c>
      <c r="AZ1619" t="s">
        <v>61</v>
      </c>
      <c r="BA1619" t="s">
        <v>61</v>
      </c>
      <c r="BB1619" t="s">
        <v>61</v>
      </c>
      <c r="BC1619" t="s">
        <v>61</v>
      </c>
      <c r="BD1619" t="s">
        <v>61</v>
      </c>
      <c r="BE1619" t="s">
        <v>61</v>
      </c>
      <c r="BF1619" t="s">
        <v>61</v>
      </c>
    </row>
    <row r="1620" spans="1:58">
      <c r="A1620" t="s">
        <v>58</v>
      </c>
      <c r="B1620" t="s">
        <v>13189</v>
      </c>
      <c r="C1620" t="s">
        <v>13190</v>
      </c>
      <c r="D1620" t="s">
        <v>11317</v>
      </c>
      <c r="E1620" t="s">
        <v>61</v>
      </c>
      <c r="F1620">
        <v>2015</v>
      </c>
      <c r="G1620" t="s">
        <v>61</v>
      </c>
      <c r="H1620">
        <v>10</v>
      </c>
      <c r="I1620" t="s">
        <v>61</v>
      </c>
      <c r="J1620">
        <v>1201</v>
      </c>
      <c r="K1620">
        <v>1212</v>
      </c>
      <c r="L1620" t="s">
        <v>61</v>
      </c>
      <c r="M1620" t="s">
        <v>13191</v>
      </c>
      <c r="N1620" t="s">
        <v>13192</v>
      </c>
      <c r="O1620" t="s">
        <v>61</v>
      </c>
      <c r="Q1620" t="s">
        <v>61</v>
      </c>
      <c r="R1620" t="s">
        <v>61</v>
      </c>
      <c r="S1620" t="s">
        <v>61</v>
      </c>
      <c r="T1620" t="s">
        <v>61</v>
      </c>
      <c r="X1620" t="s">
        <v>61</v>
      </c>
      <c r="Y1620" t="s">
        <v>11321</v>
      </c>
      <c r="Z1620" t="s">
        <v>61</v>
      </c>
      <c r="AA1620" t="s">
        <v>13193</v>
      </c>
      <c r="AB1620">
        <v>26229454</v>
      </c>
      <c r="AC1620" t="s">
        <v>67</v>
      </c>
      <c r="AD1620" t="s">
        <v>61</v>
      </c>
      <c r="AE1620" t="s">
        <v>61</v>
      </c>
      <c r="AF1620" t="s">
        <v>61</v>
      </c>
      <c r="AG1620" t="s">
        <v>13194</v>
      </c>
      <c r="AH1620" t="s">
        <v>61</v>
      </c>
      <c r="AI1620" t="s">
        <v>13195</v>
      </c>
      <c r="AJ1620" t="s">
        <v>61</v>
      </c>
      <c r="AK1620" t="s">
        <v>61</v>
      </c>
      <c r="AL1620" t="s">
        <v>61</v>
      </c>
      <c r="AM1620" t="s">
        <v>13196</v>
      </c>
      <c r="AN1620" t="s">
        <v>61</v>
      </c>
      <c r="AO1620" t="s">
        <v>61</v>
      </c>
      <c r="AP1620" t="s">
        <v>61</v>
      </c>
      <c r="AQ1620" t="s">
        <v>61</v>
      </c>
      <c r="AR1620" t="s">
        <v>61</v>
      </c>
      <c r="AS1620" t="s">
        <v>61</v>
      </c>
      <c r="AT1620" t="s">
        <v>61</v>
      </c>
      <c r="AU1620" t="s">
        <v>61</v>
      </c>
      <c r="AV1620" t="s">
        <v>61</v>
      </c>
      <c r="AW1620" t="s">
        <v>61</v>
      </c>
      <c r="AX1620" t="s">
        <v>61</v>
      </c>
      <c r="AY1620" t="s">
        <v>61</v>
      </c>
      <c r="AZ1620" t="s">
        <v>61</v>
      </c>
      <c r="BA1620" t="s">
        <v>61</v>
      </c>
      <c r="BB1620" t="s">
        <v>61</v>
      </c>
      <c r="BC1620" t="s">
        <v>61</v>
      </c>
      <c r="BD1620" t="s">
        <v>61</v>
      </c>
      <c r="BE1620" t="s">
        <v>61</v>
      </c>
      <c r="BF1620" t="s">
        <v>61</v>
      </c>
    </row>
    <row r="1621" spans="1:58">
      <c r="A1621" t="s">
        <v>58</v>
      </c>
      <c r="B1621" t="s">
        <v>13197</v>
      </c>
      <c r="C1621" t="s">
        <v>13198</v>
      </c>
      <c r="D1621" t="s">
        <v>8851</v>
      </c>
      <c r="E1621" t="s">
        <v>8851</v>
      </c>
      <c r="F1621">
        <v>2012</v>
      </c>
      <c r="G1621" t="s">
        <v>61</v>
      </c>
      <c r="H1621">
        <v>142</v>
      </c>
      <c r="I1621">
        <v>2</v>
      </c>
      <c r="J1621">
        <v>347</v>
      </c>
      <c r="K1621" t="s">
        <v>13199</v>
      </c>
      <c r="L1621" t="s">
        <v>13200</v>
      </c>
      <c r="M1621" t="s">
        <v>13201</v>
      </c>
      <c r="N1621" t="s">
        <v>13202</v>
      </c>
      <c r="O1621" t="s">
        <v>61</v>
      </c>
      <c r="Q1621" t="s">
        <v>61</v>
      </c>
      <c r="R1621" t="s">
        <v>61</v>
      </c>
      <c r="S1621" t="s">
        <v>61</v>
      </c>
      <c r="T1621" t="s">
        <v>61</v>
      </c>
      <c r="X1621" t="s">
        <v>61</v>
      </c>
      <c r="Y1621" s="2">
        <v>654852</v>
      </c>
      <c r="Z1621" t="s">
        <v>61</v>
      </c>
      <c r="AA1621" t="s">
        <v>61</v>
      </c>
      <c r="AB1621">
        <v>108068495</v>
      </c>
      <c r="AC1621" t="s">
        <v>67</v>
      </c>
      <c r="AD1621" t="s">
        <v>61</v>
      </c>
      <c r="AE1621" t="s">
        <v>61</v>
      </c>
      <c r="AF1621" t="s">
        <v>61</v>
      </c>
      <c r="AG1621" t="s">
        <v>13203</v>
      </c>
      <c r="AH1621" t="s">
        <v>61</v>
      </c>
      <c r="AI1621" t="s">
        <v>13204</v>
      </c>
      <c r="AJ1621" t="s">
        <v>61</v>
      </c>
      <c r="AK1621" t="s">
        <v>61</v>
      </c>
      <c r="AL1621" t="s">
        <v>61</v>
      </c>
      <c r="AM1621" t="s">
        <v>13205</v>
      </c>
      <c r="AN1621" t="s">
        <v>61</v>
      </c>
      <c r="AO1621" t="s">
        <v>61</v>
      </c>
      <c r="AP1621" t="s">
        <v>61</v>
      </c>
      <c r="AQ1621" t="s">
        <v>61</v>
      </c>
      <c r="AR1621" t="s">
        <v>61</v>
      </c>
      <c r="AS1621" t="s">
        <v>61</v>
      </c>
      <c r="AT1621" t="s">
        <v>61</v>
      </c>
      <c r="AU1621" t="s">
        <v>61</v>
      </c>
      <c r="AV1621" t="s">
        <v>61</v>
      </c>
      <c r="AW1621" t="s">
        <v>61</v>
      </c>
      <c r="AX1621" t="s">
        <v>61</v>
      </c>
      <c r="AY1621" t="s">
        <v>61</v>
      </c>
      <c r="AZ1621" t="s">
        <v>61</v>
      </c>
      <c r="BA1621" t="s">
        <v>61</v>
      </c>
      <c r="BB1621" t="s">
        <v>61</v>
      </c>
      <c r="BC1621" t="s">
        <v>61</v>
      </c>
      <c r="BD1621" t="s">
        <v>61</v>
      </c>
      <c r="BE1621" t="s">
        <v>61</v>
      </c>
      <c r="BF1621" t="s">
        <v>61</v>
      </c>
    </row>
    <row r="1622" spans="1:58">
      <c r="A1622" t="s">
        <v>58</v>
      </c>
      <c r="B1622" t="s">
        <v>13206</v>
      </c>
      <c r="C1622" t="s">
        <v>13207</v>
      </c>
      <c r="D1622" t="s">
        <v>162</v>
      </c>
      <c r="E1622" t="s">
        <v>163</v>
      </c>
      <c r="F1622">
        <v>2013</v>
      </c>
      <c r="G1622" t="s">
        <v>645</v>
      </c>
      <c r="H1622">
        <v>53</v>
      </c>
      <c r="I1622">
        <v>10</v>
      </c>
      <c r="J1622">
        <v>1078</v>
      </c>
      <c r="K1622">
        <v>1090</v>
      </c>
      <c r="L1622" t="s">
        <v>13208</v>
      </c>
      <c r="M1622" t="s">
        <v>13209</v>
      </c>
      <c r="N1622" t="s">
        <v>13210</v>
      </c>
      <c r="O1622" t="s">
        <v>61</v>
      </c>
      <c r="Q1622" t="s">
        <v>61</v>
      </c>
      <c r="R1622" t="s">
        <v>61</v>
      </c>
      <c r="S1622" t="s">
        <v>61</v>
      </c>
      <c r="T1622" t="s">
        <v>61</v>
      </c>
      <c r="X1622" t="s">
        <v>61</v>
      </c>
      <c r="Y1622" t="s">
        <v>902</v>
      </c>
      <c r="Z1622" t="s">
        <v>61</v>
      </c>
      <c r="AA1622" t="s">
        <v>61</v>
      </c>
      <c r="AB1622">
        <v>2013631140</v>
      </c>
      <c r="AC1622" t="s">
        <v>67</v>
      </c>
      <c r="AD1622" t="s">
        <v>61</v>
      </c>
      <c r="AE1622" t="s">
        <v>61</v>
      </c>
      <c r="AF1622" t="s">
        <v>61</v>
      </c>
      <c r="AG1622" t="s">
        <v>13211</v>
      </c>
      <c r="AH1622" t="s">
        <v>61</v>
      </c>
      <c r="AI1622" t="s">
        <v>61</v>
      </c>
      <c r="AJ1622" t="s">
        <v>61</v>
      </c>
      <c r="AK1622" t="s">
        <v>61</v>
      </c>
      <c r="AL1622" t="s">
        <v>61</v>
      </c>
      <c r="AM1622" t="s">
        <v>13212</v>
      </c>
      <c r="AN1622" t="s">
        <v>61</v>
      </c>
      <c r="AO1622" t="s">
        <v>61</v>
      </c>
      <c r="AP1622" t="s">
        <v>61</v>
      </c>
      <c r="AQ1622" t="s">
        <v>61</v>
      </c>
      <c r="AR1622" t="s">
        <v>61</v>
      </c>
      <c r="AS1622" t="s">
        <v>61</v>
      </c>
      <c r="AT1622" t="s">
        <v>61</v>
      </c>
      <c r="AU1622" t="s">
        <v>61</v>
      </c>
      <c r="AV1622" t="s">
        <v>61</v>
      </c>
      <c r="AW1622" t="s">
        <v>61</v>
      </c>
      <c r="AX1622" t="s">
        <v>61</v>
      </c>
      <c r="AY1622" t="s">
        <v>61</v>
      </c>
      <c r="AZ1622" t="s">
        <v>61</v>
      </c>
      <c r="BA1622" t="s">
        <v>61</v>
      </c>
      <c r="BB1622" t="s">
        <v>61</v>
      </c>
      <c r="BC1622" t="s">
        <v>61</v>
      </c>
      <c r="BD1622" t="s">
        <v>61</v>
      </c>
      <c r="BE1622" t="s">
        <v>61</v>
      </c>
      <c r="BF1622" t="s">
        <v>61</v>
      </c>
    </row>
    <row r="1623" spans="1:58">
      <c r="A1623" t="s">
        <v>58</v>
      </c>
      <c r="B1623" t="s">
        <v>13213</v>
      </c>
      <c r="C1623" t="s">
        <v>13214</v>
      </c>
      <c r="D1623" t="s">
        <v>3824</v>
      </c>
      <c r="E1623" t="s">
        <v>3825</v>
      </c>
      <c r="F1623">
        <v>2014</v>
      </c>
      <c r="G1623" t="s">
        <v>391</v>
      </c>
      <c r="H1623">
        <v>231</v>
      </c>
      <c r="I1623">
        <v>5</v>
      </c>
      <c r="J1623">
        <v>949</v>
      </c>
      <c r="K1623">
        <v>954</v>
      </c>
      <c r="L1623" t="s">
        <v>13215</v>
      </c>
      <c r="M1623" t="s">
        <v>13216</v>
      </c>
      <c r="N1623" t="s">
        <v>13217</v>
      </c>
      <c r="O1623" t="s">
        <v>61</v>
      </c>
      <c r="Q1623" t="s">
        <v>61</v>
      </c>
      <c r="R1623" t="s">
        <v>61</v>
      </c>
      <c r="S1623" t="s">
        <v>61</v>
      </c>
      <c r="T1623" t="s">
        <v>61</v>
      </c>
      <c r="X1623" t="s">
        <v>61</v>
      </c>
      <c r="Y1623" t="s">
        <v>10890</v>
      </c>
      <c r="Z1623" t="s">
        <v>61</v>
      </c>
      <c r="AA1623" t="s">
        <v>13218</v>
      </c>
      <c r="AB1623">
        <v>24146137</v>
      </c>
      <c r="AC1623" t="s">
        <v>67</v>
      </c>
      <c r="AD1623" t="s">
        <v>61</v>
      </c>
      <c r="AE1623" t="s">
        <v>61</v>
      </c>
      <c r="AF1623" t="s">
        <v>61</v>
      </c>
      <c r="AG1623" t="s">
        <v>13219</v>
      </c>
      <c r="AH1623" t="s">
        <v>61</v>
      </c>
      <c r="AI1623" t="s">
        <v>13220</v>
      </c>
      <c r="AJ1623" t="s">
        <v>61</v>
      </c>
      <c r="AK1623" t="s">
        <v>61</v>
      </c>
      <c r="AL1623" t="s">
        <v>61</v>
      </c>
      <c r="AM1623" t="s">
        <v>13221</v>
      </c>
      <c r="AN1623" t="s">
        <v>61</v>
      </c>
      <c r="AO1623" t="s">
        <v>61</v>
      </c>
      <c r="AP1623" t="s">
        <v>61</v>
      </c>
      <c r="AQ1623" t="s">
        <v>61</v>
      </c>
      <c r="AR1623" t="s">
        <v>61</v>
      </c>
      <c r="AS1623" t="s">
        <v>61</v>
      </c>
      <c r="AT1623" t="s">
        <v>61</v>
      </c>
      <c r="AU1623" t="s">
        <v>61</v>
      </c>
      <c r="AV1623" t="s">
        <v>61</v>
      </c>
      <c r="AW1623" t="s">
        <v>61</v>
      </c>
      <c r="AX1623" t="s">
        <v>61</v>
      </c>
      <c r="AY1623" t="s">
        <v>61</v>
      </c>
      <c r="AZ1623" t="s">
        <v>61</v>
      </c>
      <c r="BA1623" t="s">
        <v>61</v>
      </c>
      <c r="BB1623" t="s">
        <v>61</v>
      </c>
      <c r="BC1623" t="s">
        <v>61</v>
      </c>
      <c r="BD1623" t="s">
        <v>61</v>
      </c>
      <c r="BE1623" t="s">
        <v>61</v>
      </c>
      <c r="BF1623" t="s">
        <v>61</v>
      </c>
    </row>
    <row r="1624" spans="1:58">
      <c r="A1624" t="s">
        <v>58</v>
      </c>
      <c r="B1624" t="s">
        <v>13222</v>
      </c>
      <c r="C1624" t="s">
        <v>13223</v>
      </c>
      <c r="D1624" t="s">
        <v>428</v>
      </c>
      <c r="E1624" t="s">
        <v>61</v>
      </c>
      <c r="F1624">
        <v>2013</v>
      </c>
      <c r="G1624" t="s">
        <v>457</v>
      </c>
      <c r="H1624">
        <v>26</v>
      </c>
      <c r="I1624">
        <v>3</v>
      </c>
      <c r="J1624">
        <v>301</v>
      </c>
      <c r="K1624" t="s">
        <v>61</v>
      </c>
      <c r="L1624" t="s">
        <v>13224</v>
      </c>
      <c r="M1624" t="s">
        <v>13225</v>
      </c>
      <c r="N1624" t="s">
        <v>13226</v>
      </c>
      <c r="O1624" t="s">
        <v>61</v>
      </c>
      <c r="Q1624" t="s">
        <v>61</v>
      </c>
      <c r="R1624" t="s">
        <v>61</v>
      </c>
      <c r="S1624" t="s">
        <v>61</v>
      </c>
      <c r="T1624" t="s">
        <v>61</v>
      </c>
      <c r="X1624" t="s">
        <v>61</v>
      </c>
      <c r="Y1624" t="s">
        <v>433</v>
      </c>
      <c r="Z1624" t="s">
        <v>61</v>
      </c>
      <c r="AA1624" t="s">
        <v>61</v>
      </c>
      <c r="AB1624" t="s">
        <v>61</v>
      </c>
      <c r="AC1624" t="s">
        <v>67</v>
      </c>
      <c r="AD1624" t="s">
        <v>61</v>
      </c>
      <c r="AE1624" t="s">
        <v>61</v>
      </c>
      <c r="AF1624" t="s">
        <v>61</v>
      </c>
      <c r="AG1624" t="s">
        <v>61</v>
      </c>
      <c r="AH1624" t="s">
        <v>61</v>
      </c>
      <c r="AI1624" t="s">
        <v>61</v>
      </c>
      <c r="AJ1624" t="s">
        <v>61</v>
      </c>
      <c r="AK1624" t="s">
        <v>61</v>
      </c>
      <c r="AL1624" t="s">
        <v>61</v>
      </c>
      <c r="AM1624" t="s">
        <v>13223</v>
      </c>
      <c r="AN1624" t="s">
        <v>61</v>
      </c>
      <c r="AO1624" t="s">
        <v>61</v>
      </c>
      <c r="AP1624" t="s">
        <v>61</v>
      </c>
      <c r="AQ1624" t="s">
        <v>61</v>
      </c>
      <c r="AR1624" t="s">
        <v>61</v>
      </c>
      <c r="AS1624" t="s">
        <v>61</v>
      </c>
      <c r="AT1624" t="s">
        <v>61</v>
      </c>
      <c r="AU1624" t="s">
        <v>61</v>
      </c>
      <c r="AV1624" t="s">
        <v>61</v>
      </c>
      <c r="AW1624" t="s">
        <v>61</v>
      </c>
      <c r="AX1624" t="s">
        <v>61</v>
      </c>
      <c r="AY1624" t="s">
        <v>61</v>
      </c>
      <c r="AZ1624" t="s">
        <v>61</v>
      </c>
      <c r="BA1624" t="s">
        <v>61</v>
      </c>
      <c r="BB1624" t="s">
        <v>61</v>
      </c>
      <c r="BC1624" t="s">
        <v>61</v>
      </c>
      <c r="BD1624" t="s">
        <v>61</v>
      </c>
      <c r="BE1624" t="s">
        <v>61</v>
      </c>
      <c r="BF1624" t="s">
        <v>61</v>
      </c>
    </row>
    <row r="1625" spans="1:58">
      <c r="A1625" t="s">
        <v>58</v>
      </c>
      <c r="B1625" t="s">
        <v>13227</v>
      </c>
      <c r="C1625" t="s">
        <v>13228</v>
      </c>
      <c r="D1625" t="s">
        <v>482</v>
      </c>
      <c r="E1625" t="s">
        <v>61</v>
      </c>
      <c r="F1625">
        <v>2013</v>
      </c>
      <c r="G1625" s="1">
        <v>42430</v>
      </c>
      <c r="H1625">
        <v>128</v>
      </c>
      <c r="I1625">
        <v>3</v>
      </c>
      <c r="J1625">
        <v>175</v>
      </c>
      <c r="K1625">
        <v>186</v>
      </c>
      <c r="L1625" t="s">
        <v>13229</v>
      </c>
      <c r="M1625" t="s">
        <v>13230</v>
      </c>
      <c r="N1625" t="s">
        <v>13231</v>
      </c>
      <c r="O1625" t="s">
        <v>61</v>
      </c>
      <c r="Q1625" t="s">
        <v>61</v>
      </c>
      <c r="R1625" t="s">
        <v>61</v>
      </c>
      <c r="S1625" t="s">
        <v>61</v>
      </c>
      <c r="T1625" t="s">
        <v>61</v>
      </c>
      <c r="X1625" t="s">
        <v>61</v>
      </c>
      <c r="Y1625" t="s">
        <v>2327</v>
      </c>
      <c r="Z1625" t="s">
        <v>61</v>
      </c>
      <c r="AA1625" t="s">
        <v>13232</v>
      </c>
      <c r="AB1625">
        <v>23294766</v>
      </c>
      <c r="AC1625" t="s">
        <v>67</v>
      </c>
      <c r="AD1625" t="s">
        <v>61</v>
      </c>
      <c r="AE1625" t="s">
        <v>61</v>
      </c>
      <c r="AF1625" t="s">
        <v>61</v>
      </c>
      <c r="AG1625" t="s">
        <v>13233</v>
      </c>
      <c r="AH1625" t="s">
        <v>61</v>
      </c>
      <c r="AI1625" t="s">
        <v>13234</v>
      </c>
      <c r="AJ1625" t="s">
        <v>61</v>
      </c>
      <c r="AK1625" t="s">
        <v>61</v>
      </c>
      <c r="AL1625" t="s">
        <v>61</v>
      </c>
      <c r="AM1625" t="s">
        <v>13235</v>
      </c>
      <c r="AN1625" t="s">
        <v>61</v>
      </c>
      <c r="AO1625" t="s">
        <v>61</v>
      </c>
      <c r="AP1625" t="s">
        <v>61</v>
      </c>
      <c r="AQ1625" t="s">
        <v>61</v>
      </c>
      <c r="AR1625" t="s">
        <v>61</v>
      </c>
      <c r="AS1625" t="s">
        <v>61</v>
      </c>
      <c r="AT1625" t="s">
        <v>61</v>
      </c>
      <c r="AU1625" t="s">
        <v>61</v>
      </c>
      <c r="AV1625" t="s">
        <v>61</v>
      </c>
      <c r="AW1625" t="s">
        <v>61</v>
      </c>
      <c r="AX1625" t="s">
        <v>61</v>
      </c>
      <c r="AY1625" t="s">
        <v>61</v>
      </c>
      <c r="AZ1625" t="s">
        <v>61</v>
      </c>
      <c r="BA1625" t="s">
        <v>61</v>
      </c>
      <c r="BB1625" t="s">
        <v>61</v>
      </c>
      <c r="BC1625" t="s">
        <v>61</v>
      </c>
      <c r="BD1625" t="s">
        <v>61</v>
      </c>
      <c r="BE1625" t="s">
        <v>61</v>
      </c>
      <c r="BF1625" t="s">
        <v>61</v>
      </c>
    </row>
    <row r="1626" spans="1:58">
      <c r="A1626" t="s">
        <v>58</v>
      </c>
      <c r="B1626" t="s">
        <v>13236</v>
      </c>
      <c r="C1626" t="s">
        <v>13237</v>
      </c>
      <c r="D1626" t="s">
        <v>9707</v>
      </c>
      <c r="E1626" t="s">
        <v>61</v>
      </c>
      <c r="F1626">
        <v>2014</v>
      </c>
      <c r="G1626" t="s">
        <v>391</v>
      </c>
      <c r="H1626">
        <v>147</v>
      </c>
      <c r="I1626">
        <v>2</v>
      </c>
      <c r="J1626">
        <v>110</v>
      </c>
      <c r="K1626">
        <v>117</v>
      </c>
      <c r="L1626" t="s">
        <v>61</v>
      </c>
      <c r="M1626" t="s">
        <v>13238</v>
      </c>
      <c r="N1626" t="s">
        <v>13239</v>
      </c>
      <c r="O1626" t="s">
        <v>61</v>
      </c>
      <c r="Q1626" t="s">
        <v>61</v>
      </c>
      <c r="R1626" t="s">
        <v>61</v>
      </c>
      <c r="S1626" t="s">
        <v>61</v>
      </c>
      <c r="T1626" t="s">
        <v>61</v>
      </c>
      <c r="X1626" t="s">
        <v>61</v>
      </c>
      <c r="Y1626" t="s">
        <v>111</v>
      </c>
      <c r="Z1626" t="s">
        <v>61</v>
      </c>
      <c r="AA1626" t="s">
        <v>13240</v>
      </c>
      <c r="AB1626">
        <v>24660011</v>
      </c>
      <c r="AC1626" t="s">
        <v>67</v>
      </c>
      <c r="AD1626" t="s">
        <v>61</v>
      </c>
      <c r="AE1626" t="s">
        <v>61</v>
      </c>
      <c r="AF1626" t="s">
        <v>61</v>
      </c>
      <c r="AG1626" t="s">
        <v>13241</v>
      </c>
      <c r="AH1626" t="s">
        <v>61</v>
      </c>
      <c r="AI1626" t="s">
        <v>13242</v>
      </c>
      <c r="AJ1626" t="s">
        <v>61</v>
      </c>
      <c r="AK1626" t="s">
        <v>61</v>
      </c>
      <c r="AL1626" t="s">
        <v>61</v>
      </c>
      <c r="AM1626" t="s">
        <v>13243</v>
      </c>
      <c r="AN1626" t="s">
        <v>61</v>
      </c>
      <c r="AO1626" t="s">
        <v>61</v>
      </c>
      <c r="AP1626" t="s">
        <v>61</v>
      </c>
      <c r="AQ1626" t="s">
        <v>61</v>
      </c>
      <c r="AR1626" t="s">
        <v>61</v>
      </c>
      <c r="AS1626" t="s">
        <v>61</v>
      </c>
      <c r="AT1626" t="s">
        <v>61</v>
      </c>
      <c r="AU1626" t="s">
        <v>61</v>
      </c>
      <c r="AV1626" t="s">
        <v>61</v>
      </c>
      <c r="AW1626" t="s">
        <v>61</v>
      </c>
      <c r="AX1626" t="s">
        <v>61</v>
      </c>
      <c r="AY1626" t="s">
        <v>61</v>
      </c>
      <c r="AZ1626" t="s">
        <v>61</v>
      </c>
      <c r="BA1626" t="s">
        <v>61</v>
      </c>
      <c r="BB1626" t="s">
        <v>61</v>
      </c>
      <c r="BC1626" t="s">
        <v>61</v>
      </c>
      <c r="BD1626" t="s">
        <v>61</v>
      </c>
      <c r="BE1626" t="s">
        <v>61</v>
      </c>
      <c r="BF1626" t="s">
        <v>61</v>
      </c>
    </row>
    <row r="1627" spans="1:58">
      <c r="A1627" t="s">
        <v>58</v>
      </c>
      <c r="B1627" t="s">
        <v>13244</v>
      </c>
      <c r="C1627" t="s">
        <v>13245</v>
      </c>
      <c r="D1627" t="s">
        <v>13246</v>
      </c>
      <c r="E1627" t="s">
        <v>13247</v>
      </c>
      <c r="F1627">
        <v>2013</v>
      </c>
      <c r="G1627" t="s">
        <v>61</v>
      </c>
      <c r="H1627">
        <v>55</v>
      </c>
      <c r="I1627" t="s">
        <v>61</v>
      </c>
      <c r="J1627">
        <v>21</v>
      </c>
      <c r="K1627" t="s">
        <v>61</v>
      </c>
      <c r="L1627" t="s">
        <v>13248</v>
      </c>
      <c r="M1627" t="s">
        <v>13249</v>
      </c>
      <c r="N1627" t="s">
        <v>13250</v>
      </c>
      <c r="O1627" t="s">
        <v>61</v>
      </c>
      <c r="Q1627" t="s">
        <v>61</v>
      </c>
      <c r="R1627" t="s">
        <v>61</v>
      </c>
      <c r="S1627" t="s">
        <v>61</v>
      </c>
      <c r="T1627" t="s">
        <v>61</v>
      </c>
      <c r="X1627" t="s">
        <v>61</v>
      </c>
      <c r="Y1627" t="s">
        <v>13251</v>
      </c>
      <c r="Z1627" t="s">
        <v>61</v>
      </c>
      <c r="AA1627" t="s">
        <v>13252</v>
      </c>
      <c r="AB1627">
        <v>23497696</v>
      </c>
      <c r="AC1627" t="s">
        <v>67</v>
      </c>
      <c r="AD1627" t="s">
        <v>61</v>
      </c>
      <c r="AE1627" t="s">
        <v>61</v>
      </c>
      <c r="AF1627" t="s">
        <v>61</v>
      </c>
      <c r="AG1627" t="s">
        <v>13253</v>
      </c>
      <c r="AH1627" t="s">
        <v>61</v>
      </c>
      <c r="AI1627" t="s">
        <v>13254</v>
      </c>
      <c r="AJ1627" t="s">
        <v>61</v>
      </c>
      <c r="AK1627" t="s">
        <v>61</v>
      </c>
      <c r="AL1627" t="s">
        <v>61</v>
      </c>
      <c r="AM1627" t="s">
        <v>13255</v>
      </c>
      <c r="AN1627" t="s">
        <v>61</v>
      </c>
      <c r="AO1627" t="s">
        <v>61</v>
      </c>
      <c r="AP1627" t="s">
        <v>61</v>
      </c>
      <c r="AQ1627" t="s">
        <v>61</v>
      </c>
      <c r="AR1627" t="s">
        <v>61</v>
      </c>
      <c r="AS1627" t="s">
        <v>61</v>
      </c>
      <c r="AT1627" t="s">
        <v>61</v>
      </c>
      <c r="AU1627" t="s">
        <v>61</v>
      </c>
      <c r="AV1627" t="s">
        <v>61</v>
      </c>
      <c r="AW1627" t="s">
        <v>61</v>
      </c>
      <c r="AX1627" t="s">
        <v>61</v>
      </c>
      <c r="AY1627" t="s">
        <v>61</v>
      </c>
      <c r="AZ1627" t="s">
        <v>61</v>
      </c>
      <c r="BA1627" t="s">
        <v>61</v>
      </c>
      <c r="BB1627" t="s">
        <v>61</v>
      </c>
      <c r="BC1627" t="s">
        <v>61</v>
      </c>
      <c r="BD1627" t="s">
        <v>61</v>
      </c>
      <c r="BE1627" t="s">
        <v>61</v>
      </c>
      <c r="BF1627" t="s">
        <v>61</v>
      </c>
    </row>
    <row r="1628" spans="1:58">
      <c r="A1628" t="s">
        <v>58</v>
      </c>
      <c r="B1628" t="s">
        <v>13256</v>
      </c>
      <c r="C1628" t="s">
        <v>13257</v>
      </c>
      <c r="D1628" t="s">
        <v>3593</v>
      </c>
      <c r="E1628" t="s">
        <v>61</v>
      </c>
      <c r="F1628">
        <v>2014</v>
      </c>
      <c r="G1628" t="s">
        <v>1775</v>
      </c>
      <c r="H1628" t="s">
        <v>13258</v>
      </c>
      <c r="I1628" t="s">
        <v>61</v>
      </c>
      <c r="J1628">
        <v>177</v>
      </c>
      <c r="K1628">
        <v>178</v>
      </c>
      <c r="L1628" t="s">
        <v>13259</v>
      </c>
      <c r="M1628" t="s">
        <v>13260</v>
      </c>
      <c r="N1628" t="s">
        <v>13261</v>
      </c>
      <c r="O1628" t="s">
        <v>61</v>
      </c>
      <c r="Q1628" t="s">
        <v>61</v>
      </c>
      <c r="R1628" t="s">
        <v>61</v>
      </c>
      <c r="S1628" t="s">
        <v>61</v>
      </c>
      <c r="T1628" t="s">
        <v>61</v>
      </c>
      <c r="X1628" t="s">
        <v>61</v>
      </c>
      <c r="Y1628" t="s">
        <v>3598</v>
      </c>
      <c r="Z1628" t="s">
        <v>61</v>
      </c>
      <c r="AA1628" t="s">
        <v>61</v>
      </c>
      <c r="AB1628" t="s">
        <v>61</v>
      </c>
      <c r="AC1628" t="s">
        <v>67</v>
      </c>
      <c r="AD1628" t="s">
        <v>61</v>
      </c>
      <c r="AE1628" t="s">
        <v>61</v>
      </c>
      <c r="AF1628" t="s">
        <v>61</v>
      </c>
      <c r="AG1628" t="s">
        <v>61</v>
      </c>
      <c r="AH1628" t="s">
        <v>61</v>
      </c>
      <c r="AI1628" t="s">
        <v>61</v>
      </c>
      <c r="AJ1628" t="s">
        <v>61</v>
      </c>
      <c r="AK1628" t="s">
        <v>61</v>
      </c>
      <c r="AL1628" t="s">
        <v>61</v>
      </c>
      <c r="AM1628" t="s">
        <v>13257</v>
      </c>
      <c r="AN1628" t="s">
        <v>61</v>
      </c>
      <c r="AO1628" t="s">
        <v>61</v>
      </c>
      <c r="AP1628" t="s">
        <v>61</v>
      </c>
      <c r="AQ1628" t="s">
        <v>61</v>
      </c>
      <c r="AR1628" t="s">
        <v>61</v>
      </c>
      <c r="AS1628" t="s">
        <v>61</v>
      </c>
      <c r="AT1628" t="s">
        <v>61</v>
      </c>
      <c r="AU1628" t="s">
        <v>61</v>
      </c>
      <c r="AV1628" t="s">
        <v>61</v>
      </c>
      <c r="AW1628" t="s">
        <v>61</v>
      </c>
      <c r="AX1628" t="s">
        <v>61</v>
      </c>
      <c r="AY1628" t="s">
        <v>61</v>
      </c>
      <c r="AZ1628" t="s">
        <v>61</v>
      </c>
      <c r="BA1628" t="s">
        <v>61</v>
      </c>
      <c r="BB1628" t="s">
        <v>61</v>
      </c>
      <c r="BC1628" t="s">
        <v>61</v>
      </c>
      <c r="BD1628" t="s">
        <v>61</v>
      </c>
      <c r="BE1628" t="s">
        <v>61</v>
      </c>
      <c r="BF1628" t="s">
        <v>61</v>
      </c>
    </row>
    <row r="1629" spans="1:58">
      <c r="A1629" t="s">
        <v>58</v>
      </c>
      <c r="B1629" t="s">
        <v>13262</v>
      </c>
      <c r="C1629" t="s">
        <v>13263</v>
      </c>
      <c r="D1629" t="s">
        <v>13264</v>
      </c>
      <c r="E1629" t="s">
        <v>61</v>
      </c>
      <c r="F1629">
        <v>2001</v>
      </c>
      <c r="G1629" t="s">
        <v>61</v>
      </c>
      <c r="H1629">
        <v>1</v>
      </c>
      <c r="I1629">
        <v>3</v>
      </c>
      <c r="J1629">
        <v>65</v>
      </c>
      <c r="K1629" t="s">
        <v>13265</v>
      </c>
      <c r="L1629" t="s">
        <v>13266</v>
      </c>
      <c r="M1629" t="s">
        <v>13267</v>
      </c>
      <c r="N1629" t="s">
        <v>13268</v>
      </c>
      <c r="O1629" t="s">
        <v>61</v>
      </c>
      <c r="Q1629" t="s">
        <v>61</v>
      </c>
      <c r="R1629" t="s">
        <v>61</v>
      </c>
      <c r="S1629" t="s">
        <v>61</v>
      </c>
      <c r="T1629" t="s">
        <v>61</v>
      </c>
      <c r="X1629" t="s">
        <v>61</v>
      </c>
      <c r="Y1629" t="s">
        <v>13269</v>
      </c>
      <c r="Z1629" t="s">
        <v>61</v>
      </c>
      <c r="AA1629" t="s">
        <v>13270</v>
      </c>
      <c r="AB1629">
        <v>106920406</v>
      </c>
      <c r="AC1629" t="s">
        <v>67</v>
      </c>
      <c r="AD1629" t="s">
        <v>61</v>
      </c>
      <c r="AE1629" t="s">
        <v>61</v>
      </c>
      <c r="AF1629" t="s">
        <v>61</v>
      </c>
      <c r="AG1629" t="s">
        <v>13271</v>
      </c>
      <c r="AH1629" t="s">
        <v>61</v>
      </c>
      <c r="AI1629" t="s">
        <v>61</v>
      </c>
      <c r="AJ1629" t="s">
        <v>61</v>
      </c>
      <c r="AK1629" t="s">
        <v>61</v>
      </c>
      <c r="AL1629" t="s">
        <v>61</v>
      </c>
      <c r="AM1629" t="s">
        <v>13272</v>
      </c>
      <c r="AN1629" t="s">
        <v>61</v>
      </c>
      <c r="AO1629" t="s">
        <v>61</v>
      </c>
      <c r="AP1629" t="s">
        <v>61</v>
      </c>
      <c r="AQ1629" t="s">
        <v>61</v>
      </c>
      <c r="AR1629" t="s">
        <v>61</v>
      </c>
      <c r="AS1629" t="s">
        <v>61</v>
      </c>
      <c r="AT1629" t="s">
        <v>61</v>
      </c>
      <c r="AU1629" t="s">
        <v>61</v>
      </c>
      <c r="AV1629" t="s">
        <v>61</v>
      </c>
      <c r="AW1629" t="s">
        <v>61</v>
      </c>
      <c r="AX1629" t="s">
        <v>61</v>
      </c>
      <c r="AY1629" t="s">
        <v>61</v>
      </c>
      <c r="AZ1629" t="s">
        <v>61</v>
      </c>
      <c r="BA1629" t="s">
        <v>61</v>
      </c>
      <c r="BB1629" t="s">
        <v>61</v>
      </c>
      <c r="BC1629" t="s">
        <v>61</v>
      </c>
      <c r="BD1629" t="s">
        <v>61</v>
      </c>
      <c r="BE1629" t="s">
        <v>61</v>
      </c>
      <c r="BF1629" t="s">
        <v>61</v>
      </c>
    </row>
  </sheetData>
  <pageMargins left="0.75" right="0.75" top="1" bottom="1" header="0.5" footer="0.5"/>
  <extLst>
    <ext xmlns:mx="http://schemas.microsoft.com/office/mac/excel/2008/main" uri="{64002731-A6B0-56B0-2670-7721B7C09600}">
      <mx:PLV Mode="0" OnePage="0" WScale="0"/>
    </ext>
  </extLst>
</worksheet>
</file>

<file path=docProps/app.xml><?xml version="1.0" encoding="utf-8"?>
<Properties xmlns="http://schemas.openxmlformats.org/officeDocument/2006/extended-properties" xmlns:vt="http://schemas.openxmlformats.org/officeDocument/2006/docPropsVTypes">
  <Application>Microsoft Macintosh Excel</Application>
  <DocSecurity>0</DocSecurity>
  <ScaleCrop>false</ScaleCrop>
  <HeadingPairs>
    <vt:vector size="2" baseType="variant">
      <vt:variant>
        <vt:lpstr>Worksheets</vt:lpstr>
      </vt:variant>
      <vt:variant>
        <vt:i4>1</vt:i4>
      </vt:variant>
    </vt:vector>
  </HeadingPairs>
  <TitlesOfParts>
    <vt:vector size="1" baseType="lpstr">
      <vt:lpstr>default.aspx.txt</vt:lpstr>
    </vt:vector>
  </TitlesOfParts>
  <Company/>
  <LinksUpToDate>false</LinksUpToDate>
  <SharedDoc>false</SharedDoc>
  <HyperlinksChanged>false</HyperlinksChanged>
  <AppVersion>14.0300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dcterms:created xsi:type="dcterms:W3CDTF">2016-04-17T22:54:55Z</dcterms:created>
  <dcterms:modified xsi:type="dcterms:W3CDTF">2016-04-17T22:54:56Z</dcterms:modified>
</cp:coreProperties>
</file>