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C1A8" w14:textId="60BFDF9B" w:rsidR="001D4158" w:rsidRDefault="001D4158">
      <w:r>
        <w:t>Date: November 1, 2022</w:t>
      </w:r>
    </w:p>
    <w:p w14:paraId="3BF237D1" w14:textId="0C3475A2" w:rsidR="001D4158" w:rsidRDefault="001D4158">
      <w:r>
        <w:t>Dataset Title: C</w:t>
      </w:r>
      <w:r w:rsidRPr="001D4158">
        <w:t>oncentrations and isotope values of nitrogen forms during 2020 Lake Erie Cyanobacterial harmful algal bloom</w:t>
      </w:r>
    </w:p>
    <w:p w14:paraId="53918285" w14:textId="3F373507" w:rsidR="001D4158" w:rsidRDefault="001D4158">
      <w:r>
        <w:t xml:space="preserve">Dataset Creators: </w:t>
      </w:r>
      <w:proofErr w:type="spellStart"/>
      <w:r>
        <w:t>Jenan</w:t>
      </w:r>
      <w:proofErr w:type="spellEnd"/>
      <w:r>
        <w:t xml:space="preserve"> J. </w:t>
      </w:r>
      <w:proofErr w:type="spellStart"/>
      <w:r>
        <w:t>Kharbush</w:t>
      </w:r>
      <w:proofErr w:type="spellEnd"/>
      <w:r>
        <w:t>, Susan J. Carter, Rebecca S. Robinson</w:t>
      </w:r>
    </w:p>
    <w:p w14:paraId="3E2A449D" w14:textId="4A33CE0A" w:rsidR="001D4158" w:rsidRDefault="001D4158">
      <w:r>
        <w:t xml:space="preserve">Dataset Contact: </w:t>
      </w:r>
      <w:proofErr w:type="spellStart"/>
      <w:r>
        <w:t>Jenan</w:t>
      </w:r>
      <w:proofErr w:type="spellEnd"/>
      <w:r>
        <w:t xml:space="preserve"> </w:t>
      </w:r>
      <w:proofErr w:type="spellStart"/>
      <w:r>
        <w:t>Kharbush</w:t>
      </w:r>
      <w:proofErr w:type="spellEnd"/>
      <w:r>
        <w:t xml:space="preserve"> </w:t>
      </w:r>
      <w:hyperlink r:id="rId9" w:history="1">
        <w:r w:rsidRPr="00C55068">
          <w:rPr>
            <w:rStyle w:val="Hyperlink"/>
          </w:rPr>
          <w:t>jenanjk@umich.edu</w:t>
        </w:r>
      </w:hyperlink>
    </w:p>
    <w:p w14:paraId="7508319B" w14:textId="4D4F0CB7" w:rsidR="001D4158" w:rsidRDefault="001D4158">
      <w:r>
        <w:t xml:space="preserve">Funding: University of Michigan, Harvard University, and </w:t>
      </w:r>
      <w:r w:rsidRPr="0008738C">
        <w:t>NSF-</w:t>
      </w:r>
      <w:proofErr w:type="spellStart"/>
      <w:r w:rsidRPr="0008738C">
        <w:t>BioOce</w:t>
      </w:r>
      <w:proofErr w:type="spellEnd"/>
      <w:r w:rsidRPr="0008738C">
        <w:t xml:space="preserve"> grant 1736629</w:t>
      </w:r>
    </w:p>
    <w:p w14:paraId="578F8767" w14:textId="77777777" w:rsidR="001D4158" w:rsidRDefault="001D4158"/>
    <w:p w14:paraId="414959E4" w14:textId="2CAF2E4A" w:rsidR="005A321A" w:rsidRDefault="005A321A">
      <w:r>
        <w:t>RESEARCH OVERVIEW</w:t>
      </w:r>
    </w:p>
    <w:p w14:paraId="165614BD" w14:textId="4C991633" w:rsidR="005A321A" w:rsidRDefault="005A321A">
      <w:r w:rsidRPr="005A321A">
        <w:t xml:space="preserve">Nitrogen availability is hypothesized to play a central role in </w:t>
      </w:r>
      <w:proofErr w:type="spellStart"/>
      <w:r w:rsidRPr="005A321A">
        <w:t>cyanoHAB</w:t>
      </w:r>
      <w:proofErr w:type="spellEnd"/>
      <w:r w:rsidRPr="005A321A">
        <w:t xml:space="preserve"> progression</w:t>
      </w:r>
      <w:r w:rsidR="00726BF7">
        <w:t>, as well as production of the nitrogen</w:t>
      </w:r>
      <w:r w:rsidRPr="005A321A">
        <w:t xml:space="preserve">-rich toxin microcystin. </w:t>
      </w:r>
      <w:r w:rsidR="00726BF7">
        <w:t>Recent work implicated reduced nitrogen</w:t>
      </w:r>
      <w:r w:rsidRPr="005A321A">
        <w:t xml:space="preserve"> substrates like </w:t>
      </w:r>
      <w:r w:rsidR="00726BF7">
        <w:t>ammonium and dissolved organic nitrogen</w:t>
      </w:r>
      <w:r w:rsidRPr="005A321A">
        <w:t xml:space="preserve"> (DON) in promoting greater bloom biomass and longevity. To examine the relative impo</w:t>
      </w:r>
      <w:r w:rsidR="00726BF7">
        <w:t>rtance of oxidized and reduced nitrogen</w:t>
      </w:r>
      <w:r w:rsidRPr="005A321A">
        <w:t xml:space="preserve"> substrates to phytoplankton during different bloom stages, </w:t>
      </w:r>
      <w:r w:rsidR="00726BF7">
        <w:t>we</w:t>
      </w:r>
      <w:r w:rsidRPr="005A321A">
        <w:t xml:space="preserve"> measured concentrations and natural abundance δ</w:t>
      </w:r>
      <w:r w:rsidRPr="00726BF7">
        <w:rPr>
          <w:vertAlign w:val="superscript"/>
        </w:rPr>
        <w:t>15</w:t>
      </w:r>
      <w:r w:rsidR="00726BF7">
        <w:t>N isotope values of dissolved nitrogen</w:t>
      </w:r>
      <w:r w:rsidRPr="005A321A">
        <w:t xml:space="preserve"> substrates and phytoplankton biomass throughout the entirety of the 2020 </w:t>
      </w:r>
      <w:proofErr w:type="spellStart"/>
      <w:r w:rsidRPr="005A321A">
        <w:t>cyanoHAB</w:t>
      </w:r>
      <w:proofErr w:type="spellEnd"/>
      <w:r w:rsidRPr="005A321A">
        <w:t xml:space="preserve"> in Western Lake Erie. This is the first data on DON concentrations and isotope values in Western Lake Erie. We measured nitrate concentrations and isotope values to compare with DON </w:t>
      </w:r>
      <w:proofErr w:type="gramStart"/>
      <w:r w:rsidRPr="005A321A">
        <w:t>and also</w:t>
      </w:r>
      <w:proofErr w:type="gramEnd"/>
      <w:r w:rsidRPr="005A321A">
        <w:t xml:space="preserve"> with particulate organic matter 15N isotope values. This dataset is described and analyzed in the publication, "Patterns in sources and forms of nitrogen during a freshwat</w:t>
      </w:r>
      <w:r w:rsidR="0008738C">
        <w:t xml:space="preserve">er cyanobacterial harmful algal </w:t>
      </w:r>
      <w:r w:rsidRPr="005A321A">
        <w:t>bloom".</w:t>
      </w:r>
      <w:r w:rsidR="00726BF7">
        <w:t xml:space="preserve"> </w:t>
      </w:r>
    </w:p>
    <w:p w14:paraId="6EC86903" w14:textId="77777777" w:rsidR="00726BF7" w:rsidRDefault="00726BF7"/>
    <w:p w14:paraId="018989C3" w14:textId="583696F0" w:rsidR="004372F5" w:rsidRDefault="00EF1F2E">
      <w:r>
        <w:t>METHODS</w:t>
      </w:r>
    </w:p>
    <w:p w14:paraId="62BA3A60" w14:textId="77777777" w:rsidR="00EF1F2E" w:rsidRDefault="00F60807">
      <w:r w:rsidRPr="00F60807">
        <w:rPr>
          <w:u w:val="single"/>
        </w:rPr>
        <w:t>Sample collection:</w:t>
      </w:r>
      <w:r>
        <w:t xml:space="preserve"> </w:t>
      </w:r>
    </w:p>
    <w:p w14:paraId="1476A4E1" w14:textId="4024A2AC" w:rsidR="00F60807" w:rsidRDefault="00EF1F2E">
      <w:r>
        <w:t>S</w:t>
      </w:r>
      <w:r w:rsidR="00F60807">
        <w:t xml:space="preserve">amples </w:t>
      </w:r>
      <w:r w:rsidR="00F60807" w:rsidRPr="00F60807">
        <w:t xml:space="preserve">were collected approximately weekly between mid-June and late September 2020, from three stations in the western basin of Lake Erie (coordinates in </w:t>
      </w:r>
      <w:r w:rsidR="000A3780">
        <w:t>2020LakeErie_forDeepBlue_data.csv file</w:t>
      </w:r>
      <w:r w:rsidR="00F60807" w:rsidRPr="00F60807">
        <w:t>).</w:t>
      </w:r>
    </w:p>
    <w:p w14:paraId="5305B712" w14:textId="77777777" w:rsidR="00EF1F2E" w:rsidRDefault="00F60807">
      <w:r w:rsidRPr="00F60807">
        <w:rPr>
          <w:u w:val="single"/>
        </w:rPr>
        <w:t>Sample Processing:</w:t>
      </w:r>
      <w:r w:rsidRPr="00F60807">
        <w:t xml:space="preserve"> </w:t>
      </w:r>
    </w:p>
    <w:p w14:paraId="26A01792" w14:textId="6EB5E456" w:rsidR="00F60807" w:rsidRDefault="00F60807">
      <w:r w:rsidRPr="00F60807">
        <w:t xml:space="preserve">Water samples were collected from 0-1 m below the surface using a peristaltic pump and tubing, then transported in carboys back to the lab. Water quality parameters such as temperature, specific conductivity, and turbidity were measured using an on-board CTD profiler. In the lab, particulate organic matter (POM) was collected by vacuum filtering 2L of water through pre-combusted glass fiber filters (GFF, 0.7 </w:t>
      </w:r>
      <w:r>
        <w:rPr>
          <w:rFonts w:cstheme="minorHAnsi"/>
        </w:rPr>
        <w:t>µ</w:t>
      </w:r>
      <w:r w:rsidRPr="00F60807">
        <w:t xml:space="preserve">m nominal pore size). Filters were frozen at -80°C, and the filtrate was subsequently filtered through 0.2 µm </w:t>
      </w:r>
      <w:proofErr w:type="spellStart"/>
      <w:r w:rsidRPr="00F60807">
        <w:t>polyethersulfone</w:t>
      </w:r>
      <w:proofErr w:type="spellEnd"/>
      <w:r w:rsidRPr="00F60807">
        <w:t xml:space="preserve"> flat filters and collected for nutrient and fluorescence (EEMs) analysis. Nutrient samples were frozen at -20°C until analysis, while EEMs samples were stored at 4°C. All water samples were filtered and stored on the same day they were collected.</w:t>
      </w:r>
    </w:p>
    <w:p w14:paraId="0FD65531" w14:textId="77777777" w:rsidR="00EF1F2E" w:rsidRDefault="00F60807" w:rsidP="00F60807">
      <w:r w:rsidRPr="00F60807">
        <w:rPr>
          <w:u w:val="single"/>
        </w:rPr>
        <w:t>Sample analysis:</w:t>
      </w:r>
      <w:r>
        <w:t xml:space="preserve"> </w:t>
      </w:r>
    </w:p>
    <w:p w14:paraId="66B4F41F" w14:textId="6D23C1FF" w:rsidR="00F60807" w:rsidRDefault="00F60807" w:rsidP="00F60807">
      <w:r>
        <w:lastRenderedPageBreak/>
        <w:t xml:space="preserve">Dissolved nutrient and microcystin concentrations were determined at the Cooperative Institute for Great Lakes Research (CIGLR) at the University of Michigan. All N substrate concentrations are reported as µM N. Isotope values are reported as δ values, in units of </w:t>
      </w:r>
      <w:proofErr w:type="spellStart"/>
      <w:r>
        <w:t>permil</w:t>
      </w:r>
      <w:proofErr w:type="spellEnd"/>
      <w:r>
        <w:t xml:space="preserve"> (‰).</w:t>
      </w:r>
    </w:p>
    <w:p w14:paraId="470634AC" w14:textId="3A340780" w:rsidR="00F60807" w:rsidRDefault="00F60807" w:rsidP="00F60807">
      <w:r>
        <w:t>δ</w:t>
      </w:r>
      <w:r w:rsidRPr="00F60807">
        <w:rPr>
          <w:vertAlign w:val="superscript"/>
        </w:rPr>
        <w:t>15</w:t>
      </w:r>
      <w:r>
        <w:t>N values of NO</w:t>
      </w:r>
      <w:r w:rsidRPr="00F60807">
        <w:rPr>
          <w:vertAlign w:val="subscript"/>
        </w:rPr>
        <w:t>3</w:t>
      </w:r>
      <w:r w:rsidRPr="00F60807">
        <w:rPr>
          <w:vertAlign w:val="superscript"/>
        </w:rPr>
        <w:t>-</w:t>
      </w:r>
      <w:r>
        <w:t xml:space="preserve"> and total dissolved N (TDN, includes NO</w:t>
      </w:r>
      <w:r w:rsidRPr="00F60807">
        <w:rPr>
          <w:vertAlign w:val="subscript"/>
        </w:rPr>
        <w:t>3</w:t>
      </w:r>
      <w:r w:rsidRPr="00F60807">
        <w:rPr>
          <w:vertAlign w:val="superscript"/>
        </w:rPr>
        <w:t>-</w:t>
      </w:r>
      <w:r>
        <w:t>, NO</w:t>
      </w:r>
      <w:r w:rsidRPr="00F60807">
        <w:rPr>
          <w:vertAlign w:val="subscript"/>
        </w:rPr>
        <w:t>2</w:t>
      </w:r>
      <w:r w:rsidRPr="00F60807">
        <w:rPr>
          <w:vertAlign w:val="superscript"/>
        </w:rPr>
        <w:t>-</w:t>
      </w:r>
      <w:r>
        <w:t>, NH</w:t>
      </w:r>
      <w:r w:rsidRPr="00F60807">
        <w:rPr>
          <w:vertAlign w:val="subscript"/>
        </w:rPr>
        <w:t>4</w:t>
      </w:r>
      <w:r w:rsidRPr="00F60807">
        <w:rPr>
          <w:vertAlign w:val="superscript"/>
        </w:rPr>
        <w:t>+</w:t>
      </w:r>
      <w:r>
        <w:t xml:space="preserve">, and DON) were measured using the </w:t>
      </w:r>
      <w:proofErr w:type="spellStart"/>
      <w:r>
        <w:t>denitrifier</w:t>
      </w:r>
      <w:proofErr w:type="spellEnd"/>
      <w:r>
        <w:t xml:space="preserve"> method </w:t>
      </w:r>
      <w:r w:rsidR="005A321A">
        <w:fldChar w:fldCharType="begin" w:fldLock="1"/>
      </w:r>
      <w:r w:rsidR="005A321A">
        <w:instrText>ADDIN CSL_CITATION {"citationItems":[{"id":"ITEM-1","itemData":{"DOI":"10.1021/ac010088e","abstract":"We report a new method for measurement of the isotopic (ref 2 and references therein). Methods also exist for the coupled composition of nitrate (NO3-) at the natural-abundance nitrogen and oxygen isotopic analysis of nitrate in freshwater that level in both seawater and freshwater. The method is are based on purification of the nitrate salt and the direct, high- based on the isotopic analysis of nitrous oxide (N2O) temperature conversion of nitrate to N2 and CO2.3-5 However, generated from nitrate by denitrifying bacteria that lack weaknesses in the available methods have made some nitrate N2O-reductase activity. The isotopic composition of both isotope investigations difficult and have precluded others. The nitrogen and oxygen from nitrate are accessible in this published N2-based methods for nitrogen isotopic analysis nor- way. In this first of two companion manuscripts, we mally require micromoles of nitrate-N, which is prohibitive when describe the basic protocol and results for the nitrogen only milliliters of water are available. The methods available for isotopes. The precision of the method is better than 0.2‰ the nitrogen isotopic analysis of seawater nitrate require nitrate concentrations of 2-3 µM or higher,2 largely because of the (1 SD) at concentrations of nitrate down to 1 µM, and the limited efficiency with which ammonia is extracted by distillation nitrogen isotopic differences among various standards and and diffusion. In addition, these methods have a significant reagent samples are accurately reproduced. For samples with 1 blank and a blank associated with dissolved organic nitrogen that µM nitrate or more, the blank of the method is less than varies with sample type and can be large.6 Finally, these methods 10% of the signal size, and various approaches may are typically labor- or time-intensive. With respect to oxygen reduce it further. isotopic","author":[{"dropping-particle":"","family":"Sigman","given":"D M","non-dropping-particle":"","parse-names":false,"suffix":""},{"dropping-particle":"","family":"Casciotti","given":"K L","non-dropping-particle":"","parse-names":false,"suffix":""},{"dropping-particle":"","family":"Andreani","given":"M","non-dropping-particle":"","parse-names":false,"suffix":""},{"dropping-particle":"","family":"Barford","given":"C","non-dropping-particle":"","parse-names":false,"suffix":""},{"dropping-particle":"","family":"Galanter","given":"M","non-dropping-particle":"","parse-names":false,"suffix":""},{"dropping-particle":"","family":"Bhlke","given":"J K","non-dropping-particle":"","parse-names":false,"suffix":""},{"dropping-particle":"","family":"Bo","given":"J K","non-dropping-particle":"","parse-names":false,"suffix":""},{"dropping-particle":"","family":"Supe","given":"Ä Normale","non-dropping-particle":"","parse-names":false,"suffix":""}],"container-title":"Analytical chemistry","id":"ITEM-1","issue":"17","issued":{"date-parts":[["2001"]]},"page":"4145-4153","title":"A Bacterial Method for the Nitrogen Isotopic Analysis of Nitrate in Seawater and Freshwater","type":"article-journal","volume":"73"},"uris":["http://www.mendeley.com/documents/?uuid=cc7ab4dc-6baf-481b-9096-bbab2b1882c7"]},{"id":"ITEM-2","itemData":{"DOI":"10.1021/ac020113w","ISSN":"00032700","PMID":"12380811","abstract":"We report a novel method for measurement of the oxygen isotopic composition (18O/16O) of nitrate (NO3-) from both seawater and freshwater. The denitrifier method, based on the isotope ratio analysis of nitrous oxide generated from sample nitrate by cultured denitrifying bacteria, has been described elsewhere for its use in nitrogen isotope ratio (15N/14N) analysis of nitrate. 1 Here, we address the additional issues associated with 18O/16O analysis of nitrate by this approach, which include (1) the oxygen isotopic difference between the nitrate sample and the N2O analyte due to isotopic fractionation associated with the loss of oxygen atoms from nitrate and (2) the exchange of oxygen atoms with water during the conversion of nitrate to N2O. Experiments with 18O-labeled water indicate that water exchange contributes less than 10%, and frequently less than 3%, of the oxygen atoms in the N2O product for Pseudomonas aureofaciens. In addition, both oxygen isotope fractionation and oxygen atom exchange are consistent within a given batch of analyses. The analysis of appropriate isotopic reference materials can thus be used to correct the measured 18O/16O ratios of samples for both effects. This is the first method tested for 18O/16O analysis of nitrate in seawater. Benefits of this method, relative to published freshwater methods, include higher sensitivity (tested down to 10 nmol and 1 μM NO3-), lack of interference by other solutes, and ease of sample preparation.","author":[{"dropping-particle":"","family":"Casciotti","given":"K. L.","non-dropping-particle":"","parse-names":false,"suffix":""},{"dropping-particle":"","family":"Sigman","given":"D. M.","non-dropping-particle":"","parse-names":false,"suffix":""},{"dropping-particle":"","family":"Hastings","given":"M. Galanter","non-dropping-particle":"","parse-names":false,"suffix":""},{"dropping-particle":"","family":"Böhlke","given":"J. K.","non-dropping-particle":"","parse-names":false,"suffix":""},{"dropping-particle":"","family":"Hilkert","given":"A.","non-dropping-particle":"","parse-names":false,"suffix":""}],"container-title":"Analytical Chemistry","id":"ITEM-2","issue":"19","issued":{"date-parts":[["2002"]]},"page":"4905-4912","title":"Measurement of the oxygen isotopic composition of nitrate in seawater and freshwater using the denitrifier method","type":"article-journal","volume":"74"},"uris":["http://www.mendeley.com/documents/?uuid=1907cc6f-e73b-4d44-9e0e-d6561e04e04f"]}],"mendeley":{"formattedCitation":"(Sigman et al. 2001; Casciotti et al. 2002)","plainTextFormattedCitation":"(Sigman et al. 2001; Casciotti et al. 2002)","previouslyFormattedCitation":"(Sigman et al. 2001; Casciotti et al. 2002)"},"properties":{"noteIndex":0},"schema":"https://github.com/citation-style-language/schema/raw/master/csl-citation.json"}</w:instrText>
      </w:r>
      <w:r w:rsidR="005A321A">
        <w:fldChar w:fldCharType="separate"/>
      </w:r>
      <w:r w:rsidR="005A321A" w:rsidRPr="005A321A">
        <w:rPr>
          <w:noProof/>
        </w:rPr>
        <w:t>(Sigman et al. 2001; Casciotti et al. 2002)</w:t>
      </w:r>
      <w:r w:rsidR="005A321A">
        <w:fldChar w:fldCharType="end"/>
      </w:r>
      <w:r>
        <w:t>, on a Delta V Advantage isotope ratio mass spectrometer with a custom built purge and trap system. Isotope measurements were standardized to the N</w:t>
      </w:r>
      <w:r w:rsidRPr="005A321A">
        <w:rPr>
          <w:vertAlign w:val="subscript"/>
        </w:rPr>
        <w:t>2</w:t>
      </w:r>
      <w:r>
        <w:t xml:space="preserve"> reference scale using standard reference materials IAEA N3 and USGS 34.</w:t>
      </w:r>
    </w:p>
    <w:p w14:paraId="541F7FC0" w14:textId="254C9A31" w:rsidR="00F60807" w:rsidRDefault="00F60807" w:rsidP="00F60807">
      <w:r>
        <w:t xml:space="preserve">TDN was measured using persulfate oxidation to </w:t>
      </w:r>
      <w:r w:rsidR="005A321A">
        <w:t>NO</w:t>
      </w:r>
      <w:r w:rsidR="005A321A" w:rsidRPr="00F60807">
        <w:rPr>
          <w:vertAlign w:val="subscript"/>
        </w:rPr>
        <w:t>3</w:t>
      </w:r>
      <w:r w:rsidR="005A321A" w:rsidRPr="00F60807">
        <w:rPr>
          <w:vertAlign w:val="superscript"/>
        </w:rPr>
        <w:t>-</w:t>
      </w:r>
      <w:r>
        <w:t xml:space="preserve">, followed by the </w:t>
      </w:r>
      <w:proofErr w:type="spellStart"/>
      <w:r>
        <w:t>denitrifier</w:t>
      </w:r>
      <w:proofErr w:type="spellEnd"/>
      <w:r>
        <w:t xml:space="preserve"> method </w:t>
      </w:r>
      <w:r w:rsidR="005A321A">
        <w:fldChar w:fldCharType="begin" w:fldLock="1"/>
      </w:r>
      <w:r w:rsidR="005A321A">
        <w:instrText>ADDIN CSL_CITATION {"citationItems":[{"id":"ITEM-1","itemData":{"DOI":"10.1029/2004GB002320","ISSN":"1944-9224","abstract":"To better constrain the dynamics of the dissolved organic nitrogen (DON) pool and the role of N2 fixation in the nitrogen cycle at the Bermuda Atlantic Time-series Study (BATS) site, we measured the 15N/14N ratio of total nongaseous nitrogen (TN) in the upper 250 m and of nitrate in the upper 1000 m of monthly water column profiles from June 2000 through May 2001. The annually averaged TN δ15N in the upper 100 m is 3.9‰, which is greater than thermocline nitrate (2-3‰ at 250 m) and similar to literature values for shallow sinking nitrogen at BATS (3.7‰). We discern no seasonal variation in TN δ15N, which suggests that most of the DON pool is recalcitrant on this timescale. The TN data require a δ15N for the sinking flux that is similar to previous measurements, suggesting that N2 fixation is a minor component of new nitrogen at BATS. Small but measurable differences in the concentration and 15N/14N of total organic nitrogen (TON) between the surface and subsurface (</w:instrText>
      </w:r>
      <w:r w:rsidR="005A321A">
        <w:rPr>
          <w:rFonts w:ascii="Cambria Math" w:hAnsi="Cambria Math" w:cs="Cambria Math"/>
        </w:rPr>
        <w:instrText>∼</w:instrText>
      </w:r>
      <w:r w:rsidR="005A321A">
        <w:instrText xml:space="preserve">250 m) suggest that subsurface remineralization of </w:instrText>
      </w:r>
      <w:r w:rsidR="005A321A">
        <w:rPr>
          <w:rFonts w:ascii="Cambria Math" w:hAnsi="Cambria Math" w:cs="Cambria Math"/>
        </w:rPr>
        <w:instrText>∼</w:instrText>
      </w:r>
      <w:r w:rsidR="005A321A">
        <w:instrText xml:space="preserve">0.25 </w:instrText>
      </w:r>
      <w:r w:rsidR="005A321A">
        <w:rPr>
          <w:rFonts w:ascii="Calibri" w:hAnsi="Calibri" w:cs="Calibri"/>
        </w:rPr>
        <w:instrText>μ</w:instrText>
      </w:r>
      <w:r w:rsidR="005A321A">
        <w:instrText>M of the surface TON acts to lower the 15N/14N of nitrate in the thermocline at BATS. Copyright 2005 by the American Geophysical Union.","author":[{"dropping-particle":"","family":"Knapp","given":"Angela N.","non-dropping-particle":"","parse-names":false,"suffix":""},{"dropping-particle":"","family":"Sigman","given":"Daniel M.","non-dropping-particle":"","parse-names":false,"suffix":""},{"dropping-particle":"","family":"Lipschultz","given":"Fredric","non-dropping-particle":"","parse-names":false,"suffix":""}],"container-title":"Global Biogeochemical Cycles","id":"ITEM-1","issue":"1","issued":{"date-parts":[["2005","3","1"]]},"page":"1-15","publisher":"John Wiley &amp; Sons, Ltd","title":"N isotopic composition of dissolved organic nitrogen and nitrate at the Bermuda Atlantic Time-series Study site","type":"article-journal","volume":"19"},"uris":["http://www.mendeley.com/documents/?uuid=7ea90080-39b8-3602-a9fa-7115ab1b7fbe"]}],"mendeley":{"formattedCitation":"(Knapp et al. 2005)","plainTextFormattedCitation":"(Knapp et al. 2005)"},"properties":{"noteIndex":0},"schema":"https://github.com/citation-style-language/schema/raw/master/csl-citation.json"}</w:instrText>
      </w:r>
      <w:r w:rsidR="005A321A">
        <w:fldChar w:fldCharType="separate"/>
      </w:r>
      <w:r w:rsidR="005A321A" w:rsidRPr="005A321A">
        <w:rPr>
          <w:noProof/>
        </w:rPr>
        <w:t>(Knapp et al. 2005)</w:t>
      </w:r>
      <w:r w:rsidR="005A321A">
        <w:fldChar w:fldCharType="end"/>
      </w:r>
      <w:r w:rsidR="005A321A">
        <w:t>.</w:t>
      </w:r>
      <w:r>
        <w:t xml:space="preserve"> To oxidize TDN to </w:t>
      </w:r>
      <w:r w:rsidR="005A321A">
        <w:t>NO</w:t>
      </w:r>
      <w:r w:rsidR="005A321A" w:rsidRPr="00F60807">
        <w:rPr>
          <w:vertAlign w:val="subscript"/>
        </w:rPr>
        <w:t>3</w:t>
      </w:r>
      <w:r w:rsidR="005A321A" w:rsidRPr="00F60807">
        <w:rPr>
          <w:vertAlign w:val="superscript"/>
        </w:rPr>
        <w:t>-</w:t>
      </w:r>
      <w:r>
        <w:t>, 12 mL of sample was combined with 1.5 mL of fresh persulfate oxidizing reagent (POR) in a pre-combusted 16 mL glass vial with PTFE-lined cap (Wheaton EC sample vials, DWK part #224746), and autoclaved for 45 minutes on a slow-vent or liquid setting. POR consists of 3 g ACS grade NaOH and 3 g of re-crystallized potassium persulfate (K</w:t>
      </w:r>
      <w:r w:rsidRPr="005A321A">
        <w:rPr>
          <w:vertAlign w:val="subscript"/>
        </w:rPr>
        <w:t>2</w:t>
      </w:r>
      <w:r>
        <w:t>S</w:t>
      </w:r>
      <w:r w:rsidRPr="005A321A">
        <w:rPr>
          <w:vertAlign w:val="subscript"/>
        </w:rPr>
        <w:t>2</w:t>
      </w:r>
      <w:r>
        <w:t>O</w:t>
      </w:r>
      <w:r w:rsidRPr="005A321A">
        <w:rPr>
          <w:vertAlign w:val="subscript"/>
        </w:rPr>
        <w:t>8</w:t>
      </w:r>
      <w:r>
        <w:t xml:space="preserve">) dissolved in 100 mL of ultrapure water. The </w:t>
      </w:r>
      <w:r w:rsidR="005A321A">
        <w:t>K</w:t>
      </w:r>
      <w:r w:rsidR="005A321A" w:rsidRPr="005A321A">
        <w:rPr>
          <w:vertAlign w:val="subscript"/>
        </w:rPr>
        <w:t>2</w:t>
      </w:r>
      <w:r w:rsidR="005A321A">
        <w:t>S</w:t>
      </w:r>
      <w:r w:rsidR="005A321A" w:rsidRPr="005A321A">
        <w:rPr>
          <w:vertAlign w:val="subscript"/>
        </w:rPr>
        <w:t>2</w:t>
      </w:r>
      <w:r w:rsidR="005A321A">
        <w:t>O</w:t>
      </w:r>
      <w:r w:rsidR="005A321A" w:rsidRPr="005A321A">
        <w:rPr>
          <w:vertAlign w:val="subscript"/>
        </w:rPr>
        <w:t>8</w:t>
      </w:r>
      <w:r>
        <w:t xml:space="preserve"> was re-crystallized by slowly adding water until all was dissolved, then re-crystallizing on ice for 1 </w:t>
      </w:r>
      <w:proofErr w:type="spellStart"/>
      <w:r>
        <w:t>hr</w:t>
      </w:r>
      <w:proofErr w:type="spellEnd"/>
      <w:r>
        <w:t xml:space="preserve">, pouring off supernatant, and repeating for a total of three times. After the final recrystallization, the </w:t>
      </w:r>
      <w:r w:rsidR="005A321A">
        <w:t>K</w:t>
      </w:r>
      <w:r w:rsidR="005A321A" w:rsidRPr="005A321A">
        <w:rPr>
          <w:vertAlign w:val="subscript"/>
        </w:rPr>
        <w:t>2</w:t>
      </w:r>
      <w:r w:rsidR="005A321A">
        <w:t>S</w:t>
      </w:r>
      <w:r w:rsidR="005A321A" w:rsidRPr="005A321A">
        <w:rPr>
          <w:vertAlign w:val="subscript"/>
        </w:rPr>
        <w:t>2</w:t>
      </w:r>
      <w:r w:rsidR="005A321A">
        <w:t>O</w:t>
      </w:r>
      <w:r w:rsidR="005A321A" w:rsidRPr="005A321A">
        <w:rPr>
          <w:vertAlign w:val="subscript"/>
        </w:rPr>
        <w:t>8</w:t>
      </w:r>
      <w:r>
        <w:t xml:space="preserve"> was vacuum filtered through qualitative filter paper, rinsed thoroughly with methanol, and left to dry for a few minutes under vacuum. Recrystallized </w:t>
      </w:r>
      <w:r w:rsidR="005A321A">
        <w:t>K</w:t>
      </w:r>
      <w:r w:rsidR="005A321A" w:rsidRPr="005A321A">
        <w:rPr>
          <w:vertAlign w:val="subscript"/>
        </w:rPr>
        <w:t>2</w:t>
      </w:r>
      <w:r w:rsidR="005A321A">
        <w:t>S</w:t>
      </w:r>
      <w:r w:rsidR="005A321A" w:rsidRPr="005A321A">
        <w:rPr>
          <w:vertAlign w:val="subscript"/>
        </w:rPr>
        <w:t>2</w:t>
      </w:r>
      <w:r w:rsidR="005A321A">
        <w:t>O</w:t>
      </w:r>
      <w:r w:rsidR="005A321A" w:rsidRPr="005A321A">
        <w:rPr>
          <w:vertAlign w:val="subscript"/>
        </w:rPr>
        <w:t>8</w:t>
      </w:r>
      <w:r>
        <w:t xml:space="preserve"> was always stored in a desiccator, protected from light, and used within a week. POR was always prepared immediately before use. Each batch of samples was autoclaved with three vials containing only 12 mL of POR, to determine the size and δ</w:t>
      </w:r>
      <w:r w:rsidRPr="005A321A">
        <w:rPr>
          <w:vertAlign w:val="superscript"/>
        </w:rPr>
        <w:t>15</w:t>
      </w:r>
      <w:r>
        <w:t>N value of any N contamination associated with the POR.</w:t>
      </w:r>
    </w:p>
    <w:p w14:paraId="5774DDB6" w14:textId="4EF62D88" w:rsidR="00F60807" w:rsidRDefault="00F60807" w:rsidP="00F60807">
      <w:r>
        <w:t xml:space="preserve">Before </w:t>
      </w:r>
      <w:r w:rsidR="005A321A">
        <w:t>isotope</w:t>
      </w:r>
      <w:r>
        <w:t xml:space="preserve"> analysis, the concentration of </w:t>
      </w:r>
      <w:r w:rsidR="005A321A">
        <w:t>NO</w:t>
      </w:r>
      <w:r w:rsidR="005A321A" w:rsidRPr="00F60807">
        <w:rPr>
          <w:vertAlign w:val="subscript"/>
        </w:rPr>
        <w:t>3</w:t>
      </w:r>
      <w:r w:rsidR="005A321A" w:rsidRPr="00F60807">
        <w:rPr>
          <w:vertAlign w:val="superscript"/>
        </w:rPr>
        <w:t>-</w:t>
      </w:r>
      <w:r>
        <w:t>in both unoxidized and oxidized samples was measured using a chemiluminescent NOx analyzer (Teledyne NO/NOx Analyzer 200E). The concentration of DON was calculated by subtracting the concentrations of NH</w:t>
      </w:r>
      <w:r w:rsidRPr="005A321A">
        <w:rPr>
          <w:vertAlign w:val="subscript"/>
        </w:rPr>
        <w:t>4</w:t>
      </w:r>
      <w:r w:rsidRPr="005A321A">
        <w:rPr>
          <w:vertAlign w:val="superscript"/>
        </w:rPr>
        <w:t>+</w:t>
      </w:r>
      <w:r>
        <w:t xml:space="preserve"> and </w:t>
      </w:r>
      <w:r w:rsidR="005A321A">
        <w:t>NO</w:t>
      </w:r>
      <w:r w:rsidR="005A321A" w:rsidRPr="00F60807">
        <w:rPr>
          <w:vertAlign w:val="subscript"/>
        </w:rPr>
        <w:t>3</w:t>
      </w:r>
      <w:r w:rsidR="005A321A" w:rsidRPr="00F60807">
        <w:rPr>
          <w:vertAlign w:val="superscript"/>
        </w:rPr>
        <w:t>-</w:t>
      </w:r>
      <w:r>
        <w:t>in the unoxidized samples from the N concentration of the persulfate oxidized TDN samples. TDN concentration was corrected for any N contamination in the POR blanks, but this was always &lt;0.5 µM or below detection. The concentrations and δ</w:t>
      </w:r>
      <w:r w:rsidRPr="005A321A">
        <w:rPr>
          <w:vertAlign w:val="superscript"/>
        </w:rPr>
        <w:t>15</w:t>
      </w:r>
      <w:r>
        <w:t xml:space="preserve">N values of TDN and </w:t>
      </w:r>
      <w:r w:rsidR="005A321A">
        <w:t>NO</w:t>
      </w:r>
      <w:r w:rsidR="005A321A" w:rsidRPr="00F60807">
        <w:rPr>
          <w:vertAlign w:val="subscript"/>
        </w:rPr>
        <w:t>3</w:t>
      </w:r>
      <w:r w:rsidR="005A321A" w:rsidRPr="00F60807">
        <w:rPr>
          <w:vertAlign w:val="superscript"/>
        </w:rPr>
        <w:t>-</w:t>
      </w:r>
      <w:r w:rsidR="005A321A">
        <w:rPr>
          <w:vertAlign w:val="superscript"/>
        </w:rPr>
        <w:t xml:space="preserve"> </w:t>
      </w:r>
      <w:r>
        <w:t>were used to calculate the δ</w:t>
      </w:r>
      <w:r w:rsidRPr="005A321A">
        <w:rPr>
          <w:vertAlign w:val="superscript"/>
        </w:rPr>
        <w:t>15</w:t>
      </w:r>
      <w:r>
        <w:t>N value of total reduced N (δ</w:t>
      </w:r>
      <w:r w:rsidRPr="005A321A">
        <w:rPr>
          <w:vertAlign w:val="superscript"/>
        </w:rPr>
        <w:t>15</w:t>
      </w:r>
      <w:r>
        <w:t>N</w:t>
      </w:r>
      <w:r w:rsidRPr="005A321A">
        <w:rPr>
          <w:vertAlign w:val="subscript"/>
        </w:rPr>
        <w:t>TRN</w:t>
      </w:r>
      <w:r>
        <w:t>) by mass balance:</w:t>
      </w:r>
    </w:p>
    <w:p w14:paraId="396A7DB6" w14:textId="2EC58991" w:rsidR="00F60807" w:rsidRDefault="00F60807" w:rsidP="00F60807">
      <w:r>
        <w:t>δ</w:t>
      </w:r>
      <w:r w:rsidRPr="005A321A">
        <w:rPr>
          <w:vertAlign w:val="superscript"/>
        </w:rPr>
        <w:t>15</w:t>
      </w:r>
      <w:r>
        <w:t>N</w:t>
      </w:r>
      <w:r w:rsidRPr="005A321A">
        <w:rPr>
          <w:vertAlign w:val="subscript"/>
        </w:rPr>
        <w:t>TRN</w:t>
      </w:r>
      <w:r>
        <w:t xml:space="preserve"> = (δ</w:t>
      </w:r>
      <w:r w:rsidRPr="005A321A">
        <w:rPr>
          <w:vertAlign w:val="superscript"/>
        </w:rPr>
        <w:t>15</w:t>
      </w:r>
      <w:r>
        <w:t>N</w:t>
      </w:r>
      <w:r w:rsidRPr="005A321A">
        <w:rPr>
          <w:vertAlign w:val="subscript"/>
        </w:rPr>
        <w:t>TDN</w:t>
      </w:r>
      <w:r w:rsidR="005A321A">
        <w:t xml:space="preserve"> </w:t>
      </w:r>
      <w:r w:rsidR="005A321A">
        <w:rPr>
          <w:rFonts w:cstheme="minorHAnsi"/>
        </w:rPr>
        <w:t>×</w:t>
      </w:r>
      <w:r w:rsidR="005A321A">
        <w:t xml:space="preserve"> </w:t>
      </w:r>
      <w:r>
        <w:t>[TDN] – δ</w:t>
      </w:r>
      <w:r w:rsidRPr="005A321A">
        <w:rPr>
          <w:vertAlign w:val="superscript"/>
        </w:rPr>
        <w:t>15</w:t>
      </w:r>
      <w:r>
        <w:t>N</w:t>
      </w:r>
      <w:r w:rsidRPr="005A321A">
        <w:rPr>
          <w:vertAlign w:val="subscript"/>
        </w:rPr>
        <w:t>NO3</w:t>
      </w:r>
      <w:r w:rsidR="005A321A">
        <w:rPr>
          <w:vertAlign w:val="subscript"/>
        </w:rPr>
        <w:t xml:space="preserve"> </w:t>
      </w:r>
      <w:r w:rsidR="005A321A">
        <w:rPr>
          <w:rFonts w:cstheme="minorHAnsi"/>
        </w:rPr>
        <w:t xml:space="preserve">× </w:t>
      </w:r>
      <w:r>
        <w:t>[</w:t>
      </w:r>
      <w:r w:rsidR="005A321A">
        <w:t>NO</w:t>
      </w:r>
      <w:r w:rsidR="005A321A" w:rsidRPr="00F60807">
        <w:rPr>
          <w:vertAlign w:val="subscript"/>
        </w:rPr>
        <w:t>3</w:t>
      </w:r>
      <w:r w:rsidR="005A321A" w:rsidRPr="00F60807">
        <w:rPr>
          <w:vertAlign w:val="superscript"/>
        </w:rPr>
        <w:t>-</w:t>
      </w:r>
      <w:r>
        <w:t>])/ [TRN]</w:t>
      </w:r>
    </w:p>
    <w:p w14:paraId="45658CDA" w14:textId="6B3B4881" w:rsidR="00F60807" w:rsidRDefault="00F60807" w:rsidP="00F60807">
      <w:r>
        <w:t>TRN is mostly DON, but includes some NH</w:t>
      </w:r>
      <w:r w:rsidRPr="005A321A">
        <w:rPr>
          <w:vertAlign w:val="subscript"/>
        </w:rPr>
        <w:t>4</w:t>
      </w:r>
      <w:r w:rsidRPr="005A321A">
        <w:rPr>
          <w:vertAlign w:val="superscript"/>
        </w:rPr>
        <w:t>+</w:t>
      </w:r>
      <w:r>
        <w:t xml:space="preserve"> as well, especially at the beginning of the sampling season. We were unable to measure the δ</w:t>
      </w:r>
      <w:r w:rsidRPr="005A321A">
        <w:rPr>
          <w:vertAlign w:val="superscript"/>
        </w:rPr>
        <w:t>15</w:t>
      </w:r>
      <w:r>
        <w:t>N of NH</w:t>
      </w:r>
      <w:r w:rsidRPr="005A321A">
        <w:rPr>
          <w:vertAlign w:val="subscript"/>
        </w:rPr>
        <w:t>4</w:t>
      </w:r>
      <w:r w:rsidRPr="005A321A">
        <w:rPr>
          <w:vertAlign w:val="superscript"/>
        </w:rPr>
        <w:t>+</w:t>
      </w:r>
      <w:r>
        <w:t xml:space="preserve"> as part of this study and therefore report isotope values as “δ</w:t>
      </w:r>
      <w:r w:rsidRPr="005A321A">
        <w:rPr>
          <w:vertAlign w:val="superscript"/>
        </w:rPr>
        <w:t>15</w:t>
      </w:r>
      <w:r>
        <w:t>N</w:t>
      </w:r>
      <w:r w:rsidRPr="005A321A">
        <w:rPr>
          <w:vertAlign w:val="subscript"/>
        </w:rPr>
        <w:t>TRN</w:t>
      </w:r>
      <w:r>
        <w:t>” rather than “δ</w:t>
      </w:r>
      <w:r w:rsidRPr="005A321A">
        <w:rPr>
          <w:vertAlign w:val="superscript"/>
        </w:rPr>
        <w:t>15</w:t>
      </w:r>
      <w:r>
        <w:t>N</w:t>
      </w:r>
      <w:r w:rsidRPr="005A321A">
        <w:rPr>
          <w:vertAlign w:val="subscript"/>
        </w:rPr>
        <w:t>DON</w:t>
      </w:r>
      <w:r>
        <w:t>”. The average precision for both δ</w:t>
      </w:r>
      <w:r w:rsidRPr="005A321A">
        <w:rPr>
          <w:vertAlign w:val="superscript"/>
        </w:rPr>
        <w:t>15</w:t>
      </w:r>
      <w:r>
        <w:t>N</w:t>
      </w:r>
      <w:r w:rsidRPr="005A321A">
        <w:rPr>
          <w:vertAlign w:val="subscript"/>
        </w:rPr>
        <w:t>NO3</w:t>
      </w:r>
      <w:r>
        <w:t xml:space="preserve"> and δ</w:t>
      </w:r>
      <w:r w:rsidRPr="005A321A">
        <w:rPr>
          <w:vertAlign w:val="superscript"/>
        </w:rPr>
        <w:t>15</w:t>
      </w:r>
      <w:r>
        <w:t>N</w:t>
      </w:r>
      <w:r w:rsidRPr="005A321A">
        <w:rPr>
          <w:vertAlign w:val="subscript"/>
        </w:rPr>
        <w:t>TDN</w:t>
      </w:r>
      <w:r>
        <w:t xml:space="preserve"> was 0.3‰, and propagation of error results in an average precision for δ</w:t>
      </w:r>
      <w:r w:rsidRPr="005A321A">
        <w:rPr>
          <w:vertAlign w:val="superscript"/>
        </w:rPr>
        <w:t>15</w:t>
      </w:r>
      <w:r>
        <w:t>N</w:t>
      </w:r>
      <w:r w:rsidRPr="005A321A">
        <w:rPr>
          <w:vertAlign w:val="subscript"/>
        </w:rPr>
        <w:t>TRN</w:t>
      </w:r>
      <w:r>
        <w:t xml:space="preserve"> of 0.7‰. </w:t>
      </w:r>
    </w:p>
    <w:p w14:paraId="63D969F3" w14:textId="3E894401" w:rsidR="00F60807" w:rsidRDefault="00F60807" w:rsidP="00F60807">
      <w:r>
        <w:t xml:space="preserve">POM analysis: GFF filters were dried at 50°C overnight, then subsampled for </w:t>
      </w:r>
      <w:r w:rsidR="005A321A">
        <w:t>isotope</w:t>
      </w:r>
      <w:r>
        <w:t xml:space="preserve"> analysis using a cork borer. Subsamples were placed into tin capsules (</w:t>
      </w:r>
      <w:proofErr w:type="spellStart"/>
      <w:r>
        <w:t>Costech</w:t>
      </w:r>
      <w:proofErr w:type="spellEnd"/>
      <w:r>
        <w:t xml:space="preserve">), which were folded and crushed to remove air, then analyzed on a </w:t>
      </w:r>
      <w:proofErr w:type="spellStart"/>
      <w:r>
        <w:t>Thermo</w:t>
      </w:r>
      <w:proofErr w:type="spellEnd"/>
      <w:r>
        <w:t xml:space="preserve"> Scientific Flash IRMS Elemental Analyzer with EA </w:t>
      </w:r>
      <w:proofErr w:type="spellStart"/>
      <w:r>
        <w:t>Isolink</w:t>
      </w:r>
      <w:proofErr w:type="spellEnd"/>
      <w:r>
        <w:t xml:space="preserve">, coupled to a Delta V Advantage IRMS through a </w:t>
      </w:r>
      <w:proofErr w:type="spellStart"/>
      <w:r>
        <w:t>Conflo</w:t>
      </w:r>
      <w:proofErr w:type="spellEnd"/>
      <w:r>
        <w:t xml:space="preserve"> IV universal interface. Sample δ</w:t>
      </w:r>
      <w:r w:rsidRPr="005A321A">
        <w:rPr>
          <w:vertAlign w:val="superscript"/>
        </w:rPr>
        <w:t>15</w:t>
      </w:r>
      <w:r>
        <w:t>N values were calculated using in-house laboratory standards as well as standard reference materials USGS40 and USGS41a</w:t>
      </w:r>
      <w:r w:rsidR="005A321A">
        <w:t>.</w:t>
      </w:r>
    </w:p>
    <w:p w14:paraId="7E798AD5" w14:textId="252A1613" w:rsidR="005A321A" w:rsidRDefault="005A321A" w:rsidP="00F60807"/>
    <w:p w14:paraId="5A9D9C36" w14:textId="3EE86794" w:rsidR="005A321A" w:rsidRDefault="005A321A" w:rsidP="00F60807">
      <w:r>
        <w:t>REFERENCES</w:t>
      </w:r>
    </w:p>
    <w:p w14:paraId="0C351933" w14:textId="255C754F" w:rsidR="005A321A" w:rsidRPr="005F23BF" w:rsidRDefault="005A321A" w:rsidP="005A321A">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5A321A">
        <w:rPr>
          <w:rFonts w:ascii="Calibri" w:hAnsi="Calibri" w:cs="Calibri"/>
          <w:noProof/>
          <w:szCs w:val="24"/>
        </w:rPr>
        <w:t xml:space="preserve">Casciotti, K. L., D. M. Sigman, M. G. Hastings, J. K. Böhlke, and A. Hilkert. 2002. Measurement of the </w:t>
      </w:r>
      <w:r w:rsidRPr="005A321A">
        <w:rPr>
          <w:rFonts w:ascii="Calibri" w:hAnsi="Calibri" w:cs="Calibri"/>
          <w:noProof/>
          <w:szCs w:val="24"/>
        </w:rPr>
        <w:lastRenderedPageBreak/>
        <w:t xml:space="preserve">oxygen isotopic composition of nitrate in seawater and freshwater using the denitrifier method. </w:t>
      </w:r>
      <w:r w:rsidRPr="005F23BF">
        <w:rPr>
          <w:rFonts w:ascii="Calibri" w:hAnsi="Calibri" w:cs="Calibri"/>
          <w:noProof/>
          <w:szCs w:val="24"/>
        </w:rPr>
        <w:t xml:space="preserve">Anal. Chem. </w:t>
      </w:r>
      <w:r w:rsidRPr="005F23BF">
        <w:rPr>
          <w:rFonts w:ascii="Calibri" w:hAnsi="Calibri" w:cs="Calibri"/>
          <w:b/>
          <w:bCs/>
          <w:noProof/>
          <w:szCs w:val="24"/>
        </w:rPr>
        <w:t>74</w:t>
      </w:r>
      <w:r w:rsidRPr="005F23BF">
        <w:rPr>
          <w:rFonts w:ascii="Calibri" w:hAnsi="Calibri" w:cs="Calibri"/>
          <w:noProof/>
          <w:szCs w:val="24"/>
        </w:rPr>
        <w:t>: 4905–4912. doi:10.1021/ac020113w</w:t>
      </w:r>
    </w:p>
    <w:p w14:paraId="79AA97BF" w14:textId="3812F3BD" w:rsidR="005F23BF" w:rsidRPr="005A321A" w:rsidRDefault="005F23BF" w:rsidP="005F23BF">
      <w:pPr>
        <w:widowControl w:val="0"/>
        <w:autoSpaceDE w:val="0"/>
        <w:autoSpaceDN w:val="0"/>
        <w:adjustRightInd w:val="0"/>
        <w:spacing w:line="240" w:lineRule="auto"/>
        <w:ind w:left="480" w:hanging="480"/>
        <w:rPr>
          <w:rFonts w:ascii="Calibri" w:hAnsi="Calibri" w:cs="Calibri"/>
          <w:noProof/>
          <w:szCs w:val="24"/>
        </w:rPr>
      </w:pPr>
      <w:r w:rsidRPr="005F23BF">
        <w:rPr>
          <w:color w:val="2B2B2B"/>
          <w:shd w:val="clear" w:color="auto" w:fill="EEF1F3"/>
        </w:rPr>
        <w:t>Cory, R. M., T. W. Davis, G. J. Dick, and others. 2016.Seasonal dynamics in dissolved organic matter, hydrogen peroxide, and</w:t>
      </w:r>
      <w:r w:rsidRPr="005F23BF">
        <w:rPr>
          <w:color w:val="2B2B2B"/>
          <w:shd w:val="clear" w:color="auto" w:fill="EEF1F3"/>
        </w:rPr>
        <w:t xml:space="preserve"> </w:t>
      </w:r>
      <w:r w:rsidRPr="005F23BF">
        <w:rPr>
          <w:color w:val="2B2B2B"/>
          <w:shd w:val="clear" w:color="auto" w:fill="EEF1F3"/>
        </w:rPr>
        <w:t>cyanobacterial blooms in Lake Erie. Front. Mar. Sci. </w:t>
      </w:r>
      <w:r w:rsidRPr="005F23BF">
        <w:rPr>
          <w:b/>
          <w:bCs/>
          <w:color w:val="2B2B2B"/>
          <w:shd w:val="clear" w:color="auto" w:fill="EEF1F3"/>
        </w:rPr>
        <w:t>3</w:t>
      </w:r>
      <w:r w:rsidRPr="005F23BF">
        <w:rPr>
          <w:color w:val="2B2B2B"/>
          <w:shd w:val="clear" w:color="auto" w:fill="EEF1F3"/>
        </w:rPr>
        <w:t>: 1–17.doi:10.3389/fmars.2016.00054</w:t>
      </w:r>
    </w:p>
    <w:p w14:paraId="692E00C1" w14:textId="784C621A" w:rsidR="005F23BF" w:rsidRPr="005F23BF" w:rsidRDefault="005F23BF" w:rsidP="005F23BF">
      <w:pPr>
        <w:pStyle w:val="attribute"/>
        <w:shd w:val="clear" w:color="auto" w:fill="F9F9F9"/>
        <w:spacing w:before="0" w:beforeAutospacing="0" w:after="0" w:afterAutospacing="0"/>
        <w:textAlignment w:val="baseline"/>
        <w:rPr>
          <w:rFonts w:asciiTheme="minorHAnsi" w:hAnsiTheme="minorHAnsi" w:cstheme="minorHAnsi"/>
          <w:color w:val="262626"/>
          <w:sz w:val="22"/>
          <w:szCs w:val="22"/>
        </w:rPr>
      </w:pPr>
      <w:proofErr w:type="spellStart"/>
      <w:r w:rsidRPr="005F23BF">
        <w:rPr>
          <w:rFonts w:asciiTheme="minorHAnsi" w:hAnsiTheme="minorHAnsi" w:cstheme="minorHAnsi"/>
          <w:color w:val="262626"/>
          <w:sz w:val="22"/>
          <w:szCs w:val="22"/>
        </w:rPr>
        <w:t>Kharbush</w:t>
      </w:r>
      <w:proofErr w:type="spellEnd"/>
      <w:r w:rsidRPr="005F23BF">
        <w:rPr>
          <w:rFonts w:asciiTheme="minorHAnsi" w:hAnsiTheme="minorHAnsi" w:cstheme="minorHAnsi"/>
          <w:color w:val="262626"/>
          <w:sz w:val="22"/>
          <w:szCs w:val="22"/>
        </w:rPr>
        <w:t xml:space="preserve">, </w:t>
      </w:r>
      <w:proofErr w:type="spellStart"/>
      <w:r w:rsidRPr="005F23BF">
        <w:rPr>
          <w:rFonts w:asciiTheme="minorHAnsi" w:hAnsiTheme="minorHAnsi" w:cstheme="minorHAnsi"/>
          <w:color w:val="262626"/>
          <w:sz w:val="22"/>
          <w:szCs w:val="22"/>
        </w:rPr>
        <w:t>Jenan</w:t>
      </w:r>
      <w:proofErr w:type="spellEnd"/>
      <w:r w:rsidRPr="005F23BF">
        <w:rPr>
          <w:rFonts w:asciiTheme="minorHAnsi" w:hAnsiTheme="minorHAnsi" w:cstheme="minorHAnsi"/>
          <w:color w:val="262626"/>
          <w:sz w:val="22"/>
          <w:szCs w:val="22"/>
        </w:rPr>
        <w:t xml:space="preserve"> J., Robinson, Rebecca S., Carter, Susan J. In revision. Patterns in sources and forms of </w:t>
      </w:r>
      <w:r>
        <w:rPr>
          <w:rFonts w:asciiTheme="minorHAnsi" w:hAnsiTheme="minorHAnsi" w:cstheme="minorHAnsi"/>
          <w:color w:val="262626"/>
          <w:sz w:val="22"/>
          <w:szCs w:val="22"/>
        </w:rPr>
        <w:tab/>
      </w:r>
      <w:r w:rsidRPr="005F23BF">
        <w:rPr>
          <w:rFonts w:asciiTheme="minorHAnsi" w:hAnsiTheme="minorHAnsi" w:cstheme="minorHAnsi"/>
          <w:color w:val="262626"/>
          <w:sz w:val="22"/>
          <w:szCs w:val="22"/>
        </w:rPr>
        <w:t>nitrogen during a freshwater cyanobacterial harmful algal bloom. Limnology and Oceanography.</w:t>
      </w:r>
    </w:p>
    <w:p w14:paraId="025EA87C" w14:textId="77777777" w:rsidR="005F23BF" w:rsidRDefault="005F23BF" w:rsidP="005F23BF">
      <w:pPr>
        <w:widowControl w:val="0"/>
        <w:autoSpaceDE w:val="0"/>
        <w:autoSpaceDN w:val="0"/>
        <w:adjustRightInd w:val="0"/>
        <w:spacing w:line="240" w:lineRule="auto"/>
        <w:rPr>
          <w:rFonts w:ascii="Calibri" w:hAnsi="Calibri" w:cs="Calibri"/>
          <w:noProof/>
          <w:szCs w:val="24"/>
        </w:rPr>
      </w:pPr>
    </w:p>
    <w:p w14:paraId="6C1466C8" w14:textId="31541963" w:rsidR="005A321A" w:rsidRPr="005A321A" w:rsidRDefault="005A321A" w:rsidP="005A321A">
      <w:pPr>
        <w:widowControl w:val="0"/>
        <w:autoSpaceDE w:val="0"/>
        <w:autoSpaceDN w:val="0"/>
        <w:adjustRightInd w:val="0"/>
        <w:spacing w:line="240" w:lineRule="auto"/>
        <w:ind w:left="480" w:hanging="480"/>
        <w:rPr>
          <w:rFonts w:ascii="Calibri" w:hAnsi="Calibri" w:cs="Calibri"/>
          <w:noProof/>
          <w:szCs w:val="24"/>
        </w:rPr>
      </w:pPr>
      <w:r w:rsidRPr="005A321A">
        <w:rPr>
          <w:rFonts w:ascii="Calibri" w:hAnsi="Calibri" w:cs="Calibri"/>
          <w:noProof/>
          <w:szCs w:val="24"/>
        </w:rPr>
        <w:t xml:space="preserve">Knapp, A. N., D. M. Sigman, and F. Lipschultz. 2005. N isotopic composition of dissolved organic nitrogen and nitrate at the Bermuda Atlantic Time-series Study site. Global Biogeochem. Cycles </w:t>
      </w:r>
      <w:r w:rsidRPr="005A321A">
        <w:rPr>
          <w:rFonts w:ascii="Calibri" w:hAnsi="Calibri" w:cs="Calibri"/>
          <w:b/>
          <w:bCs/>
          <w:noProof/>
          <w:szCs w:val="24"/>
        </w:rPr>
        <w:t>19</w:t>
      </w:r>
      <w:r w:rsidRPr="005A321A">
        <w:rPr>
          <w:rFonts w:ascii="Calibri" w:hAnsi="Calibri" w:cs="Calibri"/>
          <w:noProof/>
          <w:szCs w:val="24"/>
        </w:rPr>
        <w:t>: 1–15. doi:10.1029/2004GB002320</w:t>
      </w:r>
    </w:p>
    <w:p w14:paraId="65B7FBC4" w14:textId="503529A3" w:rsidR="005A321A" w:rsidRDefault="005A321A" w:rsidP="005A321A">
      <w:pPr>
        <w:widowControl w:val="0"/>
        <w:autoSpaceDE w:val="0"/>
        <w:autoSpaceDN w:val="0"/>
        <w:adjustRightInd w:val="0"/>
        <w:spacing w:line="240" w:lineRule="auto"/>
        <w:ind w:left="480" w:hanging="480"/>
        <w:rPr>
          <w:rFonts w:ascii="Calibri" w:hAnsi="Calibri" w:cs="Calibri"/>
          <w:noProof/>
          <w:szCs w:val="24"/>
        </w:rPr>
      </w:pPr>
      <w:r w:rsidRPr="005A321A">
        <w:rPr>
          <w:rFonts w:ascii="Calibri" w:hAnsi="Calibri" w:cs="Calibri"/>
          <w:noProof/>
          <w:szCs w:val="24"/>
        </w:rPr>
        <w:t xml:space="preserve">Sigman, D. M., K. L. Casciotti, M. Andreani, C. Barford, M. Galanter, J. K. Bhlke, J. K. Bo, and Ä. N. Supe. 2001. A Bacterial Method for the Nitrogen Isotopic Analysis of Nitrate in Seawater and Freshwater. Anal. Chem. </w:t>
      </w:r>
      <w:r w:rsidRPr="005A321A">
        <w:rPr>
          <w:rFonts w:ascii="Calibri" w:hAnsi="Calibri" w:cs="Calibri"/>
          <w:b/>
          <w:bCs/>
          <w:noProof/>
          <w:szCs w:val="24"/>
        </w:rPr>
        <w:t>73</w:t>
      </w:r>
      <w:r w:rsidRPr="005A321A">
        <w:rPr>
          <w:rFonts w:ascii="Calibri" w:hAnsi="Calibri" w:cs="Calibri"/>
          <w:noProof/>
          <w:szCs w:val="24"/>
        </w:rPr>
        <w:t>: 4145–4153. doi:10.1021/ac010088e</w:t>
      </w:r>
    </w:p>
    <w:p w14:paraId="5565ED59" w14:textId="7A79E354" w:rsidR="0008738C" w:rsidRDefault="0008738C" w:rsidP="005A321A">
      <w:pPr>
        <w:widowControl w:val="0"/>
        <w:autoSpaceDE w:val="0"/>
        <w:autoSpaceDN w:val="0"/>
        <w:adjustRightInd w:val="0"/>
        <w:spacing w:line="240" w:lineRule="auto"/>
        <w:ind w:left="480" w:hanging="480"/>
        <w:rPr>
          <w:rFonts w:ascii="Calibri" w:hAnsi="Calibri" w:cs="Calibri"/>
          <w:noProof/>
          <w:szCs w:val="24"/>
        </w:rPr>
      </w:pPr>
    </w:p>
    <w:p w14:paraId="31130DCB" w14:textId="322366A1" w:rsidR="0008738C" w:rsidRDefault="0008738C" w:rsidP="005A321A">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FILE INVENTORY</w:t>
      </w:r>
    </w:p>
    <w:p w14:paraId="32A23787" w14:textId="44F6D274" w:rsidR="0008738C" w:rsidRDefault="0008738C" w:rsidP="0008738C">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2020LakeErie_forDeepBlue_data.csv  : contains all data associated with this entry</w:t>
      </w:r>
    </w:p>
    <w:p w14:paraId="4BF47605" w14:textId="6EBCBB30" w:rsidR="0008738C" w:rsidRDefault="0008738C" w:rsidP="0008738C">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Definitions_of_terms_and_variables.csv : contains explanation of column names and terms for data contained in 2020LakeErie_forDeepBlue_data.csv</w:t>
      </w:r>
    </w:p>
    <w:p w14:paraId="083684BF" w14:textId="2E8F4E82" w:rsidR="0008738C" w:rsidRDefault="0008738C" w:rsidP="0008738C">
      <w:pPr>
        <w:widowControl w:val="0"/>
        <w:autoSpaceDE w:val="0"/>
        <w:autoSpaceDN w:val="0"/>
        <w:adjustRightInd w:val="0"/>
        <w:spacing w:line="240" w:lineRule="auto"/>
        <w:ind w:left="480" w:hanging="480"/>
        <w:rPr>
          <w:rFonts w:ascii="Calibri" w:hAnsi="Calibri" w:cs="Calibri"/>
          <w:noProof/>
          <w:szCs w:val="24"/>
        </w:rPr>
      </w:pPr>
    </w:p>
    <w:p w14:paraId="4AC390C4" w14:textId="23756B55" w:rsidR="0008738C" w:rsidRPr="0008738C" w:rsidRDefault="0008738C" w:rsidP="0008738C">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DEFINITIONS OF TERMS AND VARIABLES</w:t>
      </w:r>
    </w:p>
    <w:p w14:paraId="1196B66F" w14:textId="20CB54A1" w:rsidR="005A321A" w:rsidRDefault="005A321A" w:rsidP="00F60807">
      <w:pPr>
        <w:rPr>
          <w:rFonts w:ascii="Calibri" w:hAnsi="Calibri" w:cs="Calibri"/>
          <w:noProof/>
          <w:szCs w:val="24"/>
        </w:rPr>
      </w:pPr>
      <w:r>
        <w:fldChar w:fldCharType="end"/>
      </w:r>
      <w:r w:rsidR="0008738C">
        <w:t>See “</w:t>
      </w:r>
      <w:r w:rsidR="0008738C">
        <w:rPr>
          <w:rFonts w:ascii="Calibri" w:hAnsi="Calibri" w:cs="Calibri"/>
          <w:noProof/>
          <w:szCs w:val="24"/>
        </w:rPr>
        <w:t>Definitions_of_terms_and_variables.csv” file</w:t>
      </w:r>
    </w:p>
    <w:p w14:paraId="337A6A2C" w14:textId="1139A4CC" w:rsidR="001D4158" w:rsidRDefault="001D4158" w:rsidP="00F60807">
      <w:pPr>
        <w:rPr>
          <w:rFonts w:ascii="Calibri" w:hAnsi="Calibri" w:cs="Calibri"/>
          <w:noProof/>
          <w:szCs w:val="24"/>
        </w:rPr>
      </w:pPr>
      <w:r>
        <w:rPr>
          <w:rFonts w:ascii="Calibri" w:hAnsi="Calibri" w:cs="Calibri"/>
          <w:noProof/>
          <w:szCs w:val="24"/>
        </w:rPr>
        <w:t>Data is organized by station and then by date (in 2020LakeErie_forDeepBlue_data.csv)</w:t>
      </w:r>
    </w:p>
    <w:p w14:paraId="6B73EF16" w14:textId="60BF8298" w:rsidR="001D4158" w:rsidRDefault="001D4158" w:rsidP="00F60807">
      <w:pPr>
        <w:rPr>
          <w:rFonts w:ascii="Calibri" w:hAnsi="Calibri" w:cs="Calibri"/>
          <w:noProof/>
          <w:szCs w:val="24"/>
        </w:rPr>
      </w:pPr>
    </w:p>
    <w:p w14:paraId="001FC2B0" w14:textId="60C3AB2E" w:rsidR="001D4158" w:rsidRDefault="001D4158" w:rsidP="00F60807">
      <w:pPr>
        <w:rPr>
          <w:rFonts w:ascii="Calibri" w:hAnsi="Calibri" w:cs="Calibri"/>
          <w:noProof/>
          <w:szCs w:val="24"/>
        </w:rPr>
      </w:pPr>
      <w:r>
        <w:rPr>
          <w:rFonts w:ascii="Calibri" w:hAnsi="Calibri" w:cs="Calibri"/>
          <w:noProof/>
          <w:szCs w:val="24"/>
        </w:rPr>
        <w:t>OTHER</w:t>
      </w:r>
    </w:p>
    <w:p w14:paraId="2E01E8D9" w14:textId="3090C493" w:rsidR="001D4158" w:rsidRDefault="001D4158" w:rsidP="00F60807">
      <w:pPr>
        <w:rPr>
          <w:rFonts w:ascii="Calibri" w:hAnsi="Calibri" w:cs="Calibri"/>
          <w:noProof/>
          <w:szCs w:val="24"/>
        </w:rPr>
      </w:pPr>
      <w:r>
        <w:rPr>
          <w:rFonts w:ascii="Calibri" w:hAnsi="Calibri" w:cs="Calibri"/>
          <w:noProof/>
          <w:szCs w:val="24"/>
        </w:rPr>
        <w:t>Related publications: Kharbush, J.J., Robinson, R.S., Carter, S.J. “</w:t>
      </w:r>
      <w:r w:rsidRPr="001D4158">
        <w:rPr>
          <w:rFonts w:ascii="Calibri" w:hAnsi="Calibri" w:cs="Calibri"/>
          <w:noProof/>
          <w:szCs w:val="24"/>
        </w:rPr>
        <w:t>Patterns in sources and forms of nitrogen in a large eutrophic lake during a cyanobacterial harmful algal bloom</w:t>
      </w:r>
      <w:r>
        <w:rPr>
          <w:rFonts w:ascii="Calibri" w:hAnsi="Calibri" w:cs="Calibri"/>
          <w:noProof/>
          <w:szCs w:val="24"/>
        </w:rPr>
        <w:t xml:space="preserve">.” In press. Limnology and Oceanography. </w:t>
      </w:r>
    </w:p>
    <w:p w14:paraId="3CD21970" w14:textId="27D23199" w:rsidR="001D4158" w:rsidRDefault="001D4158" w:rsidP="001D4158">
      <w:pPr>
        <w:contextualSpacing/>
        <w:rPr>
          <w:rFonts w:ascii="Calibri" w:hAnsi="Calibri" w:cs="Calibri"/>
          <w:noProof/>
          <w:szCs w:val="24"/>
        </w:rPr>
      </w:pPr>
      <w:r w:rsidRPr="001D4158">
        <w:rPr>
          <w:rFonts w:ascii="Calibri" w:hAnsi="Calibri" w:cs="Calibri"/>
          <w:noProof/>
          <w:szCs w:val="24"/>
        </w:rPr>
        <w:t>Use and Access: This data set is made available under a Creative Commons Public Domain license (CC0 1.0).</w:t>
      </w:r>
    </w:p>
    <w:p w14:paraId="45C575C6" w14:textId="77777777" w:rsidR="001D4158" w:rsidRDefault="001D4158" w:rsidP="001D4158">
      <w:pPr>
        <w:contextualSpacing/>
        <w:rPr>
          <w:rFonts w:ascii="Calibri" w:hAnsi="Calibri" w:cs="Calibri"/>
          <w:noProof/>
          <w:szCs w:val="24"/>
        </w:rPr>
      </w:pPr>
    </w:p>
    <w:p w14:paraId="613A5489" w14:textId="66283BF3" w:rsidR="001D4158" w:rsidRDefault="001D4158" w:rsidP="00F60807">
      <w:r>
        <w:t xml:space="preserve">To cite data: </w:t>
      </w:r>
      <w:proofErr w:type="spellStart"/>
      <w:r>
        <w:t>Kharbush</w:t>
      </w:r>
      <w:proofErr w:type="spellEnd"/>
      <w:r>
        <w:t>, J.J., Carter, S.J., Robinson, R.S. (2022</w:t>
      </w:r>
      <w:r w:rsidRPr="001D4158">
        <w:t xml:space="preserve">). </w:t>
      </w:r>
      <w:r>
        <w:t>C</w:t>
      </w:r>
      <w:r w:rsidRPr="001D4158">
        <w:t>oncentrations and isotope values of nitrogen forms during 2020 Lake Erie Cyanobacterial harmful algal bloom [Data set]. University of Michigan - Deep Blue. https://doi.org/10.7302/mg4b-x721</w:t>
      </w:r>
      <w:r>
        <w:t>.</w:t>
      </w:r>
    </w:p>
    <w:sectPr w:rsidR="001D4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345"/>
    <w:multiLevelType w:val="multilevel"/>
    <w:tmpl w:val="C45A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1D7C"/>
    <w:multiLevelType w:val="hybridMultilevel"/>
    <w:tmpl w:val="C4DCC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8609495">
    <w:abstractNumId w:val="0"/>
  </w:num>
  <w:num w:numId="2" w16cid:durableId="188694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07"/>
    <w:rsid w:val="0008738C"/>
    <w:rsid w:val="000A3780"/>
    <w:rsid w:val="001D0074"/>
    <w:rsid w:val="001D4158"/>
    <w:rsid w:val="004372F5"/>
    <w:rsid w:val="005A321A"/>
    <w:rsid w:val="005F23BF"/>
    <w:rsid w:val="00726BF7"/>
    <w:rsid w:val="00EF1F2E"/>
    <w:rsid w:val="00F6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034"/>
  <w15:chartTrackingRefBased/>
  <w15:docId w15:val="{C97FA25F-090C-4FC3-9C57-AF40A3D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158"/>
    <w:rPr>
      <w:color w:val="0563C1" w:themeColor="hyperlink"/>
      <w:u w:val="single"/>
    </w:rPr>
  </w:style>
  <w:style w:type="paragraph" w:customStyle="1" w:styleId="attribute">
    <w:name w:val="attribute"/>
    <w:basedOn w:val="Normal"/>
    <w:rsid w:val="005F2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9621">
      <w:bodyDiv w:val="1"/>
      <w:marLeft w:val="0"/>
      <w:marRight w:val="0"/>
      <w:marTop w:val="0"/>
      <w:marBottom w:val="0"/>
      <w:divBdr>
        <w:top w:val="none" w:sz="0" w:space="0" w:color="auto"/>
        <w:left w:val="none" w:sz="0" w:space="0" w:color="auto"/>
        <w:bottom w:val="none" w:sz="0" w:space="0" w:color="auto"/>
        <w:right w:val="none" w:sz="0" w:space="0" w:color="auto"/>
      </w:divBdr>
    </w:div>
    <w:div w:id="1998264523">
      <w:bodyDiv w:val="1"/>
      <w:marLeft w:val="0"/>
      <w:marRight w:val="0"/>
      <w:marTop w:val="0"/>
      <w:marBottom w:val="0"/>
      <w:divBdr>
        <w:top w:val="none" w:sz="0" w:space="0" w:color="auto"/>
        <w:left w:val="none" w:sz="0" w:space="0" w:color="auto"/>
        <w:bottom w:val="none" w:sz="0" w:space="0" w:color="auto"/>
        <w:right w:val="none" w:sz="0" w:space="0" w:color="auto"/>
      </w:divBdr>
    </w:div>
    <w:div w:id="2013484500">
      <w:bodyDiv w:val="1"/>
      <w:marLeft w:val="0"/>
      <w:marRight w:val="0"/>
      <w:marTop w:val="0"/>
      <w:marBottom w:val="0"/>
      <w:divBdr>
        <w:top w:val="none" w:sz="0" w:space="0" w:color="auto"/>
        <w:left w:val="none" w:sz="0" w:space="0" w:color="auto"/>
        <w:bottom w:val="none" w:sz="0" w:space="0" w:color="auto"/>
        <w:right w:val="none" w:sz="0" w:space="0" w:color="auto"/>
      </w:divBdr>
    </w:div>
    <w:div w:id="2029795164">
      <w:bodyDiv w:val="1"/>
      <w:marLeft w:val="0"/>
      <w:marRight w:val="0"/>
      <w:marTop w:val="0"/>
      <w:marBottom w:val="0"/>
      <w:divBdr>
        <w:top w:val="none" w:sz="0" w:space="0" w:color="auto"/>
        <w:left w:val="none" w:sz="0" w:space="0" w:color="auto"/>
        <w:bottom w:val="none" w:sz="0" w:space="0" w:color="auto"/>
        <w:right w:val="none" w:sz="0" w:space="0" w:color="auto"/>
      </w:divBdr>
    </w:div>
    <w:div w:id="20541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enanjk@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62571517B27642A430C5C0647C7A35" ma:contentTypeVersion="11" ma:contentTypeDescription="Create a new document." ma:contentTypeScope="" ma:versionID="be8ebe338b2736d29f63c36e5abfd4b4">
  <xsd:schema xmlns:xsd="http://www.w3.org/2001/XMLSchema" xmlns:xs="http://www.w3.org/2001/XMLSchema" xmlns:p="http://schemas.microsoft.com/office/2006/metadata/properties" xmlns:ns3="b172fe1c-fe7f-4b56-a9f5-a27f2f62748f" targetNamespace="http://schemas.microsoft.com/office/2006/metadata/properties" ma:root="true" ma:fieldsID="7d0b6728d91a7a37a172288672e7db07" ns3:_="">
    <xsd:import namespace="b172fe1c-fe7f-4b56-a9f5-a27f2f6274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2fe1c-fe7f-4b56-a9f5-a27f2f62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914B7-18DF-4E82-9C9B-D068E3A36438}">
  <ds:schemaRefs>
    <ds:schemaRef ds:uri="http://schemas.microsoft.com/sharepoint/v3/contenttype/forms"/>
  </ds:schemaRefs>
</ds:datastoreItem>
</file>

<file path=customXml/itemProps2.xml><?xml version="1.0" encoding="utf-8"?>
<ds:datastoreItem xmlns:ds="http://schemas.openxmlformats.org/officeDocument/2006/customXml" ds:itemID="{27E98DAF-61A0-45DD-9323-5494C96B2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32B8A-884B-45B1-BB02-B9CF918F2FBF}">
  <ds:schemaRefs>
    <ds:schemaRef ds:uri="http://schemas.openxmlformats.org/officeDocument/2006/bibliography"/>
  </ds:schemaRefs>
</ds:datastoreItem>
</file>

<file path=customXml/itemProps4.xml><?xml version="1.0" encoding="utf-8"?>
<ds:datastoreItem xmlns:ds="http://schemas.openxmlformats.org/officeDocument/2006/customXml" ds:itemID="{067C95A2-F234-4E5F-AA66-83A128DB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2fe1c-fe7f-4b56-a9f5-a27f2f627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Kharbush, Jenan</dc:creator>
  <cp:keywords/>
  <dc:description/>
  <cp:lastModifiedBy>Thielen, Joanna</cp:lastModifiedBy>
  <cp:revision>2</cp:revision>
  <dcterms:created xsi:type="dcterms:W3CDTF">2022-11-03T17:19:00Z</dcterms:created>
  <dcterms:modified xsi:type="dcterms:W3CDTF">2022-11-03T17:19:00Z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821c6eac-687f-3da9-996d-359dbf448431</vt:lpwstr>
  </property>
  <property fmtid="{D5CDD505-2E9C-101B-9397-08002B2CF9AE}" pid="4" name="ContentTypeId">
    <vt:lpwstr>0x0101006F62571517B27642A430C5C0647C7A35</vt:lpwstr>
  </property>
  <property fmtid="{D5CDD505-2E9C-101B-9397-08002B2CF9AE}" pid="5" name="Mendeley Citation Style_1">
    <vt:lpwstr>http://www.zotero.org/styles/limnology-and-oceanography</vt:lpwstr>
  </property>
</Properties>
</file>