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37F5" w14:textId="16DF2A81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0" w:line="229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10F">
        <w:rPr>
          <w:rFonts w:ascii="Times New Roman" w:eastAsia="Times New Roman" w:hAnsi="Times New Roman" w:cs="Times New Roman"/>
          <w:sz w:val="24"/>
          <w:szCs w:val="24"/>
        </w:rPr>
        <w:t>Morphological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phonological processing in English monolingual, Chinese-English </w:t>
      </w:r>
      <w:r w:rsidR="000903BD">
        <w:rPr>
          <w:rFonts w:ascii="Times New Roman" w:eastAsia="Times New Roman" w:hAnsi="Times New Roman" w:cs="Times New Roman"/>
          <w:color w:val="000000"/>
          <w:sz w:val="24"/>
          <w:szCs w:val="24"/>
        </w:rPr>
        <w:t>bilingual,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Spanish-English bilingual children: </w:t>
      </w:r>
      <w:r w:rsidR="00E2083F">
        <w:rPr>
          <w:rFonts w:ascii="Times New Roman" w:eastAsia="Times New Roman" w:hAnsi="Times New Roman" w:cs="Times New Roman"/>
          <w:sz w:val="24"/>
          <w:szCs w:val="24"/>
        </w:rPr>
        <w:t>Behavioral Me</w:t>
      </w:r>
      <w:r w:rsidR="00375890">
        <w:rPr>
          <w:rFonts w:ascii="Times New Roman" w:eastAsia="Times New Roman" w:hAnsi="Times New Roman" w:cs="Times New Roman"/>
          <w:sz w:val="24"/>
          <w:szCs w:val="24"/>
        </w:rPr>
        <w:t>asures</w:t>
      </w:r>
      <w:r w:rsidR="00903042">
        <w:rPr>
          <w:rFonts w:ascii="Times New Roman" w:eastAsia="Times New Roman" w:hAnsi="Times New Roman" w:cs="Times New Roman"/>
          <w:sz w:val="24"/>
          <w:szCs w:val="24"/>
        </w:rPr>
        <w:t xml:space="preserve"> (T2)</w:t>
      </w:r>
    </w:p>
    <w:p w14:paraId="402575E4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 w:line="240" w:lineRule="auto"/>
        <w:ind w:left="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Authors </w:t>
      </w:r>
    </w:p>
    <w:p w14:paraId="78287508" w14:textId="1F81E421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" w:right="109" w:hang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Xin Sun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*1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Rebecca Marks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Zachary Karas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Rachel Eggleston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Nia Nickerson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Chi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-Lin Yu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Neelima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Wagley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Xiaosu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Valeria Caruso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Tai-Li Chou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Teresa Satterfield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Twila Tardif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Kovelman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55197604" w14:textId="1528141E" w:rsidR="00BD7BF8" w:rsidRDefault="00BD7B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" w:right="109" w:hang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31E9F8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Affiliations </w:t>
      </w:r>
    </w:p>
    <w:p w14:paraId="08D9EB69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Psychology, University of Michigan Ann Arbor </w:t>
      </w:r>
    </w:p>
    <w:p w14:paraId="2B28E2ED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6" w:right="1158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Brain and Cognitive Sciences, Massachusetts Institute of Technology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Psychology and Human Development,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Vanderbilt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Psychology, National Taiwan University </w:t>
      </w:r>
    </w:p>
    <w:p w14:paraId="5A967863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Corresponding author’s email address </w:t>
      </w:r>
    </w:p>
    <w:p w14:paraId="59954315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4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address: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isehe@umich.edu</w:t>
      </w:r>
    </w:p>
    <w:p w14:paraId="4E3B63A8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rFonts w:ascii="Times New Roman" w:eastAsia="Times New Roman" w:hAnsi="Times New Roman" w:cs="Times New Roman"/>
          <w:sz w:val="24"/>
          <w:szCs w:val="24"/>
        </w:rPr>
      </w:pPr>
    </w:p>
    <w:p w14:paraId="576AF48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Keywords </w:t>
      </w:r>
    </w:p>
    <w:p w14:paraId="3D32D5DA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hildren, bilingualism, morphological awareness, phonological awareness, reading </w:t>
      </w:r>
    </w:p>
    <w:p w14:paraId="6242CFA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38243F9C" w14:textId="54CE2DBA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5" w:right="59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article documents </w:t>
      </w:r>
      <w:r>
        <w:rPr>
          <w:rFonts w:ascii="Times New Roman" w:eastAsia="Times New Roman" w:hAnsi="Times New Roman" w:cs="Times New Roman"/>
          <w:sz w:val="24"/>
          <w:szCs w:val="24"/>
        </w:rPr>
        <w:t>behavioral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09D">
        <w:rPr>
          <w:rFonts w:ascii="Times New Roman" w:eastAsia="Times New Roman" w:hAnsi="Times New Roman" w:cs="Times New Roman"/>
          <w:color w:val="000000"/>
          <w:sz w:val="24"/>
          <w:szCs w:val="24"/>
        </w:rPr>
        <w:t>dataset deposited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Deep Blue Data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dataset included behavioral data from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4BDD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aged 5-10 with a </w:t>
      </w:r>
      <w:r w:rsidR="0086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diverse linguistic </w:t>
      </w:r>
      <w:r w:rsidR="0086609D">
        <w:rPr>
          <w:rFonts w:ascii="Times New Roman" w:eastAsia="Times New Roman" w:hAnsi="Times New Roman" w:cs="Times New Roman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children who are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monolingual,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Chinese-English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Spanish-English bilingual. Children completed a wide range of language and reading tasks. Parents filled in questionnaires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 children’s demographic information as well as their home language and literacy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backgrounds. The dataset is valuable for researchers in the field of developmental cognitive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neuroscience to further investigate questions such as the effects of bilingualism on children’s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neural basis for literacy development. </w:t>
      </w:r>
    </w:p>
    <w:p w14:paraId="61A921A1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C1526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42FB8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23323" w14:textId="77777777" w:rsidR="00663B67" w:rsidRDefault="00663B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E76251" w14:textId="4A3C1D05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Specifications Table</w:t>
      </w:r>
    </w:p>
    <w:tbl>
      <w:tblPr>
        <w:tblStyle w:val="a"/>
        <w:tblW w:w="931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6"/>
        <w:gridCol w:w="6933"/>
      </w:tblGrid>
      <w:tr w:rsidR="0024240B" w14:paraId="47D5A289" w14:textId="77777777">
        <w:trPr>
          <w:trHeight w:val="310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60F2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DB23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Developmental and Educational Neuroscience</w:t>
            </w:r>
          </w:p>
        </w:tc>
      </w:tr>
      <w:tr w:rsidR="0024240B" w14:paraId="0D5173CB" w14:textId="77777777">
        <w:trPr>
          <w:trHeight w:val="860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2CEC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Specific subject area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3AB1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2" w:right="2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data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English monolingual,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Chinese-English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Spanish-English bilingual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</w:t>
            </w:r>
          </w:p>
        </w:tc>
      </w:tr>
      <w:tr w:rsidR="0024240B" w14:paraId="462B7AC4" w14:textId="77777777">
        <w:trPr>
          <w:trHeight w:val="310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DDE9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Type of data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8BC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Tables, data</w:t>
            </w:r>
          </w:p>
        </w:tc>
      </w:tr>
      <w:tr w:rsidR="0024240B" w14:paraId="5D3082BE" w14:textId="77777777">
        <w:trPr>
          <w:trHeight w:val="865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7C36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How data were  </w:t>
            </w:r>
          </w:p>
          <w:p w14:paraId="72D6D046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acquired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F129" w14:textId="684BEA31" w:rsidR="0024240B" w:rsidRDefault="00000000">
            <w:pPr>
              <w:widowControl w:val="0"/>
              <w:spacing w:before="11" w:line="229" w:lineRule="auto"/>
              <w:ind w:left="103" w:right="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866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4BD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completed behavioral assessments</w:t>
            </w:r>
          </w:p>
        </w:tc>
      </w:tr>
      <w:tr w:rsidR="0024240B" w14:paraId="05793DF2" w14:textId="77777777">
        <w:trPr>
          <w:trHeight w:val="590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8C7D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format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6C9B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3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Proficiency/demographic raw data are stored in excel sheets. </w:t>
            </w:r>
          </w:p>
        </w:tc>
      </w:tr>
      <w:tr w:rsidR="0024240B" w14:paraId="6E0B5B11" w14:textId="77777777">
        <w:trPr>
          <w:trHeight w:val="1135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12E8" w14:textId="3B49DD5A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41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Parameters for </w:t>
            </w:r>
            <w:r w:rsidR="00866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collection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0548" w14:textId="43B16398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2" w:right="17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participants are children growing up in the US and </w:t>
            </w:r>
            <w:r w:rsidR="0086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-only schools. The monolingual participants are all </w:t>
            </w:r>
            <w:r w:rsidR="0086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native speakers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English and only speak English. The bilingual participants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 or Chinese exposure from home since birth.</w:t>
            </w:r>
          </w:p>
        </w:tc>
      </w:tr>
      <w:tr w:rsidR="0024240B" w14:paraId="1203DB32" w14:textId="77777777">
        <w:trPr>
          <w:trHeight w:val="1975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990E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247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 of data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collection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8DEB" w14:textId="5AD03718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3" w:right="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="0086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completed a behavioral session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6566C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101" w:right="33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behavioral session assessed participants’ language and 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proficiency in each of their languages. </w:t>
            </w:r>
          </w:p>
          <w:p w14:paraId="25BE565C" w14:textId="77777777" w:rsidR="0024240B" w:rsidRDefault="0024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1" w:lineRule="auto"/>
              <w:ind w:left="103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40B" w14:paraId="7B50997B" w14:textId="77777777">
        <w:trPr>
          <w:trHeight w:val="310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C37D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source location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6056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University of Michigan, Department of Psychology, Ann Arbor, MI. </w:t>
            </w:r>
          </w:p>
        </w:tc>
      </w:tr>
      <w:tr w:rsidR="0024240B" w14:paraId="7FDC71E9" w14:textId="77777777">
        <w:trPr>
          <w:trHeight w:val="572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0682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accessibility 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88C3" w14:textId="625A002F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Repository: Deep Blue Data </w:t>
            </w:r>
            <w:r w:rsidR="0090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(previous </w:t>
            </w:r>
            <w:proofErr w:type="gramStart"/>
            <w:r w:rsidR="0090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Link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to data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F7E6B06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Persistent Identifier: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https://doi.org/10.7302/kxgf-ps11 </w:t>
            </w:r>
          </w:p>
        </w:tc>
      </w:tr>
      <w:tr w:rsidR="0024240B" w14:paraId="7E5B1BEB" w14:textId="77777777">
        <w:trPr>
          <w:trHeight w:val="5274"/>
        </w:trPr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E258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Related research  </w:t>
            </w:r>
          </w:p>
          <w:p w14:paraId="079A16A0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article</w:t>
            </w:r>
          </w:p>
        </w:tc>
        <w:tc>
          <w:tcPr>
            <w:tcW w:w="6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A4A2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00" w:right="174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Sun, X., Zhang K., Marks, R., Nickerson, N., Eggleston, R.,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Yu,  C.L.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Chou., T., Tardif, T.,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Kovelman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I. (2021). What’s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 word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Cross-linguistic influences on Spanish-English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 Chinese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-English bilingual children’s word reading development.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Child Development 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(1), 84-100.  </w:t>
            </w:r>
          </w:p>
          <w:p w14:paraId="0C52B0A6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http://doi.org/10.1111/cdev.13666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B4F82F4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96" w:right="60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This article used data from the behavioral assessments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  participants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the current dataset. </w:t>
            </w:r>
          </w:p>
          <w:p w14:paraId="145FC2C1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492" w:right="105" w:hanging="35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Sun, X., Marks, R., Zhang, K., Yu, C.L., Eggleston, R.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 Nickerson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N., Chou, T.L., Hu, X.S., Tardif, T., Satterfield, T., &amp;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Kovelman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I.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Press).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Brain bases of English morphological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processing: A comparison between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Chinese-English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Spanish English bilingual, and English monolingual children.  </w:t>
            </w:r>
          </w:p>
          <w:p w14:paraId="38BF201C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1" w:lineRule="auto"/>
              <w:ind w:left="145" w:right="204" w:firstLine="34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Developmental Science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Preprint available at: </w:t>
            </w:r>
            <w:r>
              <w:rPr>
                <w:rFonts w:ascii="Times" w:eastAsia="Times" w:hAnsi="Times" w:cs="Times"/>
                <w:color w:val="0000FF"/>
                <w:sz w:val="24"/>
                <w:szCs w:val="24"/>
                <w:u w:val="single"/>
              </w:rPr>
              <w:t>https://osf.io/9zx2t/</w:t>
            </w:r>
            <w:r>
              <w:rPr>
                <w:rFonts w:ascii="Times" w:eastAsia="Times" w:hAnsi="Times" w:cs="Times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Marks, R. A., Eggleston, R., Sun, X., Yu, C. L., Zhang, K.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Nickerson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N., Hu, X.,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Kovelman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I. (2021). The neurobiological basis of morphological processing for typical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impaired readers.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Annals of Dyslexia </w:t>
            </w:r>
          </w:p>
          <w:p w14:paraId="173F9C47" w14:textId="77777777" w:rsidR="002424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https://doi.org/10.1007/s11881-021-00239-9</w:t>
            </w:r>
          </w:p>
        </w:tc>
      </w:tr>
    </w:tbl>
    <w:p w14:paraId="084AF532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AD2527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772688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DEF52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Value of the Data </w:t>
      </w:r>
    </w:p>
    <w:p w14:paraId="7AA2F44D" w14:textId="68F9BD88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58" w:right="192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Bilingualism research will benefit from this developmental dataset of young Spanish English and Chinese-English bilinguals, allowing for inquiries into the effects of age </w:t>
      </w:r>
      <w:r w:rsidR="0086609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66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acquisition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experience, proficiency, and cross-linguistic transfer in children’s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emerging  neural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architectures for language and literacy development.  </w:t>
      </w:r>
    </w:p>
    <w:p w14:paraId="5883342B" w14:textId="3A5CF370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756" w:right="66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The dataset is extensive and allows for investigations into (but not limited to) </w:t>
      </w:r>
      <w:r w:rsidR="0086609D">
        <w:rPr>
          <w:rFonts w:ascii="Times New Roman" w:eastAsia="Times New Roman" w:hAnsi="Times New Roman" w:cs="Times New Roman"/>
          <w:color w:val="000000"/>
          <w:sz w:val="24"/>
          <w:szCs w:val="24"/>
        </w:rPr>
        <w:t>meaningful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behind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behavioral profiles of children from diverse backgrounds such as those with bilingual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experiences, dyslexia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reading disabilities.  </w:t>
      </w:r>
    </w:p>
    <w:p w14:paraId="164A7834" w14:textId="77777777" w:rsidR="0086609D" w:rsidRDefault="00000000" w:rsidP="00866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Data Description </w:t>
      </w:r>
    </w:p>
    <w:p w14:paraId="7881FE54" w14:textId="0F3917F4" w:rsidR="0024240B" w:rsidRPr="0086609D" w:rsidRDefault="00000000" w:rsidP="00866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data </w:t>
      </w:r>
      <w:r w:rsidR="002B3905">
        <w:rPr>
          <w:rFonts w:ascii="Times New Roman" w:eastAsia="Times New Roman" w:hAnsi="Times New Roman" w:cs="Times New Roman"/>
          <w:color w:val="000000"/>
          <w:sz w:val="24"/>
          <w:szCs w:val="24"/>
        </w:rPr>
        <w:t>(behavioral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assessment raw and standard scores, and demographics) are available in the </w:t>
      </w:r>
      <w:proofErr w:type="spellStart"/>
      <w:r w:rsid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DeepBlue</w:t>
      </w:r>
      <w:proofErr w:type="spellEnd"/>
      <w:r w:rsid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repository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name “Morphological and phonological processing in English monolingual,  Chinese-English bilingual, and Spanish-English bilingual children</w:t>
      </w:r>
      <w:r w:rsidR="008660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6609D" w:rsidRPr="0086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09D">
        <w:rPr>
          <w:rFonts w:ascii="Times New Roman" w:eastAsia="Times New Roman" w:hAnsi="Times New Roman" w:cs="Times New Roman"/>
          <w:sz w:val="24"/>
          <w:szCs w:val="24"/>
        </w:rPr>
        <w:t>Behavioral Measures (T2)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list of the Deep Blue files and contents, see Table 1. </w:t>
      </w:r>
    </w:p>
    <w:p w14:paraId="20F141BA" w14:textId="77777777" w:rsidR="00106581" w:rsidRDefault="00106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</w:p>
    <w:p w14:paraId="77A8324C" w14:textId="77777777" w:rsidR="00106581" w:rsidRDefault="00106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</w:p>
    <w:p w14:paraId="7D043524" w14:textId="77777777" w:rsidR="00106581" w:rsidRDefault="00106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</w:p>
    <w:p w14:paraId="7841A059" w14:textId="77777777" w:rsidR="00106581" w:rsidRDefault="00106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</w:p>
    <w:p w14:paraId="1ABE5BDD" w14:textId="77777777" w:rsidR="00106581" w:rsidRDefault="001065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</w:p>
    <w:p w14:paraId="67B61B3C" w14:textId="08B17411" w:rsidR="002B3905" w:rsidRDefault="002B3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39"/>
      </w:pPr>
      <w:r>
        <w:t>Table 1. Full list of the Deep Blue Data files and contents</w:t>
      </w:r>
    </w:p>
    <w:tbl>
      <w:tblPr>
        <w:tblStyle w:val="TableGrid"/>
        <w:tblW w:w="0" w:type="auto"/>
        <w:tblInd w:w="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701"/>
        <w:gridCol w:w="2597"/>
      </w:tblGrid>
      <w:tr w:rsidR="002B3905" w14:paraId="54159BDA" w14:textId="77777777" w:rsidTr="000E4DE7">
        <w:tc>
          <w:tcPr>
            <w:tcW w:w="2349" w:type="dxa"/>
            <w:tcBorders>
              <w:bottom w:val="thinThickMediumGap" w:sz="24" w:space="0" w:color="000000"/>
            </w:tcBorders>
          </w:tcPr>
          <w:p w14:paraId="6D9DC91A" w14:textId="73141202" w:rsidR="002B3905" w:rsidRDefault="002B3905" w:rsidP="00676C85">
            <w:pPr>
              <w:widowControl w:val="0"/>
              <w:spacing w:before="285"/>
              <w:jc w:val="center"/>
            </w:pPr>
            <w:r>
              <w:t>Data/Measure File Name in Deep Blue</w:t>
            </w:r>
          </w:p>
        </w:tc>
        <w:tc>
          <w:tcPr>
            <w:tcW w:w="4002" w:type="dxa"/>
            <w:tcBorders>
              <w:bottom w:val="thinThickMediumGap" w:sz="24" w:space="0" w:color="000000"/>
            </w:tcBorders>
          </w:tcPr>
          <w:p w14:paraId="5938EE51" w14:textId="4F6AE7B9" w:rsidR="002B3905" w:rsidRDefault="004421E5" w:rsidP="00676C85">
            <w:pPr>
              <w:widowControl w:val="0"/>
              <w:spacing w:before="285"/>
              <w:jc w:val="center"/>
            </w:pPr>
            <w:r>
              <w:t>File Name in Deep Blue</w:t>
            </w:r>
          </w:p>
        </w:tc>
        <w:tc>
          <w:tcPr>
            <w:tcW w:w="3059" w:type="dxa"/>
            <w:tcBorders>
              <w:bottom w:val="thinThickMediumGap" w:sz="24" w:space="0" w:color="000000"/>
            </w:tcBorders>
          </w:tcPr>
          <w:p w14:paraId="781B8DA3" w14:textId="23099859" w:rsidR="002B3905" w:rsidRDefault="004421E5" w:rsidP="00676C85">
            <w:pPr>
              <w:widowControl w:val="0"/>
              <w:spacing w:before="285"/>
              <w:jc w:val="center"/>
            </w:pPr>
            <w:r>
              <w:t>Data/Measure Content</w:t>
            </w:r>
          </w:p>
        </w:tc>
      </w:tr>
      <w:tr w:rsidR="002B3905" w14:paraId="66D83A6E" w14:textId="77777777" w:rsidTr="000E4DE7">
        <w:tc>
          <w:tcPr>
            <w:tcW w:w="2349" w:type="dxa"/>
            <w:tcBorders>
              <w:top w:val="thinThickMediumGap" w:sz="24" w:space="0" w:color="000000"/>
            </w:tcBorders>
          </w:tcPr>
          <w:p w14:paraId="5C08DAED" w14:textId="37F07E1B" w:rsidR="002B3905" w:rsidRPr="002C0C34" w:rsidRDefault="002B3905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Task Performance</w:t>
            </w:r>
          </w:p>
        </w:tc>
        <w:tc>
          <w:tcPr>
            <w:tcW w:w="4002" w:type="dxa"/>
            <w:tcBorders>
              <w:top w:val="thinThickMediumGap" w:sz="24" w:space="0" w:color="000000"/>
            </w:tcBorders>
          </w:tcPr>
          <w:p w14:paraId="5AC3A30B" w14:textId="4B890C47" w:rsidR="002B3905" w:rsidRPr="002C0C34" w:rsidRDefault="000E4DE7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0E4DE7">
              <w:rPr>
                <w:rFonts w:ascii="Times New Roman" w:hAnsi="Times New Roman" w:cs="Times New Roman"/>
              </w:rPr>
              <w:t>R01_T2_Behavioral_Measures</w:t>
            </w:r>
          </w:p>
        </w:tc>
        <w:tc>
          <w:tcPr>
            <w:tcW w:w="3059" w:type="dxa"/>
            <w:tcBorders>
              <w:top w:val="thinThickMediumGap" w:sz="24" w:space="0" w:color="000000"/>
            </w:tcBorders>
          </w:tcPr>
          <w:p w14:paraId="7443786C" w14:textId="77777777" w:rsidR="002B3905" w:rsidRDefault="004421E5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Excel spreadsheets including behavioral task performance (1 file)</w:t>
            </w:r>
          </w:p>
          <w:p w14:paraId="1E52BAE2" w14:textId="67C7DF9A" w:rsidR="00C215E6" w:rsidRPr="002C0C34" w:rsidRDefault="00C215E6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in</w:t>
            </w:r>
            <w:r w:rsidR="0013479B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luded </w:t>
            </w:r>
            <w:r w:rsidR="000E4DE7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.cs</w:t>
            </w:r>
            <w:r w:rsidR="000E4DE7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version for each </w:t>
            </w:r>
            <w:r w:rsidR="000E4DE7">
              <w:rPr>
                <w:rFonts w:ascii="Times New Roman" w:hAnsi="Times New Roman" w:cs="Times New Roman"/>
              </w:rPr>
              <w:t>sheet</w:t>
            </w:r>
          </w:p>
        </w:tc>
      </w:tr>
      <w:tr w:rsidR="002C0C34" w14:paraId="0F3A7E26" w14:textId="77777777" w:rsidTr="000E4DE7">
        <w:tc>
          <w:tcPr>
            <w:tcW w:w="2349" w:type="dxa"/>
          </w:tcPr>
          <w:p w14:paraId="10466EFF" w14:textId="66B1784A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Language and literacy backgrounds</w:t>
            </w:r>
            <w:r>
              <w:rPr>
                <w:rFonts w:ascii="Times New Roman" w:hAnsi="Times New Roman" w:cs="Times New Roman"/>
              </w:rPr>
              <w:t xml:space="preserve"> and enrollment</w:t>
            </w:r>
          </w:p>
        </w:tc>
        <w:tc>
          <w:tcPr>
            <w:tcW w:w="4002" w:type="dxa"/>
          </w:tcPr>
          <w:p w14:paraId="05AEF613" w14:textId="77777777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RO1_T2_In-Lab_Parent_Questionnaire.xlsx</w:t>
            </w:r>
          </w:p>
          <w:p w14:paraId="33EB5E89" w14:textId="77777777" w:rsidR="00BF542E" w:rsidRDefault="00BF542E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</w:p>
          <w:p w14:paraId="6BFFA024" w14:textId="77777777" w:rsidR="000E4DE7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</w:p>
          <w:p w14:paraId="395C8A1F" w14:textId="48AF84FB" w:rsidR="00BF542E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0E4DE7">
              <w:rPr>
                <w:rFonts w:ascii="Times New Roman" w:hAnsi="Times New Roman" w:cs="Times New Roman"/>
              </w:rPr>
              <w:t>In-Lab_Parent_Questionnaire_Monolingual_COVID-19</w:t>
            </w:r>
            <w:r w:rsidR="00BF542E" w:rsidRPr="002C0C34">
              <w:rPr>
                <w:rFonts w:ascii="Times New Roman" w:hAnsi="Times New Roman" w:cs="Times New Roman"/>
              </w:rPr>
              <w:t>.docx</w:t>
            </w:r>
          </w:p>
          <w:p w14:paraId="2422F638" w14:textId="0354B814" w:rsidR="002C0C34" w:rsidRPr="002C0C34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0E4DE7">
              <w:rPr>
                <w:rFonts w:ascii="Times New Roman" w:hAnsi="Times New Roman" w:cs="Times New Roman"/>
              </w:rPr>
              <w:t>In-Lab_Parent_Questionnaire_Spanish_COVID-19</w:t>
            </w:r>
            <w:r w:rsidR="002C0C34" w:rsidRPr="002C0C34">
              <w:rPr>
                <w:rFonts w:ascii="Times New Roman" w:hAnsi="Times New Roman" w:cs="Times New Roman"/>
              </w:rPr>
              <w:t>.docx</w:t>
            </w:r>
          </w:p>
          <w:p w14:paraId="323833FE" w14:textId="77777777" w:rsidR="000E4DE7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</w:p>
          <w:p w14:paraId="6C4C8879" w14:textId="65E58BFC" w:rsidR="002C0C34" w:rsidRPr="002C0C34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0E4DE7">
              <w:rPr>
                <w:rFonts w:ascii="Times New Roman" w:hAnsi="Times New Roman" w:cs="Times New Roman"/>
              </w:rPr>
              <w:t>In-Lab_Parent_Questionnaire_Chinese_COVID-19</w:t>
            </w:r>
            <w:r w:rsidR="002C0C34" w:rsidRPr="002C0C34">
              <w:rPr>
                <w:rFonts w:ascii="Times New Roman" w:hAnsi="Times New Roman" w:cs="Times New Roman"/>
              </w:rPr>
              <w:t>.docx</w:t>
            </w:r>
          </w:p>
          <w:p w14:paraId="01CBB177" w14:textId="77777777" w:rsidR="000E4DE7" w:rsidRDefault="000E4DE7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</w:p>
          <w:p w14:paraId="4F1C8AC2" w14:textId="312F61E7" w:rsid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Consent_Form.pdf                                                                     </w:t>
            </w:r>
          </w:p>
          <w:p w14:paraId="791CE8BA" w14:textId="1504179C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Assent_Form.pdf</w:t>
            </w:r>
          </w:p>
        </w:tc>
        <w:tc>
          <w:tcPr>
            <w:tcW w:w="3059" w:type="dxa"/>
          </w:tcPr>
          <w:p w14:paraId="0CEF6B24" w14:textId="6140D35D" w:rsidR="00BF542E" w:rsidRDefault="002C0C34" w:rsidP="00BF542E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Excel spreadsheets Full In-</w:t>
            </w:r>
            <w:r w:rsidR="00E918DC" w:rsidRPr="002C0C34">
              <w:rPr>
                <w:rFonts w:ascii="Times New Roman" w:hAnsi="Times New Roman" w:cs="Times New Roman"/>
              </w:rPr>
              <w:t>Lab Parent</w:t>
            </w:r>
            <w:r w:rsidRPr="002C0C34">
              <w:rPr>
                <w:rFonts w:ascii="Times New Roman" w:hAnsi="Times New Roman" w:cs="Times New Roman"/>
              </w:rPr>
              <w:t xml:space="preserve"> Questionnaire (ILQ) data</w:t>
            </w:r>
          </w:p>
          <w:p w14:paraId="0EF97127" w14:textId="12769AE5" w:rsidR="000E4DE7" w:rsidRDefault="000E4DE7" w:rsidP="00BF542E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included a .csv version for each sheet</w:t>
            </w:r>
          </w:p>
          <w:p w14:paraId="45587B8E" w14:textId="78DA832D" w:rsidR="00BF542E" w:rsidRPr="002C0C34" w:rsidRDefault="00BF542E" w:rsidP="00BF542E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Full In-</w:t>
            </w:r>
            <w:proofErr w:type="spellStart"/>
            <w:r w:rsidRPr="002C0C34">
              <w:rPr>
                <w:rFonts w:ascii="Times New Roman" w:hAnsi="Times New Roman" w:cs="Times New Roman"/>
              </w:rPr>
              <w:t>Lab_Parent</w:t>
            </w:r>
            <w:proofErr w:type="spellEnd"/>
            <w:r w:rsidRPr="002C0C34">
              <w:rPr>
                <w:rFonts w:ascii="Times New Roman" w:hAnsi="Times New Roman" w:cs="Times New Roman"/>
              </w:rPr>
              <w:t xml:space="preserve"> Questionnaire </w:t>
            </w:r>
            <w:r>
              <w:rPr>
                <w:rFonts w:ascii="Times New Roman" w:hAnsi="Times New Roman" w:cs="Times New Roman"/>
              </w:rPr>
              <w:t>f</w:t>
            </w:r>
            <w:r w:rsidR="000E4DE7">
              <w:rPr>
                <w:rFonts w:ascii="Times New Roman" w:hAnsi="Times New Roman" w:cs="Times New Roman"/>
              </w:rPr>
              <w:t xml:space="preserve">or </w:t>
            </w:r>
            <w:r>
              <w:rPr>
                <w:rFonts w:ascii="Times New Roman" w:hAnsi="Times New Roman" w:cs="Times New Roman"/>
              </w:rPr>
              <w:t xml:space="preserve">monolingual kids </w:t>
            </w:r>
            <w:r w:rsidRPr="002C0C34">
              <w:rPr>
                <w:rFonts w:ascii="Times New Roman" w:hAnsi="Times New Roman" w:cs="Times New Roman"/>
              </w:rPr>
              <w:t xml:space="preserve">(ILQ) </w:t>
            </w:r>
          </w:p>
          <w:p w14:paraId="021FE1EB" w14:textId="56DBE388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Full In-</w:t>
            </w:r>
            <w:proofErr w:type="spellStart"/>
            <w:r w:rsidRPr="002C0C34">
              <w:rPr>
                <w:rFonts w:ascii="Times New Roman" w:hAnsi="Times New Roman" w:cs="Times New Roman"/>
              </w:rPr>
              <w:t>Lab_Parent</w:t>
            </w:r>
            <w:proofErr w:type="spellEnd"/>
            <w:r w:rsidRPr="002C0C34">
              <w:rPr>
                <w:rFonts w:ascii="Times New Roman" w:hAnsi="Times New Roman" w:cs="Times New Roman"/>
              </w:rPr>
              <w:t xml:space="preserve"> Questionnaire </w:t>
            </w:r>
            <w:r w:rsidR="00BF542E">
              <w:rPr>
                <w:rFonts w:ascii="Times New Roman" w:hAnsi="Times New Roman" w:cs="Times New Roman"/>
              </w:rPr>
              <w:t>for bilingual kids SP-EN</w:t>
            </w:r>
            <w:r w:rsidRPr="002C0C34">
              <w:rPr>
                <w:rFonts w:ascii="Times New Roman" w:hAnsi="Times New Roman" w:cs="Times New Roman"/>
              </w:rPr>
              <w:t xml:space="preserve">(ILQ) </w:t>
            </w:r>
          </w:p>
          <w:p w14:paraId="1C2AA454" w14:textId="68BA5E9A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Full In-</w:t>
            </w:r>
            <w:proofErr w:type="spellStart"/>
            <w:r w:rsidRPr="002C0C34">
              <w:rPr>
                <w:rFonts w:ascii="Times New Roman" w:hAnsi="Times New Roman" w:cs="Times New Roman"/>
              </w:rPr>
              <w:t>Lab_Parent</w:t>
            </w:r>
            <w:proofErr w:type="spellEnd"/>
            <w:r w:rsidRPr="002C0C34">
              <w:rPr>
                <w:rFonts w:ascii="Times New Roman" w:hAnsi="Times New Roman" w:cs="Times New Roman"/>
              </w:rPr>
              <w:t xml:space="preserve"> Questionnaire </w:t>
            </w:r>
            <w:r w:rsidR="00BF542E">
              <w:rPr>
                <w:rFonts w:ascii="Times New Roman" w:hAnsi="Times New Roman" w:cs="Times New Roman"/>
              </w:rPr>
              <w:t>for bilingual kids CH-EN</w:t>
            </w:r>
            <w:r w:rsidRPr="002C0C34">
              <w:rPr>
                <w:rFonts w:ascii="Times New Roman" w:hAnsi="Times New Roman" w:cs="Times New Roman"/>
              </w:rPr>
              <w:t xml:space="preserve">(ILQ) </w:t>
            </w:r>
          </w:p>
          <w:p w14:paraId="65191B55" w14:textId="52E4C834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</w:p>
        </w:tc>
      </w:tr>
      <w:tr w:rsidR="002C0C34" w:rsidRPr="002C0C34" w14:paraId="51C0A435" w14:textId="77777777" w:rsidTr="000E4DE7">
        <w:tc>
          <w:tcPr>
            <w:tcW w:w="2349" w:type="dxa"/>
          </w:tcPr>
          <w:p w14:paraId="52062B5B" w14:textId="468D8CC8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Behavioral measures</w:t>
            </w:r>
          </w:p>
        </w:tc>
        <w:tc>
          <w:tcPr>
            <w:tcW w:w="4002" w:type="dxa"/>
          </w:tcPr>
          <w:p w14:paraId="51BA1AB3" w14:textId="4C522149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Self-</w:t>
            </w:r>
            <w:proofErr w:type="spellStart"/>
            <w:r w:rsidRPr="002C0C34">
              <w:rPr>
                <w:rFonts w:ascii="Times New Roman" w:hAnsi="Times New Roman" w:cs="Times New Roman"/>
              </w:rPr>
              <w:t>developed_Behavioral</w:t>
            </w:r>
            <w:proofErr w:type="spellEnd"/>
            <w:r w:rsidRPr="002C0C34">
              <w:rPr>
                <w:rFonts w:ascii="Times New Roman" w:hAnsi="Times New Roman" w:cs="Times New Roman"/>
              </w:rPr>
              <w:t xml:space="preserve"> _Measures.zip</w:t>
            </w:r>
          </w:p>
        </w:tc>
        <w:tc>
          <w:tcPr>
            <w:tcW w:w="3059" w:type="dxa"/>
          </w:tcPr>
          <w:p w14:paraId="6B9F1A4B" w14:textId="2D5D0063" w:rsidR="002C0C34" w:rsidRPr="002C0C34" w:rsidRDefault="002C0C34" w:rsidP="002C0C34">
            <w:pPr>
              <w:widowControl w:val="0"/>
              <w:spacing w:before="285"/>
              <w:rPr>
                <w:rFonts w:ascii="Times New Roman" w:hAnsi="Times New Roman" w:cs="Times New Roman"/>
              </w:rPr>
            </w:pPr>
            <w:r w:rsidRPr="002C0C34">
              <w:rPr>
                <w:rFonts w:ascii="Times New Roman" w:hAnsi="Times New Roman" w:cs="Times New Roman"/>
              </w:rPr>
              <w:t>All self-developed behavioral measure items</w:t>
            </w:r>
          </w:p>
        </w:tc>
      </w:tr>
    </w:tbl>
    <w:p w14:paraId="21A51734" w14:textId="0185EB2F" w:rsidR="0024240B" w:rsidRPr="002C0C34" w:rsidRDefault="0024240B" w:rsidP="004421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2456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sectPr w:rsidR="0024240B" w:rsidRPr="002C0C34">
          <w:pgSz w:w="12240" w:h="15840"/>
          <w:pgMar w:top="705" w:right="1386" w:bottom="1450" w:left="1405" w:header="0" w:footer="720" w:gutter="0"/>
          <w:pgNumType w:start="1"/>
          <w:cols w:space="720"/>
        </w:sectPr>
      </w:pPr>
    </w:p>
    <w:p w14:paraId="325370B3" w14:textId="099C1649" w:rsidR="0024240B" w:rsidRPr="002C0C34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3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4240B" w:rsidRPr="002C0C34">
          <w:type w:val="continuous"/>
          <w:pgSz w:w="12240" w:h="15840"/>
          <w:pgMar w:top="705" w:right="1601" w:bottom="1450" w:left="1554" w:header="0" w:footer="720" w:gutter="0"/>
          <w:cols w:num="3" w:space="720" w:equalWidth="0">
            <w:col w:w="3040" w:space="0"/>
            <w:col w:w="3040" w:space="0"/>
            <w:col w:w="3040" w:space="0"/>
          </w:cols>
        </w:sectPr>
      </w:pPr>
    </w:p>
    <w:p w14:paraId="46174471" w14:textId="77777777" w:rsidR="0024240B" w:rsidRDefault="0024240B" w:rsidP="004421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</w:p>
    <w:p w14:paraId="7A0BF630" w14:textId="2A373165" w:rsidR="002C0C34" w:rsidRDefault="00000000" w:rsidP="002C0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8" w:right="226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The “</w:t>
      </w:r>
      <w:r w:rsidR="00903042" w:rsidRPr="002C0C34">
        <w:rPr>
          <w:rFonts w:ascii="Times New Roman" w:hAnsi="Times New Roman" w:cs="Times New Roman"/>
          <w:sz w:val="24"/>
          <w:szCs w:val="24"/>
        </w:rPr>
        <w:t>RO1_T2_Behavioral Measures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includes all behavioral performance for </w:t>
      </w:r>
      <w:r w:rsidR="002C0C34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the behavioral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assessments, presented with excel sheets. Raw and standard</w:t>
      </w:r>
      <w:r w:rsidRPr="002C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scores for the behavioral assessments are also provided in an Excel sheet </w:t>
      </w:r>
      <w:r w:rsidR="0086609D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named “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R01_</w:t>
      </w:r>
      <w:r w:rsidR="00A94C3E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T2_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Behavioral Measures.xlsx”. </w:t>
      </w:r>
    </w:p>
    <w:p w14:paraId="51638D01" w14:textId="133F2F72" w:rsidR="002C0C34" w:rsidRDefault="00000000" w:rsidP="002C0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8" w:right="226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All self-developed behavioral assessments are presented </w:t>
      </w:r>
      <w:r w:rsidR="0086609D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in “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Self-developed Behavioral Measures.zip”.</w:t>
      </w:r>
    </w:p>
    <w:p w14:paraId="2218D832" w14:textId="12A35CBA" w:rsidR="002C0C34" w:rsidRDefault="00000000" w:rsidP="002C0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8" w:right="226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latter data sheet includes data from </w:t>
      </w:r>
      <w:r w:rsidR="00551511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>questionnaire</w:t>
      </w:r>
      <w:r w:rsidR="00A94C3E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named “</w:t>
      </w:r>
      <w:r w:rsidR="00A94C3E" w:rsidRPr="002C0C34">
        <w:rPr>
          <w:rFonts w:ascii="Times New Roman" w:hAnsi="Times New Roman" w:cs="Times New Roman"/>
          <w:sz w:val="24"/>
          <w:szCs w:val="24"/>
        </w:rPr>
        <w:t>RO1_T2_In-Lab_Questionnaire.xlsx”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 full list of questionnaire items </w:t>
      </w:r>
      <w:r w:rsidRPr="002C0C3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with </w:t>
      </w:r>
      <w:r w:rsidR="00A94C3E" w:rsidRPr="002C0C3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C0C34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documents, named “</w:t>
      </w:r>
      <w:r w:rsidR="00A94C3E" w:rsidRPr="002C0C34">
        <w:rPr>
          <w:rFonts w:ascii="Times New Roman" w:hAnsi="Times New Roman" w:cs="Times New Roman"/>
          <w:sz w:val="24"/>
          <w:szCs w:val="24"/>
        </w:rPr>
        <w:t xml:space="preserve">Spanish_In-Lab_Parent_Questionnaires_.docx” and </w:t>
      </w:r>
      <w:r w:rsidR="00A81043">
        <w:rPr>
          <w:rFonts w:ascii="Times New Roman" w:hAnsi="Times New Roman" w:cs="Times New Roman"/>
          <w:sz w:val="24"/>
          <w:szCs w:val="24"/>
        </w:rPr>
        <w:t>“</w:t>
      </w:r>
      <w:r w:rsidR="00A94C3E" w:rsidRPr="002C0C34">
        <w:rPr>
          <w:rFonts w:ascii="Times New Roman" w:hAnsi="Times New Roman" w:cs="Times New Roman"/>
          <w:sz w:val="24"/>
          <w:szCs w:val="24"/>
        </w:rPr>
        <w:t>Chinese_In-Lab_Parent_Questionnaires.docx</w:t>
      </w:r>
      <w:r w:rsidR="002C0C34">
        <w:rPr>
          <w:rFonts w:ascii="Times New Roman" w:hAnsi="Times New Roman" w:cs="Times New Roman"/>
          <w:sz w:val="24"/>
          <w:szCs w:val="24"/>
        </w:rPr>
        <w:t>.</w:t>
      </w:r>
      <w:r w:rsidR="002C0C34" w:rsidRPr="002C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We included the Assent and Consent forms that </w:t>
      </w:r>
      <w:r w:rsidR="002C0C34" w:rsidRPr="002C0C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provide potential research subjects sufficient written information to decide whether to participate in a research study or not based on an explanation of the proposed research and the nature of the participation that is requested of them.</w:t>
      </w:r>
    </w:p>
    <w:p w14:paraId="6AF19ACD" w14:textId="2E2AC37E" w:rsidR="00A94C3E" w:rsidRPr="002C0C34" w:rsidRDefault="00A94C3E" w:rsidP="002C0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38" w:right="226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384D2" w14:textId="6EED357C" w:rsidR="0024240B" w:rsidRPr="002C0C34" w:rsidRDefault="0024240B" w:rsidP="00A94C3E">
      <w:pPr>
        <w:widowControl w:val="0"/>
        <w:spacing w:before="285"/>
        <w:rPr>
          <w:rFonts w:ascii="Times New Roman" w:hAnsi="Times New Roman" w:cs="Times New Roman"/>
          <w:sz w:val="24"/>
          <w:szCs w:val="24"/>
        </w:rPr>
      </w:pPr>
    </w:p>
    <w:p w14:paraId="34FB59D6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Experimental Design, Materials, and Methods </w:t>
      </w:r>
    </w:p>
    <w:p w14:paraId="29B22FA6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2.1 Participants  </w:t>
      </w:r>
    </w:p>
    <w:p w14:paraId="33DAC308" w14:textId="4F250F12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35" w:right="20" w:firstLine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 included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4BDD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 aged 5 to 11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8.08,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1.64).  Participants were divided into three groups according to their language experience.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 monolinguals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born to native English speakers and exposed to English-only language  environments. Bilingual participants had at least one parent as a native speaker of either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Chinese  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Spanish and were exposed to the language at home, from birth. The English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monolingual  group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C64BDD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aged 5.4 to 11.9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8.46,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1.65,); the  Chinese-English bilingual group included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aged 5.1 to 11.5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7.51,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1.67); and the Spanish-English bilingual group included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90304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64B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aged 5.7 to  11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8.13 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1.44). Within the English monolingual group,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64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delayed in reading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9.22,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1.16), as indicated by their standard scores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below 85 in at least two of the four reading tasks (i.e., Word Reading. Word Attack,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 Comprehension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Reading Fluency;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dyslexia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9.45;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1.61), as indicated by their 1) standard scores below 85 in at least two reading tasks, and 2)  PPVT standard score 2 standard deviations (30 points) higher than word reading. </w:t>
      </w:r>
    </w:p>
    <w:p w14:paraId="6A78C792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3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2.2 Behavioral assessments and demographic information  </w:t>
      </w:r>
    </w:p>
    <w:p w14:paraId="368D18B0" w14:textId="11AAA87D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5" w:right="98" w:firstLine="723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24240B">
          <w:type w:val="continuous"/>
          <w:pgSz w:w="12240" w:h="15840"/>
          <w:pgMar w:top="705" w:right="1386" w:bottom="1450" w:left="1405" w:header="0" w:footer="720" w:gutter="0"/>
          <w:cols w:space="720" w:equalWidth="0">
            <w:col w:w="944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 completed behavioral assessments in each of their languages while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their parents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filled out demographic questionnaires. The behavioral testing assessed key language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and literacy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 including phonological awareness, morphological awareness, vocabulary, single word reading, nonword reading, passage comprehension, and sentence reading fluency.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The format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heritage language measures maximally paralleled the English tasks. In addition,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 backward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 span task was administered in English (WISC-V, Wechsler, 2014[1])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TOWRE and RAN.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Details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of language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literacy measures are shown in Table 2. All self-developed measures can be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found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data repository. </w:t>
      </w:r>
    </w:p>
    <w:p w14:paraId="5DF8D9F3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24240B">
          <w:type w:val="continuous"/>
          <w:pgSz w:w="12240" w:h="15840"/>
          <w:pgMar w:top="705" w:right="1386" w:bottom="1450" w:left="1405" w:header="0" w:footer="720" w:gutter="0"/>
          <w:cols w:space="720" w:equalWidth="0">
            <w:col w:w="9448" w:space="0"/>
          </w:cols>
        </w:sectPr>
      </w:pPr>
    </w:p>
    <w:p w14:paraId="2ECE1A18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199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24240B">
          <w:type w:val="continuous"/>
          <w:pgSz w:w="12240" w:h="15840"/>
          <w:pgMar w:top="705" w:right="1440" w:bottom="1450" w:left="1440" w:header="0" w:footer="720" w:gutter="0"/>
          <w:cols w:num="13" w:space="720" w:equalWidth="0"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  <w:col w:w="720" w:space="0"/>
          </w:cols>
        </w:sectPr>
      </w:pPr>
    </w:p>
    <w:p w14:paraId="33CBC3E4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24240B">
          <w:type w:val="continuous"/>
          <w:pgSz w:w="12240" w:h="15840"/>
          <w:pgMar w:top="705" w:right="1386" w:bottom="1450" w:left="1405" w:header="0" w:footer="720" w:gutter="0"/>
          <w:cols w:space="720" w:equalWidth="0">
            <w:col w:w="9448" w:space="0"/>
          </w:cols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w:drawing>
          <wp:inline distT="114300" distB="114300" distL="114300" distR="114300" wp14:anchorId="389CB3E9" wp14:editId="6EAEC5DD">
            <wp:extent cx="5999670" cy="775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670" cy="775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6CC02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6D3BD3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9CD1FD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30A38F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Ethics Statements </w:t>
      </w:r>
    </w:p>
    <w:p w14:paraId="66FF9E2E" w14:textId="2A5F27AD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" w:right="172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Informed consent was obtained from all participating children and their guardians. In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addition,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protocols were approved by the Institutional Review Board at the University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Michigan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 Arbor and the protocol number is HUM00033727. The dataset has also </w:t>
      </w:r>
      <w:r w:rsidR="00BD7BF8">
        <w:rPr>
          <w:rFonts w:ascii="Times New Roman" w:eastAsia="Times New Roman" w:hAnsi="Times New Roman" w:cs="Times New Roman"/>
          <w:color w:val="000000"/>
          <w:sz w:val="24"/>
          <w:szCs w:val="24"/>
        </w:rPr>
        <w:t>removed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information to protect participant privacy. </w:t>
      </w:r>
    </w:p>
    <w:p w14:paraId="776446DD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author statement </w:t>
      </w:r>
    </w:p>
    <w:p w14:paraId="5CFF8BA9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6" w:right="29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Xin Sun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Measure development, Data curation, validation, writing - original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draft;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Kehui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Zhang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Rebecca Marks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Measure development, Data curation, validation, writing - review and editing;  </w:t>
      </w:r>
    </w:p>
    <w:p w14:paraId="529DCA8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36" w:right="159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Ioulia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Kovelman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Conceptualization, Methodology, Supervision, Funding acquisition, writing - review &amp;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editing;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A6E973A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others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Data curation, validation, writing - review and editing. </w:t>
      </w:r>
    </w:p>
    <w:p w14:paraId="4FAC2FCF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Acknowledgments </w:t>
      </w:r>
    </w:p>
    <w:p w14:paraId="1BB30AB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7" w:right="427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authors thank members of the Language and Literacy Laboratory at the University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Michigan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helped with participant recruitment, scheduling, and data acquisition. We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 thank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National Institutes of Health for funding this work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Kovelman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PI: R01HD092498). </w:t>
      </w:r>
    </w:p>
    <w:p w14:paraId="3EADF0C2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Declaration of Competing Interests </w:t>
      </w:r>
    </w:p>
    <w:p w14:paraId="31FA0EC1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6" w:right="108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authors declare that they have no known competing financial interests 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  relationships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could have appeared to influence the work reported in this paper.</w:t>
      </w:r>
    </w:p>
    <w:p w14:paraId="6114D881" w14:textId="77777777" w:rsidR="0024240B" w:rsidRDefault="0024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2B742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References </w:t>
      </w:r>
    </w:p>
    <w:p w14:paraId="03FD5C7C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8" w:right="960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[1]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D.Wechsler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Wechsler Intelligence Scale for Children-Fifth Edition (WISC-V), The  Psychological Corporation, 2014. </w:t>
      </w:r>
    </w:p>
    <w:p w14:paraId="29D1BE1D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36" w:right="704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[2] R.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K.Wagner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K.Torgesen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Rashotte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N. A. Pearson, Comprehensive test of  phonological processing: CTOPP, Pro-ed, 1999. </w:t>
      </w:r>
    </w:p>
    <w:p w14:paraId="6E7739CC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" w:right="134" w:firstLine="13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[3] E. H. Newman, T. Tardif, J. Huang, &amp; H. Shu, Phonemes matter: The role of phoneme-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  awareness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emergent Chinese readers, Journal of Experimental Child Psychology. 108 (2011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242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–259.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https://doi.org/10.1016/j.jecp.2010.09.001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6EF12A16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9" w:lineRule="auto"/>
        <w:ind w:left="41" w:right="99" w:firstLine="14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[4] X. Sun, K. Zhang, R. A. Marks, N. Nickerson, R.L. Eggleston, C.L. Yu, T. L. Chou, T.  Tardif, &amp; 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Kovelman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What’s in a word? Cross-linguistic influences on Spanish– English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Chinese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–English bilingual children’s word reading development, Child Development, 93 (2021)  84-100.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https://doi.org/10.1111/cdev.13666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34E88C3F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7" w:right="212" w:firstLine="18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[5] D. Francis, M. Carlo, D. August,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D.Kenyon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Malabonga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Caglarcan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Louguit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Test of Phonological Processing in Spanish, Center for Applied Linguistics, 2001. [6] A. P. Goodwin, A. C. Huggins, M. Carlo, 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Malabonga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Kenyon,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Louguit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D.  August, Development and validation of extract the base: An English derivational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morphology  test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third through fifth grade monolingual students and Spanish- speaking English language  learners, Language Testing, 29 (2012) 265–289.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https://doi.org/10.1177/0265532211419827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[7] S. Song,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Kang, H. Liu, Y. Zhang, C. McBride-Chang, T. Tardif, H. Li, W.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Liang,  Z.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Zhang, &amp; H. Shu, Tracing children's vocabulary development from preschool through the  school-age years: An 8-year longitudinal study, Developmental Science, 18 (2015) 119–131.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https://doi.org/10.1111/desc.12190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58592946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[8] D.M. Dunn, Peabody Picture Vocabulary Test 5, NCS Pearson, 2015. </w:t>
      </w:r>
    </w:p>
    <w:p w14:paraId="6F913AD8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8" w:right="47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[9] L. Lu, &amp; H. S. Liu, The Peabody Picture Vocabulary Test– revised in Chinese,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Psychological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Publishing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1998. </w:t>
      </w:r>
    </w:p>
    <w:p w14:paraId="318B5732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38" w:right="612" w:firstLine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[10] L. Dunn, F. Padilla, D. Lugo, &amp; L. Dunn, TVIP: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Vocabolario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Imágenes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Peabody,  American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Guidance Service, 1986. </w:t>
      </w:r>
    </w:p>
    <w:p w14:paraId="499CF434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36" w:right="651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[11] F.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Schrank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S. McGrew, &amp; N. Mather, Woodcock-Johnson IV, Riverside, 2014.  [12] A. F. Muñoz-Sandoval, R.W. Woodcock, K. S. McGrew, &amp; N. Mather,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Batería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 Woodcock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-Muñoz, Riverside Publishing, 2005. </w:t>
      </w:r>
    </w:p>
    <w:p w14:paraId="25513CF8" w14:textId="77777777" w:rsidR="002424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36" w:right="129" w:firstLine="19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[13] 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Jurcak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Tsuzuki, &amp; I. Dan, 10/20, 10/10, and 10/5 systems revisited: Their validity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 relative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head-surface-based positioning systems, Neuroimage, 34 (2007) 1600-1611.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https://doi.org/10.1016/j.neuroimage.2006.09.024</w:t>
      </w:r>
    </w:p>
    <w:sectPr w:rsidR="0024240B">
      <w:type w:val="continuous"/>
      <w:pgSz w:w="12240" w:h="15840"/>
      <w:pgMar w:top="705" w:right="1386" w:bottom="1450" w:left="1405" w:header="0" w:footer="720" w:gutter="0"/>
      <w:cols w:space="720" w:equalWidth="0">
        <w:col w:w="94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0B"/>
    <w:rsid w:val="000903BD"/>
    <w:rsid w:val="000E4DE7"/>
    <w:rsid w:val="00106581"/>
    <w:rsid w:val="0013479B"/>
    <w:rsid w:val="0024240B"/>
    <w:rsid w:val="002B3905"/>
    <w:rsid w:val="002C0C34"/>
    <w:rsid w:val="00375890"/>
    <w:rsid w:val="004421E5"/>
    <w:rsid w:val="004D105C"/>
    <w:rsid w:val="00551511"/>
    <w:rsid w:val="00663B67"/>
    <w:rsid w:val="00676C85"/>
    <w:rsid w:val="0086609D"/>
    <w:rsid w:val="0089410F"/>
    <w:rsid w:val="00903042"/>
    <w:rsid w:val="00A7276C"/>
    <w:rsid w:val="00A81043"/>
    <w:rsid w:val="00A94C3E"/>
    <w:rsid w:val="00B556B8"/>
    <w:rsid w:val="00BD7BF8"/>
    <w:rsid w:val="00BF542E"/>
    <w:rsid w:val="00C215E6"/>
    <w:rsid w:val="00C64BDD"/>
    <w:rsid w:val="00DC2F83"/>
    <w:rsid w:val="00E2083F"/>
    <w:rsid w:val="00E60F86"/>
    <w:rsid w:val="00E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D782"/>
  <w15:docId w15:val="{19089926-82A8-2746-A50D-CBF40FE0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B3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Woodbrook, Rachel</cp:lastModifiedBy>
  <cp:revision>2</cp:revision>
  <dcterms:created xsi:type="dcterms:W3CDTF">2022-11-15T02:01:00Z</dcterms:created>
  <dcterms:modified xsi:type="dcterms:W3CDTF">2022-11-15T02:01:00Z</dcterms:modified>
</cp:coreProperties>
</file>