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0B8" w:rsidRPr="00DF20B8" w:rsidRDefault="00DF20B8" w:rsidP="00DF20B8">
      <w:pPr>
        <w:shd w:val="clear" w:color="auto" w:fill="EEEEEE"/>
        <w:spacing w:before="100" w:beforeAutospacing="1" w:after="24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proofErr w:type="gramStart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>Figure 1.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</w:t>
      </w:r>
      <w:bookmarkStart w:id="0" w:name="_GoBack"/>
      <w:bookmarkEnd w:id="0"/>
    </w:p>
    <w:p w:rsidR="00DF20B8" w:rsidRPr="00DF20B8" w:rsidRDefault="00DF20B8" w:rsidP="00DF20B8">
      <w:pPr>
        <w:shd w:val="clear" w:color="auto" w:fill="EEEEEE"/>
        <w:spacing w:after="18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>Amino acids increase activation of mTORC1 by M-CSF and PMA in macrophages.</w:t>
      </w:r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(A) Time course of signaling in BMMs after stimulation with M-CSF. </w:t>
      </w:r>
      <w:proofErr w:type="gram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mTORC1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activity, as indicated by phosphorylation of S6K (pS6K), increased within 5 min and remained elevated. PI3K (pAkt-308), mTORC2 (pAkt-473), and MEK/ERK (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pERK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) were activated transiently. (B) Time course of signaling in response to PMA. MEK/ERK activity increased quickly, whereas mTORC1 was activated after a delay. PI3K and mTORC2 were not activated. (C and D) Relative to amino acid–depleted medium (HBSS, −), amino acid–rich medium (DMEM, +) increased mTORC1 activation in response to M-CSF (5-min stimulation; C) and PMA (30-min stimulation; D), but did not affect stimulation of MEK/ERK in response to either stimulus. (E and F) The addition of leucine to DPBS was sufficient to augment activation of mTORC1 by M-CSF (E) or PMA (F), as indicated by phosphorylation of S6K and 4EBP1, but did not alter stimulation of PI3K by M-CSF or of MEK/ERK by PMA. </w:t>
      </w:r>
    </w:p>
    <w:p w:rsidR="00DF20B8" w:rsidRPr="00DF20B8" w:rsidRDefault="00DF20B8" w:rsidP="00DF20B8">
      <w:pPr>
        <w:shd w:val="clear" w:color="auto" w:fill="EEEEEE"/>
        <w:spacing w:before="100" w:beforeAutospacing="1" w:after="24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proofErr w:type="gramStart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>Figure 2.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</w:t>
      </w:r>
    </w:p>
    <w:p w:rsidR="00DF20B8" w:rsidRDefault="00DF20B8" w:rsidP="00DF20B8">
      <w:pPr>
        <w:shd w:val="clear" w:color="auto" w:fill="EEEEEE"/>
        <w:spacing w:after="18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proofErr w:type="spellStart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>Macropinocytosis</w:t>
      </w:r>
      <w:proofErr w:type="spellEnd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 xml:space="preserve"> is required for activation of mTORC1 by M-CSF and PMA in macrophages.</w:t>
      </w:r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(A)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formation in response to M-CSF and PMA. BMMs were incubated for 5 min in buffer containing fluorescein dextran with M-CSF or PMA, and then were washed, fixed, and observed by phase-contrast and fluorescence microscopy (red overlay; Bars, 10 µm). (B) Time course of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formation after stimulation with M-CSF (diamonds), PMA (squares), or with buffer only (triangle). </w:t>
      </w:r>
      <w:proofErr w:type="gramStart"/>
      <w:r w:rsidRPr="00DF20B8">
        <w:rPr>
          <w:rFonts w:ascii="Arial" w:eastAsia="Times New Roman" w:hAnsi="Arial" w:cs="Arial"/>
          <w:i/>
          <w:iCs/>
          <w:color w:val="111111"/>
          <w:sz w:val="18"/>
          <w:szCs w:val="18"/>
          <w:lang w:val="en"/>
        </w:rPr>
        <w:t>n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≥ 25 cells per time point. (C–F) </w:t>
      </w:r>
      <w:proofErr w:type="gram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Effects of PI3K inhibitors on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macropinocytosis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(top) and mTORC1 activity (bottom).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M-CSF–stimulated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macropinocytosis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and mTORC1 activity were inhibited partially by A66 (C) and were inhibited more completely by IC87114 (IC) or the combination of IC87114 and A66 (D). PMA-stimulated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macropinocytosis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and mTORC1 activity were unaltered by either A66 (E) or IC (F). B–F show the means ± SEM from three independent experiments, with &gt;25 cells scored per condition. </w:t>
      </w:r>
      <w:proofErr w:type="gram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*, P &lt; 0.05, one-tailed </w:t>
      </w:r>
      <w:r w:rsidRPr="00DF20B8">
        <w:rPr>
          <w:rFonts w:ascii="Arial" w:eastAsia="Times New Roman" w:hAnsi="Arial" w:cs="Arial"/>
          <w:i/>
          <w:iCs/>
          <w:color w:val="111111"/>
          <w:sz w:val="18"/>
          <w:szCs w:val="18"/>
          <w:lang w:val="en"/>
        </w:rPr>
        <w:t>t</w:t>
      </w:r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test.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</w:t>
      </w:r>
    </w:p>
    <w:p w:rsidR="00DF20B8" w:rsidRPr="00DF20B8" w:rsidRDefault="00DF20B8" w:rsidP="00DF20B8">
      <w:pPr>
        <w:shd w:val="clear" w:color="auto" w:fill="EEEEEE"/>
        <w:spacing w:before="100" w:beforeAutospacing="1" w:after="24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proofErr w:type="gramStart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>Figure 3.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</w:t>
      </w:r>
    </w:p>
    <w:p w:rsidR="00DF20B8" w:rsidRPr="00DF20B8" w:rsidRDefault="00DF20B8" w:rsidP="00DF20B8">
      <w:pPr>
        <w:shd w:val="clear" w:color="auto" w:fill="EEEEEE"/>
        <w:spacing w:after="18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proofErr w:type="spellStart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>Macropinocytosis</w:t>
      </w:r>
      <w:proofErr w:type="spellEnd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 xml:space="preserve"> is required for activation of mTORC1 in BMM.</w:t>
      </w:r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(A–D) </w:t>
      </w:r>
      <w:proofErr w:type="gram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Effects of JB on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macropinocytosis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(top) and mTORC1 activity (bottom).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JB treatment blocked both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macropinocytosis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and mTORC1 activity in response to M-CSF in DMEM (A), PMA in DMEM (B), or M-CSF in DPBS containing 0.4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mM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leucine (C). (D) JB did not inhibit activation of mTORC1 in response to M-CSF in DPBS containing 5.6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mM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glucose. (E) JB inhibited 4EBP1 phosphorylation in response to PMA in BMM. (F and G) EIPA inhibited activation of mTORC1 by M-CSF (5-min stimulation; F) and PMA (30-min stimulation; G). (H)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formation in response to M-CSF was inhibited by EIPA (+E), but not by U0126 (+U).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Macropinocytosis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measurements of A–D and H show the means ± SEM from three independent experiments, with &gt;25 cells scored per condition. </w:t>
      </w:r>
      <w:proofErr w:type="gram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*, P &lt; 0.05, one-tailed </w:t>
      </w:r>
      <w:r w:rsidRPr="00DF20B8">
        <w:rPr>
          <w:rFonts w:ascii="Arial" w:eastAsia="Times New Roman" w:hAnsi="Arial" w:cs="Arial"/>
          <w:i/>
          <w:iCs/>
          <w:color w:val="111111"/>
          <w:sz w:val="18"/>
          <w:szCs w:val="18"/>
          <w:lang w:val="en"/>
        </w:rPr>
        <w:t>t</w:t>
      </w:r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test.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</w:t>
      </w:r>
    </w:p>
    <w:p w:rsidR="00DF20B8" w:rsidRPr="00DF20B8" w:rsidRDefault="00DF20B8" w:rsidP="00DF20B8">
      <w:pPr>
        <w:shd w:val="clear" w:color="auto" w:fill="EEEEEE"/>
        <w:spacing w:before="100" w:beforeAutospacing="1" w:after="24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proofErr w:type="gramStart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>Figure 4.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</w:t>
      </w:r>
    </w:p>
    <w:p w:rsidR="00DF20B8" w:rsidRPr="00DF20B8" w:rsidRDefault="00DF20B8" w:rsidP="00DF20B8">
      <w:pPr>
        <w:shd w:val="clear" w:color="auto" w:fill="EEEEEE"/>
        <w:spacing w:after="18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proofErr w:type="spellStart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>Macropinocytosis</w:t>
      </w:r>
      <w:proofErr w:type="spellEnd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 xml:space="preserve"> is required for leucine-dependent activation of mTORC1 by PDGF in MEFs.</w:t>
      </w:r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(A) Amino acid–dependent activation of mTORC1 by PDGF. MEFs were incubated 30 min in DPBS and then stimulated for 15 min with PDGF (2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nM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) in DPBS containing glucose (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Glu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; 5.6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mM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) and leucine (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Leu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; 0.4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mM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) and scored for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formation (top) and mTORC1 activity (bottom). (B) Effects of leucine concentration on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macropinocytosis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(top) and mTORC1 activity (bottom). (C and D) Stimulation of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macropinocytosis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and mTORC1 by PDGF and 0.4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mM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leucine were inhibited by EIPA (C) and JB (D). (E) Stimulation of mTORC1 by PDGF and glucose (5.6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mM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) was not inhibited by EIPA (EI) or JB. (F) Activation of mTORC1 after 30 min in PDGF and Ala-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Leu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. MEFs were incubated in DPBS for 30 min, followed by 30 min in DPBS, with or without PDGF, with or without 4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mM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Ala-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Leu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. (G) Effects of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Akt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inhibitor MK2206 (MK; 2 µM for 30 min) on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macropinocytosis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(top),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Akt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activity, and mTORC1 (bottom).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Macropinocytosis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measurements of A–G show the means ± SEM from three independent experiments, with &gt;25 cells scored per condition. </w:t>
      </w:r>
      <w:proofErr w:type="gram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*, P &lt; 0.05, one-tailed </w:t>
      </w:r>
      <w:r w:rsidRPr="00DF20B8">
        <w:rPr>
          <w:rFonts w:ascii="Arial" w:eastAsia="Times New Roman" w:hAnsi="Arial" w:cs="Arial"/>
          <w:i/>
          <w:iCs/>
          <w:color w:val="111111"/>
          <w:sz w:val="18"/>
          <w:szCs w:val="18"/>
          <w:lang w:val="en"/>
        </w:rPr>
        <w:t>t</w:t>
      </w:r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test.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(H) Stimulation of mTORC1 in TSC2-deficient (TSC2KO) and WT MEFs. </w:t>
      </w:r>
      <w:proofErr w:type="gram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mTORC1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activity in TSC2KO MEFs was increased by PDGF and inhibited by JB.</w:t>
      </w:r>
    </w:p>
    <w:p w:rsidR="00DF20B8" w:rsidRPr="00DF20B8" w:rsidRDefault="00DF20B8" w:rsidP="00DF20B8">
      <w:pPr>
        <w:shd w:val="clear" w:color="auto" w:fill="EEEEEE"/>
        <w:spacing w:before="100" w:beforeAutospacing="1" w:after="24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proofErr w:type="gramStart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>Figure 5.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</w:t>
      </w:r>
    </w:p>
    <w:p w:rsidR="00DF20B8" w:rsidRPr="00DF20B8" w:rsidRDefault="00DF20B8" w:rsidP="00DF20B8">
      <w:pPr>
        <w:shd w:val="clear" w:color="auto" w:fill="EEEEEE"/>
        <w:spacing w:after="18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 xml:space="preserve">PKC inhibition blocks PDGF-induced </w:t>
      </w:r>
      <w:proofErr w:type="spellStart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>macropinocytosis</w:t>
      </w:r>
      <w:proofErr w:type="spellEnd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 xml:space="preserve"> and mTORC1 activation independent of TSC function.</w:t>
      </w:r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(A)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formation in TSC2-WT (left) and TSC2-knockout (KO) (right) MEFs stimulated by PDGF in the presence of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FDx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with (bottom) or without (top)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calphostin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C (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cal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C).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FDx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-labeled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are indicated by red overlay. Bar, 10 µm. (B)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Macropinocytosis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and activation of mTORC1 </w:t>
      </w:r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lastRenderedPageBreak/>
        <w:t xml:space="preserve">in TSC2-WT and TSC2-KO MEFs was increased by PDGF and inhibited by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calphostin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C. Bars indicate the means ± SEM of three trials. </w:t>
      </w:r>
      <w:proofErr w:type="gram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*, P &lt; 0.05.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</w:t>
      </w:r>
    </w:p>
    <w:p w:rsidR="00DF20B8" w:rsidRPr="00DF20B8" w:rsidRDefault="00DF20B8" w:rsidP="00DF20B8">
      <w:pPr>
        <w:shd w:val="clear" w:color="auto" w:fill="EEEEEE"/>
        <w:spacing w:before="100" w:beforeAutospacing="1" w:after="24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proofErr w:type="gramStart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>Figure 6.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</w:t>
      </w:r>
    </w:p>
    <w:p w:rsidR="00DF20B8" w:rsidRDefault="00DF20B8" w:rsidP="00DF20B8">
      <w:pPr>
        <w:shd w:val="clear" w:color="auto" w:fill="EEEEEE"/>
        <w:spacing w:after="18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 xml:space="preserve">Stimulation of </w:t>
      </w:r>
      <w:proofErr w:type="spellStart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>macropinocytosis</w:t>
      </w:r>
      <w:proofErr w:type="spellEnd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 xml:space="preserve"> in BMMs increased solute uptake and amino acid–dependent recruitment of </w:t>
      </w:r>
      <w:proofErr w:type="spellStart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>mTOR</w:t>
      </w:r>
      <w:proofErr w:type="spellEnd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 xml:space="preserve"> to </w:t>
      </w:r>
      <w:proofErr w:type="spellStart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>macropinosomes</w:t>
      </w:r>
      <w:proofErr w:type="spellEnd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 xml:space="preserve"> and </w:t>
      </w:r>
      <w:proofErr w:type="spellStart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>endolysosomes</w:t>
      </w:r>
      <w:proofErr w:type="spellEnd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 xml:space="preserve">. </w:t>
      </w:r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(A and B) Immunofluorescence localization of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mTOR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and LAMP-1 in BMMs stimulated 5 min with M-CSF. Insets show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mTOR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association with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-associated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(A) and with tubular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(B). (C) BMMs fixed and imaged after 1, 5, or 10 min with LY and M-CSF. LY was initially distributed in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but also localized to tubular compartments by 10 min. (D) Total LY fluorescence per cell, from image analysis of preparations shown in C (</w:t>
      </w:r>
      <w:r w:rsidRPr="00DF20B8">
        <w:rPr>
          <w:rFonts w:ascii="Arial" w:eastAsia="Times New Roman" w:hAnsi="Arial" w:cs="Arial"/>
          <w:i/>
          <w:iCs/>
          <w:color w:val="111111"/>
          <w:sz w:val="18"/>
          <w:szCs w:val="18"/>
          <w:lang w:val="en"/>
        </w:rPr>
        <w:t>n</w:t>
      </w:r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&gt; 10 cells per point; *, P &lt; 0.05). (E and F) </w:t>
      </w:r>
      <w:proofErr w:type="gram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Immunofluorescence localization of LAMP-1 after incubation of BMMs with LY and M-CSF for 5 min (E) or 10 min (F).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Insets shows a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(E) and tubular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(F) labeled with both LAMP-1 (top right) and LY (bottom left); top left: phase-contrast, bottom right: overlay. (G) Immunofluorescence localization of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mTOR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after 10-min incubation in LY with (bottom; insets </w:t>
      </w:r>
      <w:proofErr w:type="gram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a and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b) or without (top) M-CSF. (H) Quantitation of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mTOR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colocalization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with LY (*, P &lt; 0.05). (I–K)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Macropinocytosis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and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colocalization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of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mTOR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and LY in BMMs expressing pRac1WT-IRES2-mCFP (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RacWT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) or pRac1(N17)-IRES2-mCFP (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RacDN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), fixed after stimulation for 5 min with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FDx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(I) or 10 min with LY (J and K) with or without M-CSF. CFP-positive BMMs were scored for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labeling with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FDx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(I), integrated intensity of LY per cell (J), and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colocalization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of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mTOR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with LY (K).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RacDN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significantly decreased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macropinocytosis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, LY accumulation, and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mTOR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colocalization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with LY-positive organelles (*, P &lt; 0.05). (L and M) </w:t>
      </w:r>
      <w:proofErr w:type="gram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Effects of amino acids on LY accumulation and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colocalization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of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mTOR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and LY.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BMMs were incubated 10 min in DMEM (+AA) or HBSS (−AA) containing LY, with or without M-CSF. Amino acids did not affect the integrated cellular accumulation of LY (L), but increased the association of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mTOR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with LY-positive endocytic compartments (M). </w:t>
      </w:r>
      <w:proofErr w:type="gram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*, P &lt; 0.05.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</w:t>
      </w:r>
      <w:proofErr w:type="gram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Bars, 10 µm.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</w:t>
      </w:r>
    </w:p>
    <w:p w:rsidR="00DF20B8" w:rsidRPr="00DF20B8" w:rsidRDefault="00DF20B8" w:rsidP="00DF20B8">
      <w:pPr>
        <w:shd w:val="clear" w:color="auto" w:fill="EEEEEE"/>
        <w:spacing w:before="100" w:beforeAutospacing="1" w:after="24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proofErr w:type="gramStart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>Figure 7.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</w:t>
      </w:r>
    </w:p>
    <w:p w:rsidR="00DF20B8" w:rsidRDefault="00DF20B8" w:rsidP="00DF20B8">
      <w:pPr>
        <w:shd w:val="clear" w:color="auto" w:fill="EEEEEE"/>
        <w:spacing w:after="18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proofErr w:type="gramStart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 xml:space="preserve">Rapid delivery of extracellular small solutes into </w:t>
      </w:r>
      <w:proofErr w:type="spellStart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>endolysosomes</w:t>
      </w:r>
      <w:proofErr w:type="spellEnd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 xml:space="preserve"> by M-CSF–induced </w:t>
      </w:r>
      <w:proofErr w:type="spellStart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>macropinosomes</w:t>
      </w:r>
      <w:proofErr w:type="spellEnd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 xml:space="preserve"> in macrophages.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(A) BMMs with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-labeled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were stimulated with M-CSF and then imaged by time-lapse phase contrast (PC) and fluorescence (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) microscopy. Corresponding distributions of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and lysosomes are indicated in overlay images (middle row) and by the lines that track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between time points (top and bottom rows). Time after the addition of M-CSF is indicated in the bottom row (minutes).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were repeatedly engaged by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and shrank gradually. (B) PC images show phase-bright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and the time course of maturation for one LY-labeled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. Inverted contrast images of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(LY) and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) show dye exchange between the compartments. Time after addition of M-CSF is indicated in the bottom row (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min</w:t>
      </w:r>
      <w:proofErr w:type="gram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:sec</w:t>
      </w:r>
      <w:proofErr w:type="spellEnd"/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). LY/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fluorescence ratio images (Ratio) show the relative distributions of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(white) and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(black). Tubular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containing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elongated toward the phase-bright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containing LY (</w:t>
      </w:r>
      <w:r w:rsidRPr="00DF20B8">
        <w:rPr>
          <w:rFonts w:ascii="Arial" w:eastAsia="Times New Roman" w:hAnsi="Arial" w:cs="Arial"/>
          <w:i/>
          <w:iCs/>
          <w:color w:val="111111"/>
          <w:sz w:val="18"/>
          <w:szCs w:val="18"/>
          <w:lang w:val="en"/>
        </w:rPr>
        <w:t>t</w:t>
      </w:r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= 7:00–7:20), and wrapped around it (</w:t>
      </w:r>
      <w:r w:rsidRPr="00DF20B8">
        <w:rPr>
          <w:rFonts w:ascii="Arial" w:eastAsia="Times New Roman" w:hAnsi="Arial" w:cs="Arial"/>
          <w:i/>
          <w:iCs/>
          <w:color w:val="111111"/>
          <w:sz w:val="18"/>
          <w:szCs w:val="18"/>
          <w:lang w:val="en"/>
        </w:rPr>
        <w:t>t</w:t>
      </w:r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= 7:40). The two dyes mixed in the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</w:t>
      </w:r>
      <w:r w:rsidRPr="00DF20B8">
        <w:rPr>
          <w:rFonts w:ascii="Arial" w:eastAsia="Times New Roman" w:hAnsi="Arial" w:cs="Arial"/>
          <w:i/>
          <w:iCs/>
          <w:color w:val="111111"/>
          <w:sz w:val="18"/>
          <w:szCs w:val="18"/>
          <w:lang w:val="en"/>
        </w:rPr>
        <w:t>t</w:t>
      </w:r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= 8:00), which then disappeared quickly (</w:t>
      </w:r>
      <w:r w:rsidRPr="00DF20B8">
        <w:rPr>
          <w:rFonts w:ascii="Arial" w:eastAsia="Times New Roman" w:hAnsi="Arial" w:cs="Arial"/>
          <w:i/>
          <w:iCs/>
          <w:color w:val="111111"/>
          <w:sz w:val="18"/>
          <w:szCs w:val="18"/>
          <w:lang w:val="en"/>
        </w:rPr>
        <w:t>t</w:t>
      </w:r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= 8:00–9:00). (C) Size-selective solute exchange between tubular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and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. Tubular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prelabeled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with LY and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contacted phase-bright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and delivered LY before delivery of the larger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. Asterisks indicate the position of a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in corresponding PC, LY, and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fluorescence images. LY/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ratio images show the early entry of LY into the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(26:20), followed by entry of the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and rapid shrinkage of the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(26:40). </w:t>
      </w:r>
      <w:proofErr w:type="gram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Bars, 5 µm.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</w:t>
      </w:r>
    </w:p>
    <w:p w:rsidR="00DF20B8" w:rsidRPr="00DF20B8" w:rsidRDefault="00DF20B8" w:rsidP="00DF20B8">
      <w:pPr>
        <w:shd w:val="clear" w:color="auto" w:fill="EEEEEE"/>
        <w:spacing w:before="100" w:beforeAutospacing="1" w:after="24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proofErr w:type="gramStart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>Figure 8.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</w:t>
      </w:r>
    </w:p>
    <w:p w:rsidR="00DF20B8" w:rsidRPr="00DF20B8" w:rsidRDefault="00DF20B8" w:rsidP="00DF20B8">
      <w:pPr>
        <w:shd w:val="clear" w:color="auto" w:fill="EEEEEE"/>
        <w:spacing w:after="18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 xml:space="preserve">Signaling for mTORC1 activation is localized to </w:t>
      </w:r>
      <w:proofErr w:type="spellStart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>macropinocytic</w:t>
      </w:r>
      <w:proofErr w:type="spellEnd"/>
      <w:r w:rsidRPr="00DF20B8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 xml:space="preserve"> cups.</w:t>
      </w:r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(A) BMMs expressing CFP and YFP-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BtkPH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, a probe for PIP</w:t>
      </w:r>
      <w:r w:rsidRPr="00DF20B8">
        <w:rPr>
          <w:rFonts w:ascii="Arial" w:eastAsia="Times New Roman" w:hAnsi="Arial" w:cs="Arial"/>
          <w:color w:val="111111"/>
          <w:sz w:val="15"/>
          <w:szCs w:val="15"/>
          <w:vertAlign w:val="subscript"/>
          <w:lang w:val="en"/>
        </w:rPr>
        <w:t>3</w:t>
      </w:r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, were imaged during M-CSF–stimulated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macropinocytosis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. The image series are aligned such that circular ruffle closure occurs at </w:t>
      </w:r>
      <w:r w:rsidRPr="00DF20B8">
        <w:rPr>
          <w:rFonts w:ascii="Arial" w:eastAsia="Times New Roman" w:hAnsi="Arial" w:cs="Arial"/>
          <w:i/>
          <w:iCs/>
          <w:color w:val="111111"/>
          <w:sz w:val="18"/>
          <w:szCs w:val="18"/>
          <w:lang w:val="en"/>
        </w:rPr>
        <w:t>t</w:t>
      </w:r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= 80 s (top row).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Pseudocolor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ratio images (YFP-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BtkPH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/CFP) show strong YFP-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BtkPH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recruitment to the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macropinocytic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cup at </w:t>
      </w:r>
      <w:r w:rsidRPr="00DF20B8">
        <w:rPr>
          <w:rFonts w:ascii="Arial" w:eastAsia="Times New Roman" w:hAnsi="Arial" w:cs="Arial"/>
          <w:i/>
          <w:iCs/>
          <w:color w:val="111111"/>
          <w:sz w:val="18"/>
          <w:szCs w:val="18"/>
          <w:lang w:val="en"/>
        </w:rPr>
        <w:t>t</w:t>
      </w:r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= 120 s (bottom row). (B)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Ratiometric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imaging of the DAG probe C1δ-YFP in BMMs, as described in (A). </w:t>
      </w:r>
      <w:r w:rsidRPr="00DF20B8">
        <w:rPr>
          <w:rFonts w:ascii="Arial" w:eastAsia="Times New Roman" w:hAnsi="Arial" w:cs="Arial"/>
          <w:i/>
          <w:iCs/>
          <w:color w:val="111111"/>
          <w:sz w:val="18"/>
          <w:szCs w:val="18"/>
          <w:lang w:val="en"/>
        </w:rPr>
        <w:t>t</w:t>
      </w:r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= 80 s marks the end of ruffle closure. Maximal C1δ-YFP recruitment occurs at </w:t>
      </w:r>
      <w:r w:rsidRPr="00DF20B8">
        <w:rPr>
          <w:rFonts w:ascii="Arial" w:eastAsia="Times New Roman" w:hAnsi="Arial" w:cs="Arial"/>
          <w:i/>
          <w:iCs/>
          <w:color w:val="111111"/>
          <w:sz w:val="18"/>
          <w:szCs w:val="18"/>
          <w:lang w:val="en"/>
        </w:rPr>
        <w:t>t</w:t>
      </w:r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= 140 and 160 s (C)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Ratiometric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imaging of the PIP</w:t>
      </w:r>
      <w:r w:rsidRPr="00DF20B8">
        <w:rPr>
          <w:rFonts w:ascii="Arial" w:eastAsia="Times New Roman" w:hAnsi="Arial" w:cs="Arial"/>
          <w:color w:val="111111"/>
          <w:sz w:val="15"/>
          <w:szCs w:val="15"/>
          <w:vertAlign w:val="subscript"/>
          <w:lang w:val="en"/>
        </w:rPr>
        <w:t>3</w:t>
      </w:r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probe YFP-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BtkPH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during PMA-stimulated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macropinocytosis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. YFP-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BtkPH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was not recruited to the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macropinocytic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cup. </w:t>
      </w:r>
      <w:proofErr w:type="gram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Bars, 5 µm. (D) Two pathways of growth factor receptor (GFR) signaling to mTORC1.</w:t>
      </w:r>
      <w:proofErr w:type="gram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GFR signaling activates PI3K, which activates mTORC1 by a cytosolic pathway, involving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Akt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, TSC2, and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Rheb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, and a vesicular pathway, involving PKC-dependent,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-mediated delivery of leucine to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. PMA activates both pathways independent of PI3K. Stimuli are indicated in blue type; </w:t>
      </w:r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lastRenderedPageBreak/>
        <w:t xml:space="preserve">inhibitors are indicated in gray type. (E) The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as a discrete unit of GFR signaling. PI3K-generated PIP</w:t>
      </w:r>
      <w:r w:rsidRPr="00DF20B8">
        <w:rPr>
          <w:rFonts w:ascii="Arial" w:eastAsia="Times New Roman" w:hAnsi="Arial" w:cs="Arial"/>
          <w:color w:val="111111"/>
          <w:sz w:val="15"/>
          <w:szCs w:val="15"/>
          <w:vertAlign w:val="subscript"/>
          <w:lang w:val="en"/>
        </w:rPr>
        <w:t>3</w:t>
      </w:r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accumulates in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macropinocytic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cups (red line), activating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Akt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(cytosolic pathway) and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PLCγ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.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PLCγ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generates DAG in the cup, leading to PKC-dependent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macropinocytosis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(vesicular pathway). Extracellular solutes internalized by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macropinocytosis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are delivered rapidly into LAMP-1 (blue lines)–enriched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by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piranhalysis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or after tubular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wrap around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. Small solutes exchange more rapidly between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and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than large solutes, providing a rapid mechanism for activation of mTORC1 by amino acids inside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and </w:t>
      </w:r>
      <w:proofErr w:type="spellStart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DF20B8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. </w:t>
      </w:r>
    </w:p>
    <w:p w:rsidR="00DF20B8" w:rsidRDefault="00DF20B8" w:rsidP="00DF20B8">
      <w:pPr>
        <w:shd w:val="clear" w:color="auto" w:fill="EEEEEE"/>
        <w:spacing w:after="180" w:line="240" w:lineRule="auto"/>
        <w:rPr>
          <w:rFonts w:ascii="Arial" w:eastAsia="Times New Roman" w:hAnsi="Arial" w:cs="Arial"/>
          <w:sz w:val="18"/>
          <w:szCs w:val="18"/>
          <w:lang w:val="en"/>
        </w:rPr>
      </w:pPr>
    </w:p>
    <w:p w:rsidR="00DF20B8" w:rsidRPr="00DF20B8" w:rsidRDefault="00DF20B8" w:rsidP="00DF20B8">
      <w:pPr>
        <w:shd w:val="clear" w:color="auto" w:fill="EEEEEE"/>
        <w:spacing w:after="18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</w:p>
    <w:sectPr w:rsidR="00DF20B8" w:rsidRPr="00DF2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90D2A"/>
    <w:multiLevelType w:val="multilevel"/>
    <w:tmpl w:val="73A2B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147710"/>
    <w:multiLevelType w:val="multilevel"/>
    <w:tmpl w:val="0666B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FE407D"/>
    <w:multiLevelType w:val="multilevel"/>
    <w:tmpl w:val="9752B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354716"/>
    <w:multiLevelType w:val="multilevel"/>
    <w:tmpl w:val="ABB00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497516"/>
    <w:multiLevelType w:val="multilevel"/>
    <w:tmpl w:val="36303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3B4810"/>
    <w:multiLevelType w:val="multilevel"/>
    <w:tmpl w:val="8550E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2B2B96"/>
    <w:multiLevelType w:val="multilevel"/>
    <w:tmpl w:val="864E0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2772EF"/>
    <w:multiLevelType w:val="multilevel"/>
    <w:tmpl w:val="237A4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0B8"/>
    <w:rsid w:val="00DF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5805">
          <w:marLeft w:val="0"/>
          <w:marRight w:val="0"/>
          <w:marTop w:val="16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1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94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35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3A3A3"/>
                            <w:right w:val="none" w:sz="0" w:space="0" w:color="auto"/>
                          </w:divBdr>
                          <w:divsChild>
                            <w:div w:id="201137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3A3A3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0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77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3" w:color="999999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37887">
          <w:marLeft w:val="0"/>
          <w:marRight w:val="0"/>
          <w:marTop w:val="16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8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5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42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3A3A3"/>
                            <w:right w:val="none" w:sz="0" w:space="0" w:color="auto"/>
                          </w:divBdr>
                          <w:divsChild>
                            <w:div w:id="186968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3A3A3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376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99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3" w:color="999999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1014">
          <w:marLeft w:val="0"/>
          <w:marRight w:val="0"/>
          <w:marTop w:val="16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9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9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93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54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3A3A3"/>
                            <w:right w:val="none" w:sz="0" w:space="0" w:color="auto"/>
                          </w:divBdr>
                          <w:divsChild>
                            <w:div w:id="1211067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3A3A3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12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087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3" w:color="999999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36091">
          <w:marLeft w:val="0"/>
          <w:marRight w:val="0"/>
          <w:marTop w:val="16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84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47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0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94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3A3A3"/>
                            <w:right w:val="none" w:sz="0" w:space="0" w:color="auto"/>
                          </w:divBdr>
                          <w:divsChild>
                            <w:div w:id="213609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3A3A3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765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882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3" w:color="999999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90028">
          <w:marLeft w:val="0"/>
          <w:marRight w:val="0"/>
          <w:marTop w:val="16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10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8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28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82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3A3A3"/>
                            <w:right w:val="none" w:sz="0" w:space="0" w:color="auto"/>
                          </w:divBdr>
                          <w:divsChild>
                            <w:div w:id="212429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3A3A3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123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543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3" w:color="999999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9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73588">
          <w:marLeft w:val="0"/>
          <w:marRight w:val="0"/>
          <w:marTop w:val="16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9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63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38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8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3A3A3"/>
                            <w:right w:val="none" w:sz="0" w:space="0" w:color="auto"/>
                          </w:divBdr>
                          <w:divsChild>
                            <w:div w:id="1897354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3A3A3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09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802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3" w:color="999999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0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95151">
          <w:marLeft w:val="0"/>
          <w:marRight w:val="0"/>
          <w:marTop w:val="16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5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8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4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41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3A3A3"/>
                            <w:right w:val="none" w:sz="0" w:space="0" w:color="auto"/>
                          </w:divBdr>
                          <w:divsChild>
                            <w:div w:id="5960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3A3A3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19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42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3" w:color="999999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21024">
          <w:marLeft w:val="0"/>
          <w:marRight w:val="0"/>
          <w:marTop w:val="16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6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11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83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53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3A3A3"/>
                            <w:right w:val="none" w:sz="0" w:space="0" w:color="auto"/>
                          </w:divBdr>
                          <w:divsChild>
                            <w:div w:id="879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3A3A3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991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31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3" w:color="999999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1552</Words>
  <Characters>8851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</dc:creator>
  <cp:lastModifiedBy>Lad</cp:lastModifiedBy>
  <cp:revision>1</cp:revision>
  <dcterms:created xsi:type="dcterms:W3CDTF">2016-05-24T13:50:00Z</dcterms:created>
  <dcterms:modified xsi:type="dcterms:W3CDTF">2016-05-24T13:56:00Z</dcterms:modified>
</cp:coreProperties>
</file>