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7CD9" w14:textId="77777777" w:rsidR="00BF31F0" w:rsidRPr="00BE3D95" w:rsidRDefault="00BF31F0" w:rsidP="00BF31F0">
      <w:pPr>
        <w:pStyle w:val="NormalWeb"/>
        <w:spacing w:line="480" w:lineRule="auto"/>
        <w:rPr>
          <w:rFonts w:ascii="Arial" w:hAnsi="Arial" w:cs="Arial"/>
          <w:b/>
          <w:sz w:val="22"/>
        </w:rPr>
      </w:pPr>
      <w:r w:rsidRPr="00BE3D95">
        <w:rPr>
          <w:rFonts w:ascii="Arial" w:hAnsi="Arial" w:cs="Arial"/>
          <w:b/>
          <w:sz w:val="22"/>
        </w:rPr>
        <w:t>Supplementary Table 1. RT-PCR primer sequences</w:t>
      </w:r>
    </w:p>
    <w:tbl>
      <w:tblPr>
        <w:tblpPr w:leftFromText="180" w:rightFromText="180" w:vertAnchor="page" w:horzAnchor="page" w:tblpX="1153" w:tblpY="23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500"/>
        <w:gridCol w:w="4230"/>
      </w:tblGrid>
      <w:tr w:rsidR="00BF31F0" w:rsidRPr="00A75714" w14:paraId="6381F4F0" w14:textId="77777777" w:rsidTr="007B370D">
        <w:trPr>
          <w:trHeight w:val="440"/>
        </w:trPr>
        <w:tc>
          <w:tcPr>
            <w:tcW w:w="1638" w:type="dxa"/>
            <w:shd w:val="clear" w:color="auto" w:fill="auto"/>
          </w:tcPr>
          <w:p w14:paraId="27B1547E" w14:textId="77777777" w:rsidR="00BF31F0" w:rsidRPr="00A75714" w:rsidRDefault="00BF31F0" w:rsidP="007B370D">
            <w:pPr>
              <w:pStyle w:val="NormalWeb"/>
              <w:spacing w:line="480" w:lineRule="auto"/>
              <w:ind w:right="666"/>
              <w:rPr>
                <w:rFonts w:ascii="Arial" w:hAnsi="Arial" w:cs="Arial"/>
                <w:sz w:val="22"/>
                <w:szCs w:val="22"/>
              </w:rPr>
            </w:pPr>
          </w:p>
        </w:tc>
        <w:tc>
          <w:tcPr>
            <w:tcW w:w="4500" w:type="dxa"/>
            <w:shd w:val="clear" w:color="auto" w:fill="auto"/>
            <w:vAlign w:val="center"/>
          </w:tcPr>
          <w:p w14:paraId="5903406F" w14:textId="77777777" w:rsidR="00BF31F0" w:rsidRPr="00A75714" w:rsidRDefault="00BF31F0" w:rsidP="007B370D">
            <w:pPr>
              <w:pStyle w:val="NormalWeb"/>
              <w:spacing w:line="480" w:lineRule="auto"/>
              <w:jc w:val="center"/>
              <w:rPr>
                <w:rFonts w:ascii="Arial" w:hAnsi="Arial" w:cs="Arial"/>
                <w:b/>
                <w:sz w:val="22"/>
                <w:szCs w:val="22"/>
              </w:rPr>
            </w:pPr>
            <w:r w:rsidRPr="00A75714">
              <w:rPr>
                <w:rFonts w:ascii="Arial" w:hAnsi="Arial" w:cs="Arial"/>
                <w:b/>
                <w:sz w:val="22"/>
                <w:szCs w:val="22"/>
              </w:rPr>
              <w:t>Forward Primer</w:t>
            </w:r>
          </w:p>
        </w:tc>
        <w:tc>
          <w:tcPr>
            <w:tcW w:w="4230" w:type="dxa"/>
            <w:shd w:val="clear" w:color="auto" w:fill="auto"/>
            <w:vAlign w:val="center"/>
          </w:tcPr>
          <w:p w14:paraId="6CCBDA48" w14:textId="77777777" w:rsidR="00BF31F0" w:rsidRPr="00A75714" w:rsidRDefault="00BF31F0" w:rsidP="007B370D">
            <w:pPr>
              <w:pStyle w:val="NormalWeb"/>
              <w:spacing w:line="480" w:lineRule="auto"/>
              <w:jc w:val="center"/>
              <w:rPr>
                <w:rFonts w:ascii="Arial" w:hAnsi="Arial" w:cs="Arial"/>
                <w:b/>
                <w:sz w:val="22"/>
                <w:szCs w:val="22"/>
              </w:rPr>
            </w:pPr>
            <w:r w:rsidRPr="00A75714">
              <w:rPr>
                <w:rFonts w:ascii="Arial" w:hAnsi="Arial" w:cs="Arial"/>
                <w:b/>
                <w:sz w:val="22"/>
                <w:szCs w:val="22"/>
              </w:rPr>
              <w:t>Reverse Primer</w:t>
            </w:r>
          </w:p>
        </w:tc>
      </w:tr>
      <w:tr w:rsidR="00BF31F0" w:rsidRPr="00A75714" w14:paraId="73491046" w14:textId="77777777" w:rsidTr="007B370D">
        <w:tc>
          <w:tcPr>
            <w:tcW w:w="1638" w:type="dxa"/>
            <w:shd w:val="clear" w:color="auto" w:fill="auto"/>
          </w:tcPr>
          <w:p w14:paraId="0B9E93E7"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Gapdh</w:t>
            </w:r>
          </w:p>
        </w:tc>
        <w:tc>
          <w:tcPr>
            <w:tcW w:w="4500" w:type="dxa"/>
            <w:shd w:val="clear" w:color="auto" w:fill="auto"/>
          </w:tcPr>
          <w:p w14:paraId="5D9CA9EE"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TGAAGCAGGCATCTGAGGG</w:t>
            </w:r>
          </w:p>
        </w:tc>
        <w:tc>
          <w:tcPr>
            <w:tcW w:w="4230" w:type="dxa"/>
            <w:shd w:val="clear" w:color="auto" w:fill="auto"/>
          </w:tcPr>
          <w:p w14:paraId="5E300552"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CGAAGGTGGAAGAGTGGGAG</w:t>
            </w:r>
          </w:p>
        </w:tc>
      </w:tr>
      <w:tr w:rsidR="00BF31F0" w:rsidRPr="00A75714" w14:paraId="120DA631" w14:textId="77777777" w:rsidTr="007B370D">
        <w:tc>
          <w:tcPr>
            <w:tcW w:w="1638" w:type="dxa"/>
            <w:shd w:val="clear" w:color="auto" w:fill="auto"/>
          </w:tcPr>
          <w:p w14:paraId="55024670"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Hsl</w:t>
            </w:r>
          </w:p>
        </w:tc>
        <w:tc>
          <w:tcPr>
            <w:tcW w:w="4500" w:type="dxa"/>
            <w:shd w:val="clear" w:color="auto" w:fill="auto"/>
          </w:tcPr>
          <w:p w14:paraId="53551E03"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GCTGGGCTGTCAAGCACTGT</w:t>
            </w:r>
          </w:p>
        </w:tc>
        <w:tc>
          <w:tcPr>
            <w:tcW w:w="4230" w:type="dxa"/>
            <w:shd w:val="clear" w:color="auto" w:fill="auto"/>
          </w:tcPr>
          <w:p w14:paraId="036D4571"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GTAACTGGGTAGGCTGCCAT</w:t>
            </w:r>
          </w:p>
        </w:tc>
      </w:tr>
      <w:tr w:rsidR="00BF31F0" w:rsidRPr="00A75714" w14:paraId="2149713C" w14:textId="77777777" w:rsidTr="007B370D">
        <w:tc>
          <w:tcPr>
            <w:tcW w:w="1638" w:type="dxa"/>
            <w:shd w:val="clear" w:color="auto" w:fill="auto"/>
          </w:tcPr>
          <w:p w14:paraId="30AD6ABC"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Atgl</w:t>
            </w:r>
          </w:p>
        </w:tc>
        <w:tc>
          <w:tcPr>
            <w:tcW w:w="4500" w:type="dxa"/>
            <w:shd w:val="clear" w:color="auto" w:fill="auto"/>
          </w:tcPr>
          <w:p w14:paraId="07E48C56"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CAACGCCACTCACATCTACGG</w:t>
            </w:r>
          </w:p>
        </w:tc>
        <w:tc>
          <w:tcPr>
            <w:tcW w:w="4230" w:type="dxa"/>
            <w:shd w:val="clear" w:color="auto" w:fill="auto"/>
          </w:tcPr>
          <w:p w14:paraId="65E87124"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TCACCAGGTTGAAGGAGGGAT</w:t>
            </w:r>
          </w:p>
        </w:tc>
      </w:tr>
      <w:tr w:rsidR="00BF31F0" w:rsidRPr="00A75714" w14:paraId="2A79CC51" w14:textId="77777777" w:rsidTr="007B370D">
        <w:tc>
          <w:tcPr>
            <w:tcW w:w="1638" w:type="dxa"/>
            <w:shd w:val="clear" w:color="auto" w:fill="auto"/>
          </w:tcPr>
          <w:p w14:paraId="1989C7A4"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Lpl</w:t>
            </w:r>
          </w:p>
        </w:tc>
        <w:tc>
          <w:tcPr>
            <w:tcW w:w="4500" w:type="dxa"/>
            <w:shd w:val="clear" w:color="auto" w:fill="auto"/>
          </w:tcPr>
          <w:p w14:paraId="55BCA4EF"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GGGAGTTTGGCTCCAGAGTTT</w:t>
            </w:r>
          </w:p>
        </w:tc>
        <w:tc>
          <w:tcPr>
            <w:tcW w:w="4230" w:type="dxa"/>
            <w:shd w:val="clear" w:color="auto" w:fill="auto"/>
          </w:tcPr>
          <w:p w14:paraId="4110542B"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TGTGTCTTCAGGGGTCCTTAG</w:t>
            </w:r>
          </w:p>
        </w:tc>
      </w:tr>
      <w:tr w:rsidR="00BF31F0" w:rsidRPr="00A75714" w14:paraId="739BD288" w14:textId="77777777" w:rsidTr="007B370D">
        <w:tc>
          <w:tcPr>
            <w:tcW w:w="1638" w:type="dxa"/>
            <w:shd w:val="clear" w:color="auto" w:fill="auto"/>
          </w:tcPr>
          <w:p w14:paraId="1D9FF8F9"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Fasn</w:t>
            </w:r>
          </w:p>
        </w:tc>
        <w:tc>
          <w:tcPr>
            <w:tcW w:w="4500" w:type="dxa"/>
            <w:shd w:val="clear" w:color="auto" w:fill="auto"/>
          </w:tcPr>
          <w:p w14:paraId="1D1F2F1E"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GGAGGTGGTGATAGCCGGTAT</w:t>
            </w:r>
          </w:p>
        </w:tc>
        <w:tc>
          <w:tcPr>
            <w:tcW w:w="4230" w:type="dxa"/>
            <w:shd w:val="clear" w:color="auto" w:fill="auto"/>
          </w:tcPr>
          <w:p w14:paraId="505F5063"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TGGGTAATCCATAGAGCCCAG</w:t>
            </w:r>
          </w:p>
        </w:tc>
      </w:tr>
      <w:tr w:rsidR="00BF31F0" w:rsidRPr="00A75714" w14:paraId="567A1A20" w14:textId="77777777" w:rsidTr="007B370D">
        <w:tc>
          <w:tcPr>
            <w:tcW w:w="1638" w:type="dxa"/>
            <w:shd w:val="clear" w:color="auto" w:fill="auto"/>
          </w:tcPr>
          <w:p w14:paraId="3BE8B32D"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Acsl1</w:t>
            </w:r>
          </w:p>
        </w:tc>
        <w:tc>
          <w:tcPr>
            <w:tcW w:w="4500" w:type="dxa"/>
            <w:shd w:val="clear" w:color="auto" w:fill="auto"/>
          </w:tcPr>
          <w:p w14:paraId="692EA448"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TGCCAGAGCTGATTGACATTC</w:t>
            </w:r>
          </w:p>
        </w:tc>
        <w:tc>
          <w:tcPr>
            <w:tcW w:w="4230" w:type="dxa"/>
            <w:shd w:val="clear" w:color="auto" w:fill="auto"/>
          </w:tcPr>
          <w:p w14:paraId="3D613D51"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GGCATACCAGAAGGTGGTGAG</w:t>
            </w:r>
          </w:p>
        </w:tc>
      </w:tr>
      <w:tr w:rsidR="00BF31F0" w:rsidRPr="00A75714" w14:paraId="782A9E6F" w14:textId="77777777" w:rsidTr="007B370D">
        <w:tc>
          <w:tcPr>
            <w:tcW w:w="1638" w:type="dxa"/>
            <w:shd w:val="clear" w:color="auto" w:fill="auto"/>
          </w:tcPr>
          <w:p w14:paraId="25492554"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Pgc1a</w:t>
            </w:r>
          </w:p>
        </w:tc>
        <w:tc>
          <w:tcPr>
            <w:tcW w:w="4500" w:type="dxa"/>
            <w:shd w:val="clear" w:color="auto" w:fill="auto"/>
          </w:tcPr>
          <w:p w14:paraId="0229C9FB"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TATGGAGTGACATAGAGTGTGCT</w:t>
            </w:r>
          </w:p>
        </w:tc>
        <w:tc>
          <w:tcPr>
            <w:tcW w:w="4230" w:type="dxa"/>
            <w:shd w:val="clear" w:color="auto" w:fill="auto"/>
          </w:tcPr>
          <w:p w14:paraId="18365A15"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CCACTTCAATCCACCCAGAAAG</w:t>
            </w:r>
          </w:p>
        </w:tc>
      </w:tr>
      <w:tr w:rsidR="00BF31F0" w:rsidRPr="00A75714" w14:paraId="62CB6214" w14:textId="77777777" w:rsidTr="007B370D">
        <w:tc>
          <w:tcPr>
            <w:tcW w:w="1638" w:type="dxa"/>
            <w:shd w:val="clear" w:color="auto" w:fill="auto"/>
          </w:tcPr>
          <w:p w14:paraId="160D121F"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Pparg</w:t>
            </w:r>
          </w:p>
        </w:tc>
        <w:tc>
          <w:tcPr>
            <w:tcW w:w="4500" w:type="dxa"/>
            <w:shd w:val="clear" w:color="auto" w:fill="auto"/>
          </w:tcPr>
          <w:p w14:paraId="0E7CE43D"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GGAAGACCACTCGCATTCCTT</w:t>
            </w:r>
          </w:p>
        </w:tc>
        <w:tc>
          <w:tcPr>
            <w:tcW w:w="4230" w:type="dxa"/>
            <w:shd w:val="clear" w:color="auto" w:fill="auto"/>
          </w:tcPr>
          <w:p w14:paraId="684CBBBE"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TCGCACTTTGGTATTCTTGGAG</w:t>
            </w:r>
          </w:p>
        </w:tc>
      </w:tr>
      <w:tr w:rsidR="00BF31F0" w:rsidRPr="00A75714" w14:paraId="140EBFCB" w14:textId="77777777" w:rsidTr="007B370D">
        <w:tc>
          <w:tcPr>
            <w:tcW w:w="1638" w:type="dxa"/>
            <w:shd w:val="clear" w:color="auto" w:fill="auto"/>
          </w:tcPr>
          <w:p w14:paraId="2F7E9559"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Glut4</w:t>
            </w:r>
          </w:p>
        </w:tc>
        <w:tc>
          <w:tcPr>
            <w:tcW w:w="4500" w:type="dxa"/>
            <w:shd w:val="clear" w:color="auto" w:fill="auto"/>
          </w:tcPr>
          <w:p w14:paraId="26344961"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GTGACTGGAACACTGGTCCTA</w:t>
            </w:r>
          </w:p>
        </w:tc>
        <w:tc>
          <w:tcPr>
            <w:tcW w:w="4230" w:type="dxa"/>
            <w:shd w:val="clear" w:color="auto" w:fill="auto"/>
          </w:tcPr>
          <w:p w14:paraId="3EEFE41B"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CCAGCCACGTTGCATTGTAG</w:t>
            </w:r>
          </w:p>
        </w:tc>
      </w:tr>
      <w:tr w:rsidR="00BF31F0" w:rsidRPr="00A75714" w14:paraId="2450A57B" w14:textId="77777777" w:rsidTr="007B370D">
        <w:tc>
          <w:tcPr>
            <w:tcW w:w="1638" w:type="dxa"/>
            <w:shd w:val="clear" w:color="auto" w:fill="auto"/>
          </w:tcPr>
          <w:p w14:paraId="14E09C60"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Il6</w:t>
            </w:r>
          </w:p>
        </w:tc>
        <w:tc>
          <w:tcPr>
            <w:tcW w:w="4500" w:type="dxa"/>
            <w:shd w:val="clear" w:color="auto" w:fill="auto"/>
          </w:tcPr>
          <w:p w14:paraId="07DBC93F"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TAGTCCTTCCTACCCCAATTTCC</w:t>
            </w:r>
          </w:p>
        </w:tc>
        <w:tc>
          <w:tcPr>
            <w:tcW w:w="4230" w:type="dxa"/>
            <w:shd w:val="clear" w:color="auto" w:fill="auto"/>
          </w:tcPr>
          <w:p w14:paraId="15C43C79"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AAGGAACCCTTAGAGTGCTTACT</w:t>
            </w:r>
          </w:p>
        </w:tc>
      </w:tr>
      <w:tr w:rsidR="00BF31F0" w:rsidRPr="00A75714" w14:paraId="6A69313E" w14:textId="77777777" w:rsidTr="007B370D">
        <w:tc>
          <w:tcPr>
            <w:tcW w:w="1638" w:type="dxa"/>
            <w:shd w:val="clear" w:color="auto" w:fill="auto"/>
          </w:tcPr>
          <w:p w14:paraId="44E92A03"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Arg1</w:t>
            </w:r>
          </w:p>
        </w:tc>
        <w:tc>
          <w:tcPr>
            <w:tcW w:w="4500" w:type="dxa"/>
            <w:shd w:val="clear" w:color="auto" w:fill="auto"/>
          </w:tcPr>
          <w:p w14:paraId="3FFD961F"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CTCCAAGCCAAAGTCCTTAGAG</w:t>
            </w:r>
          </w:p>
        </w:tc>
        <w:tc>
          <w:tcPr>
            <w:tcW w:w="4230" w:type="dxa"/>
            <w:shd w:val="clear" w:color="auto" w:fill="auto"/>
          </w:tcPr>
          <w:p w14:paraId="7E7505B7"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AGGAGCTGTCATTAGGGACATC</w:t>
            </w:r>
          </w:p>
        </w:tc>
      </w:tr>
      <w:tr w:rsidR="00BF31F0" w:rsidRPr="00A75714" w14:paraId="0471BC86" w14:textId="77777777" w:rsidTr="007B370D">
        <w:tc>
          <w:tcPr>
            <w:tcW w:w="1638" w:type="dxa"/>
            <w:shd w:val="clear" w:color="auto" w:fill="auto"/>
          </w:tcPr>
          <w:p w14:paraId="609309CA"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Mcp1</w:t>
            </w:r>
          </w:p>
        </w:tc>
        <w:tc>
          <w:tcPr>
            <w:tcW w:w="4500" w:type="dxa"/>
            <w:shd w:val="clear" w:color="auto" w:fill="auto"/>
          </w:tcPr>
          <w:p w14:paraId="03EB644D"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TTAAAAACCTGGATCGGAACCAA</w:t>
            </w:r>
          </w:p>
        </w:tc>
        <w:tc>
          <w:tcPr>
            <w:tcW w:w="4230" w:type="dxa"/>
            <w:shd w:val="clear" w:color="auto" w:fill="auto"/>
          </w:tcPr>
          <w:p w14:paraId="7873903F"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GCATTAGCTTCAGATTTACGGGT</w:t>
            </w:r>
          </w:p>
        </w:tc>
      </w:tr>
      <w:tr w:rsidR="00BF31F0" w:rsidRPr="00A75714" w14:paraId="4E88825F" w14:textId="77777777" w:rsidTr="007B370D">
        <w:tc>
          <w:tcPr>
            <w:tcW w:w="1638" w:type="dxa"/>
            <w:shd w:val="clear" w:color="auto" w:fill="auto"/>
          </w:tcPr>
          <w:p w14:paraId="1A5A0912"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Mgl1</w:t>
            </w:r>
          </w:p>
        </w:tc>
        <w:tc>
          <w:tcPr>
            <w:tcW w:w="4500" w:type="dxa"/>
            <w:shd w:val="clear" w:color="auto" w:fill="auto"/>
          </w:tcPr>
          <w:p w14:paraId="0B1AA759"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TGAGAAAGGCTTTAAGAACTGGG</w:t>
            </w:r>
          </w:p>
        </w:tc>
        <w:tc>
          <w:tcPr>
            <w:tcW w:w="4230" w:type="dxa"/>
            <w:shd w:val="clear" w:color="auto" w:fill="auto"/>
          </w:tcPr>
          <w:p w14:paraId="1892B077" w14:textId="77777777" w:rsidR="00BF31F0" w:rsidRPr="00A75714" w:rsidRDefault="00BF31F0" w:rsidP="007B370D">
            <w:pPr>
              <w:pStyle w:val="NormalWeb"/>
              <w:spacing w:line="480" w:lineRule="auto"/>
              <w:rPr>
                <w:rFonts w:ascii="Arial" w:hAnsi="Arial" w:cs="Arial"/>
                <w:sz w:val="22"/>
                <w:szCs w:val="22"/>
              </w:rPr>
            </w:pPr>
            <w:r w:rsidRPr="00A75714">
              <w:rPr>
                <w:rFonts w:ascii="Arial" w:hAnsi="Arial" w:cs="Arial"/>
                <w:sz w:val="22"/>
                <w:szCs w:val="22"/>
              </w:rPr>
              <w:t>GACCACCTGTAGTGATGTGGG</w:t>
            </w:r>
          </w:p>
        </w:tc>
      </w:tr>
      <w:tr w:rsidR="00BF31F0" w:rsidRPr="00A75714" w14:paraId="667C3411" w14:textId="77777777" w:rsidTr="007B370D">
        <w:tc>
          <w:tcPr>
            <w:tcW w:w="1638" w:type="dxa"/>
            <w:shd w:val="clear" w:color="auto" w:fill="auto"/>
          </w:tcPr>
          <w:p w14:paraId="65FE58BE"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Fads1</w:t>
            </w:r>
          </w:p>
        </w:tc>
        <w:tc>
          <w:tcPr>
            <w:tcW w:w="4500" w:type="dxa"/>
            <w:shd w:val="clear" w:color="auto" w:fill="auto"/>
          </w:tcPr>
          <w:p w14:paraId="699F4FE1" w14:textId="77777777" w:rsidR="00BF31F0" w:rsidRPr="00A75714" w:rsidRDefault="00BF31F0" w:rsidP="007B370D">
            <w:pPr>
              <w:pStyle w:val="NormalWeb"/>
              <w:spacing w:line="480" w:lineRule="auto"/>
              <w:rPr>
                <w:rFonts w:ascii="Arial" w:hAnsi="Arial" w:cs="Arial"/>
                <w:color w:val="000000"/>
                <w:sz w:val="22"/>
                <w:szCs w:val="22"/>
              </w:rPr>
            </w:pPr>
            <w:r w:rsidRPr="00A75714">
              <w:rPr>
                <w:rFonts w:ascii="Arial" w:eastAsia="Times New Roman" w:hAnsi="Arial" w:cs="Arial"/>
                <w:color w:val="000000"/>
                <w:sz w:val="22"/>
                <w:szCs w:val="22"/>
                <w:shd w:val="clear" w:color="auto" w:fill="FFFFFF"/>
              </w:rPr>
              <w:t>CCAGCTTTGAACCCACCAA</w:t>
            </w:r>
          </w:p>
        </w:tc>
        <w:tc>
          <w:tcPr>
            <w:tcW w:w="4230" w:type="dxa"/>
            <w:shd w:val="clear" w:color="auto" w:fill="auto"/>
          </w:tcPr>
          <w:p w14:paraId="1FC8694B" w14:textId="77777777" w:rsidR="00BF31F0" w:rsidRPr="00A75714" w:rsidRDefault="00BF31F0" w:rsidP="007B370D">
            <w:pPr>
              <w:pStyle w:val="NormalWeb"/>
              <w:spacing w:line="480" w:lineRule="auto"/>
              <w:rPr>
                <w:rFonts w:ascii="Arial" w:hAnsi="Arial" w:cs="Arial"/>
                <w:sz w:val="22"/>
                <w:szCs w:val="22"/>
              </w:rPr>
            </w:pPr>
            <w:r w:rsidRPr="00A75714">
              <w:rPr>
                <w:rFonts w:ascii="Arial" w:eastAsia="Times New Roman" w:hAnsi="Arial" w:cs="Arial"/>
                <w:color w:val="000000"/>
                <w:sz w:val="22"/>
                <w:szCs w:val="22"/>
                <w:shd w:val="clear" w:color="auto" w:fill="FFFFFF"/>
              </w:rPr>
              <w:t>CATGAGGCCCATTCGCTCTA</w:t>
            </w:r>
          </w:p>
        </w:tc>
      </w:tr>
      <w:tr w:rsidR="00BF31F0" w:rsidRPr="00A75714" w14:paraId="2074322E" w14:textId="77777777" w:rsidTr="007B370D">
        <w:tc>
          <w:tcPr>
            <w:tcW w:w="1638" w:type="dxa"/>
            <w:shd w:val="clear" w:color="auto" w:fill="auto"/>
          </w:tcPr>
          <w:p w14:paraId="45E65780" w14:textId="77777777" w:rsidR="00BF31F0" w:rsidRPr="00A75714" w:rsidRDefault="00BF31F0" w:rsidP="007B370D">
            <w:pPr>
              <w:pStyle w:val="NormalWeb"/>
              <w:spacing w:line="480" w:lineRule="auto"/>
              <w:ind w:right="666"/>
              <w:rPr>
                <w:rFonts w:ascii="Arial" w:hAnsi="Arial" w:cs="Arial"/>
                <w:i/>
                <w:sz w:val="22"/>
                <w:szCs w:val="22"/>
              </w:rPr>
            </w:pPr>
            <w:r w:rsidRPr="00A75714">
              <w:rPr>
                <w:rFonts w:ascii="Arial" w:hAnsi="Arial" w:cs="Arial"/>
                <w:i/>
                <w:sz w:val="22"/>
                <w:szCs w:val="22"/>
              </w:rPr>
              <w:t>Fads2</w:t>
            </w:r>
          </w:p>
        </w:tc>
        <w:tc>
          <w:tcPr>
            <w:tcW w:w="4500" w:type="dxa"/>
            <w:shd w:val="clear" w:color="auto" w:fill="auto"/>
          </w:tcPr>
          <w:p w14:paraId="30B7B5D9" w14:textId="77777777" w:rsidR="00BF31F0" w:rsidRPr="00A75714" w:rsidRDefault="00BF31F0" w:rsidP="007B370D">
            <w:pPr>
              <w:pStyle w:val="NormalWeb"/>
              <w:spacing w:line="480" w:lineRule="auto"/>
              <w:rPr>
                <w:rFonts w:ascii="Arial" w:hAnsi="Arial" w:cs="Arial"/>
                <w:color w:val="000000"/>
                <w:sz w:val="22"/>
                <w:szCs w:val="22"/>
              </w:rPr>
            </w:pPr>
            <w:r w:rsidRPr="00A75714">
              <w:rPr>
                <w:rFonts w:ascii="Arial" w:hAnsi="Arial" w:cs="Arial"/>
                <w:color w:val="000000"/>
                <w:sz w:val="22"/>
                <w:szCs w:val="22"/>
              </w:rPr>
              <w:t>TCAAAACCAACCACCTGTTCTTC</w:t>
            </w:r>
          </w:p>
        </w:tc>
        <w:tc>
          <w:tcPr>
            <w:tcW w:w="4230" w:type="dxa"/>
            <w:shd w:val="clear" w:color="auto" w:fill="auto"/>
          </w:tcPr>
          <w:p w14:paraId="12C81256" w14:textId="77777777" w:rsidR="00BF31F0" w:rsidRPr="00A75714" w:rsidRDefault="00BF31F0" w:rsidP="007B370D">
            <w:pPr>
              <w:pStyle w:val="NormalWeb"/>
              <w:spacing w:line="480" w:lineRule="auto"/>
              <w:rPr>
                <w:rFonts w:ascii="Arial" w:hAnsi="Arial" w:cs="Arial"/>
                <w:sz w:val="22"/>
                <w:szCs w:val="22"/>
              </w:rPr>
            </w:pPr>
            <w:r w:rsidRPr="00A75714">
              <w:rPr>
                <w:rFonts w:ascii="Arial" w:eastAsia="Times New Roman" w:hAnsi="Arial" w:cs="Arial"/>
                <w:color w:val="000000"/>
                <w:sz w:val="22"/>
                <w:szCs w:val="22"/>
                <w:shd w:val="clear" w:color="auto" w:fill="FFFFFF"/>
              </w:rPr>
              <w:t>ACACTCTATCACTGGCATCC</w:t>
            </w:r>
          </w:p>
        </w:tc>
      </w:tr>
    </w:tbl>
    <w:p w14:paraId="24B5C662" w14:textId="77777777" w:rsidR="00BF31F0" w:rsidRPr="00BE3D95" w:rsidRDefault="00BF31F0" w:rsidP="00BF31F0">
      <w:pPr>
        <w:pStyle w:val="NormalWeb"/>
        <w:spacing w:line="480" w:lineRule="auto"/>
        <w:rPr>
          <w:rFonts w:ascii="Arial" w:hAnsi="Arial" w:cs="Arial"/>
          <w:b/>
          <w:sz w:val="22"/>
          <w:szCs w:val="22"/>
        </w:rPr>
      </w:pPr>
    </w:p>
    <w:p w14:paraId="772B150E" w14:textId="77777777" w:rsidR="00BF31F0" w:rsidRDefault="00BF31F0" w:rsidP="00BF31F0">
      <w:pPr>
        <w:spacing w:line="480" w:lineRule="auto"/>
        <w:rPr>
          <w:rFonts w:ascii="Arial" w:hAnsi="Arial" w:cs="Arial"/>
          <w:b/>
          <w:sz w:val="22"/>
          <w:szCs w:val="22"/>
        </w:rPr>
      </w:pPr>
    </w:p>
    <w:p w14:paraId="4AD3B545" w14:textId="77777777" w:rsidR="00BF31F0" w:rsidRPr="00BE3D95" w:rsidRDefault="00BF31F0" w:rsidP="00BF31F0">
      <w:pPr>
        <w:spacing w:line="480" w:lineRule="auto"/>
        <w:rPr>
          <w:rFonts w:ascii="Arial" w:hAnsi="Arial" w:cs="Arial"/>
          <w:b/>
          <w:sz w:val="22"/>
          <w:szCs w:val="22"/>
        </w:rPr>
      </w:pPr>
      <w:r w:rsidRPr="00BE3D95">
        <w:rPr>
          <w:rFonts w:ascii="Arial" w:hAnsi="Arial" w:cs="Arial"/>
          <w:b/>
          <w:sz w:val="22"/>
          <w:szCs w:val="22"/>
        </w:rPr>
        <w:t>Supplementary Figure 1.</w:t>
      </w:r>
      <w:r w:rsidRPr="00BE3D95">
        <w:rPr>
          <w:rFonts w:ascii="Arial" w:hAnsi="Arial" w:cs="Arial"/>
          <w:sz w:val="22"/>
          <w:szCs w:val="22"/>
        </w:rPr>
        <w:t xml:space="preserve"> </w:t>
      </w:r>
      <w:r w:rsidRPr="00BE3D95">
        <w:rPr>
          <w:rFonts w:ascii="Arial" w:hAnsi="Arial" w:cs="Arial"/>
          <w:b/>
          <w:bCs/>
          <w:sz w:val="22"/>
          <w:szCs w:val="22"/>
        </w:rPr>
        <w:t>Tissue weights in response to HFD feeding and CL treatment.</w:t>
      </w:r>
      <w:r w:rsidRPr="00BE3D95">
        <w:rPr>
          <w:rFonts w:ascii="Arial" w:hAnsi="Arial" w:cs="Arial"/>
          <w:sz w:val="22"/>
          <w:szCs w:val="22"/>
        </w:rPr>
        <w:t xml:space="preserve"> (A) GWAT weight as % of body weight (B) IWAT weight as % of body weight (C) BAT weight as % of body weight (D) Liver weight as % of body weight. N=7-12 /group; *p&lt;0.05, **p&lt;0.01, ***p&lt;0.005, ****p&lt;0.0001; error bars are SEM. Comparisons of M ND PBS vs F ND PBS are </w:t>
      </w:r>
      <w:r w:rsidRPr="00BE3D95">
        <w:rPr>
          <w:rFonts w:ascii="Arial" w:hAnsi="Arial" w:cs="Arial"/>
          <w:sz w:val="22"/>
          <w:szCs w:val="22"/>
        </w:rPr>
        <w:lastRenderedPageBreak/>
        <w:t xml:space="preserve">shown as </w:t>
      </w:r>
      <w:r w:rsidRPr="00BE3D95">
        <w:rPr>
          <w:rFonts w:ascii="Arial" w:hAnsi="Arial" w:cs="Arial"/>
          <w:sz w:val="22"/>
          <w:szCs w:val="22"/>
          <w:vertAlign w:val="superscript"/>
        </w:rPr>
        <w:t>#</w:t>
      </w:r>
      <w:r w:rsidRPr="00BE3D95">
        <w:rPr>
          <w:rFonts w:ascii="Arial" w:hAnsi="Arial" w:cs="Arial"/>
          <w:sz w:val="22"/>
          <w:szCs w:val="22"/>
        </w:rPr>
        <w:t xml:space="preserve">p&lt;0.05, </w:t>
      </w:r>
      <w:r w:rsidRPr="00BE3D95">
        <w:rPr>
          <w:rFonts w:ascii="Arial" w:hAnsi="Arial" w:cs="Arial"/>
          <w:sz w:val="22"/>
          <w:szCs w:val="22"/>
          <w:vertAlign w:val="superscript"/>
        </w:rPr>
        <w:t>##</w:t>
      </w:r>
      <w:r w:rsidRPr="00BE3D95">
        <w:rPr>
          <w:rFonts w:ascii="Arial" w:hAnsi="Arial" w:cs="Arial"/>
          <w:sz w:val="22"/>
          <w:szCs w:val="22"/>
        </w:rPr>
        <w:t xml:space="preserve">p&lt;0.01, </w:t>
      </w:r>
      <w:r w:rsidRPr="00BE3D95">
        <w:rPr>
          <w:rFonts w:ascii="Arial" w:hAnsi="Arial" w:cs="Arial"/>
          <w:sz w:val="22"/>
          <w:szCs w:val="22"/>
          <w:vertAlign w:val="superscript"/>
        </w:rPr>
        <w:t>###</w:t>
      </w:r>
      <w:r w:rsidRPr="00BE3D95">
        <w:rPr>
          <w:rFonts w:ascii="Arial" w:hAnsi="Arial" w:cs="Arial"/>
          <w:sz w:val="22"/>
          <w:szCs w:val="22"/>
        </w:rPr>
        <w:t xml:space="preserve">p&lt;0.005 and M HFD PBS vs F HFD PBS are shown as </w:t>
      </w:r>
      <w:r w:rsidRPr="00BE3D95">
        <w:rPr>
          <w:rFonts w:ascii="Arial" w:hAnsi="Arial" w:cs="Arial"/>
          <w:sz w:val="22"/>
          <w:szCs w:val="22"/>
          <w:vertAlign w:val="superscript"/>
        </w:rPr>
        <w:t>&amp;</w:t>
      </w:r>
      <w:r w:rsidRPr="00BE3D95">
        <w:rPr>
          <w:rFonts w:ascii="Arial" w:hAnsi="Arial" w:cs="Arial"/>
          <w:sz w:val="22"/>
          <w:szCs w:val="22"/>
        </w:rPr>
        <w:t xml:space="preserve">p&lt;0.05, </w:t>
      </w:r>
      <w:r w:rsidRPr="00BE3D95">
        <w:rPr>
          <w:rFonts w:ascii="Arial" w:hAnsi="Arial" w:cs="Arial"/>
          <w:sz w:val="22"/>
          <w:szCs w:val="22"/>
          <w:vertAlign w:val="superscript"/>
        </w:rPr>
        <w:t>&amp;&amp;</w:t>
      </w:r>
      <w:r w:rsidRPr="00BE3D95">
        <w:rPr>
          <w:rFonts w:ascii="Arial" w:hAnsi="Arial" w:cs="Arial"/>
          <w:sz w:val="22"/>
          <w:szCs w:val="22"/>
        </w:rPr>
        <w:t xml:space="preserve">p&lt;0.01, </w:t>
      </w:r>
      <w:r w:rsidRPr="00BE3D95">
        <w:rPr>
          <w:rFonts w:ascii="Arial" w:hAnsi="Arial" w:cs="Arial"/>
          <w:sz w:val="22"/>
          <w:szCs w:val="22"/>
          <w:vertAlign w:val="superscript"/>
        </w:rPr>
        <w:t>&amp;&amp;&amp;</w:t>
      </w:r>
      <w:r w:rsidRPr="00BE3D95">
        <w:rPr>
          <w:rFonts w:ascii="Arial" w:hAnsi="Arial" w:cs="Arial"/>
          <w:sz w:val="22"/>
          <w:szCs w:val="22"/>
        </w:rPr>
        <w:t xml:space="preserve">p&lt;0.005, </w:t>
      </w:r>
      <w:r w:rsidRPr="00BE3D95">
        <w:rPr>
          <w:rFonts w:ascii="Arial" w:hAnsi="Arial" w:cs="Arial"/>
          <w:sz w:val="22"/>
          <w:szCs w:val="22"/>
          <w:vertAlign w:val="superscript"/>
        </w:rPr>
        <w:t>&amp;&amp;&amp;&amp;</w:t>
      </w:r>
      <w:r w:rsidRPr="00BE3D95">
        <w:rPr>
          <w:rFonts w:ascii="Arial" w:hAnsi="Arial" w:cs="Arial"/>
          <w:sz w:val="22"/>
          <w:szCs w:val="22"/>
        </w:rPr>
        <w:t>p&lt;0.0001.</w:t>
      </w:r>
    </w:p>
    <w:p w14:paraId="36DDE338" w14:textId="77777777" w:rsidR="00BF31F0" w:rsidRDefault="00BF31F0" w:rsidP="00BF31F0">
      <w:pPr>
        <w:spacing w:line="480" w:lineRule="auto"/>
        <w:rPr>
          <w:rFonts w:ascii="Arial" w:hAnsi="Arial" w:cs="Arial"/>
          <w:b/>
          <w:sz w:val="22"/>
          <w:szCs w:val="22"/>
        </w:rPr>
      </w:pPr>
    </w:p>
    <w:p w14:paraId="7962BC4C" w14:textId="77777777" w:rsidR="00BF31F0" w:rsidRPr="00BE3D95" w:rsidRDefault="00BF31F0" w:rsidP="00BF31F0">
      <w:pPr>
        <w:spacing w:line="480" w:lineRule="auto"/>
        <w:rPr>
          <w:rFonts w:ascii="Arial" w:hAnsi="Arial" w:cs="Arial"/>
          <w:sz w:val="22"/>
          <w:szCs w:val="22"/>
        </w:rPr>
      </w:pPr>
      <w:r w:rsidRPr="00BE3D95">
        <w:rPr>
          <w:rFonts w:ascii="Arial" w:hAnsi="Arial" w:cs="Arial"/>
          <w:b/>
          <w:sz w:val="22"/>
          <w:szCs w:val="22"/>
        </w:rPr>
        <w:t>Supplementary Figure 2.</w:t>
      </w:r>
      <w:r w:rsidRPr="00BE3D95">
        <w:rPr>
          <w:rFonts w:ascii="Arial" w:hAnsi="Arial" w:cs="Arial"/>
          <w:sz w:val="22"/>
          <w:szCs w:val="22"/>
        </w:rPr>
        <w:t xml:space="preserve">  </w:t>
      </w:r>
      <w:r w:rsidRPr="00BE3D95">
        <w:rPr>
          <w:rFonts w:ascii="Arial" w:hAnsi="Arial" w:cs="Arial"/>
          <w:b/>
          <w:sz w:val="22"/>
          <w:szCs w:val="22"/>
        </w:rPr>
        <w:t xml:space="preserve">Free glycerol estimation </w:t>
      </w:r>
      <w:r w:rsidRPr="00BE3D95">
        <w:rPr>
          <w:rFonts w:ascii="Arial" w:hAnsi="Arial" w:cs="Arial"/>
          <w:b/>
          <w:bCs/>
          <w:sz w:val="22"/>
          <w:szCs w:val="22"/>
        </w:rPr>
        <w:t xml:space="preserve">in lean and obese male and female WAT and BAT depot explants with ADRB3 stimulated lipolysis. </w:t>
      </w:r>
      <w:r w:rsidRPr="00BE3D95">
        <w:rPr>
          <w:rFonts w:ascii="Arial" w:hAnsi="Arial" w:cs="Arial"/>
          <w:bCs/>
          <w:sz w:val="22"/>
          <w:szCs w:val="22"/>
        </w:rPr>
        <w:t xml:space="preserve">Free glycerol estimation in lean and obese (A) GWAT (B) IWAT (C) BAT explant tissues. Free glycerol released calculated as fold change over basal conditions in lean and obese (D) GWAT (E) IWAT (F) BAT explant tissues. </w:t>
      </w:r>
      <w:r w:rsidRPr="00BE3D95">
        <w:rPr>
          <w:rFonts w:ascii="Arial" w:hAnsi="Arial" w:cs="Arial"/>
          <w:sz w:val="22"/>
          <w:szCs w:val="22"/>
        </w:rPr>
        <w:t xml:space="preserve">N=8 /group; *p&lt;0.05, **p&lt;0.01, ***p&lt;0.005, ****p&lt;0.0001; error bars are SEM. Comparisons of M ND PBS vs F ND PBS are shown as </w:t>
      </w:r>
      <w:r w:rsidRPr="00BE3D95">
        <w:rPr>
          <w:rFonts w:ascii="Arial" w:hAnsi="Arial" w:cs="Arial"/>
          <w:sz w:val="22"/>
          <w:szCs w:val="22"/>
          <w:vertAlign w:val="superscript"/>
        </w:rPr>
        <w:t>#</w:t>
      </w:r>
      <w:r w:rsidRPr="00BE3D95">
        <w:rPr>
          <w:rFonts w:ascii="Arial" w:hAnsi="Arial" w:cs="Arial"/>
          <w:sz w:val="22"/>
          <w:szCs w:val="22"/>
        </w:rPr>
        <w:t xml:space="preserve">p&lt;0.05, </w:t>
      </w:r>
      <w:r w:rsidRPr="00BE3D95">
        <w:rPr>
          <w:rFonts w:ascii="Arial" w:hAnsi="Arial" w:cs="Arial"/>
          <w:sz w:val="22"/>
          <w:szCs w:val="22"/>
          <w:vertAlign w:val="superscript"/>
        </w:rPr>
        <w:t>##</w:t>
      </w:r>
      <w:r w:rsidRPr="00BE3D95">
        <w:rPr>
          <w:rFonts w:ascii="Arial" w:hAnsi="Arial" w:cs="Arial"/>
          <w:sz w:val="22"/>
          <w:szCs w:val="22"/>
        </w:rPr>
        <w:t xml:space="preserve">p&lt;0.01, </w:t>
      </w:r>
      <w:r w:rsidRPr="00BE3D95">
        <w:rPr>
          <w:rFonts w:ascii="Arial" w:hAnsi="Arial" w:cs="Arial"/>
          <w:sz w:val="22"/>
          <w:szCs w:val="22"/>
          <w:vertAlign w:val="superscript"/>
        </w:rPr>
        <w:t>###</w:t>
      </w:r>
      <w:r w:rsidRPr="00BE3D95">
        <w:rPr>
          <w:rFonts w:ascii="Arial" w:hAnsi="Arial" w:cs="Arial"/>
          <w:sz w:val="22"/>
          <w:szCs w:val="22"/>
        </w:rPr>
        <w:t xml:space="preserve">p&lt;0.005 and M HFD PBS vs F HFD PBS are shown as </w:t>
      </w:r>
      <w:r w:rsidRPr="00BE3D95">
        <w:rPr>
          <w:rFonts w:ascii="Arial" w:hAnsi="Arial" w:cs="Arial"/>
          <w:sz w:val="22"/>
          <w:szCs w:val="22"/>
          <w:vertAlign w:val="superscript"/>
        </w:rPr>
        <w:t>&amp;</w:t>
      </w:r>
      <w:r w:rsidRPr="00BE3D95">
        <w:rPr>
          <w:rFonts w:ascii="Arial" w:hAnsi="Arial" w:cs="Arial"/>
          <w:sz w:val="22"/>
          <w:szCs w:val="22"/>
        </w:rPr>
        <w:t xml:space="preserve">p&lt;0.05, </w:t>
      </w:r>
      <w:r w:rsidRPr="00BE3D95">
        <w:rPr>
          <w:rFonts w:ascii="Arial" w:hAnsi="Arial" w:cs="Arial"/>
          <w:sz w:val="22"/>
          <w:szCs w:val="22"/>
          <w:vertAlign w:val="superscript"/>
        </w:rPr>
        <w:t>&amp;&amp;</w:t>
      </w:r>
      <w:r w:rsidRPr="00BE3D95">
        <w:rPr>
          <w:rFonts w:ascii="Arial" w:hAnsi="Arial" w:cs="Arial"/>
          <w:sz w:val="22"/>
          <w:szCs w:val="22"/>
        </w:rPr>
        <w:t xml:space="preserve">p&lt;0.01, </w:t>
      </w:r>
      <w:r w:rsidRPr="00BE3D95">
        <w:rPr>
          <w:rFonts w:ascii="Arial" w:hAnsi="Arial" w:cs="Arial"/>
          <w:sz w:val="22"/>
          <w:szCs w:val="22"/>
          <w:vertAlign w:val="superscript"/>
        </w:rPr>
        <w:t>&amp;&amp;&amp;</w:t>
      </w:r>
      <w:r w:rsidRPr="00BE3D95">
        <w:rPr>
          <w:rFonts w:ascii="Arial" w:hAnsi="Arial" w:cs="Arial"/>
          <w:sz w:val="22"/>
          <w:szCs w:val="22"/>
        </w:rPr>
        <w:t xml:space="preserve">p&lt;0.005, </w:t>
      </w:r>
      <w:r w:rsidRPr="00BE3D95">
        <w:rPr>
          <w:rFonts w:ascii="Arial" w:hAnsi="Arial" w:cs="Arial"/>
          <w:sz w:val="22"/>
          <w:szCs w:val="22"/>
          <w:vertAlign w:val="superscript"/>
        </w:rPr>
        <w:t>&amp;&amp;&amp;&amp;</w:t>
      </w:r>
      <w:r w:rsidRPr="00BE3D95">
        <w:rPr>
          <w:rFonts w:ascii="Arial" w:hAnsi="Arial" w:cs="Arial"/>
          <w:sz w:val="22"/>
          <w:szCs w:val="22"/>
        </w:rPr>
        <w:t>p&lt;0.0001.</w:t>
      </w:r>
    </w:p>
    <w:p w14:paraId="5BDEB175" w14:textId="77777777" w:rsidR="00BF31F0" w:rsidRPr="00BE3D95" w:rsidRDefault="00BF31F0" w:rsidP="00BF31F0">
      <w:pPr>
        <w:spacing w:line="480" w:lineRule="auto"/>
        <w:rPr>
          <w:rFonts w:ascii="Arial" w:hAnsi="Arial" w:cs="Arial"/>
          <w:sz w:val="22"/>
          <w:szCs w:val="22"/>
        </w:rPr>
      </w:pPr>
    </w:p>
    <w:p w14:paraId="094ACD78" w14:textId="77777777" w:rsidR="00BF31F0" w:rsidRPr="00BE3D95" w:rsidRDefault="00BF31F0" w:rsidP="00BF31F0">
      <w:pPr>
        <w:spacing w:line="480" w:lineRule="auto"/>
        <w:rPr>
          <w:rFonts w:ascii="Arial" w:hAnsi="Arial" w:cs="Arial"/>
          <w:sz w:val="22"/>
          <w:szCs w:val="22"/>
        </w:rPr>
      </w:pPr>
      <w:r w:rsidRPr="00BE3D95">
        <w:rPr>
          <w:rFonts w:ascii="Arial" w:hAnsi="Arial" w:cs="Arial"/>
          <w:b/>
          <w:sz w:val="22"/>
          <w:szCs w:val="22"/>
        </w:rPr>
        <w:t>Supplementary Figure 3. Gene expression</w:t>
      </w:r>
      <w:r w:rsidRPr="00BE3D95">
        <w:rPr>
          <w:rFonts w:ascii="Arial" w:hAnsi="Arial" w:cs="Arial"/>
          <w:sz w:val="22"/>
          <w:szCs w:val="22"/>
        </w:rPr>
        <w:t xml:space="preserve"> (A) </w:t>
      </w:r>
      <w:r w:rsidRPr="00BE3D95">
        <w:rPr>
          <w:rFonts w:ascii="Arial" w:hAnsi="Arial" w:cs="Arial"/>
          <w:i/>
          <w:sz w:val="22"/>
          <w:szCs w:val="22"/>
        </w:rPr>
        <w:t>Akt1</w:t>
      </w:r>
      <w:r w:rsidRPr="00BE3D95">
        <w:rPr>
          <w:rFonts w:ascii="Arial" w:hAnsi="Arial" w:cs="Arial"/>
          <w:sz w:val="22"/>
          <w:szCs w:val="22"/>
        </w:rPr>
        <w:t xml:space="preserve"> and (B) </w:t>
      </w:r>
      <w:r w:rsidRPr="00BE3D95">
        <w:rPr>
          <w:rFonts w:ascii="Arial" w:hAnsi="Arial" w:cs="Arial"/>
          <w:i/>
          <w:sz w:val="22"/>
          <w:szCs w:val="22"/>
        </w:rPr>
        <w:t>Glut4</w:t>
      </w:r>
      <w:r w:rsidRPr="00BE3D95">
        <w:rPr>
          <w:rFonts w:ascii="Arial" w:hAnsi="Arial" w:cs="Arial"/>
          <w:sz w:val="22"/>
          <w:szCs w:val="22"/>
        </w:rPr>
        <w:t xml:space="preserve"> gene expression in obese male and female GWAT with and without ADRB3 stimulation. A.U., arbitrary units, N=5-8; *p&lt;0.05, **p&lt;0.01, ***p&lt;0.005, ****p&lt;0.0001.     </w:t>
      </w:r>
    </w:p>
    <w:p w14:paraId="15B920A8" w14:textId="77777777" w:rsidR="00BF31F0" w:rsidRDefault="00BF31F0" w:rsidP="00BF31F0">
      <w:pPr>
        <w:spacing w:line="480" w:lineRule="auto"/>
        <w:rPr>
          <w:rFonts w:ascii="Arial" w:hAnsi="Arial" w:cs="Arial"/>
          <w:sz w:val="22"/>
          <w:szCs w:val="22"/>
        </w:rPr>
      </w:pPr>
    </w:p>
    <w:p w14:paraId="7A267903" w14:textId="77777777" w:rsidR="00BF31F0" w:rsidRPr="00BE3D95" w:rsidRDefault="00BF31F0" w:rsidP="00BF31F0">
      <w:pPr>
        <w:spacing w:line="480" w:lineRule="auto"/>
        <w:rPr>
          <w:rFonts w:ascii="Arial" w:hAnsi="Arial" w:cs="Arial"/>
          <w:sz w:val="22"/>
          <w:szCs w:val="22"/>
        </w:rPr>
      </w:pPr>
      <w:r w:rsidRPr="00BE3D95">
        <w:rPr>
          <w:rFonts w:ascii="Arial" w:hAnsi="Arial" w:cs="Arial"/>
          <w:b/>
          <w:bCs/>
          <w:sz w:val="22"/>
          <w:szCs w:val="22"/>
        </w:rPr>
        <w:t xml:space="preserve">Supplementary Figure 4. Flow cytometry assessment of ATMs in lean and obese IWAT SVF. </w:t>
      </w:r>
      <w:r w:rsidRPr="00BE3D95">
        <w:rPr>
          <w:rFonts w:ascii="Arial" w:hAnsi="Arial" w:cs="Arial"/>
          <w:sz w:val="22"/>
          <w:szCs w:val="22"/>
        </w:rPr>
        <w:t>Quantitation of (A) IWAT percent ATMs (B) IWAT CD11c</w:t>
      </w:r>
      <w:r w:rsidRPr="00BE3D95">
        <w:rPr>
          <w:rFonts w:ascii="Arial" w:hAnsi="Arial" w:cs="Arial"/>
          <w:sz w:val="22"/>
          <w:szCs w:val="22"/>
          <w:vertAlign w:val="superscript"/>
        </w:rPr>
        <w:t>+</w:t>
      </w:r>
      <w:r w:rsidRPr="00BE3D95">
        <w:rPr>
          <w:rFonts w:ascii="Arial" w:hAnsi="Arial" w:cs="Arial"/>
          <w:sz w:val="22"/>
          <w:szCs w:val="22"/>
        </w:rPr>
        <w:t xml:space="preserve"> ATMs (C) IWAT CD11c</w:t>
      </w:r>
      <w:r w:rsidRPr="00BE3D95">
        <w:rPr>
          <w:rFonts w:ascii="Arial" w:hAnsi="Arial" w:cs="Arial"/>
          <w:sz w:val="22"/>
          <w:szCs w:val="22"/>
          <w:vertAlign w:val="superscript"/>
        </w:rPr>
        <w:t>-</w:t>
      </w:r>
      <w:r w:rsidRPr="00BE3D95">
        <w:rPr>
          <w:rFonts w:ascii="Arial" w:hAnsi="Arial" w:cs="Arial"/>
          <w:sz w:val="22"/>
          <w:szCs w:val="22"/>
        </w:rPr>
        <w:t xml:space="preserve">ATMs (D) IWAT dendritic cells (DC) numbers, N=7-12/group; *p&lt;0.05, **p&lt;0.01, ***p&lt;0.005, ****p&lt;0.0001.  </w:t>
      </w:r>
    </w:p>
    <w:p w14:paraId="30FD59D5" w14:textId="77777777" w:rsidR="00BF31F0" w:rsidRPr="00BE3D95" w:rsidRDefault="00BF31F0" w:rsidP="00BF31F0">
      <w:pPr>
        <w:spacing w:line="480" w:lineRule="auto"/>
        <w:rPr>
          <w:rFonts w:ascii="Arial" w:hAnsi="Arial" w:cs="Arial"/>
          <w:b/>
          <w:bCs/>
          <w:sz w:val="22"/>
          <w:szCs w:val="22"/>
        </w:rPr>
      </w:pPr>
    </w:p>
    <w:p w14:paraId="026C1008" w14:textId="77777777" w:rsidR="00BF31F0" w:rsidRPr="00BE3D95" w:rsidRDefault="00BF31F0" w:rsidP="00BF31F0">
      <w:pPr>
        <w:spacing w:line="480" w:lineRule="auto"/>
        <w:rPr>
          <w:rFonts w:ascii="Arial" w:hAnsi="Arial" w:cs="Arial"/>
          <w:sz w:val="22"/>
          <w:szCs w:val="22"/>
        </w:rPr>
      </w:pPr>
      <w:r w:rsidRPr="00BE3D95">
        <w:rPr>
          <w:rFonts w:ascii="Arial" w:hAnsi="Arial" w:cs="Arial"/>
          <w:b/>
          <w:bCs/>
          <w:sz w:val="22"/>
          <w:szCs w:val="22"/>
        </w:rPr>
        <w:t xml:space="preserve">Supplementary Figure 5. Lipidomic assessment of lipid mediators in obese male and female GWAT. </w:t>
      </w:r>
      <w:r w:rsidRPr="00BE3D95">
        <w:rPr>
          <w:rFonts w:ascii="Arial" w:hAnsi="Arial" w:cs="Arial"/>
          <w:sz w:val="22"/>
          <w:szCs w:val="22"/>
        </w:rPr>
        <w:t xml:space="preserve">(A) Relative hydroxy fatty acids (FAHFA) (B) Phosphatidylserine (PS) (C) Phosphatidylcholine (PC) (D) Lyso-PC (E) Phosphatidylethanolamine (PE) (F) Phosphatidylglycerol (PG) (G) Phosphatidylinositol (PI) content in obese male and female GWAT with and without CL treatment. N=6/group; *p&lt;0.05, **p&lt;0.01, ***p&lt;0.005, ****p&lt;0.0001.     </w:t>
      </w:r>
    </w:p>
    <w:p w14:paraId="06AFB99C" w14:textId="77777777" w:rsidR="00BF31F0" w:rsidRPr="00BE3D95" w:rsidRDefault="00BF31F0" w:rsidP="00BF31F0">
      <w:pPr>
        <w:spacing w:line="480" w:lineRule="auto"/>
        <w:rPr>
          <w:rFonts w:ascii="Arial" w:hAnsi="Arial" w:cs="Arial"/>
          <w:b/>
          <w:bCs/>
          <w:sz w:val="22"/>
          <w:szCs w:val="22"/>
        </w:rPr>
      </w:pPr>
    </w:p>
    <w:p w14:paraId="1E7039B8" w14:textId="77777777" w:rsidR="00BF31F0" w:rsidRPr="00BE3D95" w:rsidRDefault="00BF31F0" w:rsidP="00BF31F0">
      <w:pPr>
        <w:spacing w:line="480" w:lineRule="auto"/>
        <w:rPr>
          <w:rFonts w:ascii="Arial" w:hAnsi="Arial" w:cs="Arial"/>
          <w:sz w:val="22"/>
          <w:szCs w:val="22"/>
        </w:rPr>
      </w:pPr>
    </w:p>
    <w:p w14:paraId="5262FA1C" w14:textId="77777777" w:rsidR="00BF31F0" w:rsidRPr="00A75714" w:rsidRDefault="00BF31F0" w:rsidP="00BF31F0">
      <w:pPr>
        <w:spacing w:line="480" w:lineRule="auto"/>
        <w:rPr>
          <w:rFonts w:ascii="Arial" w:hAnsi="Arial" w:cs="Arial"/>
          <w:b/>
          <w:color w:val="000000"/>
          <w:sz w:val="22"/>
          <w:szCs w:val="22"/>
        </w:rPr>
      </w:pPr>
      <w:r w:rsidRPr="00A75714">
        <w:rPr>
          <w:rFonts w:ascii="Arial" w:hAnsi="Arial" w:cs="Arial"/>
          <w:b/>
          <w:color w:val="000000"/>
          <w:sz w:val="22"/>
          <w:szCs w:val="22"/>
        </w:rPr>
        <w:br w:type="page"/>
      </w:r>
    </w:p>
    <w:p w14:paraId="6C8875DD" w14:textId="77777777" w:rsidR="00BF31F0" w:rsidRPr="00A75714" w:rsidRDefault="00BF31F0" w:rsidP="00BF31F0">
      <w:pPr>
        <w:spacing w:line="480" w:lineRule="auto"/>
        <w:rPr>
          <w:rFonts w:ascii="Arial" w:hAnsi="Arial" w:cs="Arial"/>
          <w:b/>
          <w:color w:val="000000"/>
          <w:sz w:val="22"/>
          <w:szCs w:val="22"/>
        </w:rPr>
      </w:pPr>
      <w:bookmarkStart w:id="0" w:name="_GoBack"/>
      <w:bookmarkEnd w:id="0"/>
    </w:p>
    <w:p w14:paraId="05F41B41" w14:textId="77777777" w:rsidR="0002187C" w:rsidRDefault="00BF31F0"/>
    <w:sectPr w:rsidR="0002187C" w:rsidSect="00F62EE0">
      <w:headerReference w:type="even" r:id="rId4"/>
      <w:headerReference w:type="default" r:id="rId5"/>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9E70" w14:textId="77777777" w:rsidR="00376DD3" w:rsidRDefault="00BF31F0" w:rsidP="00B149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111F8" w14:textId="77777777" w:rsidR="00376DD3" w:rsidRDefault="00BF31F0" w:rsidP="00B149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0818" w14:textId="77777777" w:rsidR="00376DD3" w:rsidRDefault="00BF31F0" w:rsidP="00B149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2057CA" w14:textId="77777777" w:rsidR="00376DD3" w:rsidRDefault="00BF31F0" w:rsidP="00B1492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F0"/>
    <w:rsid w:val="00020E4E"/>
    <w:rsid w:val="00031D4E"/>
    <w:rsid w:val="00075935"/>
    <w:rsid w:val="000D15B8"/>
    <w:rsid w:val="000D67F9"/>
    <w:rsid w:val="00120783"/>
    <w:rsid w:val="001345C3"/>
    <w:rsid w:val="001B2989"/>
    <w:rsid w:val="001D1BA8"/>
    <w:rsid w:val="00213173"/>
    <w:rsid w:val="002326DD"/>
    <w:rsid w:val="002334EC"/>
    <w:rsid w:val="002677D1"/>
    <w:rsid w:val="002700A6"/>
    <w:rsid w:val="002A45DD"/>
    <w:rsid w:val="002B21A4"/>
    <w:rsid w:val="002B331B"/>
    <w:rsid w:val="003E2CE1"/>
    <w:rsid w:val="004005A8"/>
    <w:rsid w:val="004038D8"/>
    <w:rsid w:val="00411DF1"/>
    <w:rsid w:val="00413C97"/>
    <w:rsid w:val="00425D56"/>
    <w:rsid w:val="004378FF"/>
    <w:rsid w:val="00463E0B"/>
    <w:rsid w:val="00492B16"/>
    <w:rsid w:val="0052533E"/>
    <w:rsid w:val="005545C6"/>
    <w:rsid w:val="0056464C"/>
    <w:rsid w:val="005A5727"/>
    <w:rsid w:val="005D5CF8"/>
    <w:rsid w:val="005E344B"/>
    <w:rsid w:val="005F03B9"/>
    <w:rsid w:val="00601600"/>
    <w:rsid w:val="0062115E"/>
    <w:rsid w:val="0062778D"/>
    <w:rsid w:val="0064064C"/>
    <w:rsid w:val="00666F2F"/>
    <w:rsid w:val="0067294B"/>
    <w:rsid w:val="007006F8"/>
    <w:rsid w:val="00727E01"/>
    <w:rsid w:val="007450F5"/>
    <w:rsid w:val="007D7389"/>
    <w:rsid w:val="007E737A"/>
    <w:rsid w:val="007F2D97"/>
    <w:rsid w:val="0082130C"/>
    <w:rsid w:val="008619DE"/>
    <w:rsid w:val="00882069"/>
    <w:rsid w:val="0088681A"/>
    <w:rsid w:val="008B5AC5"/>
    <w:rsid w:val="0092144E"/>
    <w:rsid w:val="00940F1F"/>
    <w:rsid w:val="00955AAC"/>
    <w:rsid w:val="00981CA3"/>
    <w:rsid w:val="00995D05"/>
    <w:rsid w:val="009978CE"/>
    <w:rsid w:val="00A23200"/>
    <w:rsid w:val="00A24B2E"/>
    <w:rsid w:val="00A66410"/>
    <w:rsid w:val="00A71B74"/>
    <w:rsid w:val="00A71ECC"/>
    <w:rsid w:val="00AD56B9"/>
    <w:rsid w:val="00B47662"/>
    <w:rsid w:val="00BA645F"/>
    <w:rsid w:val="00BB3F29"/>
    <w:rsid w:val="00BE0C26"/>
    <w:rsid w:val="00BF2592"/>
    <w:rsid w:val="00BF31F0"/>
    <w:rsid w:val="00C92FCB"/>
    <w:rsid w:val="00CC39FD"/>
    <w:rsid w:val="00CD2146"/>
    <w:rsid w:val="00CD30E0"/>
    <w:rsid w:val="00CF2D20"/>
    <w:rsid w:val="00D305E7"/>
    <w:rsid w:val="00D42F58"/>
    <w:rsid w:val="00DA0FD7"/>
    <w:rsid w:val="00DC469C"/>
    <w:rsid w:val="00DF38B2"/>
    <w:rsid w:val="00EB64A7"/>
    <w:rsid w:val="00F2036F"/>
    <w:rsid w:val="00F24CC9"/>
    <w:rsid w:val="00F52051"/>
    <w:rsid w:val="00F56BA4"/>
    <w:rsid w:val="00F75C90"/>
    <w:rsid w:val="00FB3BBC"/>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D3CE"/>
  <w14:defaultImageDpi w14:val="32767"/>
  <w15:chartTrackingRefBased/>
  <w15:docId w15:val="{94A0BCDF-22BD-FF48-A975-4B8D43F8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31F0"/>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F0"/>
    <w:pPr>
      <w:tabs>
        <w:tab w:val="center" w:pos="4320"/>
        <w:tab w:val="right" w:pos="8640"/>
      </w:tabs>
    </w:pPr>
  </w:style>
  <w:style w:type="character" w:customStyle="1" w:styleId="HeaderChar">
    <w:name w:val="Header Char"/>
    <w:basedOn w:val="DefaultParagraphFont"/>
    <w:link w:val="Header"/>
    <w:uiPriority w:val="99"/>
    <w:rsid w:val="00BF31F0"/>
    <w:rPr>
      <w:rFonts w:ascii="Cambria" w:eastAsia="MS Mincho" w:hAnsi="Cambria" w:cs="Times New Roman"/>
    </w:rPr>
  </w:style>
  <w:style w:type="character" w:styleId="PageNumber">
    <w:name w:val="page number"/>
    <w:basedOn w:val="DefaultParagraphFont"/>
    <w:uiPriority w:val="99"/>
    <w:semiHidden/>
    <w:unhideWhenUsed/>
    <w:rsid w:val="00BF31F0"/>
  </w:style>
  <w:style w:type="paragraph" w:styleId="NormalWeb">
    <w:name w:val="Normal (Web)"/>
    <w:basedOn w:val="Normal"/>
    <w:uiPriority w:val="99"/>
    <w:unhideWhenUsed/>
    <w:rsid w:val="00BF31F0"/>
    <w:pPr>
      <w:spacing w:before="100" w:beforeAutospacing="1" w:after="100" w:afterAutospacing="1"/>
    </w:pPr>
    <w:rPr>
      <w:rFonts w:ascii="Times" w:hAnsi="Times"/>
      <w:sz w:val="20"/>
      <w:szCs w:val="20"/>
    </w:rPr>
  </w:style>
  <w:style w:type="character" w:styleId="LineNumber">
    <w:name w:val="line number"/>
    <w:basedOn w:val="DefaultParagraphFont"/>
    <w:uiPriority w:val="99"/>
    <w:semiHidden/>
    <w:unhideWhenUsed/>
    <w:rsid w:val="00BF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Singer</dc:creator>
  <cp:keywords/>
  <dc:description/>
  <cp:lastModifiedBy>Durga Singer</cp:lastModifiedBy>
  <cp:revision>1</cp:revision>
  <dcterms:created xsi:type="dcterms:W3CDTF">2018-11-14T20:13:00Z</dcterms:created>
  <dcterms:modified xsi:type="dcterms:W3CDTF">2018-11-14T20:13:00Z</dcterms:modified>
</cp:coreProperties>
</file>