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582" w:rsidRPr="00264582" w:rsidRDefault="00264582" w:rsidP="00264582">
      <w:pPr>
        <w:numPr>
          <w:ilvl w:val="0"/>
          <w:numId w:val="1"/>
        </w:num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r w:rsidRPr="00264582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Video 1 - </w:t>
      </w:r>
    </w:p>
    <w:p w:rsidR="00264582" w:rsidRDefault="00264582" w:rsidP="00264582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spellStart"/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Piranhalysis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after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formation.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right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) Time-lapse video of a macrophage stimulated with M-CSF after preloading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with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(inverted contrast, right).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left )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Phase contrast.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middle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) Phase contrast with blue overlay of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fluorescence.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-labeled tubular and vesicular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surrounded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immediately after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closure and repeatedly contacted and separated from it as the organelle shrank. Frame intervals = 20 s (data of Fig. 7 A). </w:t>
      </w:r>
    </w:p>
    <w:p w:rsidR="00264582" w:rsidRDefault="00264582" w:rsidP="00264582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</w:p>
    <w:p w:rsidR="00264582" w:rsidRPr="00264582" w:rsidRDefault="00264582" w:rsidP="00264582">
      <w:pPr>
        <w:numPr>
          <w:ilvl w:val="0"/>
          <w:numId w:val="2"/>
        </w:num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r w:rsidRPr="00264582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Video 2 - </w:t>
      </w:r>
    </w:p>
    <w:p w:rsidR="00264582" w:rsidRDefault="00264582" w:rsidP="00264582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Fusion of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tubular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.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Time-lapse video of a macrophage stimulated with M-CSF and LY after preloading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with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. (top) Phase contrast.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second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Panel) LY fluorescence (inverted contrast).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third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panel)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 (inverted contrast).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bottom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) 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LY/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ratio image.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LY-labeled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are bright and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-labeled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are black.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were wrapped by tubular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before disappearing into the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endolysosomal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compartment. A large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was wrapped by tubular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, exchanged dyes, and then was resorbed into the tubular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endolysosomal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network. Frame intervals = 20 s (data of Fig. 7 B).</w:t>
      </w:r>
    </w:p>
    <w:p w:rsidR="00264582" w:rsidRDefault="00264582" w:rsidP="00264582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</w:p>
    <w:p w:rsidR="00264582" w:rsidRPr="00264582" w:rsidRDefault="00264582" w:rsidP="00264582">
      <w:pPr>
        <w:numPr>
          <w:ilvl w:val="0"/>
          <w:numId w:val="3"/>
        </w:num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r w:rsidRPr="00264582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Video 3 - </w:t>
      </w:r>
    </w:p>
    <w:p w:rsidR="00264582" w:rsidRPr="00264582" w:rsidRDefault="00264582" w:rsidP="00264582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Fusion of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tubular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.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bottom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top right) Time-lapse video of macrophage stimulated with M-CSF and LY (bottom right, inverted contrast) after preloading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with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(top right, inverted contrast).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top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left) Phase contrast.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top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middle) Phase contrast with blue overlay of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bottom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middle) 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LY/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 ratio image.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Bright spots indicate LY-labeled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Black indicates relative distribution of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-labeled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bottom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left) Phase contrast with blue overlay indicating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 and red overlay indicating LY fluorescence.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were wrapped by tubular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before disappearing into the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endolysosomal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compartment. Frame intervals = 20 s. </w:t>
      </w:r>
    </w:p>
    <w:p w:rsidR="00264582" w:rsidRPr="00264582" w:rsidRDefault="00264582" w:rsidP="00264582">
      <w:pPr>
        <w:numPr>
          <w:ilvl w:val="0"/>
          <w:numId w:val="4"/>
        </w:num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r w:rsidRPr="00264582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Video 4 - </w:t>
      </w:r>
    </w:p>
    <w:p w:rsidR="00264582" w:rsidRDefault="00264582" w:rsidP="00264582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Solute size–dependent delivery of dye from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into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.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bottom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top right) A macrophage stimulated with M-CSF after preloading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with LY (bottom right, inverted contrast) and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(top right, inverted contrast).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top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left) Phase contrast.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top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middle) Phase contrast with blue overlay of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bottom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middle) 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LY/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 ratio image.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Bright spots indicate compartments with elevated concentrations of LY, relative to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(bottom left) Phase contrast with blue overlay indicating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 and red overlay indicating increased LY/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ratio.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labeled transiently with LY before shrinking and merging with the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Frame intervals = 20 s (data of Fig. 7 C). </w:t>
      </w:r>
    </w:p>
    <w:p w:rsidR="00264582" w:rsidRPr="00264582" w:rsidRDefault="00264582" w:rsidP="00264582">
      <w:pPr>
        <w:numPr>
          <w:ilvl w:val="0"/>
          <w:numId w:val="5"/>
        </w:num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r w:rsidRPr="00264582">
        <w:rPr>
          <w:rFonts w:ascii="Arial" w:eastAsia="Times New Roman" w:hAnsi="Arial" w:cs="Arial"/>
          <w:b/>
          <w:bCs/>
          <w:color w:val="111111"/>
          <w:sz w:val="18"/>
          <w:szCs w:val="18"/>
          <w:lang w:val="en"/>
        </w:rPr>
        <w:t xml:space="preserve">Video 5 - </w:t>
      </w:r>
    </w:p>
    <w:p w:rsidR="00264582" w:rsidRDefault="00264582" w:rsidP="00264582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Solute size–dependent delivery of dye from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into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.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bottom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and top right) Time-lapse video of macrophage stimulated with M-CSF after preloading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with LY (bottom right) and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(top right).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top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left) Phase contrast.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top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middle) Phase contrast with blue overlay of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fluorescence. (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bottom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middle) </w:t>
      </w:r>
      <w:proofErr w:type="gram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LY/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 ratio image.</w:t>
      </w:r>
      <w:proofErr w:type="gram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Bright spots indicate compartments with elevated concentrations of LY, relative to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. (bottom left) Phase contrast with blue overlay indicating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fluorescence and red overlay indicating increased concentrations of LY. LY entered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macropinosomes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from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endolysosomes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earlier than did </w:t>
      </w:r>
      <w:proofErr w:type="spellStart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TRDx</w:t>
      </w:r>
      <w:proofErr w:type="spellEnd"/>
      <w:r w:rsidRPr="00264582">
        <w:rPr>
          <w:rFonts w:ascii="Arial" w:eastAsia="Times New Roman" w:hAnsi="Arial" w:cs="Arial"/>
          <w:color w:val="111111"/>
          <w:sz w:val="18"/>
          <w:szCs w:val="18"/>
          <w:lang w:val="en"/>
        </w:rPr>
        <w:t>. Frame intervals</w:t>
      </w:r>
      <w:r>
        <w:rPr>
          <w:rFonts w:ascii="Arial" w:eastAsia="Times New Roman" w:hAnsi="Arial" w:cs="Arial"/>
          <w:color w:val="111111"/>
          <w:sz w:val="18"/>
          <w:szCs w:val="18"/>
          <w:lang w:val="en"/>
        </w:rPr>
        <w:t xml:space="preserve"> </w:t>
      </w:r>
      <w:r>
        <w:rPr>
          <w:rFonts w:ascii="Arial" w:hAnsi="Arial" w:cs="Arial"/>
          <w:color w:val="111111"/>
          <w:sz w:val="18"/>
          <w:szCs w:val="18"/>
          <w:lang w:val="en"/>
        </w:rPr>
        <w:t>= 20 s.</w:t>
      </w:r>
      <w:bookmarkStart w:id="0" w:name="_GoBack"/>
      <w:bookmarkEnd w:id="0"/>
    </w:p>
    <w:p w:rsidR="00264582" w:rsidRPr="00264582" w:rsidRDefault="00264582" w:rsidP="00264582">
      <w:pPr>
        <w:shd w:val="clear" w:color="auto" w:fill="EEEEEE"/>
        <w:spacing w:before="100" w:beforeAutospacing="1" w:after="240" w:line="240" w:lineRule="auto"/>
        <w:ind w:left="612"/>
        <w:rPr>
          <w:rFonts w:ascii="Arial" w:eastAsia="Times New Roman" w:hAnsi="Arial" w:cs="Arial"/>
          <w:color w:val="111111"/>
          <w:sz w:val="18"/>
          <w:szCs w:val="18"/>
          <w:lang w:val="en"/>
        </w:rPr>
      </w:pPr>
    </w:p>
    <w:sectPr w:rsidR="00264582" w:rsidRPr="00264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C5047"/>
    <w:multiLevelType w:val="multilevel"/>
    <w:tmpl w:val="04768B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A13344"/>
    <w:multiLevelType w:val="multilevel"/>
    <w:tmpl w:val="FC584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8E1BCA"/>
    <w:multiLevelType w:val="multilevel"/>
    <w:tmpl w:val="73BEC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011BDC"/>
    <w:multiLevelType w:val="multilevel"/>
    <w:tmpl w:val="ECDE8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2C7267"/>
    <w:multiLevelType w:val="multilevel"/>
    <w:tmpl w:val="59603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582"/>
    <w:rsid w:val="0026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1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51316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28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79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25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129224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883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83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3" w:color="999999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921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308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9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20284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29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33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200561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03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372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37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3" w:color="999999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000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789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8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3255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6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7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0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277877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0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93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54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3" w:color="999999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675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0651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0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4269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8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99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39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91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78473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8843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008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7083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3" w:color="999999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66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91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51464">
          <w:marLeft w:val="0"/>
          <w:marRight w:val="0"/>
          <w:marTop w:val="16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6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33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57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95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3A3A3"/>
                            <w:right w:val="none" w:sz="0" w:space="0" w:color="auto"/>
                          </w:divBdr>
                          <w:divsChild>
                            <w:div w:id="534076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240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564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569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3" w:color="999999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259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907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20819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A3A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512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</dc:creator>
  <cp:lastModifiedBy>Lad</cp:lastModifiedBy>
  <cp:revision>1</cp:revision>
  <dcterms:created xsi:type="dcterms:W3CDTF">2016-05-23T18:33:00Z</dcterms:created>
  <dcterms:modified xsi:type="dcterms:W3CDTF">2016-05-23T18:37:00Z</dcterms:modified>
</cp:coreProperties>
</file>